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6CC7A" w14:textId="77777777" w:rsidR="0064434C" w:rsidRDefault="0064434C" w:rsidP="00C817A5">
      <w:pPr>
        <w:spacing w:after="480"/>
      </w:pPr>
      <w:r>
        <w:rPr>
          <w:noProof/>
        </w:rPr>
        <w:drawing>
          <wp:inline distT="0" distB="0" distL="0" distR="0" wp14:anchorId="1A2E7584" wp14:editId="035EF850">
            <wp:extent cx="4541208" cy="707666"/>
            <wp:effectExtent l="0" t="0" r="0" b="0"/>
            <wp:docPr id="1" name="Picture 1" descr="Logo: Australian Government, Department of Communications and the Ar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704" cy="718807"/>
                    </a:xfrm>
                    <a:prstGeom prst="rect">
                      <a:avLst/>
                    </a:prstGeom>
                    <a:noFill/>
                    <a:ln>
                      <a:noFill/>
                    </a:ln>
                  </pic:spPr>
                </pic:pic>
              </a:graphicData>
            </a:graphic>
          </wp:inline>
        </w:drawing>
      </w:r>
    </w:p>
    <w:p w14:paraId="73CF29B3" w14:textId="77777777"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14:paraId="6D7FBFDF" w14:textId="77777777" w:rsidR="00B041CB" w:rsidRPr="00B041CB" w:rsidRDefault="005067FD" w:rsidP="00226B4F">
      <w:pPr>
        <w:pStyle w:val="Heading1"/>
      </w:pPr>
      <w:r w:rsidRPr="00BB2405">
        <w:t>Mobile Black Spot Program</w:t>
      </w:r>
      <w:r>
        <w:t>—</w:t>
      </w:r>
      <w:r w:rsidR="0064434C">
        <w:t>Priority Locations Grant Guidelines</w:t>
      </w:r>
    </w:p>
    <w:p w14:paraId="58F0B3FD" w14:textId="77777777" w:rsidR="00B041CB" w:rsidRDefault="0064434C" w:rsidP="00226B4F">
      <w:pPr>
        <w:suppressAutoHyphens/>
        <w:spacing w:before="160" w:after="600"/>
        <w:rPr>
          <w:rFonts w:eastAsia="Calibri" w:cs="Times New Roman"/>
          <w:b/>
          <w:color w:val="081E3E"/>
          <w:kern w:val="12"/>
          <w:sz w:val="20"/>
          <w:szCs w:val="20"/>
        </w:rPr>
      </w:pPr>
      <w:r>
        <w:rPr>
          <w:rFonts w:eastAsia="Calibri" w:cs="Times New Roman"/>
          <w:b/>
          <w:color w:val="081E3E"/>
          <w:kern w:val="12"/>
          <w:sz w:val="20"/>
          <w:szCs w:val="20"/>
        </w:rPr>
        <w:t>November</w:t>
      </w:r>
      <w:r w:rsidR="00B041CB" w:rsidRPr="00B041CB">
        <w:rPr>
          <w:rFonts w:eastAsia="Calibri" w:cs="Times New Roman"/>
          <w:b/>
          <w:color w:val="081E3E"/>
          <w:kern w:val="12"/>
          <w:sz w:val="20"/>
          <w:szCs w:val="20"/>
        </w:rPr>
        <w:t xml:space="preserve"> </w:t>
      </w:r>
      <w:r w:rsidR="009A0F17">
        <w:rPr>
          <w:rFonts w:eastAsia="Calibri" w:cs="Times New Roman"/>
          <w:b/>
          <w:color w:val="081E3E"/>
          <w:kern w:val="12"/>
          <w:sz w:val="20"/>
          <w:szCs w:val="20"/>
        </w:rPr>
        <w:t>201</w:t>
      </w:r>
      <w:r>
        <w:rPr>
          <w:rFonts w:eastAsia="Calibri" w:cs="Times New Roman"/>
          <w:b/>
          <w:color w:val="081E3E"/>
          <w:kern w:val="12"/>
          <w:sz w:val="20"/>
          <w:szCs w:val="20"/>
        </w:rPr>
        <w:t>7</w:t>
      </w:r>
    </w:p>
    <w:p w14:paraId="2535D2FE" w14:textId="77777777" w:rsidR="0064434C" w:rsidRPr="00691E44" w:rsidRDefault="0064434C" w:rsidP="00226B4F">
      <w:pPr>
        <w:pStyle w:val="Heading2notshowing"/>
        <w:jc w:val="center"/>
      </w:pPr>
      <w:r w:rsidRPr="00691E44">
        <w:t>Version 1</w:t>
      </w:r>
    </w:p>
    <w:p w14:paraId="1CEC2B33" w14:textId="77777777" w:rsidR="0064434C" w:rsidRPr="00890E6F" w:rsidRDefault="0064434C" w:rsidP="0064434C">
      <w:pPr>
        <w:jc w:val="center"/>
        <w:rPr>
          <w:sz w:val="21"/>
          <w:szCs w:val="21"/>
        </w:rPr>
      </w:pPr>
      <w:r w:rsidRPr="003D2F00">
        <w:rPr>
          <w:sz w:val="21"/>
          <w:szCs w:val="21"/>
        </w:rPr>
        <w:t xml:space="preserve">These Guidelines were released by the Department of Communications </w:t>
      </w:r>
      <w:r>
        <w:rPr>
          <w:sz w:val="21"/>
          <w:szCs w:val="21"/>
        </w:rPr>
        <w:t xml:space="preserve">and the Arts </w:t>
      </w:r>
      <w:r w:rsidRPr="002865E9">
        <w:rPr>
          <w:sz w:val="21"/>
          <w:szCs w:val="21"/>
        </w:rPr>
        <w:t xml:space="preserve">on </w:t>
      </w:r>
      <w:r>
        <w:rPr>
          <w:sz w:val="21"/>
          <w:szCs w:val="21"/>
        </w:rPr>
        <w:t>22</w:t>
      </w:r>
      <w:r w:rsidRPr="00964F08">
        <w:rPr>
          <w:sz w:val="21"/>
          <w:szCs w:val="21"/>
        </w:rPr>
        <w:t xml:space="preserve"> November 2017</w:t>
      </w:r>
      <w:r w:rsidRPr="003D2F00">
        <w:rPr>
          <w:sz w:val="21"/>
          <w:szCs w:val="21"/>
        </w:rPr>
        <w:t xml:space="preserve"> to assist mobile network operators and mobile network infrastructure providers to prepare and submit proposals for funding under</w:t>
      </w:r>
      <w:r>
        <w:rPr>
          <w:sz w:val="21"/>
          <w:szCs w:val="21"/>
        </w:rPr>
        <w:t xml:space="preserve"> the Priority Locations round of</w:t>
      </w:r>
      <w:r w:rsidRPr="003D2F00">
        <w:rPr>
          <w:sz w:val="21"/>
          <w:szCs w:val="21"/>
        </w:rPr>
        <w:t xml:space="preserve"> the</w:t>
      </w:r>
      <w:r>
        <w:rPr>
          <w:sz w:val="21"/>
          <w:szCs w:val="21"/>
        </w:rPr>
        <w:t xml:space="preserve"> </w:t>
      </w:r>
      <w:r w:rsidRPr="003D2F00">
        <w:rPr>
          <w:sz w:val="21"/>
          <w:szCs w:val="21"/>
        </w:rPr>
        <w:t>Australian Government</w:t>
      </w:r>
      <w:r>
        <w:rPr>
          <w:sz w:val="21"/>
          <w:szCs w:val="21"/>
        </w:rPr>
        <w:t>’s Mobile Black Spot Program.</w:t>
      </w:r>
    </w:p>
    <w:p w14:paraId="2B41FD99" w14:textId="77777777" w:rsidR="0064434C" w:rsidRDefault="00D50970" w:rsidP="0064434C">
      <w:pPr>
        <w:pStyle w:val="Heading2notshowing"/>
      </w:pPr>
      <w:r>
        <w:rPr>
          <w:rFonts w:eastAsia="Calibri" w:cs="Times New Roman"/>
          <w:color w:val="000000"/>
          <w:kern w:val="12"/>
          <w:sz w:val="20"/>
          <w:szCs w:val="20"/>
        </w:rPr>
        <w:br w:type="page"/>
      </w:r>
      <w:r w:rsidR="0064434C" w:rsidRPr="0015381E">
        <w:lastRenderedPageBreak/>
        <w:t>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2235"/>
        <w:gridCol w:w="1134"/>
        <w:gridCol w:w="5917"/>
      </w:tblGrid>
      <w:tr w:rsidR="0064434C" w:rsidRPr="0009205D" w14:paraId="3B7A65FD" w14:textId="77777777" w:rsidTr="00FB4C26">
        <w:trPr>
          <w:cantSplit/>
          <w:tblHeader/>
        </w:trPr>
        <w:tc>
          <w:tcPr>
            <w:tcW w:w="2235" w:type="dxa"/>
            <w:shd w:val="clear" w:color="auto" w:fill="DEEAF6"/>
          </w:tcPr>
          <w:p w14:paraId="1DAAA7A8" w14:textId="77777777" w:rsidR="0064434C" w:rsidRPr="0009205D" w:rsidRDefault="0064434C" w:rsidP="0064434C">
            <w:pPr>
              <w:pStyle w:val="Bodytext-Indent"/>
              <w:spacing w:before="120" w:after="120"/>
              <w:rPr>
                <w:b/>
              </w:rPr>
            </w:pPr>
            <w:r w:rsidRPr="0009205D">
              <w:rPr>
                <w:b/>
              </w:rPr>
              <w:t>Date</w:t>
            </w:r>
          </w:p>
        </w:tc>
        <w:tc>
          <w:tcPr>
            <w:tcW w:w="1134" w:type="dxa"/>
            <w:shd w:val="clear" w:color="auto" w:fill="DEEAF6"/>
          </w:tcPr>
          <w:p w14:paraId="36EEA00A" w14:textId="77777777" w:rsidR="0064434C" w:rsidRPr="0009205D" w:rsidRDefault="0064434C" w:rsidP="0064434C">
            <w:pPr>
              <w:pStyle w:val="Bodytext-Indent"/>
              <w:spacing w:before="120" w:after="120"/>
              <w:jc w:val="center"/>
              <w:rPr>
                <w:b/>
              </w:rPr>
            </w:pPr>
            <w:r w:rsidRPr="0009205D">
              <w:rPr>
                <w:b/>
              </w:rPr>
              <w:t>Version</w:t>
            </w:r>
          </w:p>
        </w:tc>
        <w:tc>
          <w:tcPr>
            <w:tcW w:w="5917" w:type="dxa"/>
            <w:shd w:val="clear" w:color="auto" w:fill="DEEAF6"/>
          </w:tcPr>
          <w:p w14:paraId="7B7E6876" w14:textId="77777777" w:rsidR="0064434C" w:rsidRPr="0009205D" w:rsidRDefault="0064434C" w:rsidP="0064434C">
            <w:pPr>
              <w:pStyle w:val="Bodytext-Indent"/>
              <w:spacing w:before="120" w:after="120"/>
              <w:rPr>
                <w:b/>
              </w:rPr>
            </w:pPr>
            <w:r w:rsidRPr="0009205D">
              <w:rPr>
                <w:b/>
              </w:rPr>
              <w:t xml:space="preserve">Details </w:t>
            </w:r>
          </w:p>
        </w:tc>
      </w:tr>
      <w:tr w:rsidR="0064434C" w:rsidRPr="00B12827" w14:paraId="2C84428B" w14:textId="77777777" w:rsidTr="00FB4C26">
        <w:trPr>
          <w:cantSplit/>
        </w:trPr>
        <w:tc>
          <w:tcPr>
            <w:tcW w:w="2235" w:type="dxa"/>
            <w:shd w:val="clear" w:color="auto" w:fill="auto"/>
          </w:tcPr>
          <w:p w14:paraId="61A75CC5" w14:textId="77777777" w:rsidR="0064434C" w:rsidRPr="00B12827" w:rsidRDefault="0064434C" w:rsidP="0064434C">
            <w:pPr>
              <w:pStyle w:val="Bodytext-Indent"/>
              <w:spacing w:before="120" w:after="120"/>
              <w:rPr>
                <w:sz w:val="22"/>
                <w:lang w:eastAsia="en-AU"/>
              </w:rPr>
            </w:pPr>
            <w:r w:rsidRPr="004F0BF3">
              <w:rPr>
                <w:sz w:val="22"/>
                <w:lang w:eastAsia="en-AU"/>
              </w:rPr>
              <w:t>22</w:t>
            </w:r>
            <w:r>
              <w:rPr>
                <w:sz w:val="22"/>
                <w:lang w:eastAsia="en-AU"/>
              </w:rPr>
              <w:t xml:space="preserve"> November 2017</w:t>
            </w:r>
          </w:p>
        </w:tc>
        <w:tc>
          <w:tcPr>
            <w:tcW w:w="1134" w:type="dxa"/>
            <w:shd w:val="clear" w:color="auto" w:fill="auto"/>
          </w:tcPr>
          <w:p w14:paraId="6C9EE4CE" w14:textId="77777777" w:rsidR="0064434C" w:rsidRPr="00B12827" w:rsidRDefault="0064434C" w:rsidP="0064434C">
            <w:pPr>
              <w:pStyle w:val="Bodytext-Indent"/>
              <w:spacing w:before="120" w:after="120"/>
              <w:jc w:val="center"/>
              <w:rPr>
                <w:sz w:val="22"/>
                <w:lang w:eastAsia="en-AU"/>
              </w:rPr>
            </w:pPr>
            <w:r>
              <w:rPr>
                <w:sz w:val="22"/>
                <w:lang w:eastAsia="en-AU"/>
              </w:rPr>
              <w:t>1</w:t>
            </w:r>
          </w:p>
        </w:tc>
        <w:tc>
          <w:tcPr>
            <w:tcW w:w="5917" w:type="dxa"/>
            <w:shd w:val="clear" w:color="auto" w:fill="auto"/>
          </w:tcPr>
          <w:p w14:paraId="26BC9A9D" w14:textId="77777777" w:rsidR="0064434C" w:rsidRPr="00B12827" w:rsidRDefault="0064434C" w:rsidP="0064434C">
            <w:pPr>
              <w:pStyle w:val="Bodytext-Indent"/>
              <w:spacing w:before="120" w:after="120"/>
              <w:rPr>
                <w:sz w:val="22"/>
                <w:lang w:eastAsia="en-AU"/>
              </w:rPr>
            </w:pPr>
            <w:r>
              <w:rPr>
                <w:sz w:val="22"/>
                <w:lang w:eastAsia="en-AU"/>
              </w:rPr>
              <w:t>Priority Locations Grant Guidelines released</w:t>
            </w:r>
          </w:p>
        </w:tc>
      </w:tr>
    </w:tbl>
    <w:p w14:paraId="68F9893D" w14:textId="77777777" w:rsidR="0064434C" w:rsidRDefault="0064434C" w:rsidP="0064434C">
      <w:pPr>
        <w:pStyle w:val="Heading2notshowing"/>
        <w:spacing w:before="360"/>
      </w:pPr>
      <w:r w:rsidRPr="00F63F00">
        <w:t>Copyright</w:t>
      </w:r>
    </w:p>
    <w:p w14:paraId="4812D296" w14:textId="77777777" w:rsidR="0064434C" w:rsidRDefault="0064434C" w:rsidP="0064434C">
      <w:pPr>
        <w:rPr>
          <w:rFonts w:cs="Calibri"/>
          <w:lang w:eastAsia="en-AU"/>
        </w:rPr>
      </w:pPr>
      <w:bookmarkStart w:id="0" w:name="_Toc356292516"/>
      <w:r>
        <w:rPr>
          <w:lang w:eastAsia="en-AU"/>
        </w:rPr>
        <w:t xml:space="preserve">© Commonwealth of Australia </w:t>
      </w:r>
      <w:bookmarkEnd w:id="0"/>
      <w:r>
        <w:rPr>
          <w:lang w:eastAsia="en-AU"/>
        </w:rPr>
        <w:t>2017</w:t>
      </w:r>
    </w:p>
    <w:p w14:paraId="15258DC6" w14:textId="77777777" w:rsidR="0064434C" w:rsidRDefault="0064434C" w:rsidP="0064434C">
      <w:pPr>
        <w:rPr>
          <w:lang w:eastAsia="en-AU"/>
        </w:rPr>
      </w:pPr>
      <w:r>
        <w:rPr>
          <w:noProof/>
          <w:lang w:eastAsia="en-AU"/>
        </w:rPr>
        <w:drawing>
          <wp:inline distT="0" distB="0" distL="0" distR="0" wp14:anchorId="6D68C0BE" wp14:editId="66B73541">
            <wp:extent cx="839470" cy="293370"/>
            <wp:effectExtent l="0" t="0" r="0" b="0"/>
            <wp:docPr id="7" name="Picture 7"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r>
        <w:rPr>
          <w:lang w:eastAsia="en-AU"/>
        </w:rPr>
        <w:t>  The material in these Guidelines is licensed under a Creative Commons Attribution—3.0 Australia license, with the exception of:</w:t>
      </w:r>
    </w:p>
    <w:p w14:paraId="5CBCB121" w14:textId="77777777" w:rsidR="0064434C" w:rsidRDefault="0064434C" w:rsidP="0064434C">
      <w:pPr>
        <w:pStyle w:val="Listparagraphbullets"/>
      </w:pPr>
      <w:bookmarkStart w:id="1" w:name="_Toc356292518"/>
      <w:r>
        <w:t>the Commonwealth Coat of Arms</w:t>
      </w:r>
      <w:bookmarkEnd w:id="1"/>
      <w:r>
        <w:t>;</w:t>
      </w:r>
    </w:p>
    <w:p w14:paraId="4DE434C6" w14:textId="77777777" w:rsidR="0064434C" w:rsidRDefault="0064434C" w:rsidP="0064434C">
      <w:pPr>
        <w:pStyle w:val="Listparagraphbullets"/>
      </w:pPr>
      <w:bookmarkStart w:id="2" w:name="_Toc356292519"/>
      <w:r>
        <w:t>this Department’s logo</w:t>
      </w:r>
      <w:bookmarkEnd w:id="2"/>
      <w:r>
        <w:t>;</w:t>
      </w:r>
    </w:p>
    <w:p w14:paraId="46C97E73" w14:textId="77777777" w:rsidR="0064434C" w:rsidRDefault="0064434C" w:rsidP="0064434C">
      <w:pPr>
        <w:pStyle w:val="Listparagraphbullets"/>
      </w:pPr>
      <w:r>
        <w:t xml:space="preserve">any </w:t>
      </w:r>
      <w:proofErr w:type="gramStart"/>
      <w:r>
        <w:t>third party</w:t>
      </w:r>
      <w:proofErr w:type="gramEnd"/>
      <w:r>
        <w:t xml:space="preserve"> material;</w:t>
      </w:r>
    </w:p>
    <w:p w14:paraId="3B04D88C" w14:textId="77777777" w:rsidR="0064434C" w:rsidRDefault="0064434C" w:rsidP="0064434C">
      <w:pPr>
        <w:pStyle w:val="Listparagraphbullets"/>
      </w:pPr>
      <w:r>
        <w:t>any material protected by a trademark; and</w:t>
      </w:r>
    </w:p>
    <w:p w14:paraId="43F4335F" w14:textId="77777777" w:rsidR="0064434C" w:rsidRDefault="0064434C" w:rsidP="0064434C">
      <w:pPr>
        <w:pStyle w:val="Listparagraphbullets"/>
      </w:pPr>
      <w:r>
        <w:t>any images and/or photographs.</w:t>
      </w:r>
    </w:p>
    <w:p w14:paraId="0A63AC6A" w14:textId="77777777" w:rsidR="0064434C" w:rsidRPr="006241BB" w:rsidRDefault="0064434C" w:rsidP="0064434C">
      <w:bookmarkStart w:id="3" w:name="_Toc356292520"/>
      <w:r w:rsidRPr="006241BB">
        <w:t>More information on this CC BY license is set out at</w:t>
      </w:r>
      <w:r>
        <w:t xml:space="preserve"> the creative </w:t>
      </w:r>
      <w:proofErr w:type="gramStart"/>
      <w:r>
        <w:t>commons</w:t>
      </w:r>
      <w:proofErr w:type="gramEnd"/>
      <w:r>
        <w:t xml:space="preserve"> website:</w:t>
      </w:r>
      <w:r w:rsidRPr="006241BB">
        <w:t xml:space="preserve"> </w:t>
      </w:r>
      <w:bookmarkEnd w:id="3"/>
      <w:r>
        <w:fldChar w:fldCharType="begin"/>
      </w:r>
      <w:r>
        <w:instrText xml:space="preserve"> HYPERLINK "http://www.creativecommons.org/licenses/by/3.0/au/" </w:instrText>
      </w:r>
      <w:r>
        <w:fldChar w:fldCharType="separate"/>
      </w:r>
      <w:r w:rsidRPr="006241BB">
        <w:rPr>
          <w:rStyle w:val="Hyperlink"/>
        </w:rPr>
        <w:t>www.creativecommons.org/licenses/by/3.0/au/</w:t>
      </w:r>
      <w:r>
        <w:fldChar w:fldCharType="end"/>
      </w:r>
      <w:r>
        <w:t xml:space="preserve">. </w:t>
      </w:r>
      <w:r w:rsidRPr="006241BB">
        <w:t xml:space="preserve">Enquiries about this license and any use of </w:t>
      </w:r>
      <w:r>
        <w:t>these Guidelines</w:t>
      </w:r>
      <w:r w:rsidRPr="006241BB">
        <w:t xml:space="preserve"> </w:t>
      </w:r>
      <w:r>
        <w:t xml:space="preserve">can </w:t>
      </w:r>
      <w:r w:rsidRPr="006241BB">
        <w:t xml:space="preserve">be sent to: </w:t>
      </w:r>
      <w:r>
        <w:t>Infrastructure Deployment,</w:t>
      </w:r>
      <w:r w:rsidRPr="006241BB">
        <w:t xml:space="preserve"> Department of Communications</w:t>
      </w:r>
      <w:r>
        <w:t xml:space="preserve"> and the Arts</w:t>
      </w:r>
      <w:r w:rsidRPr="006241BB">
        <w:t>, GPO Box 2154, Canberra, ACT, 2601.</w:t>
      </w:r>
    </w:p>
    <w:p w14:paraId="2CDA1D60" w14:textId="77777777" w:rsidR="0064434C" w:rsidRDefault="0064434C" w:rsidP="0064434C">
      <w:pPr>
        <w:pStyle w:val="Heading3notshowing"/>
        <w:rPr>
          <w:lang w:eastAsia="en-AU"/>
        </w:rPr>
      </w:pPr>
      <w:bookmarkStart w:id="4" w:name="_Toc356292521"/>
      <w:r>
        <w:rPr>
          <w:lang w:eastAsia="en-AU"/>
        </w:rPr>
        <w:t>Attribution</w:t>
      </w:r>
      <w:bookmarkEnd w:id="4"/>
    </w:p>
    <w:p w14:paraId="46A5AE90" w14:textId="77777777" w:rsidR="0064434C" w:rsidRDefault="0064434C" w:rsidP="0064434C">
      <w:pPr>
        <w:rPr>
          <w:lang w:eastAsia="en-AU"/>
        </w:rPr>
      </w:pPr>
      <w:bookmarkStart w:id="5" w:name="_Toc356292522"/>
      <w:r>
        <w:rPr>
          <w:lang w:eastAsia="en-AU"/>
        </w:rPr>
        <w:t>Use of all or part of these Guidelines</w:t>
      </w:r>
      <w:r>
        <w:t xml:space="preserve"> </w:t>
      </w:r>
      <w:r>
        <w:rPr>
          <w:lang w:eastAsia="en-AU"/>
        </w:rPr>
        <w:t>must include the following attribution:</w:t>
      </w:r>
      <w:bookmarkEnd w:id="5"/>
    </w:p>
    <w:p w14:paraId="5D26971D" w14:textId="77777777" w:rsidR="0064434C" w:rsidRDefault="0064434C" w:rsidP="0064434C">
      <w:pPr>
        <w:rPr>
          <w:lang w:eastAsia="en-AU"/>
        </w:rPr>
      </w:pPr>
      <w:bookmarkStart w:id="6" w:name="_Toc356292523"/>
      <w:r>
        <w:rPr>
          <w:lang w:eastAsia="en-AU"/>
        </w:rPr>
        <w:t>© Commonwealth of Australia 2017</w:t>
      </w:r>
      <w:bookmarkEnd w:id="6"/>
    </w:p>
    <w:p w14:paraId="2C801458" w14:textId="77777777" w:rsidR="0064434C" w:rsidRDefault="0064434C" w:rsidP="0064434C">
      <w:pPr>
        <w:pStyle w:val="Heading3notshowing"/>
        <w:rPr>
          <w:lang w:eastAsia="en-AU"/>
        </w:rPr>
      </w:pPr>
      <w:bookmarkStart w:id="7" w:name="_Toc356292524"/>
      <w:r>
        <w:rPr>
          <w:lang w:eastAsia="en-AU"/>
        </w:rPr>
        <w:t>Using the Commonwealth Coat of Arms</w:t>
      </w:r>
      <w:bookmarkEnd w:id="7"/>
    </w:p>
    <w:p w14:paraId="48994185" w14:textId="77777777" w:rsidR="0064434C" w:rsidRPr="006241BB" w:rsidRDefault="0064434C" w:rsidP="0064434C">
      <w:bookmarkStart w:id="8" w:name="_Toc356292525"/>
      <w:r w:rsidRPr="006241BB">
        <w:t xml:space="preserve">The terms of use for the Coat of Arms are available from the </w:t>
      </w:r>
      <w:r w:rsidRPr="006241BB">
        <w:rPr>
          <w:i/>
        </w:rPr>
        <w:t xml:space="preserve">It’s an Honour </w:t>
      </w:r>
      <w:r w:rsidRPr="006241BB">
        <w:t xml:space="preserve">website </w:t>
      </w:r>
      <w:r w:rsidRPr="006241BB">
        <w:br/>
        <w:t xml:space="preserve">(see </w:t>
      </w:r>
      <w:bookmarkEnd w:id="8"/>
      <w:r>
        <w:fldChar w:fldCharType="begin"/>
      </w:r>
      <w:r>
        <w:instrText xml:space="preserve"> HYPERLINK "http://www.itsanhonour.gov.au/" </w:instrText>
      </w:r>
      <w:r>
        <w:fldChar w:fldCharType="separate"/>
      </w:r>
      <w:r w:rsidRPr="006241BB">
        <w:rPr>
          <w:rStyle w:val="Hyperlink"/>
        </w:rPr>
        <w:t>www.itsanhonour.gov.au</w:t>
      </w:r>
      <w:r>
        <w:fldChar w:fldCharType="end"/>
      </w:r>
      <w:r w:rsidRPr="006241BB">
        <w:t xml:space="preserve"> and click ‘Commonwealth Coat of Arms’).</w:t>
      </w:r>
    </w:p>
    <w:p w14:paraId="3A736515" w14:textId="77777777" w:rsidR="0064434C" w:rsidRDefault="0064434C">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77F9A154" w14:textId="77777777" w:rsidR="00670726" w:rsidRPr="00796AB4" w:rsidRDefault="00670726" w:rsidP="00796AB4">
      <w:pPr>
        <w:pStyle w:val="Heading2notshowing"/>
        <w:rPr>
          <w:sz w:val="44"/>
          <w:szCs w:val="44"/>
        </w:rPr>
      </w:pPr>
      <w:r w:rsidRPr="00796AB4">
        <w:rPr>
          <w:sz w:val="44"/>
          <w:szCs w:val="44"/>
        </w:rPr>
        <w:lastRenderedPageBreak/>
        <w:t>Table of contents</w:t>
      </w:r>
    </w:p>
    <w:p w14:paraId="3EAF1764" w14:textId="77777777" w:rsidR="00CC6E31"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56213017" w:history="1">
        <w:r w:rsidR="00CC6E31" w:rsidRPr="00F77EA0">
          <w:rPr>
            <w:rStyle w:val="Hyperlink"/>
            <w:noProof/>
          </w:rPr>
          <w:t>1. Introduction</w:t>
        </w:r>
        <w:r w:rsidR="00CC6E31">
          <w:rPr>
            <w:noProof/>
            <w:webHidden/>
          </w:rPr>
          <w:tab/>
        </w:r>
        <w:r w:rsidR="00CC6E31">
          <w:rPr>
            <w:noProof/>
            <w:webHidden/>
          </w:rPr>
          <w:fldChar w:fldCharType="begin"/>
        </w:r>
        <w:r w:rsidR="00CC6E31">
          <w:rPr>
            <w:noProof/>
            <w:webHidden/>
          </w:rPr>
          <w:instrText xml:space="preserve"> PAGEREF _Toc156213017 \h </w:instrText>
        </w:r>
        <w:r w:rsidR="00CC6E31">
          <w:rPr>
            <w:noProof/>
            <w:webHidden/>
          </w:rPr>
        </w:r>
        <w:r w:rsidR="00CC6E31">
          <w:rPr>
            <w:noProof/>
            <w:webHidden/>
          </w:rPr>
          <w:fldChar w:fldCharType="separate"/>
        </w:r>
        <w:r w:rsidR="00CC6E31">
          <w:rPr>
            <w:noProof/>
            <w:webHidden/>
          </w:rPr>
          <w:t>5</w:t>
        </w:r>
        <w:r w:rsidR="00CC6E31">
          <w:rPr>
            <w:noProof/>
            <w:webHidden/>
          </w:rPr>
          <w:fldChar w:fldCharType="end"/>
        </w:r>
      </w:hyperlink>
    </w:p>
    <w:p w14:paraId="5E21252D" w14:textId="77777777" w:rsidR="00CC6E31" w:rsidRDefault="00E228FE">
      <w:pPr>
        <w:pStyle w:val="TOC2"/>
        <w:rPr>
          <w:rFonts w:asciiTheme="minorHAnsi" w:eastAsiaTheme="minorEastAsia" w:hAnsiTheme="minorHAnsi"/>
          <w:noProof/>
          <w:sz w:val="22"/>
          <w:lang w:eastAsia="en-AU"/>
        </w:rPr>
      </w:pPr>
      <w:hyperlink w:anchor="_Toc156213018" w:history="1">
        <w:r w:rsidR="00CC6E31" w:rsidRPr="00F77EA0">
          <w:rPr>
            <w:rStyle w:val="Hyperlink"/>
            <w:noProof/>
          </w:rPr>
          <w:t>1.1 Mobile Black Spot Program</w:t>
        </w:r>
        <w:r w:rsidR="00CC6E31">
          <w:rPr>
            <w:noProof/>
            <w:webHidden/>
          </w:rPr>
          <w:tab/>
        </w:r>
        <w:r w:rsidR="00CC6E31">
          <w:rPr>
            <w:noProof/>
            <w:webHidden/>
          </w:rPr>
          <w:fldChar w:fldCharType="begin"/>
        </w:r>
        <w:r w:rsidR="00CC6E31">
          <w:rPr>
            <w:noProof/>
            <w:webHidden/>
          </w:rPr>
          <w:instrText xml:space="preserve"> PAGEREF _Toc156213018 \h </w:instrText>
        </w:r>
        <w:r w:rsidR="00CC6E31">
          <w:rPr>
            <w:noProof/>
            <w:webHidden/>
          </w:rPr>
        </w:r>
        <w:r w:rsidR="00CC6E31">
          <w:rPr>
            <w:noProof/>
            <w:webHidden/>
          </w:rPr>
          <w:fldChar w:fldCharType="separate"/>
        </w:r>
        <w:r w:rsidR="00CC6E31">
          <w:rPr>
            <w:noProof/>
            <w:webHidden/>
          </w:rPr>
          <w:t>5</w:t>
        </w:r>
        <w:r w:rsidR="00CC6E31">
          <w:rPr>
            <w:noProof/>
            <w:webHidden/>
          </w:rPr>
          <w:fldChar w:fldCharType="end"/>
        </w:r>
      </w:hyperlink>
    </w:p>
    <w:p w14:paraId="389C24FC" w14:textId="77777777" w:rsidR="00CC6E31" w:rsidRDefault="00E228FE">
      <w:pPr>
        <w:pStyle w:val="TOC2"/>
        <w:rPr>
          <w:rFonts w:asciiTheme="minorHAnsi" w:eastAsiaTheme="minorEastAsia" w:hAnsiTheme="minorHAnsi"/>
          <w:noProof/>
          <w:sz w:val="22"/>
          <w:lang w:eastAsia="en-AU"/>
        </w:rPr>
      </w:pPr>
      <w:hyperlink w:anchor="_Toc156213019" w:history="1">
        <w:r w:rsidR="00CC6E31" w:rsidRPr="00F77EA0">
          <w:rPr>
            <w:rStyle w:val="Hyperlink"/>
            <w:noProof/>
          </w:rPr>
          <w:t>1.2 About these Guidelines</w:t>
        </w:r>
        <w:r w:rsidR="00CC6E31">
          <w:rPr>
            <w:noProof/>
            <w:webHidden/>
          </w:rPr>
          <w:tab/>
        </w:r>
        <w:r w:rsidR="00CC6E31">
          <w:rPr>
            <w:noProof/>
            <w:webHidden/>
          </w:rPr>
          <w:fldChar w:fldCharType="begin"/>
        </w:r>
        <w:r w:rsidR="00CC6E31">
          <w:rPr>
            <w:noProof/>
            <w:webHidden/>
          </w:rPr>
          <w:instrText xml:space="preserve"> PAGEREF _Toc156213019 \h </w:instrText>
        </w:r>
        <w:r w:rsidR="00CC6E31">
          <w:rPr>
            <w:noProof/>
            <w:webHidden/>
          </w:rPr>
        </w:r>
        <w:r w:rsidR="00CC6E31">
          <w:rPr>
            <w:noProof/>
            <w:webHidden/>
          </w:rPr>
          <w:fldChar w:fldCharType="separate"/>
        </w:r>
        <w:r w:rsidR="00CC6E31">
          <w:rPr>
            <w:noProof/>
            <w:webHidden/>
          </w:rPr>
          <w:t>5</w:t>
        </w:r>
        <w:r w:rsidR="00CC6E31">
          <w:rPr>
            <w:noProof/>
            <w:webHidden/>
          </w:rPr>
          <w:fldChar w:fldCharType="end"/>
        </w:r>
      </w:hyperlink>
    </w:p>
    <w:p w14:paraId="5943B821" w14:textId="77777777" w:rsidR="00CC6E31" w:rsidRDefault="00E228FE">
      <w:pPr>
        <w:pStyle w:val="TOC2"/>
        <w:rPr>
          <w:rFonts w:asciiTheme="minorHAnsi" w:eastAsiaTheme="minorEastAsia" w:hAnsiTheme="minorHAnsi"/>
          <w:noProof/>
          <w:sz w:val="22"/>
          <w:lang w:eastAsia="en-AU"/>
        </w:rPr>
      </w:pPr>
      <w:hyperlink w:anchor="_Toc156213020" w:history="1">
        <w:r w:rsidR="00CC6E31" w:rsidRPr="00F77EA0">
          <w:rPr>
            <w:rStyle w:val="Hyperlink"/>
            <w:noProof/>
          </w:rPr>
          <w:t>1.3 Application deadline</w:t>
        </w:r>
        <w:r w:rsidR="00CC6E31">
          <w:rPr>
            <w:noProof/>
            <w:webHidden/>
          </w:rPr>
          <w:tab/>
        </w:r>
        <w:r w:rsidR="00CC6E31">
          <w:rPr>
            <w:noProof/>
            <w:webHidden/>
          </w:rPr>
          <w:fldChar w:fldCharType="begin"/>
        </w:r>
        <w:r w:rsidR="00CC6E31">
          <w:rPr>
            <w:noProof/>
            <w:webHidden/>
          </w:rPr>
          <w:instrText xml:space="preserve"> PAGEREF _Toc156213020 \h </w:instrText>
        </w:r>
        <w:r w:rsidR="00CC6E31">
          <w:rPr>
            <w:noProof/>
            <w:webHidden/>
          </w:rPr>
        </w:r>
        <w:r w:rsidR="00CC6E31">
          <w:rPr>
            <w:noProof/>
            <w:webHidden/>
          </w:rPr>
          <w:fldChar w:fldCharType="separate"/>
        </w:r>
        <w:r w:rsidR="00CC6E31">
          <w:rPr>
            <w:noProof/>
            <w:webHidden/>
          </w:rPr>
          <w:t>5</w:t>
        </w:r>
        <w:r w:rsidR="00CC6E31">
          <w:rPr>
            <w:noProof/>
            <w:webHidden/>
          </w:rPr>
          <w:fldChar w:fldCharType="end"/>
        </w:r>
      </w:hyperlink>
    </w:p>
    <w:p w14:paraId="15FBA900" w14:textId="77777777" w:rsidR="00CC6E31" w:rsidRDefault="00E228FE">
      <w:pPr>
        <w:pStyle w:val="TOC2"/>
        <w:rPr>
          <w:rFonts w:asciiTheme="minorHAnsi" w:eastAsiaTheme="minorEastAsia" w:hAnsiTheme="minorHAnsi"/>
          <w:noProof/>
          <w:sz w:val="22"/>
          <w:lang w:eastAsia="en-AU"/>
        </w:rPr>
      </w:pPr>
      <w:hyperlink w:anchor="_Toc156213021" w:history="1">
        <w:r w:rsidR="00CC6E31" w:rsidRPr="00F77EA0">
          <w:rPr>
            <w:rStyle w:val="Hyperlink"/>
            <w:noProof/>
          </w:rPr>
          <w:t>1.4 Further information</w:t>
        </w:r>
        <w:r w:rsidR="00CC6E31">
          <w:rPr>
            <w:noProof/>
            <w:webHidden/>
          </w:rPr>
          <w:tab/>
        </w:r>
        <w:r w:rsidR="00CC6E31">
          <w:rPr>
            <w:noProof/>
            <w:webHidden/>
          </w:rPr>
          <w:fldChar w:fldCharType="begin"/>
        </w:r>
        <w:r w:rsidR="00CC6E31">
          <w:rPr>
            <w:noProof/>
            <w:webHidden/>
          </w:rPr>
          <w:instrText xml:space="preserve"> PAGEREF _Toc156213021 \h </w:instrText>
        </w:r>
        <w:r w:rsidR="00CC6E31">
          <w:rPr>
            <w:noProof/>
            <w:webHidden/>
          </w:rPr>
        </w:r>
        <w:r w:rsidR="00CC6E31">
          <w:rPr>
            <w:noProof/>
            <w:webHidden/>
          </w:rPr>
          <w:fldChar w:fldCharType="separate"/>
        </w:r>
        <w:r w:rsidR="00CC6E31">
          <w:rPr>
            <w:noProof/>
            <w:webHidden/>
          </w:rPr>
          <w:t>6</w:t>
        </w:r>
        <w:r w:rsidR="00CC6E31">
          <w:rPr>
            <w:noProof/>
            <w:webHidden/>
          </w:rPr>
          <w:fldChar w:fldCharType="end"/>
        </w:r>
      </w:hyperlink>
    </w:p>
    <w:p w14:paraId="728F24C3" w14:textId="77777777" w:rsidR="00CC6E31" w:rsidRDefault="00E228FE">
      <w:pPr>
        <w:pStyle w:val="TOC1"/>
        <w:rPr>
          <w:rFonts w:asciiTheme="minorHAnsi" w:eastAsiaTheme="minorEastAsia" w:hAnsiTheme="minorHAnsi"/>
          <w:b w:val="0"/>
          <w:noProof/>
          <w:color w:val="auto"/>
          <w:u w:val="none"/>
          <w:lang w:eastAsia="en-AU"/>
        </w:rPr>
      </w:pPr>
      <w:hyperlink w:anchor="_Toc156213022" w:history="1">
        <w:r w:rsidR="00CC6E31" w:rsidRPr="00F77EA0">
          <w:rPr>
            <w:rStyle w:val="Hyperlink"/>
            <w:noProof/>
          </w:rPr>
          <w:t>Part A – Eligibility</w:t>
        </w:r>
        <w:r w:rsidR="00CC6E31">
          <w:rPr>
            <w:noProof/>
            <w:webHidden/>
          </w:rPr>
          <w:tab/>
        </w:r>
        <w:r w:rsidR="00CC6E31">
          <w:rPr>
            <w:noProof/>
            <w:webHidden/>
          </w:rPr>
          <w:fldChar w:fldCharType="begin"/>
        </w:r>
        <w:r w:rsidR="00CC6E31">
          <w:rPr>
            <w:noProof/>
            <w:webHidden/>
          </w:rPr>
          <w:instrText xml:space="preserve"> PAGEREF _Toc156213022 \h </w:instrText>
        </w:r>
        <w:r w:rsidR="00CC6E31">
          <w:rPr>
            <w:noProof/>
            <w:webHidden/>
          </w:rPr>
        </w:r>
        <w:r w:rsidR="00CC6E31">
          <w:rPr>
            <w:noProof/>
            <w:webHidden/>
          </w:rPr>
          <w:fldChar w:fldCharType="separate"/>
        </w:r>
        <w:r w:rsidR="00CC6E31">
          <w:rPr>
            <w:noProof/>
            <w:webHidden/>
          </w:rPr>
          <w:t>7</w:t>
        </w:r>
        <w:r w:rsidR="00CC6E31">
          <w:rPr>
            <w:noProof/>
            <w:webHidden/>
          </w:rPr>
          <w:fldChar w:fldCharType="end"/>
        </w:r>
      </w:hyperlink>
    </w:p>
    <w:p w14:paraId="78823CC8" w14:textId="77777777" w:rsidR="00CC6E31" w:rsidRDefault="00E228FE">
      <w:pPr>
        <w:pStyle w:val="TOC2"/>
        <w:rPr>
          <w:rFonts w:asciiTheme="minorHAnsi" w:eastAsiaTheme="minorEastAsia" w:hAnsiTheme="minorHAnsi"/>
          <w:noProof/>
          <w:sz w:val="22"/>
          <w:lang w:eastAsia="en-AU"/>
        </w:rPr>
      </w:pPr>
      <w:hyperlink w:anchor="_Toc156213023" w:history="1">
        <w:r w:rsidR="00CC6E31" w:rsidRPr="00F77EA0">
          <w:rPr>
            <w:rStyle w:val="Hyperlink"/>
            <w:noProof/>
          </w:rPr>
          <w:t>2. Eligibility criteria</w:t>
        </w:r>
        <w:r w:rsidR="00CC6E31">
          <w:rPr>
            <w:noProof/>
            <w:webHidden/>
          </w:rPr>
          <w:tab/>
        </w:r>
        <w:r w:rsidR="00CC6E31">
          <w:rPr>
            <w:noProof/>
            <w:webHidden/>
          </w:rPr>
          <w:fldChar w:fldCharType="begin"/>
        </w:r>
        <w:r w:rsidR="00CC6E31">
          <w:rPr>
            <w:noProof/>
            <w:webHidden/>
          </w:rPr>
          <w:instrText xml:space="preserve"> PAGEREF _Toc156213023 \h </w:instrText>
        </w:r>
        <w:r w:rsidR="00CC6E31">
          <w:rPr>
            <w:noProof/>
            <w:webHidden/>
          </w:rPr>
        </w:r>
        <w:r w:rsidR="00CC6E31">
          <w:rPr>
            <w:noProof/>
            <w:webHidden/>
          </w:rPr>
          <w:fldChar w:fldCharType="separate"/>
        </w:r>
        <w:r w:rsidR="00CC6E31">
          <w:rPr>
            <w:noProof/>
            <w:webHidden/>
          </w:rPr>
          <w:t>7</w:t>
        </w:r>
        <w:r w:rsidR="00CC6E31">
          <w:rPr>
            <w:noProof/>
            <w:webHidden/>
          </w:rPr>
          <w:fldChar w:fldCharType="end"/>
        </w:r>
      </w:hyperlink>
    </w:p>
    <w:p w14:paraId="3762ACE2" w14:textId="217CD4C0" w:rsidR="00CC6E31" w:rsidRDefault="00E228FE">
      <w:pPr>
        <w:pStyle w:val="TOC3"/>
        <w:tabs>
          <w:tab w:val="left" w:pos="1134"/>
        </w:tabs>
        <w:rPr>
          <w:rFonts w:asciiTheme="minorHAnsi" w:eastAsiaTheme="minorEastAsia" w:hAnsiTheme="minorHAnsi"/>
          <w:noProof/>
          <w:sz w:val="22"/>
          <w:lang w:eastAsia="en-AU"/>
        </w:rPr>
      </w:pPr>
      <w:hyperlink w:anchor="_Toc156213024" w:history="1">
        <w:r w:rsidR="00CC6E31" w:rsidRPr="00F77EA0">
          <w:rPr>
            <w:rStyle w:val="Hyperlink"/>
            <w:noProof/>
          </w:rPr>
          <w:t>2.1Eligible applicants</w:t>
        </w:r>
        <w:r w:rsidR="00CC6E31">
          <w:rPr>
            <w:noProof/>
            <w:webHidden/>
          </w:rPr>
          <w:tab/>
        </w:r>
        <w:r w:rsidR="00CC6E31">
          <w:rPr>
            <w:noProof/>
            <w:webHidden/>
          </w:rPr>
          <w:fldChar w:fldCharType="begin"/>
        </w:r>
        <w:r w:rsidR="00CC6E31">
          <w:rPr>
            <w:noProof/>
            <w:webHidden/>
          </w:rPr>
          <w:instrText xml:space="preserve"> PAGEREF _Toc156213024 \h </w:instrText>
        </w:r>
        <w:r w:rsidR="00CC6E31">
          <w:rPr>
            <w:noProof/>
            <w:webHidden/>
          </w:rPr>
        </w:r>
        <w:r w:rsidR="00CC6E31">
          <w:rPr>
            <w:noProof/>
            <w:webHidden/>
          </w:rPr>
          <w:fldChar w:fldCharType="separate"/>
        </w:r>
        <w:r w:rsidR="00CC6E31">
          <w:rPr>
            <w:noProof/>
            <w:webHidden/>
          </w:rPr>
          <w:t>7</w:t>
        </w:r>
        <w:r w:rsidR="00CC6E31">
          <w:rPr>
            <w:noProof/>
            <w:webHidden/>
          </w:rPr>
          <w:fldChar w:fldCharType="end"/>
        </w:r>
      </w:hyperlink>
    </w:p>
    <w:p w14:paraId="5F8F270D" w14:textId="77777777" w:rsidR="00CC6E31" w:rsidRDefault="00E228FE">
      <w:pPr>
        <w:pStyle w:val="TOC3"/>
        <w:rPr>
          <w:rFonts w:asciiTheme="minorHAnsi" w:eastAsiaTheme="minorEastAsia" w:hAnsiTheme="minorHAnsi"/>
          <w:noProof/>
          <w:sz w:val="22"/>
          <w:lang w:eastAsia="en-AU"/>
        </w:rPr>
      </w:pPr>
      <w:hyperlink w:anchor="_Toc156213025" w:history="1">
        <w:r w:rsidR="00CC6E31" w:rsidRPr="00F77EA0">
          <w:rPr>
            <w:rStyle w:val="Hyperlink"/>
            <w:noProof/>
          </w:rPr>
          <w:t>2.2 Solution eligibility</w:t>
        </w:r>
        <w:r w:rsidR="00CC6E31">
          <w:rPr>
            <w:noProof/>
            <w:webHidden/>
          </w:rPr>
          <w:tab/>
        </w:r>
        <w:r w:rsidR="00CC6E31">
          <w:rPr>
            <w:noProof/>
            <w:webHidden/>
          </w:rPr>
          <w:fldChar w:fldCharType="begin"/>
        </w:r>
        <w:r w:rsidR="00CC6E31">
          <w:rPr>
            <w:noProof/>
            <w:webHidden/>
          </w:rPr>
          <w:instrText xml:space="preserve"> PAGEREF _Toc156213025 \h </w:instrText>
        </w:r>
        <w:r w:rsidR="00CC6E31">
          <w:rPr>
            <w:noProof/>
            <w:webHidden/>
          </w:rPr>
        </w:r>
        <w:r w:rsidR="00CC6E31">
          <w:rPr>
            <w:noProof/>
            <w:webHidden/>
          </w:rPr>
          <w:fldChar w:fldCharType="separate"/>
        </w:r>
        <w:r w:rsidR="00CC6E31">
          <w:rPr>
            <w:noProof/>
            <w:webHidden/>
          </w:rPr>
          <w:t>7</w:t>
        </w:r>
        <w:r w:rsidR="00CC6E31">
          <w:rPr>
            <w:noProof/>
            <w:webHidden/>
          </w:rPr>
          <w:fldChar w:fldCharType="end"/>
        </w:r>
      </w:hyperlink>
    </w:p>
    <w:p w14:paraId="11DA0C78" w14:textId="2D8CB2C4" w:rsidR="00CC6E31" w:rsidRDefault="00E228FE">
      <w:pPr>
        <w:pStyle w:val="TOC3"/>
        <w:tabs>
          <w:tab w:val="left" w:pos="1134"/>
        </w:tabs>
        <w:rPr>
          <w:rFonts w:asciiTheme="minorHAnsi" w:eastAsiaTheme="minorEastAsia" w:hAnsiTheme="minorHAnsi"/>
          <w:noProof/>
          <w:sz w:val="22"/>
          <w:lang w:eastAsia="en-AU"/>
        </w:rPr>
      </w:pPr>
      <w:hyperlink w:anchor="_Toc156213026" w:history="1">
        <w:r w:rsidR="00CC6E31" w:rsidRPr="00F77EA0">
          <w:rPr>
            <w:rStyle w:val="Hyperlink"/>
            <w:noProof/>
          </w:rPr>
          <w:t>2.3Existing network plans</w:t>
        </w:r>
        <w:r w:rsidR="00CC6E31">
          <w:rPr>
            <w:noProof/>
            <w:webHidden/>
          </w:rPr>
          <w:tab/>
        </w:r>
        <w:r w:rsidR="00CC6E31">
          <w:rPr>
            <w:noProof/>
            <w:webHidden/>
          </w:rPr>
          <w:fldChar w:fldCharType="begin"/>
        </w:r>
        <w:r w:rsidR="00CC6E31">
          <w:rPr>
            <w:noProof/>
            <w:webHidden/>
          </w:rPr>
          <w:instrText xml:space="preserve"> PAGEREF _Toc156213026 \h </w:instrText>
        </w:r>
        <w:r w:rsidR="00CC6E31">
          <w:rPr>
            <w:noProof/>
            <w:webHidden/>
          </w:rPr>
        </w:r>
        <w:r w:rsidR="00CC6E31">
          <w:rPr>
            <w:noProof/>
            <w:webHidden/>
          </w:rPr>
          <w:fldChar w:fldCharType="separate"/>
        </w:r>
        <w:r w:rsidR="00CC6E31">
          <w:rPr>
            <w:noProof/>
            <w:webHidden/>
          </w:rPr>
          <w:t>8</w:t>
        </w:r>
        <w:r w:rsidR="00CC6E31">
          <w:rPr>
            <w:noProof/>
            <w:webHidden/>
          </w:rPr>
          <w:fldChar w:fldCharType="end"/>
        </w:r>
      </w:hyperlink>
    </w:p>
    <w:p w14:paraId="751D1CE6" w14:textId="77777777" w:rsidR="00CC6E31" w:rsidRDefault="00E228FE">
      <w:pPr>
        <w:pStyle w:val="TOC1"/>
        <w:rPr>
          <w:rFonts w:asciiTheme="minorHAnsi" w:eastAsiaTheme="minorEastAsia" w:hAnsiTheme="minorHAnsi"/>
          <w:b w:val="0"/>
          <w:noProof/>
          <w:color w:val="auto"/>
          <w:u w:val="none"/>
          <w:lang w:eastAsia="en-AU"/>
        </w:rPr>
      </w:pPr>
      <w:hyperlink w:anchor="_Toc156213027" w:history="1">
        <w:r w:rsidR="00CC6E31" w:rsidRPr="00F77EA0">
          <w:rPr>
            <w:rStyle w:val="Hyperlink"/>
            <w:noProof/>
          </w:rPr>
          <w:t>Part B – Program requirements and considerations</w:t>
        </w:r>
        <w:r w:rsidR="00CC6E31">
          <w:rPr>
            <w:noProof/>
            <w:webHidden/>
          </w:rPr>
          <w:tab/>
        </w:r>
        <w:r w:rsidR="00CC6E31">
          <w:rPr>
            <w:noProof/>
            <w:webHidden/>
          </w:rPr>
          <w:fldChar w:fldCharType="begin"/>
        </w:r>
        <w:r w:rsidR="00CC6E31">
          <w:rPr>
            <w:noProof/>
            <w:webHidden/>
          </w:rPr>
          <w:instrText xml:space="preserve"> PAGEREF _Toc156213027 \h </w:instrText>
        </w:r>
        <w:r w:rsidR="00CC6E31">
          <w:rPr>
            <w:noProof/>
            <w:webHidden/>
          </w:rPr>
        </w:r>
        <w:r w:rsidR="00CC6E31">
          <w:rPr>
            <w:noProof/>
            <w:webHidden/>
          </w:rPr>
          <w:fldChar w:fldCharType="separate"/>
        </w:r>
        <w:r w:rsidR="00CC6E31">
          <w:rPr>
            <w:noProof/>
            <w:webHidden/>
          </w:rPr>
          <w:t>9</w:t>
        </w:r>
        <w:r w:rsidR="00CC6E31">
          <w:rPr>
            <w:noProof/>
            <w:webHidden/>
          </w:rPr>
          <w:fldChar w:fldCharType="end"/>
        </w:r>
      </w:hyperlink>
    </w:p>
    <w:p w14:paraId="78EAA46E" w14:textId="77777777" w:rsidR="00CC6E31" w:rsidRDefault="00E228FE">
      <w:pPr>
        <w:pStyle w:val="TOC2"/>
        <w:rPr>
          <w:rFonts w:asciiTheme="minorHAnsi" w:eastAsiaTheme="minorEastAsia" w:hAnsiTheme="minorHAnsi"/>
          <w:noProof/>
          <w:sz w:val="22"/>
          <w:lang w:eastAsia="en-AU"/>
        </w:rPr>
      </w:pPr>
      <w:hyperlink w:anchor="_Toc156213028" w:history="1">
        <w:r w:rsidR="00CC6E31" w:rsidRPr="00F77EA0">
          <w:rPr>
            <w:rStyle w:val="Hyperlink"/>
            <w:noProof/>
          </w:rPr>
          <w:t>3. Program funding</w:t>
        </w:r>
        <w:r w:rsidR="00CC6E31">
          <w:rPr>
            <w:noProof/>
            <w:webHidden/>
          </w:rPr>
          <w:tab/>
        </w:r>
        <w:r w:rsidR="00CC6E31">
          <w:rPr>
            <w:noProof/>
            <w:webHidden/>
          </w:rPr>
          <w:fldChar w:fldCharType="begin"/>
        </w:r>
        <w:r w:rsidR="00CC6E31">
          <w:rPr>
            <w:noProof/>
            <w:webHidden/>
          </w:rPr>
          <w:instrText xml:space="preserve"> PAGEREF _Toc156213028 \h </w:instrText>
        </w:r>
        <w:r w:rsidR="00CC6E31">
          <w:rPr>
            <w:noProof/>
            <w:webHidden/>
          </w:rPr>
        </w:r>
        <w:r w:rsidR="00CC6E31">
          <w:rPr>
            <w:noProof/>
            <w:webHidden/>
          </w:rPr>
          <w:fldChar w:fldCharType="separate"/>
        </w:r>
        <w:r w:rsidR="00CC6E31">
          <w:rPr>
            <w:noProof/>
            <w:webHidden/>
          </w:rPr>
          <w:t>9</w:t>
        </w:r>
        <w:r w:rsidR="00CC6E31">
          <w:rPr>
            <w:noProof/>
            <w:webHidden/>
          </w:rPr>
          <w:fldChar w:fldCharType="end"/>
        </w:r>
      </w:hyperlink>
    </w:p>
    <w:p w14:paraId="5CB2F9FC" w14:textId="44AC81FD" w:rsidR="00CC6E31" w:rsidRDefault="00E228FE">
      <w:pPr>
        <w:pStyle w:val="TOC3"/>
        <w:tabs>
          <w:tab w:val="left" w:pos="1134"/>
        </w:tabs>
        <w:rPr>
          <w:rFonts w:asciiTheme="minorHAnsi" w:eastAsiaTheme="minorEastAsia" w:hAnsiTheme="minorHAnsi"/>
          <w:noProof/>
          <w:sz w:val="22"/>
          <w:lang w:eastAsia="en-AU"/>
        </w:rPr>
      </w:pPr>
      <w:hyperlink w:anchor="_Toc156213029" w:history="1">
        <w:r w:rsidR="00CC6E31" w:rsidRPr="00F77EA0">
          <w:rPr>
            <w:rStyle w:val="Hyperlink"/>
            <w:noProof/>
          </w:rPr>
          <w:t>3.1Grant Agreements</w:t>
        </w:r>
        <w:r w:rsidR="00CC6E31">
          <w:rPr>
            <w:noProof/>
            <w:webHidden/>
          </w:rPr>
          <w:tab/>
        </w:r>
        <w:r w:rsidR="00CC6E31">
          <w:rPr>
            <w:noProof/>
            <w:webHidden/>
          </w:rPr>
          <w:fldChar w:fldCharType="begin"/>
        </w:r>
        <w:r w:rsidR="00CC6E31">
          <w:rPr>
            <w:noProof/>
            <w:webHidden/>
          </w:rPr>
          <w:instrText xml:space="preserve"> PAGEREF _Toc156213029 \h </w:instrText>
        </w:r>
        <w:r w:rsidR="00CC6E31">
          <w:rPr>
            <w:noProof/>
            <w:webHidden/>
          </w:rPr>
        </w:r>
        <w:r w:rsidR="00CC6E31">
          <w:rPr>
            <w:noProof/>
            <w:webHidden/>
          </w:rPr>
          <w:fldChar w:fldCharType="separate"/>
        </w:r>
        <w:r w:rsidR="00CC6E31">
          <w:rPr>
            <w:noProof/>
            <w:webHidden/>
          </w:rPr>
          <w:t>9</w:t>
        </w:r>
        <w:r w:rsidR="00CC6E31">
          <w:rPr>
            <w:noProof/>
            <w:webHidden/>
          </w:rPr>
          <w:fldChar w:fldCharType="end"/>
        </w:r>
      </w:hyperlink>
    </w:p>
    <w:p w14:paraId="592D1349" w14:textId="77777777" w:rsidR="00CC6E31" w:rsidRDefault="00E228FE">
      <w:pPr>
        <w:pStyle w:val="TOC3"/>
        <w:rPr>
          <w:rFonts w:asciiTheme="minorHAnsi" w:eastAsiaTheme="minorEastAsia" w:hAnsiTheme="minorHAnsi"/>
          <w:noProof/>
          <w:sz w:val="22"/>
          <w:lang w:eastAsia="en-AU"/>
        </w:rPr>
      </w:pPr>
      <w:hyperlink w:anchor="_Toc156213030" w:history="1">
        <w:r w:rsidR="00CC6E31" w:rsidRPr="00F77EA0">
          <w:rPr>
            <w:rStyle w:val="Hyperlink"/>
            <w:noProof/>
          </w:rPr>
          <w:t>3.2 Commonwealth funding</w:t>
        </w:r>
        <w:r w:rsidR="00CC6E31">
          <w:rPr>
            <w:noProof/>
            <w:webHidden/>
          </w:rPr>
          <w:tab/>
        </w:r>
        <w:r w:rsidR="00CC6E31">
          <w:rPr>
            <w:noProof/>
            <w:webHidden/>
          </w:rPr>
          <w:fldChar w:fldCharType="begin"/>
        </w:r>
        <w:r w:rsidR="00CC6E31">
          <w:rPr>
            <w:noProof/>
            <w:webHidden/>
          </w:rPr>
          <w:instrText xml:space="preserve"> PAGEREF _Toc156213030 \h </w:instrText>
        </w:r>
        <w:r w:rsidR="00CC6E31">
          <w:rPr>
            <w:noProof/>
            <w:webHidden/>
          </w:rPr>
        </w:r>
        <w:r w:rsidR="00CC6E31">
          <w:rPr>
            <w:noProof/>
            <w:webHidden/>
          </w:rPr>
          <w:fldChar w:fldCharType="separate"/>
        </w:r>
        <w:r w:rsidR="00CC6E31">
          <w:rPr>
            <w:noProof/>
            <w:webHidden/>
          </w:rPr>
          <w:t>9</w:t>
        </w:r>
        <w:r w:rsidR="00CC6E31">
          <w:rPr>
            <w:noProof/>
            <w:webHidden/>
          </w:rPr>
          <w:fldChar w:fldCharType="end"/>
        </w:r>
      </w:hyperlink>
    </w:p>
    <w:p w14:paraId="3149B016" w14:textId="77777777" w:rsidR="00CC6E31" w:rsidRDefault="00E228FE">
      <w:pPr>
        <w:pStyle w:val="TOC3"/>
        <w:rPr>
          <w:rFonts w:asciiTheme="minorHAnsi" w:eastAsiaTheme="minorEastAsia" w:hAnsiTheme="minorHAnsi"/>
          <w:noProof/>
          <w:sz w:val="22"/>
          <w:lang w:eastAsia="en-AU"/>
        </w:rPr>
      </w:pPr>
      <w:hyperlink w:anchor="_Toc156213031" w:history="1">
        <w:r w:rsidR="00CC6E31" w:rsidRPr="00F77EA0">
          <w:rPr>
            <w:rStyle w:val="Hyperlink"/>
            <w:noProof/>
          </w:rPr>
          <w:t>3.3 Applicant co-contribution</w:t>
        </w:r>
        <w:r w:rsidR="00CC6E31">
          <w:rPr>
            <w:noProof/>
            <w:webHidden/>
          </w:rPr>
          <w:tab/>
        </w:r>
        <w:r w:rsidR="00CC6E31">
          <w:rPr>
            <w:noProof/>
            <w:webHidden/>
          </w:rPr>
          <w:fldChar w:fldCharType="begin"/>
        </w:r>
        <w:r w:rsidR="00CC6E31">
          <w:rPr>
            <w:noProof/>
            <w:webHidden/>
          </w:rPr>
          <w:instrText xml:space="preserve"> PAGEREF _Toc156213031 \h </w:instrText>
        </w:r>
        <w:r w:rsidR="00CC6E31">
          <w:rPr>
            <w:noProof/>
            <w:webHidden/>
          </w:rPr>
        </w:r>
        <w:r w:rsidR="00CC6E31">
          <w:rPr>
            <w:noProof/>
            <w:webHidden/>
          </w:rPr>
          <w:fldChar w:fldCharType="separate"/>
        </w:r>
        <w:r w:rsidR="00CC6E31">
          <w:rPr>
            <w:noProof/>
            <w:webHidden/>
          </w:rPr>
          <w:t>9</w:t>
        </w:r>
        <w:r w:rsidR="00CC6E31">
          <w:rPr>
            <w:noProof/>
            <w:webHidden/>
          </w:rPr>
          <w:fldChar w:fldCharType="end"/>
        </w:r>
      </w:hyperlink>
    </w:p>
    <w:p w14:paraId="72F50A4A" w14:textId="77777777" w:rsidR="00CC6E31" w:rsidRDefault="00E228FE">
      <w:pPr>
        <w:pStyle w:val="TOC3"/>
        <w:rPr>
          <w:rFonts w:asciiTheme="minorHAnsi" w:eastAsiaTheme="minorEastAsia" w:hAnsiTheme="minorHAnsi"/>
          <w:noProof/>
          <w:sz w:val="22"/>
          <w:lang w:eastAsia="en-AU"/>
        </w:rPr>
      </w:pPr>
      <w:hyperlink w:anchor="_Toc156213032" w:history="1">
        <w:r w:rsidR="00CC6E31" w:rsidRPr="00F77EA0">
          <w:rPr>
            <w:rStyle w:val="Hyperlink"/>
            <w:noProof/>
          </w:rPr>
          <w:t>3.4 Third Party funding co-contributions</w:t>
        </w:r>
        <w:r w:rsidR="00CC6E31">
          <w:rPr>
            <w:noProof/>
            <w:webHidden/>
          </w:rPr>
          <w:tab/>
        </w:r>
        <w:r w:rsidR="00CC6E31">
          <w:rPr>
            <w:noProof/>
            <w:webHidden/>
          </w:rPr>
          <w:fldChar w:fldCharType="begin"/>
        </w:r>
        <w:r w:rsidR="00CC6E31">
          <w:rPr>
            <w:noProof/>
            <w:webHidden/>
          </w:rPr>
          <w:instrText xml:space="preserve"> PAGEREF _Toc156213032 \h </w:instrText>
        </w:r>
        <w:r w:rsidR="00CC6E31">
          <w:rPr>
            <w:noProof/>
            <w:webHidden/>
          </w:rPr>
        </w:r>
        <w:r w:rsidR="00CC6E31">
          <w:rPr>
            <w:noProof/>
            <w:webHidden/>
          </w:rPr>
          <w:fldChar w:fldCharType="separate"/>
        </w:r>
        <w:r w:rsidR="00CC6E31">
          <w:rPr>
            <w:noProof/>
            <w:webHidden/>
          </w:rPr>
          <w:t>9</w:t>
        </w:r>
        <w:r w:rsidR="00CC6E31">
          <w:rPr>
            <w:noProof/>
            <w:webHidden/>
          </w:rPr>
          <w:fldChar w:fldCharType="end"/>
        </w:r>
      </w:hyperlink>
    </w:p>
    <w:p w14:paraId="3D98B1F8" w14:textId="77777777" w:rsidR="00CC6E31" w:rsidRDefault="00E228FE">
      <w:pPr>
        <w:pStyle w:val="TOC3"/>
        <w:rPr>
          <w:rFonts w:asciiTheme="minorHAnsi" w:eastAsiaTheme="minorEastAsia" w:hAnsiTheme="minorHAnsi"/>
          <w:noProof/>
          <w:sz w:val="22"/>
          <w:lang w:eastAsia="en-AU"/>
        </w:rPr>
      </w:pPr>
      <w:hyperlink w:anchor="_Toc156213033" w:history="1">
        <w:r w:rsidR="00CC6E31" w:rsidRPr="00F77EA0">
          <w:rPr>
            <w:rStyle w:val="Hyperlink"/>
            <w:noProof/>
          </w:rPr>
          <w:t>3.5 In-kind co-contributions</w:t>
        </w:r>
        <w:r w:rsidR="00CC6E31">
          <w:rPr>
            <w:noProof/>
            <w:webHidden/>
          </w:rPr>
          <w:tab/>
        </w:r>
        <w:r w:rsidR="00CC6E31">
          <w:rPr>
            <w:noProof/>
            <w:webHidden/>
          </w:rPr>
          <w:fldChar w:fldCharType="begin"/>
        </w:r>
        <w:r w:rsidR="00CC6E31">
          <w:rPr>
            <w:noProof/>
            <w:webHidden/>
          </w:rPr>
          <w:instrText xml:space="preserve"> PAGEREF _Toc156213033 \h </w:instrText>
        </w:r>
        <w:r w:rsidR="00CC6E31">
          <w:rPr>
            <w:noProof/>
            <w:webHidden/>
          </w:rPr>
        </w:r>
        <w:r w:rsidR="00CC6E31">
          <w:rPr>
            <w:noProof/>
            <w:webHidden/>
          </w:rPr>
          <w:fldChar w:fldCharType="separate"/>
        </w:r>
        <w:r w:rsidR="00CC6E31">
          <w:rPr>
            <w:noProof/>
            <w:webHidden/>
          </w:rPr>
          <w:t>10</w:t>
        </w:r>
        <w:r w:rsidR="00CC6E31">
          <w:rPr>
            <w:noProof/>
            <w:webHidden/>
          </w:rPr>
          <w:fldChar w:fldCharType="end"/>
        </w:r>
      </w:hyperlink>
    </w:p>
    <w:p w14:paraId="25F03EF4" w14:textId="77777777" w:rsidR="00CC6E31" w:rsidRDefault="00E228FE">
      <w:pPr>
        <w:pStyle w:val="TOC2"/>
        <w:rPr>
          <w:rFonts w:asciiTheme="minorHAnsi" w:eastAsiaTheme="minorEastAsia" w:hAnsiTheme="minorHAnsi"/>
          <w:noProof/>
          <w:sz w:val="22"/>
          <w:lang w:eastAsia="en-AU"/>
        </w:rPr>
      </w:pPr>
      <w:hyperlink w:anchor="_Toc156213034" w:history="1">
        <w:r w:rsidR="00CC6E31" w:rsidRPr="00F77EA0">
          <w:rPr>
            <w:rStyle w:val="Hyperlink"/>
            <w:noProof/>
          </w:rPr>
          <w:t>4. Reporting requirements</w:t>
        </w:r>
        <w:r w:rsidR="00CC6E31">
          <w:rPr>
            <w:noProof/>
            <w:webHidden/>
          </w:rPr>
          <w:tab/>
        </w:r>
        <w:r w:rsidR="00CC6E31">
          <w:rPr>
            <w:noProof/>
            <w:webHidden/>
          </w:rPr>
          <w:fldChar w:fldCharType="begin"/>
        </w:r>
        <w:r w:rsidR="00CC6E31">
          <w:rPr>
            <w:noProof/>
            <w:webHidden/>
          </w:rPr>
          <w:instrText xml:space="preserve"> PAGEREF _Toc156213034 \h </w:instrText>
        </w:r>
        <w:r w:rsidR="00CC6E31">
          <w:rPr>
            <w:noProof/>
            <w:webHidden/>
          </w:rPr>
        </w:r>
        <w:r w:rsidR="00CC6E31">
          <w:rPr>
            <w:noProof/>
            <w:webHidden/>
          </w:rPr>
          <w:fldChar w:fldCharType="separate"/>
        </w:r>
        <w:r w:rsidR="00CC6E31">
          <w:rPr>
            <w:noProof/>
            <w:webHidden/>
          </w:rPr>
          <w:t>11</w:t>
        </w:r>
        <w:r w:rsidR="00CC6E31">
          <w:rPr>
            <w:noProof/>
            <w:webHidden/>
          </w:rPr>
          <w:fldChar w:fldCharType="end"/>
        </w:r>
      </w:hyperlink>
    </w:p>
    <w:p w14:paraId="0CABD18A" w14:textId="77777777" w:rsidR="00CC6E31" w:rsidRDefault="00E228FE">
      <w:pPr>
        <w:pStyle w:val="TOC3"/>
        <w:rPr>
          <w:rFonts w:asciiTheme="minorHAnsi" w:eastAsiaTheme="minorEastAsia" w:hAnsiTheme="minorHAnsi"/>
          <w:noProof/>
          <w:sz w:val="22"/>
          <w:lang w:eastAsia="en-AU"/>
        </w:rPr>
      </w:pPr>
      <w:hyperlink w:anchor="_Toc156213035" w:history="1">
        <w:r w:rsidR="00CC6E31" w:rsidRPr="00F77EA0">
          <w:rPr>
            <w:rStyle w:val="Hyperlink"/>
            <w:noProof/>
          </w:rPr>
          <w:t>4.1 Program Evaluation</w:t>
        </w:r>
        <w:r w:rsidR="00CC6E31">
          <w:rPr>
            <w:noProof/>
            <w:webHidden/>
          </w:rPr>
          <w:tab/>
        </w:r>
        <w:r w:rsidR="00CC6E31">
          <w:rPr>
            <w:noProof/>
            <w:webHidden/>
          </w:rPr>
          <w:fldChar w:fldCharType="begin"/>
        </w:r>
        <w:r w:rsidR="00CC6E31">
          <w:rPr>
            <w:noProof/>
            <w:webHidden/>
          </w:rPr>
          <w:instrText xml:space="preserve"> PAGEREF _Toc156213035 \h </w:instrText>
        </w:r>
        <w:r w:rsidR="00CC6E31">
          <w:rPr>
            <w:noProof/>
            <w:webHidden/>
          </w:rPr>
        </w:r>
        <w:r w:rsidR="00CC6E31">
          <w:rPr>
            <w:noProof/>
            <w:webHidden/>
          </w:rPr>
          <w:fldChar w:fldCharType="separate"/>
        </w:r>
        <w:r w:rsidR="00CC6E31">
          <w:rPr>
            <w:noProof/>
            <w:webHidden/>
          </w:rPr>
          <w:t>11</w:t>
        </w:r>
        <w:r w:rsidR="00CC6E31">
          <w:rPr>
            <w:noProof/>
            <w:webHidden/>
          </w:rPr>
          <w:fldChar w:fldCharType="end"/>
        </w:r>
      </w:hyperlink>
    </w:p>
    <w:p w14:paraId="369245C5" w14:textId="77777777" w:rsidR="00CC6E31" w:rsidRDefault="00E228FE">
      <w:pPr>
        <w:pStyle w:val="TOC3"/>
        <w:rPr>
          <w:rFonts w:asciiTheme="minorHAnsi" w:eastAsiaTheme="minorEastAsia" w:hAnsiTheme="minorHAnsi"/>
          <w:noProof/>
          <w:sz w:val="22"/>
          <w:lang w:eastAsia="en-AU"/>
        </w:rPr>
      </w:pPr>
      <w:hyperlink w:anchor="_Toc156213036" w:history="1">
        <w:r w:rsidR="00CC6E31" w:rsidRPr="00F77EA0">
          <w:rPr>
            <w:rStyle w:val="Hyperlink"/>
            <w:noProof/>
          </w:rPr>
          <w:t>4.2 Baseline data</w:t>
        </w:r>
        <w:r w:rsidR="00CC6E31">
          <w:rPr>
            <w:noProof/>
            <w:webHidden/>
          </w:rPr>
          <w:tab/>
        </w:r>
        <w:r w:rsidR="00CC6E31">
          <w:rPr>
            <w:noProof/>
            <w:webHidden/>
          </w:rPr>
          <w:fldChar w:fldCharType="begin"/>
        </w:r>
        <w:r w:rsidR="00CC6E31">
          <w:rPr>
            <w:noProof/>
            <w:webHidden/>
          </w:rPr>
          <w:instrText xml:space="preserve"> PAGEREF _Toc156213036 \h </w:instrText>
        </w:r>
        <w:r w:rsidR="00CC6E31">
          <w:rPr>
            <w:noProof/>
            <w:webHidden/>
          </w:rPr>
        </w:r>
        <w:r w:rsidR="00CC6E31">
          <w:rPr>
            <w:noProof/>
            <w:webHidden/>
          </w:rPr>
          <w:fldChar w:fldCharType="separate"/>
        </w:r>
        <w:r w:rsidR="00CC6E31">
          <w:rPr>
            <w:noProof/>
            <w:webHidden/>
          </w:rPr>
          <w:t>11</w:t>
        </w:r>
        <w:r w:rsidR="00CC6E31">
          <w:rPr>
            <w:noProof/>
            <w:webHidden/>
          </w:rPr>
          <w:fldChar w:fldCharType="end"/>
        </w:r>
      </w:hyperlink>
    </w:p>
    <w:p w14:paraId="248B579B" w14:textId="77777777" w:rsidR="00CC6E31" w:rsidRDefault="00E228FE">
      <w:pPr>
        <w:pStyle w:val="TOC3"/>
        <w:rPr>
          <w:rFonts w:asciiTheme="minorHAnsi" w:eastAsiaTheme="minorEastAsia" w:hAnsiTheme="minorHAnsi"/>
          <w:noProof/>
          <w:sz w:val="22"/>
          <w:lang w:eastAsia="en-AU"/>
        </w:rPr>
      </w:pPr>
      <w:hyperlink w:anchor="_Toc156213037" w:history="1">
        <w:r w:rsidR="00CC6E31" w:rsidRPr="00F77EA0">
          <w:rPr>
            <w:rStyle w:val="Hyperlink"/>
            <w:noProof/>
          </w:rPr>
          <w:t>4.3 Public information</w:t>
        </w:r>
        <w:r w:rsidR="00CC6E31">
          <w:rPr>
            <w:noProof/>
            <w:webHidden/>
          </w:rPr>
          <w:tab/>
        </w:r>
        <w:r w:rsidR="00CC6E31">
          <w:rPr>
            <w:noProof/>
            <w:webHidden/>
          </w:rPr>
          <w:fldChar w:fldCharType="begin"/>
        </w:r>
        <w:r w:rsidR="00CC6E31">
          <w:rPr>
            <w:noProof/>
            <w:webHidden/>
          </w:rPr>
          <w:instrText xml:space="preserve"> PAGEREF _Toc156213037 \h </w:instrText>
        </w:r>
        <w:r w:rsidR="00CC6E31">
          <w:rPr>
            <w:noProof/>
            <w:webHidden/>
          </w:rPr>
        </w:r>
        <w:r w:rsidR="00CC6E31">
          <w:rPr>
            <w:noProof/>
            <w:webHidden/>
          </w:rPr>
          <w:fldChar w:fldCharType="separate"/>
        </w:r>
        <w:r w:rsidR="00CC6E31">
          <w:rPr>
            <w:noProof/>
            <w:webHidden/>
          </w:rPr>
          <w:t>11</w:t>
        </w:r>
        <w:r w:rsidR="00CC6E31">
          <w:rPr>
            <w:noProof/>
            <w:webHidden/>
          </w:rPr>
          <w:fldChar w:fldCharType="end"/>
        </w:r>
      </w:hyperlink>
    </w:p>
    <w:p w14:paraId="10ACA243" w14:textId="77777777" w:rsidR="00CC6E31" w:rsidRDefault="00E228FE">
      <w:pPr>
        <w:pStyle w:val="TOC2"/>
        <w:rPr>
          <w:rFonts w:asciiTheme="minorHAnsi" w:eastAsiaTheme="minorEastAsia" w:hAnsiTheme="minorHAnsi"/>
          <w:noProof/>
          <w:sz w:val="22"/>
          <w:lang w:eastAsia="en-AU"/>
        </w:rPr>
      </w:pPr>
      <w:hyperlink w:anchor="_Toc156213038" w:history="1">
        <w:r w:rsidR="00CC6E31" w:rsidRPr="00F77EA0">
          <w:rPr>
            <w:rStyle w:val="Hyperlink"/>
            <w:noProof/>
          </w:rPr>
          <w:t>5. Minimum requirements</w:t>
        </w:r>
        <w:r w:rsidR="00CC6E31">
          <w:rPr>
            <w:noProof/>
            <w:webHidden/>
          </w:rPr>
          <w:tab/>
        </w:r>
        <w:r w:rsidR="00CC6E31">
          <w:rPr>
            <w:noProof/>
            <w:webHidden/>
          </w:rPr>
          <w:fldChar w:fldCharType="begin"/>
        </w:r>
        <w:r w:rsidR="00CC6E31">
          <w:rPr>
            <w:noProof/>
            <w:webHidden/>
          </w:rPr>
          <w:instrText xml:space="preserve"> PAGEREF _Toc156213038 \h </w:instrText>
        </w:r>
        <w:r w:rsidR="00CC6E31">
          <w:rPr>
            <w:noProof/>
            <w:webHidden/>
          </w:rPr>
        </w:r>
        <w:r w:rsidR="00CC6E31">
          <w:rPr>
            <w:noProof/>
            <w:webHidden/>
          </w:rPr>
          <w:fldChar w:fldCharType="separate"/>
        </w:r>
        <w:r w:rsidR="00CC6E31">
          <w:rPr>
            <w:noProof/>
            <w:webHidden/>
          </w:rPr>
          <w:t>11</w:t>
        </w:r>
        <w:r w:rsidR="00CC6E31">
          <w:rPr>
            <w:noProof/>
            <w:webHidden/>
          </w:rPr>
          <w:fldChar w:fldCharType="end"/>
        </w:r>
      </w:hyperlink>
    </w:p>
    <w:p w14:paraId="49D9ACB8" w14:textId="77777777" w:rsidR="00CC6E31" w:rsidRDefault="00E228FE">
      <w:pPr>
        <w:pStyle w:val="TOC3"/>
        <w:rPr>
          <w:rFonts w:asciiTheme="minorHAnsi" w:eastAsiaTheme="minorEastAsia" w:hAnsiTheme="minorHAnsi"/>
          <w:noProof/>
          <w:sz w:val="22"/>
          <w:lang w:eastAsia="en-AU"/>
        </w:rPr>
      </w:pPr>
      <w:hyperlink w:anchor="_Toc156213039" w:history="1">
        <w:r w:rsidR="00CC6E31" w:rsidRPr="00F77EA0">
          <w:rPr>
            <w:rStyle w:val="Hyperlink"/>
            <w:noProof/>
          </w:rPr>
          <w:t>5.1 Introduction</w:t>
        </w:r>
        <w:r w:rsidR="00CC6E31">
          <w:rPr>
            <w:noProof/>
            <w:webHidden/>
          </w:rPr>
          <w:tab/>
        </w:r>
        <w:r w:rsidR="00CC6E31">
          <w:rPr>
            <w:noProof/>
            <w:webHidden/>
          </w:rPr>
          <w:fldChar w:fldCharType="begin"/>
        </w:r>
        <w:r w:rsidR="00CC6E31">
          <w:rPr>
            <w:noProof/>
            <w:webHidden/>
          </w:rPr>
          <w:instrText xml:space="preserve"> PAGEREF _Toc156213039 \h </w:instrText>
        </w:r>
        <w:r w:rsidR="00CC6E31">
          <w:rPr>
            <w:noProof/>
            <w:webHidden/>
          </w:rPr>
        </w:r>
        <w:r w:rsidR="00CC6E31">
          <w:rPr>
            <w:noProof/>
            <w:webHidden/>
          </w:rPr>
          <w:fldChar w:fldCharType="separate"/>
        </w:r>
        <w:r w:rsidR="00CC6E31">
          <w:rPr>
            <w:noProof/>
            <w:webHidden/>
          </w:rPr>
          <w:t>11</w:t>
        </w:r>
        <w:r w:rsidR="00CC6E31">
          <w:rPr>
            <w:noProof/>
            <w:webHidden/>
          </w:rPr>
          <w:fldChar w:fldCharType="end"/>
        </w:r>
      </w:hyperlink>
    </w:p>
    <w:p w14:paraId="3EC3FA84" w14:textId="77777777" w:rsidR="00CC6E31" w:rsidRDefault="00E228FE">
      <w:pPr>
        <w:pStyle w:val="TOC3"/>
        <w:rPr>
          <w:rFonts w:asciiTheme="minorHAnsi" w:eastAsiaTheme="minorEastAsia" w:hAnsiTheme="minorHAnsi"/>
          <w:noProof/>
          <w:sz w:val="22"/>
          <w:lang w:eastAsia="en-AU"/>
        </w:rPr>
      </w:pPr>
      <w:hyperlink w:anchor="_Toc156213040" w:history="1">
        <w:r w:rsidR="00CC6E31" w:rsidRPr="00F77EA0">
          <w:rPr>
            <w:rStyle w:val="Hyperlink"/>
            <w:noProof/>
          </w:rPr>
          <w:t>5.2 Services required</w:t>
        </w:r>
        <w:r w:rsidR="00CC6E31">
          <w:rPr>
            <w:noProof/>
            <w:webHidden/>
          </w:rPr>
          <w:tab/>
        </w:r>
        <w:r w:rsidR="00CC6E31">
          <w:rPr>
            <w:noProof/>
            <w:webHidden/>
          </w:rPr>
          <w:fldChar w:fldCharType="begin"/>
        </w:r>
        <w:r w:rsidR="00CC6E31">
          <w:rPr>
            <w:noProof/>
            <w:webHidden/>
          </w:rPr>
          <w:instrText xml:space="preserve"> PAGEREF _Toc156213040 \h </w:instrText>
        </w:r>
        <w:r w:rsidR="00CC6E31">
          <w:rPr>
            <w:noProof/>
            <w:webHidden/>
          </w:rPr>
        </w:r>
        <w:r w:rsidR="00CC6E31">
          <w:rPr>
            <w:noProof/>
            <w:webHidden/>
          </w:rPr>
          <w:fldChar w:fldCharType="separate"/>
        </w:r>
        <w:r w:rsidR="00CC6E31">
          <w:rPr>
            <w:noProof/>
            <w:webHidden/>
          </w:rPr>
          <w:t>11</w:t>
        </w:r>
        <w:r w:rsidR="00CC6E31">
          <w:rPr>
            <w:noProof/>
            <w:webHidden/>
          </w:rPr>
          <w:fldChar w:fldCharType="end"/>
        </w:r>
      </w:hyperlink>
    </w:p>
    <w:p w14:paraId="7F6E7477" w14:textId="77777777" w:rsidR="00CC6E31" w:rsidRDefault="00E228FE">
      <w:pPr>
        <w:pStyle w:val="TOC3"/>
        <w:rPr>
          <w:rFonts w:asciiTheme="minorHAnsi" w:eastAsiaTheme="minorEastAsia" w:hAnsiTheme="minorHAnsi"/>
          <w:noProof/>
          <w:sz w:val="22"/>
          <w:lang w:eastAsia="en-AU"/>
        </w:rPr>
      </w:pPr>
      <w:hyperlink w:anchor="_Toc156213041" w:history="1">
        <w:r w:rsidR="00CC6E31" w:rsidRPr="00F77EA0">
          <w:rPr>
            <w:rStyle w:val="Hyperlink"/>
            <w:noProof/>
          </w:rPr>
          <w:t>5.3 Open access, co-location and co-build</w:t>
        </w:r>
        <w:r w:rsidR="00CC6E31">
          <w:rPr>
            <w:noProof/>
            <w:webHidden/>
          </w:rPr>
          <w:tab/>
        </w:r>
        <w:r w:rsidR="00CC6E31">
          <w:rPr>
            <w:noProof/>
            <w:webHidden/>
          </w:rPr>
          <w:fldChar w:fldCharType="begin"/>
        </w:r>
        <w:r w:rsidR="00CC6E31">
          <w:rPr>
            <w:noProof/>
            <w:webHidden/>
          </w:rPr>
          <w:instrText xml:space="preserve"> PAGEREF _Toc156213041 \h </w:instrText>
        </w:r>
        <w:r w:rsidR="00CC6E31">
          <w:rPr>
            <w:noProof/>
            <w:webHidden/>
          </w:rPr>
        </w:r>
        <w:r w:rsidR="00CC6E31">
          <w:rPr>
            <w:noProof/>
            <w:webHidden/>
          </w:rPr>
          <w:fldChar w:fldCharType="separate"/>
        </w:r>
        <w:r w:rsidR="00CC6E31">
          <w:rPr>
            <w:noProof/>
            <w:webHidden/>
          </w:rPr>
          <w:t>12</w:t>
        </w:r>
        <w:r w:rsidR="00CC6E31">
          <w:rPr>
            <w:noProof/>
            <w:webHidden/>
          </w:rPr>
          <w:fldChar w:fldCharType="end"/>
        </w:r>
      </w:hyperlink>
    </w:p>
    <w:p w14:paraId="4B76E341" w14:textId="77777777" w:rsidR="00CC6E31" w:rsidRDefault="00E228FE">
      <w:pPr>
        <w:pStyle w:val="TOC3"/>
        <w:rPr>
          <w:rFonts w:asciiTheme="minorHAnsi" w:eastAsiaTheme="minorEastAsia" w:hAnsiTheme="minorHAnsi"/>
          <w:noProof/>
          <w:sz w:val="22"/>
          <w:lang w:eastAsia="en-AU"/>
        </w:rPr>
      </w:pPr>
      <w:hyperlink w:anchor="_Toc156213042" w:history="1">
        <w:r w:rsidR="00CC6E31" w:rsidRPr="00F77EA0">
          <w:rPr>
            <w:rStyle w:val="Hyperlink"/>
            <w:noProof/>
          </w:rPr>
          <w:t>5.4 Backhaul access and pricing</w:t>
        </w:r>
        <w:r w:rsidR="00CC6E31">
          <w:rPr>
            <w:noProof/>
            <w:webHidden/>
          </w:rPr>
          <w:tab/>
        </w:r>
        <w:r w:rsidR="00CC6E31">
          <w:rPr>
            <w:noProof/>
            <w:webHidden/>
          </w:rPr>
          <w:fldChar w:fldCharType="begin"/>
        </w:r>
        <w:r w:rsidR="00CC6E31">
          <w:rPr>
            <w:noProof/>
            <w:webHidden/>
          </w:rPr>
          <w:instrText xml:space="preserve"> PAGEREF _Toc156213042 \h </w:instrText>
        </w:r>
        <w:r w:rsidR="00CC6E31">
          <w:rPr>
            <w:noProof/>
            <w:webHidden/>
          </w:rPr>
        </w:r>
        <w:r w:rsidR="00CC6E31">
          <w:rPr>
            <w:noProof/>
            <w:webHidden/>
          </w:rPr>
          <w:fldChar w:fldCharType="separate"/>
        </w:r>
        <w:r w:rsidR="00CC6E31">
          <w:rPr>
            <w:noProof/>
            <w:webHidden/>
          </w:rPr>
          <w:t>14</w:t>
        </w:r>
        <w:r w:rsidR="00CC6E31">
          <w:rPr>
            <w:noProof/>
            <w:webHidden/>
          </w:rPr>
          <w:fldChar w:fldCharType="end"/>
        </w:r>
      </w:hyperlink>
    </w:p>
    <w:p w14:paraId="2AF90F5A" w14:textId="77777777" w:rsidR="00CC6E31" w:rsidRDefault="00E228FE">
      <w:pPr>
        <w:pStyle w:val="TOC3"/>
        <w:rPr>
          <w:rFonts w:asciiTheme="minorHAnsi" w:eastAsiaTheme="minorEastAsia" w:hAnsiTheme="minorHAnsi"/>
          <w:noProof/>
          <w:sz w:val="22"/>
          <w:lang w:eastAsia="en-AU"/>
        </w:rPr>
      </w:pPr>
      <w:hyperlink w:anchor="_Toc156213043" w:history="1">
        <w:r w:rsidR="00CC6E31" w:rsidRPr="00F77EA0">
          <w:rPr>
            <w:rStyle w:val="Hyperlink"/>
            <w:noProof/>
          </w:rPr>
          <w:t>5.5 Dispute resolution</w:t>
        </w:r>
        <w:r w:rsidR="00CC6E31">
          <w:rPr>
            <w:noProof/>
            <w:webHidden/>
          </w:rPr>
          <w:tab/>
        </w:r>
        <w:r w:rsidR="00CC6E31">
          <w:rPr>
            <w:noProof/>
            <w:webHidden/>
          </w:rPr>
          <w:fldChar w:fldCharType="begin"/>
        </w:r>
        <w:r w:rsidR="00CC6E31">
          <w:rPr>
            <w:noProof/>
            <w:webHidden/>
          </w:rPr>
          <w:instrText xml:space="preserve"> PAGEREF _Toc156213043 \h </w:instrText>
        </w:r>
        <w:r w:rsidR="00CC6E31">
          <w:rPr>
            <w:noProof/>
            <w:webHidden/>
          </w:rPr>
        </w:r>
        <w:r w:rsidR="00CC6E31">
          <w:rPr>
            <w:noProof/>
            <w:webHidden/>
          </w:rPr>
          <w:fldChar w:fldCharType="separate"/>
        </w:r>
        <w:r w:rsidR="00CC6E31">
          <w:rPr>
            <w:noProof/>
            <w:webHidden/>
          </w:rPr>
          <w:t>14</w:t>
        </w:r>
        <w:r w:rsidR="00CC6E31">
          <w:rPr>
            <w:noProof/>
            <w:webHidden/>
          </w:rPr>
          <w:fldChar w:fldCharType="end"/>
        </w:r>
      </w:hyperlink>
    </w:p>
    <w:p w14:paraId="2FCEC843" w14:textId="77777777" w:rsidR="00CC6E31" w:rsidRDefault="00E228FE">
      <w:pPr>
        <w:pStyle w:val="TOC2"/>
        <w:rPr>
          <w:rFonts w:asciiTheme="minorHAnsi" w:eastAsiaTheme="minorEastAsia" w:hAnsiTheme="minorHAnsi"/>
          <w:noProof/>
          <w:sz w:val="22"/>
          <w:lang w:eastAsia="en-AU"/>
        </w:rPr>
      </w:pPr>
      <w:hyperlink w:anchor="_Toc156213044" w:history="1">
        <w:r w:rsidR="00CC6E31" w:rsidRPr="00F77EA0">
          <w:rPr>
            <w:rStyle w:val="Hyperlink"/>
            <w:noProof/>
          </w:rPr>
          <w:t>6. Additional services</w:t>
        </w:r>
        <w:r w:rsidR="00CC6E31">
          <w:rPr>
            <w:noProof/>
            <w:webHidden/>
          </w:rPr>
          <w:tab/>
        </w:r>
        <w:r w:rsidR="00CC6E31">
          <w:rPr>
            <w:noProof/>
            <w:webHidden/>
          </w:rPr>
          <w:fldChar w:fldCharType="begin"/>
        </w:r>
        <w:r w:rsidR="00CC6E31">
          <w:rPr>
            <w:noProof/>
            <w:webHidden/>
          </w:rPr>
          <w:instrText xml:space="preserve"> PAGEREF _Toc156213044 \h </w:instrText>
        </w:r>
        <w:r w:rsidR="00CC6E31">
          <w:rPr>
            <w:noProof/>
            <w:webHidden/>
          </w:rPr>
        </w:r>
        <w:r w:rsidR="00CC6E31">
          <w:rPr>
            <w:noProof/>
            <w:webHidden/>
          </w:rPr>
          <w:fldChar w:fldCharType="separate"/>
        </w:r>
        <w:r w:rsidR="00CC6E31">
          <w:rPr>
            <w:noProof/>
            <w:webHidden/>
          </w:rPr>
          <w:t>15</w:t>
        </w:r>
        <w:r w:rsidR="00CC6E31">
          <w:rPr>
            <w:noProof/>
            <w:webHidden/>
          </w:rPr>
          <w:fldChar w:fldCharType="end"/>
        </w:r>
      </w:hyperlink>
    </w:p>
    <w:p w14:paraId="2AE580A4" w14:textId="77777777" w:rsidR="00CC6E31" w:rsidRDefault="00E228FE">
      <w:pPr>
        <w:pStyle w:val="TOC3"/>
        <w:rPr>
          <w:rFonts w:asciiTheme="minorHAnsi" w:eastAsiaTheme="minorEastAsia" w:hAnsiTheme="minorHAnsi"/>
          <w:noProof/>
          <w:sz w:val="22"/>
          <w:lang w:eastAsia="en-AU"/>
        </w:rPr>
      </w:pPr>
      <w:hyperlink w:anchor="_Toc156213045" w:history="1">
        <w:r w:rsidR="00CC6E31" w:rsidRPr="00F77EA0">
          <w:rPr>
            <w:rStyle w:val="Hyperlink"/>
            <w:noProof/>
          </w:rPr>
          <w:t>6.1 Roaming services</w:t>
        </w:r>
        <w:r w:rsidR="00CC6E31">
          <w:rPr>
            <w:noProof/>
            <w:webHidden/>
          </w:rPr>
          <w:tab/>
        </w:r>
        <w:r w:rsidR="00CC6E31">
          <w:rPr>
            <w:noProof/>
            <w:webHidden/>
          </w:rPr>
          <w:fldChar w:fldCharType="begin"/>
        </w:r>
        <w:r w:rsidR="00CC6E31">
          <w:rPr>
            <w:noProof/>
            <w:webHidden/>
          </w:rPr>
          <w:instrText xml:space="preserve"> PAGEREF _Toc156213045 \h </w:instrText>
        </w:r>
        <w:r w:rsidR="00CC6E31">
          <w:rPr>
            <w:noProof/>
            <w:webHidden/>
          </w:rPr>
        </w:r>
        <w:r w:rsidR="00CC6E31">
          <w:rPr>
            <w:noProof/>
            <w:webHidden/>
          </w:rPr>
          <w:fldChar w:fldCharType="separate"/>
        </w:r>
        <w:r w:rsidR="00CC6E31">
          <w:rPr>
            <w:noProof/>
            <w:webHidden/>
          </w:rPr>
          <w:t>15</w:t>
        </w:r>
        <w:r w:rsidR="00CC6E31">
          <w:rPr>
            <w:noProof/>
            <w:webHidden/>
          </w:rPr>
          <w:fldChar w:fldCharType="end"/>
        </w:r>
      </w:hyperlink>
    </w:p>
    <w:p w14:paraId="4184E64D" w14:textId="77777777" w:rsidR="00CC6E31" w:rsidRDefault="00E228FE">
      <w:pPr>
        <w:pStyle w:val="TOC3"/>
        <w:rPr>
          <w:rFonts w:asciiTheme="minorHAnsi" w:eastAsiaTheme="minorEastAsia" w:hAnsiTheme="minorHAnsi"/>
          <w:noProof/>
          <w:sz w:val="22"/>
          <w:lang w:eastAsia="en-AU"/>
        </w:rPr>
      </w:pPr>
      <w:hyperlink w:anchor="_Toc156213046" w:history="1">
        <w:r w:rsidR="00CC6E31" w:rsidRPr="00F77EA0">
          <w:rPr>
            <w:rStyle w:val="Hyperlink"/>
            <w:noProof/>
          </w:rPr>
          <w:t>6.2 Back-up Power</w:t>
        </w:r>
        <w:r w:rsidR="00CC6E31">
          <w:rPr>
            <w:noProof/>
            <w:webHidden/>
          </w:rPr>
          <w:tab/>
        </w:r>
        <w:r w:rsidR="00CC6E31">
          <w:rPr>
            <w:noProof/>
            <w:webHidden/>
          </w:rPr>
          <w:fldChar w:fldCharType="begin"/>
        </w:r>
        <w:r w:rsidR="00CC6E31">
          <w:rPr>
            <w:noProof/>
            <w:webHidden/>
          </w:rPr>
          <w:instrText xml:space="preserve"> PAGEREF _Toc156213046 \h </w:instrText>
        </w:r>
        <w:r w:rsidR="00CC6E31">
          <w:rPr>
            <w:noProof/>
            <w:webHidden/>
          </w:rPr>
        </w:r>
        <w:r w:rsidR="00CC6E31">
          <w:rPr>
            <w:noProof/>
            <w:webHidden/>
          </w:rPr>
          <w:fldChar w:fldCharType="separate"/>
        </w:r>
        <w:r w:rsidR="00CC6E31">
          <w:rPr>
            <w:noProof/>
            <w:webHidden/>
          </w:rPr>
          <w:t>15</w:t>
        </w:r>
        <w:r w:rsidR="00CC6E31">
          <w:rPr>
            <w:noProof/>
            <w:webHidden/>
          </w:rPr>
          <w:fldChar w:fldCharType="end"/>
        </w:r>
      </w:hyperlink>
    </w:p>
    <w:p w14:paraId="2283DFD5" w14:textId="77777777" w:rsidR="00CC6E31" w:rsidRDefault="00E228FE">
      <w:pPr>
        <w:pStyle w:val="TOC2"/>
        <w:rPr>
          <w:rFonts w:asciiTheme="minorHAnsi" w:eastAsiaTheme="minorEastAsia" w:hAnsiTheme="minorHAnsi"/>
          <w:noProof/>
          <w:sz w:val="22"/>
          <w:lang w:eastAsia="en-AU"/>
        </w:rPr>
      </w:pPr>
      <w:hyperlink w:anchor="_Toc156213047" w:history="1">
        <w:r w:rsidR="00CC6E31" w:rsidRPr="00F77EA0">
          <w:rPr>
            <w:rStyle w:val="Hyperlink"/>
            <w:noProof/>
          </w:rPr>
          <w:t>7. Other considerations</w:t>
        </w:r>
        <w:r w:rsidR="00CC6E31">
          <w:rPr>
            <w:noProof/>
            <w:webHidden/>
          </w:rPr>
          <w:tab/>
        </w:r>
        <w:r w:rsidR="00CC6E31">
          <w:rPr>
            <w:noProof/>
            <w:webHidden/>
          </w:rPr>
          <w:fldChar w:fldCharType="begin"/>
        </w:r>
        <w:r w:rsidR="00CC6E31">
          <w:rPr>
            <w:noProof/>
            <w:webHidden/>
          </w:rPr>
          <w:instrText xml:space="preserve"> PAGEREF _Toc156213047 \h </w:instrText>
        </w:r>
        <w:r w:rsidR="00CC6E31">
          <w:rPr>
            <w:noProof/>
            <w:webHidden/>
          </w:rPr>
        </w:r>
        <w:r w:rsidR="00CC6E31">
          <w:rPr>
            <w:noProof/>
            <w:webHidden/>
          </w:rPr>
          <w:fldChar w:fldCharType="separate"/>
        </w:r>
        <w:r w:rsidR="00CC6E31">
          <w:rPr>
            <w:noProof/>
            <w:webHidden/>
          </w:rPr>
          <w:t>15</w:t>
        </w:r>
        <w:r w:rsidR="00CC6E31">
          <w:rPr>
            <w:noProof/>
            <w:webHidden/>
          </w:rPr>
          <w:fldChar w:fldCharType="end"/>
        </w:r>
      </w:hyperlink>
    </w:p>
    <w:p w14:paraId="382EA946" w14:textId="77777777" w:rsidR="00CC6E31" w:rsidRDefault="00E228FE">
      <w:pPr>
        <w:pStyle w:val="TOC3"/>
        <w:rPr>
          <w:rFonts w:asciiTheme="minorHAnsi" w:eastAsiaTheme="minorEastAsia" w:hAnsiTheme="minorHAnsi"/>
          <w:noProof/>
          <w:sz w:val="22"/>
          <w:lang w:eastAsia="en-AU"/>
        </w:rPr>
      </w:pPr>
      <w:hyperlink w:anchor="_Toc156213048" w:history="1">
        <w:r w:rsidR="00CC6E31" w:rsidRPr="00F77EA0">
          <w:rPr>
            <w:rStyle w:val="Hyperlink"/>
            <w:noProof/>
          </w:rPr>
          <w:t>7.1 Utilising NBN Co’s fixed wireless network</w:t>
        </w:r>
        <w:r w:rsidR="00CC6E31">
          <w:rPr>
            <w:noProof/>
            <w:webHidden/>
          </w:rPr>
          <w:tab/>
        </w:r>
        <w:r w:rsidR="00CC6E31">
          <w:rPr>
            <w:noProof/>
            <w:webHidden/>
          </w:rPr>
          <w:fldChar w:fldCharType="begin"/>
        </w:r>
        <w:r w:rsidR="00CC6E31">
          <w:rPr>
            <w:noProof/>
            <w:webHidden/>
          </w:rPr>
          <w:instrText xml:space="preserve"> PAGEREF _Toc156213048 \h </w:instrText>
        </w:r>
        <w:r w:rsidR="00CC6E31">
          <w:rPr>
            <w:noProof/>
            <w:webHidden/>
          </w:rPr>
        </w:r>
        <w:r w:rsidR="00CC6E31">
          <w:rPr>
            <w:noProof/>
            <w:webHidden/>
          </w:rPr>
          <w:fldChar w:fldCharType="separate"/>
        </w:r>
        <w:r w:rsidR="00CC6E31">
          <w:rPr>
            <w:noProof/>
            <w:webHidden/>
          </w:rPr>
          <w:t>15</w:t>
        </w:r>
        <w:r w:rsidR="00CC6E31">
          <w:rPr>
            <w:noProof/>
            <w:webHidden/>
          </w:rPr>
          <w:fldChar w:fldCharType="end"/>
        </w:r>
      </w:hyperlink>
    </w:p>
    <w:p w14:paraId="7120B36D" w14:textId="77777777" w:rsidR="00CC6E31" w:rsidRDefault="00E228FE">
      <w:pPr>
        <w:pStyle w:val="TOC1"/>
        <w:rPr>
          <w:rFonts w:asciiTheme="minorHAnsi" w:eastAsiaTheme="minorEastAsia" w:hAnsiTheme="minorHAnsi"/>
          <w:b w:val="0"/>
          <w:noProof/>
          <w:color w:val="auto"/>
          <w:u w:val="none"/>
          <w:lang w:eastAsia="en-AU"/>
        </w:rPr>
      </w:pPr>
      <w:hyperlink w:anchor="_Toc156213049" w:history="1">
        <w:r w:rsidR="00CC6E31" w:rsidRPr="00F77EA0">
          <w:rPr>
            <w:rStyle w:val="Hyperlink"/>
            <w:noProof/>
          </w:rPr>
          <w:t>Part C – Application and Assessment</w:t>
        </w:r>
        <w:r w:rsidR="00CC6E31">
          <w:rPr>
            <w:noProof/>
            <w:webHidden/>
          </w:rPr>
          <w:tab/>
        </w:r>
        <w:r w:rsidR="00CC6E31">
          <w:rPr>
            <w:noProof/>
            <w:webHidden/>
          </w:rPr>
          <w:fldChar w:fldCharType="begin"/>
        </w:r>
        <w:r w:rsidR="00CC6E31">
          <w:rPr>
            <w:noProof/>
            <w:webHidden/>
          </w:rPr>
          <w:instrText xml:space="preserve"> PAGEREF _Toc156213049 \h </w:instrText>
        </w:r>
        <w:r w:rsidR="00CC6E31">
          <w:rPr>
            <w:noProof/>
            <w:webHidden/>
          </w:rPr>
        </w:r>
        <w:r w:rsidR="00CC6E31">
          <w:rPr>
            <w:noProof/>
            <w:webHidden/>
          </w:rPr>
          <w:fldChar w:fldCharType="separate"/>
        </w:r>
        <w:r w:rsidR="00CC6E31">
          <w:rPr>
            <w:noProof/>
            <w:webHidden/>
          </w:rPr>
          <w:t>16</w:t>
        </w:r>
        <w:r w:rsidR="00CC6E31">
          <w:rPr>
            <w:noProof/>
            <w:webHidden/>
          </w:rPr>
          <w:fldChar w:fldCharType="end"/>
        </w:r>
      </w:hyperlink>
    </w:p>
    <w:p w14:paraId="0E904401" w14:textId="77777777" w:rsidR="00CC6E31" w:rsidRDefault="00E228FE">
      <w:pPr>
        <w:pStyle w:val="TOC2"/>
        <w:rPr>
          <w:rFonts w:asciiTheme="minorHAnsi" w:eastAsiaTheme="minorEastAsia" w:hAnsiTheme="minorHAnsi"/>
          <w:noProof/>
          <w:sz w:val="22"/>
          <w:lang w:eastAsia="en-AU"/>
        </w:rPr>
      </w:pPr>
      <w:hyperlink w:anchor="_Toc156213050" w:history="1">
        <w:r w:rsidR="00CC6E31" w:rsidRPr="00F77EA0">
          <w:rPr>
            <w:rStyle w:val="Hyperlink"/>
            <w:noProof/>
          </w:rPr>
          <w:t>8. Application process</w:t>
        </w:r>
        <w:r w:rsidR="00CC6E31">
          <w:rPr>
            <w:noProof/>
            <w:webHidden/>
          </w:rPr>
          <w:tab/>
        </w:r>
        <w:r w:rsidR="00CC6E31">
          <w:rPr>
            <w:noProof/>
            <w:webHidden/>
          </w:rPr>
          <w:fldChar w:fldCharType="begin"/>
        </w:r>
        <w:r w:rsidR="00CC6E31">
          <w:rPr>
            <w:noProof/>
            <w:webHidden/>
          </w:rPr>
          <w:instrText xml:space="preserve"> PAGEREF _Toc156213050 \h </w:instrText>
        </w:r>
        <w:r w:rsidR="00CC6E31">
          <w:rPr>
            <w:noProof/>
            <w:webHidden/>
          </w:rPr>
        </w:r>
        <w:r w:rsidR="00CC6E31">
          <w:rPr>
            <w:noProof/>
            <w:webHidden/>
          </w:rPr>
          <w:fldChar w:fldCharType="separate"/>
        </w:r>
        <w:r w:rsidR="00CC6E31">
          <w:rPr>
            <w:noProof/>
            <w:webHidden/>
          </w:rPr>
          <w:t>16</w:t>
        </w:r>
        <w:r w:rsidR="00CC6E31">
          <w:rPr>
            <w:noProof/>
            <w:webHidden/>
          </w:rPr>
          <w:fldChar w:fldCharType="end"/>
        </w:r>
      </w:hyperlink>
    </w:p>
    <w:p w14:paraId="4F8D80F3" w14:textId="77777777" w:rsidR="00CC6E31" w:rsidRDefault="00E228FE">
      <w:pPr>
        <w:pStyle w:val="TOC3"/>
        <w:rPr>
          <w:rFonts w:asciiTheme="minorHAnsi" w:eastAsiaTheme="minorEastAsia" w:hAnsiTheme="minorHAnsi"/>
          <w:noProof/>
          <w:sz w:val="22"/>
          <w:lang w:eastAsia="en-AU"/>
        </w:rPr>
      </w:pPr>
      <w:hyperlink w:anchor="_Toc156213051" w:history="1">
        <w:r w:rsidR="00CC6E31" w:rsidRPr="00F77EA0">
          <w:rPr>
            <w:rStyle w:val="Hyperlink"/>
            <w:noProof/>
          </w:rPr>
          <w:t>8.1 Applicant registration</w:t>
        </w:r>
        <w:r w:rsidR="00CC6E31">
          <w:rPr>
            <w:noProof/>
            <w:webHidden/>
          </w:rPr>
          <w:tab/>
        </w:r>
        <w:r w:rsidR="00CC6E31">
          <w:rPr>
            <w:noProof/>
            <w:webHidden/>
          </w:rPr>
          <w:fldChar w:fldCharType="begin"/>
        </w:r>
        <w:r w:rsidR="00CC6E31">
          <w:rPr>
            <w:noProof/>
            <w:webHidden/>
          </w:rPr>
          <w:instrText xml:space="preserve"> PAGEREF _Toc156213051 \h </w:instrText>
        </w:r>
        <w:r w:rsidR="00CC6E31">
          <w:rPr>
            <w:noProof/>
            <w:webHidden/>
          </w:rPr>
        </w:r>
        <w:r w:rsidR="00CC6E31">
          <w:rPr>
            <w:noProof/>
            <w:webHidden/>
          </w:rPr>
          <w:fldChar w:fldCharType="separate"/>
        </w:r>
        <w:r w:rsidR="00CC6E31">
          <w:rPr>
            <w:noProof/>
            <w:webHidden/>
          </w:rPr>
          <w:t>16</w:t>
        </w:r>
        <w:r w:rsidR="00CC6E31">
          <w:rPr>
            <w:noProof/>
            <w:webHidden/>
          </w:rPr>
          <w:fldChar w:fldCharType="end"/>
        </w:r>
      </w:hyperlink>
    </w:p>
    <w:p w14:paraId="0298D907" w14:textId="77777777" w:rsidR="00CC6E31" w:rsidRDefault="00E228FE">
      <w:pPr>
        <w:pStyle w:val="TOC3"/>
        <w:rPr>
          <w:rFonts w:asciiTheme="minorHAnsi" w:eastAsiaTheme="minorEastAsia" w:hAnsiTheme="minorHAnsi"/>
          <w:noProof/>
          <w:sz w:val="22"/>
          <w:lang w:eastAsia="en-AU"/>
        </w:rPr>
      </w:pPr>
      <w:hyperlink w:anchor="_Toc156213052" w:history="1">
        <w:r w:rsidR="00CC6E31" w:rsidRPr="00F77EA0">
          <w:rPr>
            <w:rStyle w:val="Hyperlink"/>
            <w:noProof/>
          </w:rPr>
          <w:t>8.2 Pre-application lodgement</w:t>
        </w:r>
        <w:r w:rsidR="00CC6E31">
          <w:rPr>
            <w:noProof/>
            <w:webHidden/>
          </w:rPr>
          <w:tab/>
        </w:r>
        <w:r w:rsidR="00CC6E31">
          <w:rPr>
            <w:noProof/>
            <w:webHidden/>
          </w:rPr>
          <w:fldChar w:fldCharType="begin"/>
        </w:r>
        <w:r w:rsidR="00CC6E31">
          <w:rPr>
            <w:noProof/>
            <w:webHidden/>
          </w:rPr>
          <w:instrText xml:space="preserve"> PAGEREF _Toc156213052 \h </w:instrText>
        </w:r>
        <w:r w:rsidR="00CC6E31">
          <w:rPr>
            <w:noProof/>
            <w:webHidden/>
          </w:rPr>
        </w:r>
        <w:r w:rsidR="00CC6E31">
          <w:rPr>
            <w:noProof/>
            <w:webHidden/>
          </w:rPr>
          <w:fldChar w:fldCharType="separate"/>
        </w:r>
        <w:r w:rsidR="00CC6E31">
          <w:rPr>
            <w:noProof/>
            <w:webHidden/>
          </w:rPr>
          <w:t>16</w:t>
        </w:r>
        <w:r w:rsidR="00CC6E31">
          <w:rPr>
            <w:noProof/>
            <w:webHidden/>
          </w:rPr>
          <w:fldChar w:fldCharType="end"/>
        </w:r>
      </w:hyperlink>
    </w:p>
    <w:p w14:paraId="3CCA807D" w14:textId="77777777" w:rsidR="00CC6E31" w:rsidRDefault="00E228FE">
      <w:pPr>
        <w:pStyle w:val="TOC3"/>
        <w:rPr>
          <w:rFonts w:asciiTheme="minorHAnsi" w:eastAsiaTheme="minorEastAsia" w:hAnsiTheme="minorHAnsi"/>
          <w:noProof/>
          <w:sz w:val="22"/>
          <w:lang w:eastAsia="en-AU"/>
        </w:rPr>
      </w:pPr>
      <w:hyperlink w:anchor="_Toc156213053" w:history="1">
        <w:r w:rsidR="00CC6E31" w:rsidRPr="00F77EA0">
          <w:rPr>
            <w:rStyle w:val="Hyperlink"/>
            <w:noProof/>
          </w:rPr>
          <w:t>8.3 Completing and lodging an application</w:t>
        </w:r>
        <w:r w:rsidR="00CC6E31">
          <w:rPr>
            <w:noProof/>
            <w:webHidden/>
          </w:rPr>
          <w:tab/>
        </w:r>
        <w:r w:rsidR="00CC6E31">
          <w:rPr>
            <w:noProof/>
            <w:webHidden/>
          </w:rPr>
          <w:fldChar w:fldCharType="begin"/>
        </w:r>
        <w:r w:rsidR="00CC6E31">
          <w:rPr>
            <w:noProof/>
            <w:webHidden/>
          </w:rPr>
          <w:instrText xml:space="preserve"> PAGEREF _Toc156213053 \h </w:instrText>
        </w:r>
        <w:r w:rsidR="00CC6E31">
          <w:rPr>
            <w:noProof/>
            <w:webHidden/>
          </w:rPr>
        </w:r>
        <w:r w:rsidR="00CC6E31">
          <w:rPr>
            <w:noProof/>
            <w:webHidden/>
          </w:rPr>
          <w:fldChar w:fldCharType="separate"/>
        </w:r>
        <w:r w:rsidR="00CC6E31">
          <w:rPr>
            <w:noProof/>
            <w:webHidden/>
          </w:rPr>
          <w:t>16</w:t>
        </w:r>
        <w:r w:rsidR="00CC6E31">
          <w:rPr>
            <w:noProof/>
            <w:webHidden/>
          </w:rPr>
          <w:fldChar w:fldCharType="end"/>
        </w:r>
      </w:hyperlink>
    </w:p>
    <w:p w14:paraId="3FB015ED" w14:textId="77777777" w:rsidR="00CC6E31" w:rsidRDefault="00E228FE">
      <w:pPr>
        <w:pStyle w:val="TOC3"/>
        <w:rPr>
          <w:rFonts w:asciiTheme="minorHAnsi" w:eastAsiaTheme="minorEastAsia" w:hAnsiTheme="minorHAnsi"/>
          <w:noProof/>
          <w:sz w:val="22"/>
          <w:lang w:eastAsia="en-AU"/>
        </w:rPr>
      </w:pPr>
      <w:hyperlink w:anchor="_Toc156213054" w:history="1">
        <w:r w:rsidR="00CC6E31" w:rsidRPr="00F77EA0">
          <w:rPr>
            <w:rStyle w:val="Hyperlink"/>
            <w:noProof/>
          </w:rPr>
          <w:t>8.4 Closing date for funding applications</w:t>
        </w:r>
        <w:r w:rsidR="00CC6E31">
          <w:rPr>
            <w:noProof/>
            <w:webHidden/>
          </w:rPr>
          <w:tab/>
        </w:r>
        <w:r w:rsidR="00CC6E31">
          <w:rPr>
            <w:noProof/>
            <w:webHidden/>
          </w:rPr>
          <w:fldChar w:fldCharType="begin"/>
        </w:r>
        <w:r w:rsidR="00CC6E31">
          <w:rPr>
            <w:noProof/>
            <w:webHidden/>
          </w:rPr>
          <w:instrText xml:space="preserve"> PAGEREF _Toc156213054 \h </w:instrText>
        </w:r>
        <w:r w:rsidR="00CC6E31">
          <w:rPr>
            <w:noProof/>
            <w:webHidden/>
          </w:rPr>
        </w:r>
        <w:r w:rsidR="00CC6E31">
          <w:rPr>
            <w:noProof/>
            <w:webHidden/>
          </w:rPr>
          <w:fldChar w:fldCharType="separate"/>
        </w:r>
        <w:r w:rsidR="00CC6E31">
          <w:rPr>
            <w:noProof/>
            <w:webHidden/>
          </w:rPr>
          <w:t>18</w:t>
        </w:r>
        <w:r w:rsidR="00CC6E31">
          <w:rPr>
            <w:noProof/>
            <w:webHidden/>
          </w:rPr>
          <w:fldChar w:fldCharType="end"/>
        </w:r>
      </w:hyperlink>
    </w:p>
    <w:p w14:paraId="6145FFC2" w14:textId="77777777" w:rsidR="00CC6E31" w:rsidRDefault="00E228FE">
      <w:pPr>
        <w:pStyle w:val="TOC3"/>
        <w:rPr>
          <w:rFonts w:asciiTheme="minorHAnsi" w:eastAsiaTheme="minorEastAsia" w:hAnsiTheme="minorHAnsi"/>
          <w:noProof/>
          <w:sz w:val="22"/>
          <w:lang w:eastAsia="en-AU"/>
        </w:rPr>
      </w:pPr>
      <w:hyperlink w:anchor="_Toc156213055" w:history="1">
        <w:r w:rsidR="00CC6E31" w:rsidRPr="00F77EA0">
          <w:rPr>
            <w:rStyle w:val="Hyperlink"/>
            <w:noProof/>
          </w:rPr>
          <w:t>8.5 Late applications</w:t>
        </w:r>
        <w:r w:rsidR="00CC6E31">
          <w:rPr>
            <w:noProof/>
            <w:webHidden/>
          </w:rPr>
          <w:tab/>
        </w:r>
        <w:r w:rsidR="00CC6E31">
          <w:rPr>
            <w:noProof/>
            <w:webHidden/>
          </w:rPr>
          <w:fldChar w:fldCharType="begin"/>
        </w:r>
        <w:r w:rsidR="00CC6E31">
          <w:rPr>
            <w:noProof/>
            <w:webHidden/>
          </w:rPr>
          <w:instrText xml:space="preserve"> PAGEREF _Toc156213055 \h </w:instrText>
        </w:r>
        <w:r w:rsidR="00CC6E31">
          <w:rPr>
            <w:noProof/>
            <w:webHidden/>
          </w:rPr>
        </w:r>
        <w:r w:rsidR="00CC6E31">
          <w:rPr>
            <w:noProof/>
            <w:webHidden/>
          </w:rPr>
          <w:fldChar w:fldCharType="separate"/>
        </w:r>
        <w:r w:rsidR="00CC6E31">
          <w:rPr>
            <w:noProof/>
            <w:webHidden/>
          </w:rPr>
          <w:t>18</w:t>
        </w:r>
        <w:r w:rsidR="00CC6E31">
          <w:rPr>
            <w:noProof/>
            <w:webHidden/>
          </w:rPr>
          <w:fldChar w:fldCharType="end"/>
        </w:r>
      </w:hyperlink>
    </w:p>
    <w:p w14:paraId="5571AD70" w14:textId="77777777" w:rsidR="00CC6E31" w:rsidRDefault="00E228FE">
      <w:pPr>
        <w:pStyle w:val="TOC3"/>
        <w:rPr>
          <w:rFonts w:asciiTheme="minorHAnsi" w:eastAsiaTheme="minorEastAsia" w:hAnsiTheme="minorHAnsi"/>
          <w:noProof/>
          <w:sz w:val="22"/>
          <w:lang w:eastAsia="en-AU"/>
        </w:rPr>
      </w:pPr>
      <w:hyperlink w:anchor="_Toc156213056" w:history="1">
        <w:r w:rsidR="00CC6E31" w:rsidRPr="00F77EA0">
          <w:rPr>
            <w:rStyle w:val="Hyperlink"/>
            <w:noProof/>
          </w:rPr>
          <w:t>8.6 Further information about the application</w:t>
        </w:r>
        <w:r w:rsidR="00CC6E31">
          <w:rPr>
            <w:noProof/>
            <w:webHidden/>
          </w:rPr>
          <w:tab/>
        </w:r>
        <w:r w:rsidR="00CC6E31">
          <w:rPr>
            <w:noProof/>
            <w:webHidden/>
          </w:rPr>
          <w:fldChar w:fldCharType="begin"/>
        </w:r>
        <w:r w:rsidR="00CC6E31">
          <w:rPr>
            <w:noProof/>
            <w:webHidden/>
          </w:rPr>
          <w:instrText xml:space="preserve"> PAGEREF _Toc156213056 \h </w:instrText>
        </w:r>
        <w:r w:rsidR="00CC6E31">
          <w:rPr>
            <w:noProof/>
            <w:webHidden/>
          </w:rPr>
        </w:r>
        <w:r w:rsidR="00CC6E31">
          <w:rPr>
            <w:noProof/>
            <w:webHidden/>
          </w:rPr>
          <w:fldChar w:fldCharType="separate"/>
        </w:r>
        <w:r w:rsidR="00CC6E31">
          <w:rPr>
            <w:noProof/>
            <w:webHidden/>
          </w:rPr>
          <w:t>18</w:t>
        </w:r>
        <w:r w:rsidR="00CC6E31">
          <w:rPr>
            <w:noProof/>
            <w:webHidden/>
          </w:rPr>
          <w:fldChar w:fldCharType="end"/>
        </w:r>
      </w:hyperlink>
    </w:p>
    <w:p w14:paraId="0517741D" w14:textId="77777777" w:rsidR="00CC6E31" w:rsidRDefault="00E228FE">
      <w:pPr>
        <w:pStyle w:val="TOC2"/>
        <w:rPr>
          <w:rFonts w:asciiTheme="minorHAnsi" w:eastAsiaTheme="minorEastAsia" w:hAnsiTheme="minorHAnsi"/>
          <w:noProof/>
          <w:sz w:val="22"/>
          <w:lang w:eastAsia="en-AU"/>
        </w:rPr>
      </w:pPr>
      <w:hyperlink w:anchor="_Toc156213057" w:history="1">
        <w:r w:rsidR="00CC6E31" w:rsidRPr="00F77EA0">
          <w:rPr>
            <w:rStyle w:val="Hyperlink"/>
            <w:noProof/>
          </w:rPr>
          <w:t>9. Assessment process</w:t>
        </w:r>
        <w:r w:rsidR="00CC6E31">
          <w:rPr>
            <w:noProof/>
            <w:webHidden/>
          </w:rPr>
          <w:tab/>
        </w:r>
        <w:r w:rsidR="00CC6E31">
          <w:rPr>
            <w:noProof/>
            <w:webHidden/>
          </w:rPr>
          <w:fldChar w:fldCharType="begin"/>
        </w:r>
        <w:r w:rsidR="00CC6E31">
          <w:rPr>
            <w:noProof/>
            <w:webHidden/>
          </w:rPr>
          <w:instrText xml:space="preserve"> PAGEREF _Toc156213057 \h </w:instrText>
        </w:r>
        <w:r w:rsidR="00CC6E31">
          <w:rPr>
            <w:noProof/>
            <w:webHidden/>
          </w:rPr>
        </w:r>
        <w:r w:rsidR="00CC6E31">
          <w:rPr>
            <w:noProof/>
            <w:webHidden/>
          </w:rPr>
          <w:fldChar w:fldCharType="separate"/>
        </w:r>
        <w:r w:rsidR="00CC6E31">
          <w:rPr>
            <w:noProof/>
            <w:webHidden/>
          </w:rPr>
          <w:t>18</w:t>
        </w:r>
        <w:r w:rsidR="00CC6E31">
          <w:rPr>
            <w:noProof/>
            <w:webHidden/>
          </w:rPr>
          <w:fldChar w:fldCharType="end"/>
        </w:r>
      </w:hyperlink>
    </w:p>
    <w:p w14:paraId="6FCE2884" w14:textId="77777777" w:rsidR="00CC6E31" w:rsidRDefault="00E228FE">
      <w:pPr>
        <w:pStyle w:val="TOC3"/>
        <w:rPr>
          <w:rFonts w:asciiTheme="minorHAnsi" w:eastAsiaTheme="minorEastAsia" w:hAnsiTheme="minorHAnsi"/>
          <w:noProof/>
          <w:sz w:val="22"/>
          <w:lang w:eastAsia="en-AU"/>
        </w:rPr>
      </w:pPr>
      <w:hyperlink w:anchor="_Toc156213058" w:history="1">
        <w:r w:rsidR="00CC6E31" w:rsidRPr="00F77EA0">
          <w:rPr>
            <w:rStyle w:val="Hyperlink"/>
            <w:noProof/>
          </w:rPr>
          <w:t>9.1 Application completeness check</w:t>
        </w:r>
        <w:r w:rsidR="00CC6E31">
          <w:rPr>
            <w:noProof/>
            <w:webHidden/>
          </w:rPr>
          <w:tab/>
        </w:r>
        <w:r w:rsidR="00CC6E31">
          <w:rPr>
            <w:noProof/>
            <w:webHidden/>
          </w:rPr>
          <w:fldChar w:fldCharType="begin"/>
        </w:r>
        <w:r w:rsidR="00CC6E31">
          <w:rPr>
            <w:noProof/>
            <w:webHidden/>
          </w:rPr>
          <w:instrText xml:space="preserve"> PAGEREF _Toc156213058 \h </w:instrText>
        </w:r>
        <w:r w:rsidR="00CC6E31">
          <w:rPr>
            <w:noProof/>
            <w:webHidden/>
          </w:rPr>
        </w:r>
        <w:r w:rsidR="00CC6E31">
          <w:rPr>
            <w:noProof/>
            <w:webHidden/>
          </w:rPr>
          <w:fldChar w:fldCharType="separate"/>
        </w:r>
        <w:r w:rsidR="00CC6E31">
          <w:rPr>
            <w:noProof/>
            <w:webHidden/>
          </w:rPr>
          <w:t>18</w:t>
        </w:r>
        <w:r w:rsidR="00CC6E31">
          <w:rPr>
            <w:noProof/>
            <w:webHidden/>
          </w:rPr>
          <w:fldChar w:fldCharType="end"/>
        </w:r>
      </w:hyperlink>
    </w:p>
    <w:p w14:paraId="52F541B2" w14:textId="77777777" w:rsidR="00CC6E31" w:rsidRDefault="00E228FE">
      <w:pPr>
        <w:pStyle w:val="TOC3"/>
        <w:rPr>
          <w:rFonts w:asciiTheme="minorHAnsi" w:eastAsiaTheme="minorEastAsia" w:hAnsiTheme="minorHAnsi"/>
          <w:noProof/>
          <w:sz w:val="22"/>
          <w:lang w:eastAsia="en-AU"/>
        </w:rPr>
      </w:pPr>
      <w:hyperlink w:anchor="_Toc156213059" w:history="1">
        <w:r w:rsidR="00CC6E31" w:rsidRPr="00F77EA0">
          <w:rPr>
            <w:rStyle w:val="Hyperlink"/>
            <w:noProof/>
          </w:rPr>
          <w:t>9.2 Risk assessment</w:t>
        </w:r>
        <w:r w:rsidR="00CC6E31">
          <w:rPr>
            <w:noProof/>
            <w:webHidden/>
          </w:rPr>
          <w:tab/>
        </w:r>
        <w:r w:rsidR="00CC6E31">
          <w:rPr>
            <w:noProof/>
            <w:webHidden/>
          </w:rPr>
          <w:fldChar w:fldCharType="begin"/>
        </w:r>
        <w:r w:rsidR="00CC6E31">
          <w:rPr>
            <w:noProof/>
            <w:webHidden/>
          </w:rPr>
          <w:instrText xml:space="preserve"> PAGEREF _Toc156213059 \h </w:instrText>
        </w:r>
        <w:r w:rsidR="00CC6E31">
          <w:rPr>
            <w:noProof/>
            <w:webHidden/>
          </w:rPr>
        </w:r>
        <w:r w:rsidR="00CC6E31">
          <w:rPr>
            <w:noProof/>
            <w:webHidden/>
          </w:rPr>
          <w:fldChar w:fldCharType="separate"/>
        </w:r>
        <w:r w:rsidR="00CC6E31">
          <w:rPr>
            <w:noProof/>
            <w:webHidden/>
          </w:rPr>
          <w:t>19</w:t>
        </w:r>
        <w:r w:rsidR="00CC6E31">
          <w:rPr>
            <w:noProof/>
            <w:webHidden/>
          </w:rPr>
          <w:fldChar w:fldCharType="end"/>
        </w:r>
      </w:hyperlink>
    </w:p>
    <w:p w14:paraId="25E61951" w14:textId="77777777" w:rsidR="00CC6E31" w:rsidRDefault="00E228FE">
      <w:pPr>
        <w:pStyle w:val="TOC3"/>
        <w:rPr>
          <w:rFonts w:asciiTheme="minorHAnsi" w:eastAsiaTheme="minorEastAsia" w:hAnsiTheme="minorHAnsi"/>
          <w:noProof/>
          <w:sz w:val="22"/>
          <w:lang w:eastAsia="en-AU"/>
        </w:rPr>
      </w:pPr>
      <w:hyperlink w:anchor="_Toc156213060" w:history="1">
        <w:r w:rsidR="00CC6E31" w:rsidRPr="00F77EA0">
          <w:rPr>
            <w:rStyle w:val="Hyperlink"/>
            <w:noProof/>
          </w:rPr>
          <w:t>9.3 Initial assessment</w:t>
        </w:r>
        <w:r w:rsidR="00CC6E31">
          <w:rPr>
            <w:noProof/>
            <w:webHidden/>
          </w:rPr>
          <w:tab/>
        </w:r>
        <w:r w:rsidR="00CC6E31">
          <w:rPr>
            <w:noProof/>
            <w:webHidden/>
          </w:rPr>
          <w:fldChar w:fldCharType="begin"/>
        </w:r>
        <w:r w:rsidR="00CC6E31">
          <w:rPr>
            <w:noProof/>
            <w:webHidden/>
          </w:rPr>
          <w:instrText xml:space="preserve"> PAGEREF _Toc156213060 \h </w:instrText>
        </w:r>
        <w:r w:rsidR="00CC6E31">
          <w:rPr>
            <w:noProof/>
            <w:webHidden/>
          </w:rPr>
        </w:r>
        <w:r w:rsidR="00CC6E31">
          <w:rPr>
            <w:noProof/>
            <w:webHidden/>
          </w:rPr>
          <w:fldChar w:fldCharType="separate"/>
        </w:r>
        <w:r w:rsidR="00CC6E31">
          <w:rPr>
            <w:noProof/>
            <w:webHidden/>
          </w:rPr>
          <w:t>19</w:t>
        </w:r>
        <w:r w:rsidR="00CC6E31">
          <w:rPr>
            <w:noProof/>
            <w:webHidden/>
          </w:rPr>
          <w:fldChar w:fldCharType="end"/>
        </w:r>
      </w:hyperlink>
    </w:p>
    <w:p w14:paraId="0765EF21" w14:textId="77777777" w:rsidR="00CC6E31" w:rsidRDefault="00E228FE">
      <w:pPr>
        <w:pStyle w:val="TOC3"/>
        <w:rPr>
          <w:rFonts w:asciiTheme="minorHAnsi" w:eastAsiaTheme="minorEastAsia" w:hAnsiTheme="minorHAnsi"/>
          <w:noProof/>
          <w:sz w:val="22"/>
          <w:lang w:eastAsia="en-AU"/>
        </w:rPr>
      </w:pPr>
      <w:hyperlink w:anchor="_Toc156213061" w:history="1">
        <w:r w:rsidR="00CC6E31" w:rsidRPr="00F77EA0">
          <w:rPr>
            <w:rStyle w:val="Hyperlink"/>
            <w:noProof/>
          </w:rPr>
          <w:t>9.4 Establish funding cut-off point</w:t>
        </w:r>
        <w:r w:rsidR="00CC6E31">
          <w:rPr>
            <w:noProof/>
            <w:webHidden/>
          </w:rPr>
          <w:tab/>
        </w:r>
        <w:r w:rsidR="00CC6E31">
          <w:rPr>
            <w:noProof/>
            <w:webHidden/>
          </w:rPr>
          <w:fldChar w:fldCharType="begin"/>
        </w:r>
        <w:r w:rsidR="00CC6E31">
          <w:rPr>
            <w:noProof/>
            <w:webHidden/>
          </w:rPr>
          <w:instrText xml:space="preserve"> PAGEREF _Toc156213061 \h </w:instrText>
        </w:r>
        <w:r w:rsidR="00CC6E31">
          <w:rPr>
            <w:noProof/>
            <w:webHidden/>
          </w:rPr>
        </w:r>
        <w:r w:rsidR="00CC6E31">
          <w:rPr>
            <w:noProof/>
            <w:webHidden/>
          </w:rPr>
          <w:fldChar w:fldCharType="separate"/>
        </w:r>
        <w:r w:rsidR="00CC6E31">
          <w:rPr>
            <w:noProof/>
            <w:webHidden/>
          </w:rPr>
          <w:t>19</w:t>
        </w:r>
        <w:r w:rsidR="00CC6E31">
          <w:rPr>
            <w:noProof/>
            <w:webHidden/>
          </w:rPr>
          <w:fldChar w:fldCharType="end"/>
        </w:r>
      </w:hyperlink>
    </w:p>
    <w:p w14:paraId="6C936907" w14:textId="77777777" w:rsidR="00CC6E31" w:rsidRDefault="00E228FE">
      <w:pPr>
        <w:pStyle w:val="TOC3"/>
        <w:rPr>
          <w:rFonts w:asciiTheme="minorHAnsi" w:eastAsiaTheme="minorEastAsia" w:hAnsiTheme="minorHAnsi"/>
          <w:noProof/>
          <w:sz w:val="22"/>
          <w:lang w:eastAsia="en-AU"/>
        </w:rPr>
      </w:pPr>
      <w:hyperlink w:anchor="_Toc156213062" w:history="1">
        <w:r w:rsidR="00CC6E31" w:rsidRPr="00F77EA0">
          <w:rPr>
            <w:rStyle w:val="Hyperlink"/>
            <w:noProof/>
          </w:rPr>
          <w:t>9.5 Value for money assessment</w:t>
        </w:r>
        <w:r w:rsidR="00CC6E31">
          <w:rPr>
            <w:noProof/>
            <w:webHidden/>
          </w:rPr>
          <w:tab/>
        </w:r>
        <w:r w:rsidR="00CC6E31">
          <w:rPr>
            <w:noProof/>
            <w:webHidden/>
          </w:rPr>
          <w:fldChar w:fldCharType="begin"/>
        </w:r>
        <w:r w:rsidR="00CC6E31">
          <w:rPr>
            <w:noProof/>
            <w:webHidden/>
          </w:rPr>
          <w:instrText xml:space="preserve"> PAGEREF _Toc156213062 \h </w:instrText>
        </w:r>
        <w:r w:rsidR="00CC6E31">
          <w:rPr>
            <w:noProof/>
            <w:webHidden/>
          </w:rPr>
        </w:r>
        <w:r w:rsidR="00CC6E31">
          <w:rPr>
            <w:noProof/>
            <w:webHidden/>
          </w:rPr>
          <w:fldChar w:fldCharType="separate"/>
        </w:r>
        <w:r w:rsidR="00CC6E31">
          <w:rPr>
            <w:noProof/>
            <w:webHidden/>
          </w:rPr>
          <w:t>20</w:t>
        </w:r>
        <w:r w:rsidR="00CC6E31">
          <w:rPr>
            <w:noProof/>
            <w:webHidden/>
          </w:rPr>
          <w:fldChar w:fldCharType="end"/>
        </w:r>
      </w:hyperlink>
    </w:p>
    <w:p w14:paraId="6E31198A" w14:textId="77777777" w:rsidR="00CC6E31" w:rsidRDefault="00E228FE">
      <w:pPr>
        <w:pStyle w:val="TOC3"/>
        <w:rPr>
          <w:rFonts w:asciiTheme="minorHAnsi" w:eastAsiaTheme="minorEastAsia" w:hAnsiTheme="minorHAnsi"/>
          <w:noProof/>
          <w:sz w:val="22"/>
          <w:lang w:eastAsia="en-AU"/>
        </w:rPr>
      </w:pPr>
      <w:hyperlink w:anchor="_Toc156213063" w:history="1">
        <w:r w:rsidR="00CC6E31" w:rsidRPr="00F77EA0">
          <w:rPr>
            <w:rStyle w:val="Hyperlink"/>
            <w:noProof/>
          </w:rPr>
          <w:t>9.6 Terms of Grant Agreement</w:t>
        </w:r>
        <w:r w:rsidR="00CC6E31">
          <w:rPr>
            <w:noProof/>
            <w:webHidden/>
          </w:rPr>
          <w:tab/>
        </w:r>
        <w:r w:rsidR="00CC6E31">
          <w:rPr>
            <w:noProof/>
            <w:webHidden/>
          </w:rPr>
          <w:fldChar w:fldCharType="begin"/>
        </w:r>
        <w:r w:rsidR="00CC6E31">
          <w:rPr>
            <w:noProof/>
            <w:webHidden/>
          </w:rPr>
          <w:instrText xml:space="preserve"> PAGEREF _Toc156213063 \h </w:instrText>
        </w:r>
        <w:r w:rsidR="00CC6E31">
          <w:rPr>
            <w:noProof/>
            <w:webHidden/>
          </w:rPr>
        </w:r>
        <w:r w:rsidR="00CC6E31">
          <w:rPr>
            <w:noProof/>
            <w:webHidden/>
          </w:rPr>
          <w:fldChar w:fldCharType="separate"/>
        </w:r>
        <w:r w:rsidR="00CC6E31">
          <w:rPr>
            <w:noProof/>
            <w:webHidden/>
          </w:rPr>
          <w:t>20</w:t>
        </w:r>
        <w:r w:rsidR="00CC6E31">
          <w:rPr>
            <w:noProof/>
            <w:webHidden/>
          </w:rPr>
          <w:fldChar w:fldCharType="end"/>
        </w:r>
      </w:hyperlink>
    </w:p>
    <w:p w14:paraId="6CADC7D4" w14:textId="77777777" w:rsidR="00CC6E31" w:rsidRDefault="00E228FE">
      <w:pPr>
        <w:pStyle w:val="TOC3"/>
        <w:rPr>
          <w:rFonts w:asciiTheme="minorHAnsi" w:eastAsiaTheme="minorEastAsia" w:hAnsiTheme="minorHAnsi"/>
          <w:noProof/>
          <w:sz w:val="22"/>
          <w:lang w:eastAsia="en-AU"/>
        </w:rPr>
      </w:pPr>
      <w:hyperlink w:anchor="_Toc156213064" w:history="1">
        <w:r w:rsidR="00CC6E31" w:rsidRPr="00F77EA0">
          <w:rPr>
            <w:rStyle w:val="Hyperlink"/>
            <w:noProof/>
          </w:rPr>
          <w:t>9.7 Merit List</w:t>
        </w:r>
        <w:r w:rsidR="00CC6E31">
          <w:rPr>
            <w:noProof/>
            <w:webHidden/>
          </w:rPr>
          <w:tab/>
        </w:r>
        <w:r w:rsidR="00CC6E31">
          <w:rPr>
            <w:noProof/>
            <w:webHidden/>
          </w:rPr>
          <w:fldChar w:fldCharType="begin"/>
        </w:r>
        <w:r w:rsidR="00CC6E31">
          <w:rPr>
            <w:noProof/>
            <w:webHidden/>
          </w:rPr>
          <w:instrText xml:space="preserve"> PAGEREF _Toc156213064 \h </w:instrText>
        </w:r>
        <w:r w:rsidR="00CC6E31">
          <w:rPr>
            <w:noProof/>
            <w:webHidden/>
          </w:rPr>
        </w:r>
        <w:r w:rsidR="00CC6E31">
          <w:rPr>
            <w:noProof/>
            <w:webHidden/>
          </w:rPr>
          <w:fldChar w:fldCharType="separate"/>
        </w:r>
        <w:r w:rsidR="00CC6E31">
          <w:rPr>
            <w:noProof/>
            <w:webHidden/>
          </w:rPr>
          <w:t>20</w:t>
        </w:r>
        <w:r w:rsidR="00CC6E31">
          <w:rPr>
            <w:noProof/>
            <w:webHidden/>
          </w:rPr>
          <w:fldChar w:fldCharType="end"/>
        </w:r>
      </w:hyperlink>
    </w:p>
    <w:p w14:paraId="61D8043A" w14:textId="77777777" w:rsidR="00CC6E31" w:rsidRDefault="00E228FE">
      <w:pPr>
        <w:pStyle w:val="TOC3"/>
        <w:rPr>
          <w:rFonts w:asciiTheme="minorHAnsi" w:eastAsiaTheme="minorEastAsia" w:hAnsiTheme="minorHAnsi"/>
          <w:noProof/>
          <w:sz w:val="22"/>
          <w:lang w:eastAsia="en-AU"/>
        </w:rPr>
      </w:pPr>
      <w:hyperlink w:anchor="_Toc156213065" w:history="1">
        <w:r w:rsidR="00CC6E31" w:rsidRPr="00F77EA0">
          <w:rPr>
            <w:rStyle w:val="Hyperlink"/>
            <w:noProof/>
          </w:rPr>
          <w:t>9.8 Use of satellite backhaul</w:t>
        </w:r>
        <w:r w:rsidR="00CC6E31">
          <w:rPr>
            <w:noProof/>
            <w:webHidden/>
          </w:rPr>
          <w:tab/>
        </w:r>
        <w:r w:rsidR="00CC6E31">
          <w:rPr>
            <w:noProof/>
            <w:webHidden/>
          </w:rPr>
          <w:fldChar w:fldCharType="begin"/>
        </w:r>
        <w:r w:rsidR="00CC6E31">
          <w:rPr>
            <w:noProof/>
            <w:webHidden/>
          </w:rPr>
          <w:instrText xml:space="preserve"> PAGEREF _Toc156213065 \h </w:instrText>
        </w:r>
        <w:r w:rsidR="00CC6E31">
          <w:rPr>
            <w:noProof/>
            <w:webHidden/>
          </w:rPr>
        </w:r>
        <w:r w:rsidR="00CC6E31">
          <w:rPr>
            <w:noProof/>
            <w:webHidden/>
          </w:rPr>
          <w:fldChar w:fldCharType="separate"/>
        </w:r>
        <w:r w:rsidR="00CC6E31">
          <w:rPr>
            <w:noProof/>
            <w:webHidden/>
          </w:rPr>
          <w:t>20</w:t>
        </w:r>
        <w:r w:rsidR="00CC6E31">
          <w:rPr>
            <w:noProof/>
            <w:webHidden/>
          </w:rPr>
          <w:fldChar w:fldCharType="end"/>
        </w:r>
      </w:hyperlink>
    </w:p>
    <w:p w14:paraId="37271AC9" w14:textId="77777777" w:rsidR="00CC6E31" w:rsidRDefault="00E228FE">
      <w:pPr>
        <w:pStyle w:val="TOC2"/>
        <w:rPr>
          <w:rFonts w:asciiTheme="minorHAnsi" w:eastAsiaTheme="minorEastAsia" w:hAnsiTheme="minorHAnsi"/>
          <w:noProof/>
          <w:sz w:val="22"/>
          <w:lang w:eastAsia="en-AU"/>
        </w:rPr>
      </w:pPr>
      <w:hyperlink w:anchor="_Toc156213066" w:history="1">
        <w:r w:rsidR="00CC6E31" w:rsidRPr="00F77EA0">
          <w:rPr>
            <w:rStyle w:val="Hyperlink"/>
            <w:noProof/>
          </w:rPr>
          <w:t>10. Assessment Criteria</w:t>
        </w:r>
        <w:r w:rsidR="00CC6E31">
          <w:rPr>
            <w:noProof/>
            <w:webHidden/>
          </w:rPr>
          <w:tab/>
        </w:r>
        <w:r w:rsidR="00CC6E31">
          <w:rPr>
            <w:noProof/>
            <w:webHidden/>
          </w:rPr>
          <w:fldChar w:fldCharType="begin"/>
        </w:r>
        <w:r w:rsidR="00CC6E31">
          <w:rPr>
            <w:noProof/>
            <w:webHidden/>
          </w:rPr>
          <w:instrText xml:space="preserve"> PAGEREF _Toc156213066 \h </w:instrText>
        </w:r>
        <w:r w:rsidR="00CC6E31">
          <w:rPr>
            <w:noProof/>
            <w:webHidden/>
          </w:rPr>
        </w:r>
        <w:r w:rsidR="00CC6E31">
          <w:rPr>
            <w:noProof/>
            <w:webHidden/>
          </w:rPr>
          <w:fldChar w:fldCharType="separate"/>
        </w:r>
        <w:r w:rsidR="00CC6E31">
          <w:rPr>
            <w:noProof/>
            <w:webHidden/>
          </w:rPr>
          <w:t>21</w:t>
        </w:r>
        <w:r w:rsidR="00CC6E31">
          <w:rPr>
            <w:noProof/>
            <w:webHidden/>
          </w:rPr>
          <w:fldChar w:fldCharType="end"/>
        </w:r>
      </w:hyperlink>
    </w:p>
    <w:p w14:paraId="723B5234" w14:textId="77777777" w:rsidR="00CC6E31" w:rsidRDefault="00E228FE">
      <w:pPr>
        <w:pStyle w:val="TOC2"/>
        <w:rPr>
          <w:rFonts w:asciiTheme="minorHAnsi" w:eastAsiaTheme="minorEastAsia" w:hAnsiTheme="minorHAnsi"/>
          <w:noProof/>
          <w:sz w:val="22"/>
          <w:lang w:eastAsia="en-AU"/>
        </w:rPr>
      </w:pPr>
      <w:hyperlink w:anchor="_Toc156213067" w:history="1">
        <w:r w:rsidR="00CC6E31" w:rsidRPr="00F77EA0">
          <w:rPr>
            <w:rStyle w:val="Hyperlink"/>
            <w:noProof/>
          </w:rPr>
          <w:t>11. Decision on funding</w:t>
        </w:r>
        <w:r w:rsidR="00CC6E31">
          <w:rPr>
            <w:noProof/>
            <w:webHidden/>
          </w:rPr>
          <w:tab/>
        </w:r>
        <w:r w:rsidR="00CC6E31">
          <w:rPr>
            <w:noProof/>
            <w:webHidden/>
          </w:rPr>
          <w:fldChar w:fldCharType="begin"/>
        </w:r>
        <w:r w:rsidR="00CC6E31">
          <w:rPr>
            <w:noProof/>
            <w:webHidden/>
          </w:rPr>
          <w:instrText xml:space="preserve"> PAGEREF _Toc156213067 \h </w:instrText>
        </w:r>
        <w:r w:rsidR="00CC6E31">
          <w:rPr>
            <w:noProof/>
            <w:webHidden/>
          </w:rPr>
        </w:r>
        <w:r w:rsidR="00CC6E31">
          <w:rPr>
            <w:noProof/>
            <w:webHidden/>
          </w:rPr>
          <w:fldChar w:fldCharType="separate"/>
        </w:r>
        <w:r w:rsidR="00CC6E31">
          <w:rPr>
            <w:noProof/>
            <w:webHidden/>
          </w:rPr>
          <w:t>21</w:t>
        </w:r>
        <w:r w:rsidR="00CC6E31">
          <w:rPr>
            <w:noProof/>
            <w:webHidden/>
          </w:rPr>
          <w:fldChar w:fldCharType="end"/>
        </w:r>
      </w:hyperlink>
    </w:p>
    <w:p w14:paraId="68CD9624" w14:textId="77777777" w:rsidR="00CC6E31" w:rsidRDefault="00E228FE">
      <w:pPr>
        <w:pStyle w:val="TOC2"/>
        <w:rPr>
          <w:rFonts w:asciiTheme="minorHAnsi" w:eastAsiaTheme="minorEastAsia" w:hAnsiTheme="minorHAnsi"/>
          <w:noProof/>
          <w:sz w:val="22"/>
          <w:lang w:eastAsia="en-AU"/>
        </w:rPr>
      </w:pPr>
      <w:hyperlink w:anchor="_Toc156213068" w:history="1">
        <w:r w:rsidR="00CC6E31" w:rsidRPr="00F77EA0">
          <w:rPr>
            <w:rStyle w:val="Hyperlink"/>
            <w:noProof/>
          </w:rPr>
          <w:t>12. Review of decision</w:t>
        </w:r>
        <w:r w:rsidR="00CC6E31">
          <w:rPr>
            <w:noProof/>
            <w:webHidden/>
          </w:rPr>
          <w:tab/>
        </w:r>
        <w:r w:rsidR="00CC6E31">
          <w:rPr>
            <w:noProof/>
            <w:webHidden/>
          </w:rPr>
          <w:fldChar w:fldCharType="begin"/>
        </w:r>
        <w:r w:rsidR="00CC6E31">
          <w:rPr>
            <w:noProof/>
            <w:webHidden/>
          </w:rPr>
          <w:instrText xml:space="preserve"> PAGEREF _Toc156213068 \h </w:instrText>
        </w:r>
        <w:r w:rsidR="00CC6E31">
          <w:rPr>
            <w:noProof/>
            <w:webHidden/>
          </w:rPr>
        </w:r>
        <w:r w:rsidR="00CC6E31">
          <w:rPr>
            <w:noProof/>
            <w:webHidden/>
          </w:rPr>
          <w:fldChar w:fldCharType="separate"/>
        </w:r>
        <w:r w:rsidR="00CC6E31">
          <w:rPr>
            <w:noProof/>
            <w:webHidden/>
          </w:rPr>
          <w:t>22</w:t>
        </w:r>
        <w:r w:rsidR="00CC6E31">
          <w:rPr>
            <w:noProof/>
            <w:webHidden/>
          </w:rPr>
          <w:fldChar w:fldCharType="end"/>
        </w:r>
      </w:hyperlink>
    </w:p>
    <w:p w14:paraId="3205C9A8" w14:textId="77777777" w:rsidR="00CC6E31" w:rsidRDefault="00E228FE">
      <w:pPr>
        <w:pStyle w:val="TOC1"/>
        <w:rPr>
          <w:rFonts w:asciiTheme="minorHAnsi" w:eastAsiaTheme="minorEastAsia" w:hAnsiTheme="minorHAnsi"/>
          <w:b w:val="0"/>
          <w:noProof/>
          <w:color w:val="auto"/>
          <w:u w:val="none"/>
          <w:lang w:eastAsia="en-AU"/>
        </w:rPr>
      </w:pPr>
      <w:hyperlink w:anchor="_Toc156213069" w:history="1">
        <w:r w:rsidR="00CC6E31" w:rsidRPr="00F77EA0">
          <w:rPr>
            <w:rStyle w:val="Hyperlink"/>
            <w:noProof/>
          </w:rPr>
          <w:t>Part D – Program timing</w:t>
        </w:r>
        <w:r w:rsidR="00CC6E31">
          <w:rPr>
            <w:noProof/>
            <w:webHidden/>
          </w:rPr>
          <w:tab/>
        </w:r>
        <w:r w:rsidR="00CC6E31">
          <w:rPr>
            <w:noProof/>
            <w:webHidden/>
          </w:rPr>
          <w:fldChar w:fldCharType="begin"/>
        </w:r>
        <w:r w:rsidR="00CC6E31">
          <w:rPr>
            <w:noProof/>
            <w:webHidden/>
          </w:rPr>
          <w:instrText xml:space="preserve"> PAGEREF _Toc156213069 \h </w:instrText>
        </w:r>
        <w:r w:rsidR="00CC6E31">
          <w:rPr>
            <w:noProof/>
            <w:webHidden/>
          </w:rPr>
        </w:r>
        <w:r w:rsidR="00CC6E31">
          <w:rPr>
            <w:noProof/>
            <w:webHidden/>
          </w:rPr>
          <w:fldChar w:fldCharType="separate"/>
        </w:r>
        <w:r w:rsidR="00CC6E31">
          <w:rPr>
            <w:noProof/>
            <w:webHidden/>
          </w:rPr>
          <w:t>23</w:t>
        </w:r>
        <w:r w:rsidR="00CC6E31">
          <w:rPr>
            <w:noProof/>
            <w:webHidden/>
          </w:rPr>
          <w:fldChar w:fldCharType="end"/>
        </w:r>
      </w:hyperlink>
    </w:p>
    <w:p w14:paraId="2315FF0F" w14:textId="77777777" w:rsidR="00CC6E31" w:rsidRDefault="00E228FE">
      <w:pPr>
        <w:pStyle w:val="TOC2"/>
        <w:rPr>
          <w:rFonts w:asciiTheme="minorHAnsi" w:eastAsiaTheme="minorEastAsia" w:hAnsiTheme="minorHAnsi"/>
          <w:noProof/>
          <w:sz w:val="22"/>
          <w:lang w:eastAsia="en-AU"/>
        </w:rPr>
      </w:pPr>
      <w:hyperlink w:anchor="_Toc156213070" w:history="1">
        <w:r w:rsidR="00CC6E31" w:rsidRPr="00F77EA0">
          <w:rPr>
            <w:rStyle w:val="Hyperlink"/>
            <w:noProof/>
          </w:rPr>
          <w:t>13. Key Program stages and timing</w:t>
        </w:r>
        <w:r w:rsidR="00CC6E31">
          <w:rPr>
            <w:noProof/>
            <w:webHidden/>
          </w:rPr>
          <w:tab/>
        </w:r>
        <w:r w:rsidR="00CC6E31">
          <w:rPr>
            <w:noProof/>
            <w:webHidden/>
          </w:rPr>
          <w:fldChar w:fldCharType="begin"/>
        </w:r>
        <w:r w:rsidR="00CC6E31">
          <w:rPr>
            <w:noProof/>
            <w:webHidden/>
          </w:rPr>
          <w:instrText xml:space="preserve"> PAGEREF _Toc156213070 \h </w:instrText>
        </w:r>
        <w:r w:rsidR="00CC6E31">
          <w:rPr>
            <w:noProof/>
            <w:webHidden/>
          </w:rPr>
        </w:r>
        <w:r w:rsidR="00CC6E31">
          <w:rPr>
            <w:noProof/>
            <w:webHidden/>
          </w:rPr>
          <w:fldChar w:fldCharType="separate"/>
        </w:r>
        <w:r w:rsidR="00CC6E31">
          <w:rPr>
            <w:noProof/>
            <w:webHidden/>
          </w:rPr>
          <w:t>23</w:t>
        </w:r>
        <w:r w:rsidR="00CC6E31">
          <w:rPr>
            <w:noProof/>
            <w:webHidden/>
          </w:rPr>
          <w:fldChar w:fldCharType="end"/>
        </w:r>
      </w:hyperlink>
    </w:p>
    <w:p w14:paraId="1DE6B1CD" w14:textId="77777777" w:rsidR="00CC6E31" w:rsidRDefault="00E228FE">
      <w:pPr>
        <w:pStyle w:val="TOC3"/>
        <w:rPr>
          <w:rFonts w:asciiTheme="minorHAnsi" w:eastAsiaTheme="minorEastAsia" w:hAnsiTheme="minorHAnsi"/>
          <w:noProof/>
          <w:sz w:val="22"/>
          <w:lang w:eastAsia="en-AU"/>
        </w:rPr>
      </w:pPr>
      <w:hyperlink w:anchor="_Toc156213071" w:history="1">
        <w:r w:rsidR="00CC6E31" w:rsidRPr="00F77EA0">
          <w:rPr>
            <w:rStyle w:val="Hyperlink"/>
            <w:noProof/>
          </w:rPr>
          <w:t>13.1 Stage 1 – Release of Guidelines and call for Applications</w:t>
        </w:r>
        <w:r w:rsidR="00CC6E31">
          <w:rPr>
            <w:noProof/>
            <w:webHidden/>
          </w:rPr>
          <w:tab/>
        </w:r>
        <w:r w:rsidR="00CC6E31">
          <w:rPr>
            <w:noProof/>
            <w:webHidden/>
          </w:rPr>
          <w:fldChar w:fldCharType="begin"/>
        </w:r>
        <w:r w:rsidR="00CC6E31">
          <w:rPr>
            <w:noProof/>
            <w:webHidden/>
          </w:rPr>
          <w:instrText xml:space="preserve"> PAGEREF _Toc156213071 \h </w:instrText>
        </w:r>
        <w:r w:rsidR="00CC6E31">
          <w:rPr>
            <w:noProof/>
            <w:webHidden/>
          </w:rPr>
        </w:r>
        <w:r w:rsidR="00CC6E31">
          <w:rPr>
            <w:noProof/>
            <w:webHidden/>
          </w:rPr>
          <w:fldChar w:fldCharType="separate"/>
        </w:r>
        <w:r w:rsidR="00CC6E31">
          <w:rPr>
            <w:noProof/>
            <w:webHidden/>
          </w:rPr>
          <w:t>23</w:t>
        </w:r>
        <w:r w:rsidR="00CC6E31">
          <w:rPr>
            <w:noProof/>
            <w:webHidden/>
          </w:rPr>
          <w:fldChar w:fldCharType="end"/>
        </w:r>
      </w:hyperlink>
    </w:p>
    <w:p w14:paraId="363FC6A9" w14:textId="77777777" w:rsidR="00CC6E31" w:rsidRDefault="00E228FE">
      <w:pPr>
        <w:pStyle w:val="TOC3"/>
        <w:rPr>
          <w:rFonts w:asciiTheme="minorHAnsi" w:eastAsiaTheme="minorEastAsia" w:hAnsiTheme="minorHAnsi"/>
          <w:noProof/>
          <w:sz w:val="22"/>
          <w:lang w:eastAsia="en-AU"/>
        </w:rPr>
      </w:pPr>
      <w:hyperlink w:anchor="_Toc156213072" w:history="1">
        <w:r w:rsidR="00CC6E31" w:rsidRPr="00F77EA0">
          <w:rPr>
            <w:rStyle w:val="Hyperlink"/>
            <w:noProof/>
          </w:rPr>
          <w:t>13.2 Stage 2 – Applicant registration</w:t>
        </w:r>
        <w:r w:rsidR="00CC6E31">
          <w:rPr>
            <w:noProof/>
            <w:webHidden/>
          </w:rPr>
          <w:tab/>
        </w:r>
        <w:r w:rsidR="00CC6E31">
          <w:rPr>
            <w:noProof/>
            <w:webHidden/>
          </w:rPr>
          <w:fldChar w:fldCharType="begin"/>
        </w:r>
        <w:r w:rsidR="00CC6E31">
          <w:rPr>
            <w:noProof/>
            <w:webHidden/>
          </w:rPr>
          <w:instrText xml:space="preserve"> PAGEREF _Toc156213072 \h </w:instrText>
        </w:r>
        <w:r w:rsidR="00CC6E31">
          <w:rPr>
            <w:noProof/>
            <w:webHidden/>
          </w:rPr>
        </w:r>
        <w:r w:rsidR="00CC6E31">
          <w:rPr>
            <w:noProof/>
            <w:webHidden/>
          </w:rPr>
          <w:fldChar w:fldCharType="separate"/>
        </w:r>
        <w:r w:rsidR="00CC6E31">
          <w:rPr>
            <w:noProof/>
            <w:webHidden/>
          </w:rPr>
          <w:t>23</w:t>
        </w:r>
        <w:r w:rsidR="00CC6E31">
          <w:rPr>
            <w:noProof/>
            <w:webHidden/>
          </w:rPr>
          <w:fldChar w:fldCharType="end"/>
        </w:r>
      </w:hyperlink>
    </w:p>
    <w:p w14:paraId="47B51C48" w14:textId="77777777" w:rsidR="00CC6E31" w:rsidRDefault="00E228FE">
      <w:pPr>
        <w:pStyle w:val="TOC3"/>
        <w:rPr>
          <w:rFonts w:asciiTheme="minorHAnsi" w:eastAsiaTheme="minorEastAsia" w:hAnsiTheme="minorHAnsi"/>
          <w:noProof/>
          <w:sz w:val="22"/>
          <w:lang w:eastAsia="en-AU"/>
        </w:rPr>
      </w:pPr>
      <w:hyperlink w:anchor="_Toc156213073" w:history="1">
        <w:r w:rsidR="00CC6E31" w:rsidRPr="00F77EA0">
          <w:rPr>
            <w:rStyle w:val="Hyperlink"/>
            <w:noProof/>
          </w:rPr>
          <w:t>13.3 Stage 3 – Pre-application documentation</w:t>
        </w:r>
        <w:r w:rsidR="00CC6E31">
          <w:rPr>
            <w:noProof/>
            <w:webHidden/>
          </w:rPr>
          <w:tab/>
        </w:r>
        <w:r w:rsidR="00CC6E31">
          <w:rPr>
            <w:noProof/>
            <w:webHidden/>
          </w:rPr>
          <w:fldChar w:fldCharType="begin"/>
        </w:r>
        <w:r w:rsidR="00CC6E31">
          <w:rPr>
            <w:noProof/>
            <w:webHidden/>
          </w:rPr>
          <w:instrText xml:space="preserve"> PAGEREF _Toc156213073 \h </w:instrText>
        </w:r>
        <w:r w:rsidR="00CC6E31">
          <w:rPr>
            <w:noProof/>
            <w:webHidden/>
          </w:rPr>
        </w:r>
        <w:r w:rsidR="00CC6E31">
          <w:rPr>
            <w:noProof/>
            <w:webHidden/>
          </w:rPr>
          <w:fldChar w:fldCharType="separate"/>
        </w:r>
        <w:r w:rsidR="00CC6E31">
          <w:rPr>
            <w:noProof/>
            <w:webHidden/>
          </w:rPr>
          <w:t>23</w:t>
        </w:r>
        <w:r w:rsidR="00CC6E31">
          <w:rPr>
            <w:noProof/>
            <w:webHidden/>
          </w:rPr>
          <w:fldChar w:fldCharType="end"/>
        </w:r>
      </w:hyperlink>
    </w:p>
    <w:p w14:paraId="0A0ADCA9" w14:textId="77777777" w:rsidR="00CC6E31" w:rsidRDefault="00E228FE">
      <w:pPr>
        <w:pStyle w:val="TOC3"/>
        <w:rPr>
          <w:rFonts w:asciiTheme="minorHAnsi" w:eastAsiaTheme="minorEastAsia" w:hAnsiTheme="minorHAnsi"/>
          <w:noProof/>
          <w:sz w:val="22"/>
          <w:lang w:eastAsia="en-AU"/>
        </w:rPr>
      </w:pPr>
      <w:hyperlink w:anchor="_Toc156213074" w:history="1">
        <w:r w:rsidR="00CC6E31" w:rsidRPr="00F77EA0">
          <w:rPr>
            <w:rStyle w:val="Hyperlink"/>
            <w:noProof/>
          </w:rPr>
          <w:t>13.4 Stage 4 – Preparing and submitting applications</w:t>
        </w:r>
        <w:r w:rsidR="00CC6E31">
          <w:rPr>
            <w:noProof/>
            <w:webHidden/>
          </w:rPr>
          <w:tab/>
        </w:r>
        <w:r w:rsidR="00CC6E31">
          <w:rPr>
            <w:noProof/>
            <w:webHidden/>
          </w:rPr>
          <w:fldChar w:fldCharType="begin"/>
        </w:r>
        <w:r w:rsidR="00CC6E31">
          <w:rPr>
            <w:noProof/>
            <w:webHidden/>
          </w:rPr>
          <w:instrText xml:space="preserve"> PAGEREF _Toc156213074 \h </w:instrText>
        </w:r>
        <w:r w:rsidR="00CC6E31">
          <w:rPr>
            <w:noProof/>
            <w:webHidden/>
          </w:rPr>
        </w:r>
        <w:r w:rsidR="00CC6E31">
          <w:rPr>
            <w:noProof/>
            <w:webHidden/>
          </w:rPr>
          <w:fldChar w:fldCharType="separate"/>
        </w:r>
        <w:r w:rsidR="00CC6E31">
          <w:rPr>
            <w:noProof/>
            <w:webHidden/>
          </w:rPr>
          <w:t>24</w:t>
        </w:r>
        <w:r w:rsidR="00CC6E31">
          <w:rPr>
            <w:noProof/>
            <w:webHidden/>
          </w:rPr>
          <w:fldChar w:fldCharType="end"/>
        </w:r>
      </w:hyperlink>
    </w:p>
    <w:p w14:paraId="5DC00573" w14:textId="77777777" w:rsidR="00CC6E31" w:rsidRDefault="00E228FE">
      <w:pPr>
        <w:pStyle w:val="TOC3"/>
        <w:rPr>
          <w:rFonts w:asciiTheme="minorHAnsi" w:eastAsiaTheme="minorEastAsia" w:hAnsiTheme="minorHAnsi"/>
          <w:noProof/>
          <w:sz w:val="22"/>
          <w:lang w:eastAsia="en-AU"/>
        </w:rPr>
      </w:pPr>
      <w:hyperlink w:anchor="_Toc156213075" w:history="1">
        <w:r w:rsidR="00CC6E31" w:rsidRPr="00F77EA0">
          <w:rPr>
            <w:rStyle w:val="Hyperlink"/>
            <w:noProof/>
          </w:rPr>
          <w:t>13.5 Stage 5 – Assessment of Applications</w:t>
        </w:r>
        <w:r w:rsidR="00CC6E31">
          <w:rPr>
            <w:noProof/>
            <w:webHidden/>
          </w:rPr>
          <w:tab/>
        </w:r>
        <w:r w:rsidR="00CC6E31">
          <w:rPr>
            <w:noProof/>
            <w:webHidden/>
          </w:rPr>
          <w:fldChar w:fldCharType="begin"/>
        </w:r>
        <w:r w:rsidR="00CC6E31">
          <w:rPr>
            <w:noProof/>
            <w:webHidden/>
          </w:rPr>
          <w:instrText xml:space="preserve"> PAGEREF _Toc156213075 \h </w:instrText>
        </w:r>
        <w:r w:rsidR="00CC6E31">
          <w:rPr>
            <w:noProof/>
            <w:webHidden/>
          </w:rPr>
        </w:r>
        <w:r w:rsidR="00CC6E31">
          <w:rPr>
            <w:noProof/>
            <w:webHidden/>
          </w:rPr>
          <w:fldChar w:fldCharType="separate"/>
        </w:r>
        <w:r w:rsidR="00CC6E31">
          <w:rPr>
            <w:noProof/>
            <w:webHidden/>
          </w:rPr>
          <w:t>24</w:t>
        </w:r>
        <w:r w:rsidR="00CC6E31">
          <w:rPr>
            <w:noProof/>
            <w:webHidden/>
          </w:rPr>
          <w:fldChar w:fldCharType="end"/>
        </w:r>
      </w:hyperlink>
    </w:p>
    <w:p w14:paraId="2A9E069D" w14:textId="77777777" w:rsidR="00CC6E31" w:rsidRDefault="00E228FE">
      <w:pPr>
        <w:pStyle w:val="TOC3"/>
        <w:rPr>
          <w:rFonts w:asciiTheme="minorHAnsi" w:eastAsiaTheme="minorEastAsia" w:hAnsiTheme="minorHAnsi"/>
          <w:noProof/>
          <w:sz w:val="22"/>
          <w:lang w:eastAsia="en-AU"/>
        </w:rPr>
      </w:pPr>
      <w:hyperlink w:anchor="_Toc156213076" w:history="1">
        <w:r w:rsidR="00CC6E31" w:rsidRPr="00F77EA0">
          <w:rPr>
            <w:rStyle w:val="Hyperlink"/>
            <w:noProof/>
          </w:rPr>
          <w:t>13.6 Stage 6 – Negotiation of Grant Agreements</w:t>
        </w:r>
        <w:r w:rsidR="00CC6E31">
          <w:rPr>
            <w:noProof/>
            <w:webHidden/>
          </w:rPr>
          <w:tab/>
        </w:r>
        <w:r w:rsidR="00CC6E31">
          <w:rPr>
            <w:noProof/>
            <w:webHidden/>
          </w:rPr>
          <w:fldChar w:fldCharType="begin"/>
        </w:r>
        <w:r w:rsidR="00CC6E31">
          <w:rPr>
            <w:noProof/>
            <w:webHidden/>
          </w:rPr>
          <w:instrText xml:space="preserve"> PAGEREF _Toc156213076 \h </w:instrText>
        </w:r>
        <w:r w:rsidR="00CC6E31">
          <w:rPr>
            <w:noProof/>
            <w:webHidden/>
          </w:rPr>
        </w:r>
        <w:r w:rsidR="00CC6E31">
          <w:rPr>
            <w:noProof/>
            <w:webHidden/>
          </w:rPr>
          <w:fldChar w:fldCharType="separate"/>
        </w:r>
        <w:r w:rsidR="00CC6E31">
          <w:rPr>
            <w:noProof/>
            <w:webHidden/>
          </w:rPr>
          <w:t>24</w:t>
        </w:r>
        <w:r w:rsidR="00CC6E31">
          <w:rPr>
            <w:noProof/>
            <w:webHidden/>
          </w:rPr>
          <w:fldChar w:fldCharType="end"/>
        </w:r>
      </w:hyperlink>
    </w:p>
    <w:p w14:paraId="0B7075DA" w14:textId="77777777" w:rsidR="00CC6E31" w:rsidRDefault="00E228FE">
      <w:pPr>
        <w:pStyle w:val="TOC3"/>
        <w:rPr>
          <w:rFonts w:asciiTheme="minorHAnsi" w:eastAsiaTheme="minorEastAsia" w:hAnsiTheme="minorHAnsi"/>
          <w:noProof/>
          <w:sz w:val="22"/>
          <w:lang w:eastAsia="en-AU"/>
        </w:rPr>
      </w:pPr>
      <w:hyperlink w:anchor="_Toc156213077" w:history="1">
        <w:r w:rsidR="00CC6E31" w:rsidRPr="00F77EA0">
          <w:rPr>
            <w:rStyle w:val="Hyperlink"/>
            <w:noProof/>
          </w:rPr>
          <w:t>13.7 Stage 7 – Grantees advised of outcomes and funding arrangements finalised</w:t>
        </w:r>
        <w:r w:rsidR="00CC6E31">
          <w:rPr>
            <w:noProof/>
            <w:webHidden/>
          </w:rPr>
          <w:tab/>
        </w:r>
        <w:r w:rsidR="00CC6E31">
          <w:rPr>
            <w:noProof/>
            <w:webHidden/>
          </w:rPr>
          <w:fldChar w:fldCharType="begin"/>
        </w:r>
        <w:r w:rsidR="00CC6E31">
          <w:rPr>
            <w:noProof/>
            <w:webHidden/>
          </w:rPr>
          <w:instrText xml:space="preserve"> PAGEREF _Toc156213077 \h </w:instrText>
        </w:r>
        <w:r w:rsidR="00CC6E31">
          <w:rPr>
            <w:noProof/>
            <w:webHidden/>
          </w:rPr>
        </w:r>
        <w:r w:rsidR="00CC6E31">
          <w:rPr>
            <w:noProof/>
            <w:webHidden/>
          </w:rPr>
          <w:fldChar w:fldCharType="separate"/>
        </w:r>
        <w:r w:rsidR="00CC6E31">
          <w:rPr>
            <w:noProof/>
            <w:webHidden/>
          </w:rPr>
          <w:t>24</w:t>
        </w:r>
        <w:r w:rsidR="00CC6E31">
          <w:rPr>
            <w:noProof/>
            <w:webHidden/>
          </w:rPr>
          <w:fldChar w:fldCharType="end"/>
        </w:r>
      </w:hyperlink>
    </w:p>
    <w:p w14:paraId="7465E43D" w14:textId="77777777" w:rsidR="00CC6E31" w:rsidRDefault="00E228FE">
      <w:pPr>
        <w:pStyle w:val="TOC3"/>
        <w:rPr>
          <w:rFonts w:asciiTheme="minorHAnsi" w:eastAsiaTheme="minorEastAsia" w:hAnsiTheme="minorHAnsi"/>
          <w:noProof/>
          <w:sz w:val="22"/>
          <w:lang w:eastAsia="en-AU"/>
        </w:rPr>
      </w:pPr>
      <w:hyperlink w:anchor="_Toc156213078" w:history="1">
        <w:r w:rsidR="00CC6E31" w:rsidRPr="00F77EA0">
          <w:rPr>
            <w:rStyle w:val="Hyperlink"/>
            <w:noProof/>
          </w:rPr>
          <w:t>13.8 Stage 8 – Grantees and locations announced</w:t>
        </w:r>
        <w:r w:rsidR="00CC6E31">
          <w:rPr>
            <w:noProof/>
            <w:webHidden/>
          </w:rPr>
          <w:tab/>
        </w:r>
        <w:r w:rsidR="00CC6E31">
          <w:rPr>
            <w:noProof/>
            <w:webHidden/>
          </w:rPr>
          <w:fldChar w:fldCharType="begin"/>
        </w:r>
        <w:r w:rsidR="00CC6E31">
          <w:rPr>
            <w:noProof/>
            <w:webHidden/>
          </w:rPr>
          <w:instrText xml:space="preserve"> PAGEREF _Toc156213078 \h </w:instrText>
        </w:r>
        <w:r w:rsidR="00CC6E31">
          <w:rPr>
            <w:noProof/>
            <w:webHidden/>
          </w:rPr>
        </w:r>
        <w:r w:rsidR="00CC6E31">
          <w:rPr>
            <w:noProof/>
            <w:webHidden/>
          </w:rPr>
          <w:fldChar w:fldCharType="separate"/>
        </w:r>
        <w:r w:rsidR="00CC6E31">
          <w:rPr>
            <w:noProof/>
            <w:webHidden/>
          </w:rPr>
          <w:t>25</w:t>
        </w:r>
        <w:r w:rsidR="00CC6E31">
          <w:rPr>
            <w:noProof/>
            <w:webHidden/>
          </w:rPr>
          <w:fldChar w:fldCharType="end"/>
        </w:r>
      </w:hyperlink>
    </w:p>
    <w:p w14:paraId="03F1F345" w14:textId="77777777" w:rsidR="00CC6E31" w:rsidRDefault="00E228FE">
      <w:pPr>
        <w:pStyle w:val="TOC3"/>
        <w:rPr>
          <w:rFonts w:asciiTheme="minorHAnsi" w:eastAsiaTheme="minorEastAsia" w:hAnsiTheme="minorHAnsi"/>
          <w:noProof/>
          <w:sz w:val="22"/>
          <w:lang w:eastAsia="en-AU"/>
        </w:rPr>
      </w:pPr>
      <w:hyperlink w:anchor="_Toc156213079" w:history="1">
        <w:r w:rsidR="00CC6E31" w:rsidRPr="00F77EA0">
          <w:rPr>
            <w:rStyle w:val="Hyperlink"/>
            <w:noProof/>
          </w:rPr>
          <w:t>13.9 Stage 9 – Co-location negotiations</w:t>
        </w:r>
        <w:r w:rsidR="00CC6E31">
          <w:rPr>
            <w:noProof/>
            <w:webHidden/>
          </w:rPr>
          <w:tab/>
        </w:r>
        <w:r w:rsidR="00CC6E31">
          <w:rPr>
            <w:noProof/>
            <w:webHidden/>
          </w:rPr>
          <w:fldChar w:fldCharType="begin"/>
        </w:r>
        <w:r w:rsidR="00CC6E31">
          <w:rPr>
            <w:noProof/>
            <w:webHidden/>
          </w:rPr>
          <w:instrText xml:space="preserve"> PAGEREF _Toc156213079 \h </w:instrText>
        </w:r>
        <w:r w:rsidR="00CC6E31">
          <w:rPr>
            <w:noProof/>
            <w:webHidden/>
          </w:rPr>
        </w:r>
        <w:r w:rsidR="00CC6E31">
          <w:rPr>
            <w:noProof/>
            <w:webHidden/>
          </w:rPr>
          <w:fldChar w:fldCharType="separate"/>
        </w:r>
        <w:r w:rsidR="00CC6E31">
          <w:rPr>
            <w:noProof/>
            <w:webHidden/>
          </w:rPr>
          <w:t>25</w:t>
        </w:r>
        <w:r w:rsidR="00CC6E31">
          <w:rPr>
            <w:noProof/>
            <w:webHidden/>
          </w:rPr>
          <w:fldChar w:fldCharType="end"/>
        </w:r>
      </w:hyperlink>
    </w:p>
    <w:p w14:paraId="740E6253" w14:textId="77777777" w:rsidR="00CC6E31" w:rsidRDefault="00E228FE">
      <w:pPr>
        <w:pStyle w:val="TOC3"/>
        <w:rPr>
          <w:rFonts w:asciiTheme="minorHAnsi" w:eastAsiaTheme="minorEastAsia" w:hAnsiTheme="minorHAnsi"/>
          <w:noProof/>
          <w:sz w:val="22"/>
          <w:lang w:eastAsia="en-AU"/>
        </w:rPr>
      </w:pPr>
      <w:hyperlink w:anchor="_Toc156213080" w:history="1">
        <w:r w:rsidR="00CC6E31" w:rsidRPr="00F77EA0">
          <w:rPr>
            <w:rStyle w:val="Hyperlink"/>
            <w:noProof/>
          </w:rPr>
          <w:t>13.10 Stage 10 – Date of Rollout Completion</w:t>
        </w:r>
        <w:r w:rsidR="00CC6E31">
          <w:rPr>
            <w:noProof/>
            <w:webHidden/>
          </w:rPr>
          <w:tab/>
        </w:r>
        <w:r w:rsidR="00CC6E31">
          <w:rPr>
            <w:noProof/>
            <w:webHidden/>
          </w:rPr>
          <w:fldChar w:fldCharType="begin"/>
        </w:r>
        <w:r w:rsidR="00CC6E31">
          <w:rPr>
            <w:noProof/>
            <w:webHidden/>
          </w:rPr>
          <w:instrText xml:space="preserve"> PAGEREF _Toc156213080 \h </w:instrText>
        </w:r>
        <w:r w:rsidR="00CC6E31">
          <w:rPr>
            <w:noProof/>
            <w:webHidden/>
          </w:rPr>
        </w:r>
        <w:r w:rsidR="00CC6E31">
          <w:rPr>
            <w:noProof/>
            <w:webHidden/>
          </w:rPr>
          <w:fldChar w:fldCharType="separate"/>
        </w:r>
        <w:r w:rsidR="00CC6E31">
          <w:rPr>
            <w:noProof/>
            <w:webHidden/>
          </w:rPr>
          <w:t>25</w:t>
        </w:r>
        <w:r w:rsidR="00CC6E31">
          <w:rPr>
            <w:noProof/>
            <w:webHidden/>
          </w:rPr>
          <w:fldChar w:fldCharType="end"/>
        </w:r>
      </w:hyperlink>
    </w:p>
    <w:p w14:paraId="66DEF632" w14:textId="77777777" w:rsidR="00CC6E31" w:rsidRDefault="00E228FE">
      <w:pPr>
        <w:pStyle w:val="TOC1"/>
        <w:rPr>
          <w:rFonts w:asciiTheme="minorHAnsi" w:eastAsiaTheme="minorEastAsia" w:hAnsiTheme="minorHAnsi"/>
          <w:b w:val="0"/>
          <w:noProof/>
          <w:color w:val="auto"/>
          <w:u w:val="none"/>
          <w:lang w:eastAsia="en-AU"/>
        </w:rPr>
      </w:pPr>
      <w:hyperlink w:anchor="_Toc156213081" w:history="1">
        <w:r w:rsidR="00CC6E31" w:rsidRPr="00F77EA0">
          <w:rPr>
            <w:rStyle w:val="Hyperlink"/>
            <w:noProof/>
          </w:rPr>
          <w:t>Part E – Additional information</w:t>
        </w:r>
        <w:r w:rsidR="00CC6E31">
          <w:rPr>
            <w:noProof/>
            <w:webHidden/>
          </w:rPr>
          <w:tab/>
        </w:r>
        <w:r w:rsidR="00CC6E31">
          <w:rPr>
            <w:noProof/>
            <w:webHidden/>
          </w:rPr>
          <w:fldChar w:fldCharType="begin"/>
        </w:r>
        <w:r w:rsidR="00CC6E31">
          <w:rPr>
            <w:noProof/>
            <w:webHidden/>
          </w:rPr>
          <w:instrText xml:space="preserve"> PAGEREF _Toc156213081 \h </w:instrText>
        </w:r>
        <w:r w:rsidR="00CC6E31">
          <w:rPr>
            <w:noProof/>
            <w:webHidden/>
          </w:rPr>
        </w:r>
        <w:r w:rsidR="00CC6E31">
          <w:rPr>
            <w:noProof/>
            <w:webHidden/>
          </w:rPr>
          <w:fldChar w:fldCharType="separate"/>
        </w:r>
        <w:r w:rsidR="00CC6E31">
          <w:rPr>
            <w:noProof/>
            <w:webHidden/>
          </w:rPr>
          <w:t>26</w:t>
        </w:r>
        <w:r w:rsidR="00CC6E31">
          <w:rPr>
            <w:noProof/>
            <w:webHidden/>
          </w:rPr>
          <w:fldChar w:fldCharType="end"/>
        </w:r>
      </w:hyperlink>
    </w:p>
    <w:p w14:paraId="1297D9AC" w14:textId="77777777" w:rsidR="00CC6E31" w:rsidRDefault="00E228FE">
      <w:pPr>
        <w:pStyle w:val="TOC2"/>
        <w:rPr>
          <w:rFonts w:asciiTheme="minorHAnsi" w:eastAsiaTheme="minorEastAsia" w:hAnsiTheme="minorHAnsi"/>
          <w:noProof/>
          <w:sz w:val="22"/>
          <w:lang w:eastAsia="en-AU"/>
        </w:rPr>
      </w:pPr>
      <w:hyperlink w:anchor="_Toc156213082" w:history="1">
        <w:r w:rsidR="00CC6E31" w:rsidRPr="00F77EA0">
          <w:rPr>
            <w:rStyle w:val="Hyperlink"/>
            <w:noProof/>
          </w:rPr>
          <w:t>14. Process Terms</w:t>
        </w:r>
        <w:r w:rsidR="00CC6E31">
          <w:rPr>
            <w:noProof/>
            <w:webHidden/>
          </w:rPr>
          <w:tab/>
        </w:r>
        <w:r w:rsidR="00CC6E31">
          <w:rPr>
            <w:noProof/>
            <w:webHidden/>
          </w:rPr>
          <w:fldChar w:fldCharType="begin"/>
        </w:r>
        <w:r w:rsidR="00CC6E31">
          <w:rPr>
            <w:noProof/>
            <w:webHidden/>
          </w:rPr>
          <w:instrText xml:space="preserve"> PAGEREF _Toc156213082 \h </w:instrText>
        </w:r>
        <w:r w:rsidR="00CC6E31">
          <w:rPr>
            <w:noProof/>
            <w:webHidden/>
          </w:rPr>
        </w:r>
        <w:r w:rsidR="00CC6E31">
          <w:rPr>
            <w:noProof/>
            <w:webHidden/>
          </w:rPr>
          <w:fldChar w:fldCharType="separate"/>
        </w:r>
        <w:r w:rsidR="00CC6E31">
          <w:rPr>
            <w:noProof/>
            <w:webHidden/>
          </w:rPr>
          <w:t>26</w:t>
        </w:r>
        <w:r w:rsidR="00CC6E31">
          <w:rPr>
            <w:noProof/>
            <w:webHidden/>
          </w:rPr>
          <w:fldChar w:fldCharType="end"/>
        </w:r>
      </w:hyperlink>
    </w:p>
    <w:p w14:paraId="66865879" w14:textId="77777777" w:rsidR="00CC6E31" w:rsidRDefault="00E228FE">
      <w:pPr>
        <w:pStyle w:val="TOC3"/>
        <w:rPr>
          <w:rFonts w:asciiTheme="minorHAnsi" w:eastAsiaTheme="minorEastAsia" w:hAnsiTheme="minorHAnsi"/>
          <w:noProof/>
          <w:sz w:val="22"/>
          <w:lang w:eastAsia="en-AU"/>
        </w:rPr>
      </w:pPr>
      <w:hyperlink w:anchor="_Toc156213083" w:history="1">
        <w:r w:rsidR="00CC6E31" w:rsidRPr="00F77EA0">
          <w:rPr>
            <w:rStyle w:val="Hyperlink"/>
            <w:noProof/>
          </w:rPr>
          <w:t>14.1 Accountability and probity</w:t>
        </w:r>
        <w:r w:rsidR="00CC6E31">
          <w:rPr>
            <w:noProof/>
            <w:webHidden/>
          </w:rPr>
          <w:tab/>
        </w:r>
        <w:r w:rsidR="00CC6E31">
          <w:rPr>
            <w:noProof/>
            <w:webHidden/>
          </w:rPr>
          <w:fldChar w:fldCharType="begin"/>
        </w:r>
        <w:r w:rsidR="00CC6E31">
          <w:rPr>
            <w:noProof/>
            <w:webHidden/>
          </w:rPr>
          <w:instrText xml:space="preserve"> PAGEREF _Toc156213083 \h </w:instrText>
        </w:r>
        <w:r w:rsidR="00CC6E31">
          <w:rPr>
            <w:noProof/>
            <w:webHidden/>
          </w:rPr>
        </w:r>
        <w:r w:rsidR="00CC6E31">
          <w:rPr>
            <w:noProof/>
            <w:webHidden/>
          </w:rPr>
          <w:fldChar w:fldCharType="separate"/>
        </w:r>
        <w:r w:rsidR="00CC6E31">
          <w:rPr>
            <w:noProof/>
            <w:webHidden/>
          </w:rPr>
          <w:t>26</w:t>
        </w:r>
        <w:r w:rsidR="00CC6E31">
          <w:rPr>
            <w:noProof/>
            <w:webHidden/>
          </w:rPr>
          <w:fldChar w:fldCharType="end"/>
        </w:r>
      </w:hyperlink>
    </w:p>
    <w:p w14:paraId="4AFD149D" w14:textId="77777777" w:rsidR="00CC6E31" w:rsidRDefault="00E228FE">
      <w:pPr>
        <w:pStyle w:val="TOC3"/>
        <w:rPr>
          <w:rFonts w:asciiTheme="minorHAnsi" w:eastAsiaTheme="minorEastAsia" w:hAnsiTheme="minorHAnsi"/>
          <w:noProof/>
          <w:sz w:val="22"/>
          <w:lang w:eastAsia="en-AU"/>
        </w:rPr>
      </w:pPr>
      <w:hyperlink w:anchor="_Toc156213084" w:history="1">
        <w:r w:rsidR="00CC6E31" w:rsidRPr="00F77EA0">
          <w:rPr>
            <w:rStyle w:val="Hyperlink"/>
            <w:noProof/>
          </w:rPr>
          <w:t>14.2 Costs</w:t>
        </w:r>
        <w:r w:rsidR="00CC6E31">
          <w:rPr>
            <w:noProof/>
            <w:webHidden/>
          </w:rPr>
          <w:tab/>
        </w:r>
        <w:r w:rsidR="00CC6E31">
          <w:rPr>
            <w:noProof/>
            <w:webHidden/>
          </w:rPr>
          <w:fldChar w:fldCharType="begin"/>
        </w:r>
        <w:r w:rsidR="00CC6E31">
          <w:rPr>
            <w:noProof/>
            <w:webHidden/>
          </w:rPr>
          <w:instrText xml:space="preserve"> PAGEREF _Toc156213084 \h </w:instrText>
        </w:r>
        <w:r w:rsidR="00CC6E31">
          <w:rPr>
            <w:noProof/>
            <w:webHidden/>
          </w:rPr>
        </w:r>
        <w:r w:rsidR="00CC6E31">
          <w:rPr>
            <w:noProof/>
            <w:webHidden/>
          </w:rPr>
          <w:fldChar w:fldCharType="separate"/>
        </w:r>
        <w:r w:rsidR="00CC6E31">
          <w:rPr>
            <w:noProof/>
            <w:webHidden/>
          </w:rPr>
          <w:t>26</w:t>
        </w:r>
        <w:r w:rsidR="00CC6E31">
          <w:rPr>
            <w:noProof/>
            <w:webHidden/>
          </w:rPr>
          <w:fldChar w:fldCharType="end"/>
        </w:r>
      </w:hyperlink>
    </w:p>
    <w:p w14:paraId="6A0CB222" w14:textId="77777777" w:rsidR="00CC6E31" w:rsidRDefault="00E228FE">
      <w:pPr>
        <w:pStyle w:val="TOC3"/>
        <w:rPr>
          <w:rFonts w:asciiTheme="minorHAnsi" w:eastAsiaTheme="minorEastAsia" w:hAnsiTheme="minorHAnsi"/>
          <w:noProof/>
          <w:sz w:val="22"/>
          <w:lang w:eastAsia="en-AU"/>
        </w:rPr>
      </w:pPr>
      <w:hyperlink w:anchor="_Toc156213085" w:history="1">
        <w:r w:rsidR="00CC6E31" w:rsidRPr="00F77EA0">
          <w:rPr>
            <w:rStyle w:val="Hyperlink"/>
            <w:noProof/>
          </w:rPr>
          <w:t>14.3 Right to vary the Program</w:t>
        </w:r>
        <w:r w:rsidR="00CC6E31">
          <w:rPr>
            <w:noProof/>
            <w:webHidden/>
          </w:rPr>
          <w:tab/>
        </w:r>
        <w:r w:rsidR="00CC6E31">
          <w:rPr>
            <w:noProof/>
            <w:webHidden/>
          </w:rPr>
          <w:fldChar w:fldCharType="begin"/>
        </w:r>
        <w:r w:rsidR="00CC6E31">
          <w:rPr>
            <w:noProof/>
            <w:webHidden/>
          </w:rPr>
          <w:instrText xml:space="preserve"> PAGEREF _Toc156213085 \h </w:instrText>
        </w:r>
        <w:r w:rsidR="00CC6E31">
          <w:rPr>
            <w:noProof/>
            <w:webHidden/>
          </w:rPr>
        </w:r>
        <w:r w:rsidR="00CC6E31">
          <w:rPr>
            <w:noProof/>
            <w:webHidden/>
          </w:rPr>
          <w:fldChar w:fldCharType="separate"/>
        </w:r>
        <w:r w:rsidR="00CC6E31">
          <w:rPr>
            <w:noProof/>
            <w:webHidden/>
          </w:rPr>
          <w:t>26</w:t>
        </w:r>
        <w:r w:rsidR="00CC6E31">
          <w:rPr>
            <w:noProof/>
            <w:webHidden/>
          </w:rPr>
          <w:fldChar w:fldCharType="end"/>
        </w:r>
      </w:hyperlink>
    </w:p>
    <w:p w14:paraId="041AC029" w14:textId="77777777" w:rsidR="00CC6E31" w:rsidRDefault="00E228FE">
      <w:pPr>
        <w:pStyle w:val="TOC3"/>
        <w:rPr>
          <w:rFonts w:asciiTheme="minorHAnsi" w:eastAsiaTheme="minorEastAsia" w:hAnsiTheme="minorHAnsi"/>
          <w:noProof/>
          <w:sz w:val="22"/>
          <w:lang w:eastAsia="en-AU"/>
        </w:rPr>
      </w:pPr>
      <w:hyperlink w:anchor="_Toc156213086" w:history="1">
        <w:r w:rsidR="00CC6E31" w:rsidRPr="00F77EA0">
          <w:rPr>
            <w:rStyle w:val="Hyperlink"/>
            <w:noProof/>
          </w:rPr>
          <w:t>14.4 Clarifications</w:t>
        </w:r>
        <w:r w:rsidR="00CC6E31">
          <w:rPr>
            <w:noProof/>
            <w:webHidden/>
          </w:rPr>
          <w:tab/>
        </w:r>
        <w:r w:rsidR="00CC6E31">
          <w:rPr>
            <w:noProof/>
            <w:webHidden/>
          </w:rPr>
          <w:fldChar w:fldCharType="begin"/>
        </w:r>
        <w:r w:rsidR="00CC6E31">
          <w:rPr>
            <w:noProof/>
            <w:webHidden/>
          </w:rPr>
          <w:instrText xml:space="preserve"> PAGEREF _Toc156213086 \h </w:instrText>
        </w:r>
        <w:r w:rsidR="00CC6E31">
          <w:rPr>
            <w:noProof/>
            <w:webHidden/>
          </w:rPr>
        </w:r>
        <w:r w:rsidR="00CC6E31">
          <w:rPr>
            <w:noProof/>
            <w:webHidden/>
          </w:rPr>
          <w:fldChar w:fldCharType="separate"/>
        </w:r>
        <w:r w:rsidR="00CC6E31">
          <w:rPr>
            <w:noProof/>
            <w:webHidden/>
          </w:rPr>
          <w:t>27</w:t>
        </w:r>
        <w:r w:rsidR="00CC6E31">
          <w:rPr>
            <w:noProof/>
            <w:webHidden/>
          </w:rPr>
          <w:fldChar w:fldCharType="end"/>
        </w:r>
      </w:hyperlink>
    </w:p>
    <w:p w14:paraId="114A9766" w14:textId="77777777" w:rsidR="00CC6E31" w:rsidRDefault="00E228FE">
      <w:pPr>
        <w:pStyle w:val="TOC3"/>
        <w:rPr>
          <w:rFonts w:asciiTheme="minorHAnsi" w:eastAsiaTheme="minorEastAsia" w:hAnsiTheme="minorHAnsi"/>
          <w:noProof/>
          <w:sz w:val="22"/>
          <w:lang w:eastAsia="en-AU"/>
        </w:rPr>
      </w:pPr>
      <w:hyperlink w:anchor="_Toc156213087" w:history="1">
        <w:r w:rsidR="00CC6E31" w:rsidRPr="00F77EA0">
          <w:rPr>
            <w:rStyle w:val="Hyperlink"/>
            <w:noProof/>
          </w:rPr>
          <w:t>14.5 Background checks</w:t>
        </w:r>
        <w:r w:rsidR="00CC6E31">
          <w:rPr>
            <w:noProof/>
            <w:webHidden/>
          </w:rPr>
          <w:tab/>
        </w:r>
        <w:r w:rsidR="00CC6E31">
          <w:rPr>
            <w:noProof/>
            <w:webHidden/>
          </w:rPr>
          <w:fldChar w:fldCharType="begin"/>
        </w:r>
        <w:r w:rsidR="00CC6E31">
          <w:rPr>
            <w:noProof/>
            <w:webHidden/>
          </w:rPr>
          <w:instrText xml:space="preserve"> PAGEREF _Toc156213087 \h </w:instrText>
        </w:r>
        <w:r w:rsidR="00CC6E31">
          <w:rPr>
            <w:noProof/>
            <w:webHidden/>
          </w:rPr>
        </w:r>
        <w:r w:rsidR="00CC6E31">
          <w:rPr>
            <w:noProof/>
            <w:webHidden/>
          </w:rPr>
          <w:fldChar w:fldCharType="separate"/>
        </w:r>
        <w:r w:rsidR="00CC6E31">
          <w:rPr>
            <w:noProof/>
            <w:webHidden/>
          </w:rPr>
          <w:t>27</w:t>
        </w:r>
        <w:r w:rsidR="00CC6E31">
          <w:rPr>
            <w:noProof/>
            <w:webHidden/>
          </w:rPr>
          <w:fldChar w:fldCharType="end"/>
        </w:r>
      </w:hyperlink>
    </w:p>
    <w:p w14:paraId="759EE7DD" w14:textId="77777777" w:rsidR="00CC6E31" w:rsidRDefault="00E228FE">
      <w:pPr>
        <w:pStyle w:val="TOC3"/>
        <w:rPr>
          <w:rFonts w:asciiTheme="minorHAnsi" w:eastAsiaTheme="minorEastAsia" w:hAnsiTheme="minorHAnsi"/>
          <w:noProof/>
          <w:sz w:val="22"/>
          <w:lang w:eastAsia="en-AU"/>
        </w:rPr>
      </w:pPr>
      <w:hyperlink w:anchor="_Toc156213088" w:history="1">
        <w:r w:rsidR="00CC6E31" w:rsidRPr="00F77EA0">
          <w:rPr>
            <w:rStyle w:val="Hyperlink"/>
            <w:noProof/>
          </w:rPr>
          <w:t>14.6 Confidentiality</w:t>
        </w:r>
        <w:r w:rsidR="00CC6E31">
          <w:rPr>
            <w:noProof/>
            <w:webHidden/>
          </w:rPr>
          <w:tab/>
        </w:r>
        <w:r w:rsidR="00CC6E31">
          <w:rPr>
            <w:noProof/>
            <w:webHidden/>
          </w:rPr>
          <w:fldChar w:fldCharType="begin"/>
        </w:r>
        <w:r w:rsidR="00CC6E31">
          <w:rPr>
            <w:noProof/>
            <w:webHidden/>
          </w:rPr>
          <w:instrText xml:space="preserve"> PAGEREF _Toc156213088 \h </w:instrText>
        </w:r>
        <w:r w:rsidR="00CC6E31">
          <w:rPr>
            <w:noProof/>
            <w:webHidden/>
          </w:rPr>
        </w:r>
        <w:r w:rsidR="00CC6E31">
          <w:rPr>
            <w:noProof/>
            <w:webHidden/>
          </w:rPr>
          <w:fldChar w:fldCharType="separate"/>
        </w:r>
        <w:r w:rsidR="00CC6E31">
          <w:rPr>
            <w:noProof/>
            <w:webHidden/>
          </w:rPr>
          <w:t>27</w:t>
        </w:r>
        <w:r w:rsidR="00CC6E31">
          <w:rPr>
            <w:noProof/>
            <w:webHidden/>
          </w:rPr>
          <w:fldChar w:fldCharType="end"/>
        </w:r>
      </w:hyperlink>
    </w:p>
    <w:p w14:paraId="6C31F1E2" w14:textId="77777777" w:rsidR="00CC6E31" w:rsidRDefault="00E228FE">
      <w:pPr>
        <w:pStyle w:val="TOC3"/>
        <w:rPr>
          <w:rFonts w:asciiTheme="minorHAnsi" w:eastAsiaTheme="minorEastAsia" w:hAnsiTheme="minorHAnsi"/>
          <w:noProof/>
          <w:sz w:val="22"/>
          <w:lang w:eastAsia="en-AU"/>
        </w:rPr>
      </w:pPr>
      <w:hyperlink w:anchor="_Toc156213089" w:history="1">
        <w:r w:rsidR="00CC6E31" w:rsidRPr="00F77EA0">
          <w:rPr>
            <w:rStyle w:val="Hyperlink"/>
            <w:noProof/>
          </w:rPr>
          <w:t>14.7 Intellectual Property rights</w:t>
        </w:r>
        <w:r w:rsidR="00CC6E31">
          <w:rPr>
            <w:noProof/>
            <w:webHidden/>
          </w:rPr>
          <w:tab/>
        </w:r>
        <w:r w:rsidR="00CC6E31">
          <w:rPr>
            <w:noProof/>
            <w:webHidden/>
          </w:rPr>
          <w:fldChar w:fldCharType="begin"/>
        </w:r>
        <w:r w:rsidR="00CC6E31">
          <w:rPr>
            <w:noProof/>
            <w:webHidden/>
          </w:rPr>
          <w:instrText xml:space="preserve"> PAGEREF _Toc156213089 \h </w:instrText>
        </w:r>
        <w:r w:rsidR="00CC6E31">
          <w:rPr>
            <w:noProof/>
            <w:webHidden/>
          </w:rPr>
        </w:r>
        <w:r w:rsidR="00CC6E31">
          <w:rPr>
            <w:noProof/>
            <w:webHidden/>
          </w:rPr>
          <w:fldChar w:fldCharType="separate"/>
        </w:r>
        <w:r w:rsidR="00CC6E31">
          <w:rPr>
            <w:noProof/>
            <w:webHidden/>
          </w:rPr>
          <w:t>28</w:t>
        </w:r>
        <w:r w:rsidR="00CC6E31">
          <w:rPr>
            <w:noProof/>
            <w:webHidden/>
          </w:rPr>
          <w:fldChar w:fldCharType="end"/>
        </w:r>
      </w:hyperlink>
    </w:p>
    <w:p w14:paraId="53195AD2" w14:textId="77777777" w:rsidR="00CC6E31" w:rsidRDefault="00E228FE">
      <w:pPr>
        <w:pStyle w:val="TOC3"/>
        <w:rPr>
          <w:rFonts w:asciiTheme="minorHAnsi" w:eastAsiaTheme="minorEastAsia" w:hAnsiTheme="minorHAnsi"/>
          <w:noProof/>
          <w:sz w:val="22"/>
          <w:lang w:eastAsia="en-AU"/>
        </w:rPr>
      </w:pPr>
      <w:hyperlink w:anchor="_Toc156213090" w:history="1">
        <w:r w:rsidR="00CC6E31" w:rsidRPr="00F77EA0">
          <w:rPr>
            <w:rStyle w:val="Hyperlink"/>
            <w:noProof/>
          </w:rPr>
          <w:t>14.8 Privacy of individuals</w:t>
        </w:r>
        <w:r w:rsidR="00CC6E31">
          <w:rPr>
            <w:noProof/>
            <w:webHidden/>
          </w:rPr>
          <w:tab/>
        </w:r>
        <w:r w:rsidR="00CC6E31">
          <w:rPr>
            <w:noProof/>
            <w:webHidden/>
          </w:rPr>
          <w:fldChar w:fldCharType="begin"/>
        </w:r>
        <w:r w:rsidR="00CC6E31">
          <w:rPr>
            <w:noProof/>
            <w:webHidden/>
          </w:rPr>
          <w:instrText xml:space="preserve"> PAGEREF _Toc156213090 \h </w:instrText>
        </w:r>
        <w:r w:rsidR="00CC6E31">
          <w:rPr>
            <w:noProof/>
            <w:webHidden/>
          </w:rPr>
        </w:r>
        <w:r w:rsidR="00CC6E31">
          <w:rPr>
            <w:noProof/>
            <w:webHidden/>
          </w:rPr>
          <w:fldChar w:fldCharType="separate"/>
        </w:r>
        <w:r w:rsidR="00CC6E31">
          <w:rPr>
            <w:noProof/>
            <w:webHidden/>
          </w:rPr>
          <w:t>28</w:t>
        </w:r>
        <w:r w:rsidR="00CC6E31">
          <w:rPr>
            <w:noProof/>
            <w:webHidden/>
          </w:rPr>
          <w:fldChar w:fldCharType="end"/>
        </w:r>
      </w:hyperlink>
    </w:p>
    <w:p w14:paraId="0EBDFD8A" w14:textId="77777777" w:rsidR="00CC6E31" w:rsidRDefault="00E228FE">
      <w:pPr>
        <w:pStyle w:val="TOC3"/>
        <w:rPr>
          <w:rFonts w:asciiTheme="minorHAnsi" w:eastAsiaTheme="minorEastAsia" w:hAnsiTheme="minorHAnsi"/>
          <w:noProof/>
          <w:sz w:val="22"/>
          <w:lang w:eastAsia="en-AU"/>
        </w:rPr>
      </w:pPr>
      <w:hyperlink w:anchor="_Toc156213091" w:history="1">
        <w:r w:rsidR="00CC6E31" w:rsidRPr="00F77EA0">
          <w:rPr>
            <w:rStyle w:val="Hyperlink"/>
            <w:noProof/>
          </w:rPr>
          <w:t>14.9 Personal information to be collected by the Department</w:t>
        </w:r>
        <w:r w:rsidR="00CC6E31">
          <w:rPr>
            <w:noProof/>
            <w:webHidden/>
          </w:rPr>
          <w:tab/>
        </w:r>
        <w:r w:rsidR="00CC6E31">
          <w:rPr>
            <w:noProof/>
            <w:webHidden/>
          </w:rPr>
          <w:fldChar w:fldCharType="begin"/>
        </w:r>
        <w:r w:rsidR="00CC6E31">
          <w:rPr>
            <w:noProof/>
            <w:webHidden/>
          </w:rPr>
          <w:instrText xml:space="preserve"> PAGEREF _Toc156213091 \h </w:instrText>
        </w:r>
        <w:r w:rsidR="00CC6E31">
          <w:rPr>
            <w:noProof/>
            <w:webHidden/>
          </w:rPr>
        </w:r>
        <w:r w:rsidR="00CC6E31">
          <w:rPr>
            <w:noProof/>
            <w:webHidden/>
          </w:rPr>
          <w:fldChar w:fldCharType="separate"/>
        </w:r>
        <w:r w:rsidR="00CC6E31">
          <w:rPr>
            <w:noProof/>
            <w:webHidden/>
          </w:rPr>
          <w:t>29</w:t>
        </w:r>
        <w:r w:rsidR="00CC6E31">
          <w:rPr>
            <w:noProof/>
            <w:webHidden/>
          </w:rPr>
          <w:fldChar w:fldCharType="end"/>
        </w:r>
      </w:hyperlink>
    </w:p>
    <w:p w14:paraId="29B4430B" w14:textId="77777777" w:rsidR="00CC6E31" w:rsidRDefault="00E228FE">
      <w:pPr>
        <w:pStyle w:val="TOC3"/>
        <w:rPr>
          <w:rFonts w:asciiTheme="minorHAnsi" w:eastAsiaTheme="minorEastAsia" w:hAnsiTheme="minorHAnsi"/>
          <w:noProof/>
          <w:sz w:val="22"/>
          <w:lang w:eastAsia="en-AU"/>
        </w:rPr>
      </w:pPr>
      <w:hyperlink w:anchor="_Toc156213092" w:history="1">
        <w:r w:rsidR="00CC6E31" w:rsidRPr="00F77EA0">
          <w:rPr>
            <w:rStyle w:val="Hyperlink"/>
            <w:noProof/>
          </w:rPr>
          <w:t>14.10 Purpose for which the Department will use and disclose personal information</w:t>
        </w:r>
        <w:r w:rsidR="00CC6E31">
          <w:rPr>
            <w:noProof/>
            <w:webHidden/>
          </w:rPr>
          <w:tab/>
        </w:r>
        <w:r w:rsidR="00CC6E31">
          <w:rPr>
            <w:noProof/>
            <w:webHidden/>
          </w:rPr>
          <w:fldChar w:fldCharType="begin"/>
        </w:r>
        <w:r w:rsidR="00CC6E31">
          <w:rPr>
            <w:noProof/>
            <w:webHidden/>
          </w:rPr>
          <w:instrText xml:space="preserve"> PAGEREF _Toc156213092 \h </w:instrText>
        </w:r>
        <w:r w:rsidR="00CC6E31">
          <w:rPr>
            <w:noProof/>
            <w:webHidden/>
          </w:rPr>
        </w:r>
        <w:r w:rsidR="00CC6E31">
          <w:rPr>
            <w:noProof/>
            <w:webHidden/>
          </w:rPr>
          <w:fldChar w:fldCharType="separate"/>
        </w:r>
        <w:r w:rsidR="00CC6E31">
          <w:rPr>
            <w:noProof/>
            <w:webHidden/>
          </w:rPr>
          <w:t>29</w:t>
        </w:r>
        <w:r w:rsidR="00CC6E31">
          <w:rPr>
            <w:noProof/>
            <w:webHidden/>
          </w:rPr>
          <w:fldChar w:fldCharType="end"/>
        </w:r>
      </w:hyperlink>
    </w:p>
    <w:p w14:paraId="037CC169" w14:textId="77777777" w:rsidR="00CC6E31" w:rsidRDefault="00E228FE">
      <w:pPr>
        <w:pStyle w:val="TOC3"/>
        <w:rPr>
          <w:rFonts w:asciiTheme="minorHAnsi" w:eastAsiaTheme="minorEastAsia" w:hAnsiTheme="minorHAnsi"/>
          <w:noProof/>
          <w:sz w:val="22"/>
          <w:lang w:eastAsia="en-AU"/>
        </w:rPr>
      </w:pPr>
      <w:hyperlink w:anchor="_Toc156213093" w:history="1">
        <w:r w:rsidR="00CC6E31" w:rsidRPr="00F77EA0">
          <w:rPr>
            <w:rStyle w:val="Hyperlink"/>
            <w:noProof/>
          </w:rPr>
          <w:t>14.11 Department’s contact point for privacy matters</w:t>
        </w:r>
        <w:r w:rsidR="00CC6E31">
          <w:rPr>
            <w:noProof/>
            <w:webHidden/>
          </w:rPr>
          <w:tab/>
        </w:r>
        <w:r w:rsidR="00CC6E31">
          <w:rPr>
            <w:noProof/>
            <w:webHidden/>
          </w:rPr>
          <w:fldChar w:fldCharType="begin"/>
        </w:r>
        <w:r w:rsidR="00CC6E31">
          <w:rPr>
            <w:noProof/>
            <w:webHidden/>
          </w:rPr>
          <w:instrText xml:space="preserve"> PAGEREF _Toc156213093 \h </w:instrText>
        </w:r>
        <w:r w:rsidR="00CC6E31">
          <w:rPr>
            <w:noProof/>
            <w:webHidden/>
          </w:rPr>
        </w:r>
        <w:r w:rsidR="00CC6E31">
          <w:rPr>
            <w:noProof/>
            <w:webHidden/>
          </w:rPr>
          <w:fldChar w:fldCharType="separate"/>
        </w:r>
        <w:r w:rsidR="00CC6E31">
          <w:rPr>
            <w:noProof/>
            <w:webHidden/>
          </w:rPr>
          <w:t>29</w:t>
        </w:r>
        <w:r w:rsidR="00CC6E31">
          <w:rPr>
            <w:noProof/>
            <w:webHidden/>
          </w:rPr>
          <w:fldChar w:fldCharType="end"/>
        </w:r>
      </w:hyperlink>
    </w:p>
    <w:p w14:paraId="64148666" w14:textId="77777777" w:rsidR="00CC6E31" w:rsidRDefault="00E228FE">
      <w:pPr>
        <w:pStyle w:val="TOC3"/>
        <w:rPr>
          <w:rFonts w:asciiTheme="minorHAnsi" w:eastAsiaTheme="minorEastAsia" w:hAnsiTheme="minorHAnsi"/>
          <w:noProof/>
          <w:sz w:val="22"/>
          <w:lang w:eastAsia="en-AU"/>
        </w:rPr>
      </w:pPr>
      <w:hyperlink w:anchor="_Toc156213094" w:history="1">
        <w:r w:rsidR="00CC6E31" w:rsidRPr="00F77EA0">
          <w:rPr>
            <w:rStyle w:val="Hyperlink"/>
            <w:noProof/>
          </w:rPr>
          <w:t>14.12 Exclusion of liabilities</w:t>
        </w:r>
        <w:r w:rsidR="00CC6E31">
          <w:rPr>
            <w:noProof/>
            <w:webHidden/>
          </w:rPr>
          <w:tab/>
        </w:r>
        <w:r w:rsidR="00CC6E31">
          <w:rPr>
            <w:noProof/>
            <w:webHidden/>
          </w:rPr>
          <w:fldChar w:fldCharType="begin"/>
        </w:r>
        <w:r w:rsidR="00CC6E31">
          <w:rPr>
            <w:noProof/>
            <w:webHidden/>
          </w:rPr>
          <w:instrText xml:space="preserve"> PAGEREF _Toc156213094 \h </w:instrText>
        </w:r>
        <w:r w:rsidR="00CC6E31">
          <w:rPr>
            <w:noProof/>
            <w:webHidden/>
          </w:rPr>
        </w:r>
        <w:r w:rsidR="00CC6E31">
          <w:rPr>
            <w:noProof/>
            <w:webHidden/>
          </w:rPr>
          <w:fldChar w:fldCharType="separate"/>
        </w:r>
        <w:r w:rsidR="00CC6E31">
          <w:rPr>
            <w:noProof/>
            <w:webHidden/>
          </w:rPr>
          <w:t>30</w:t>
        </w:r>
        <w:r w:rsidR="00CC6E31">
          <w:rPr>
            <w:noProof/>
            <w:webHidden/>
          </w:rPr>
          <w:fldChar w:fldCharType="end"/>
        </w:r>
      </w:hyperlink>
    </w:p>
    <w:p w14:paraId="0274EC2C" w14:textId="77777777" w:rsidR="00CC6E31" w:rsidRDefault="00E228FE">
      <w:pPr>
        <w:pStyle w:val="TOC3"/>
        <w:rPr>
          <w:rFonts w:asciiTheme="minorHAnsi" w:eastAsiaTheme="minorEastAsia" w:hAnsiTheme="minorHAnsi"/>
          <w:noProof/>
          <w:sz w:val="22"/>
          <w:lang w:eastAsia="en-AU"/>
        </w:rPr>
      </w:pPr>
      <w:hyperlink w:anchor="_Toc156213095" w:history="1">
        <w:r w:rsidR="00CC6E31" w:rsidRPr="00F77EA0">
          <w:rPr>
            <w:rStyle w:val="Hyperlink"/>
            <w:noProof/>
          </w:rPr>
          <w:t>14.13 Disclaimer</w:t>
        </w:r>
        <w:r w:rsidR="00CC6E31">
          <w:rPr>
            <w:noProof/>
            <w:webHidden/>
          </w:rPr>
          <w:tab/>
        </w:r>
        <w:r w:rsidR="00CC6E31">
          <w:rPr>
            <w:noProof/>
            <w:webHidden/>
          </w:rPr>
          <w:fldChar w:fldCharType="begin"/>
        </w:r>
        <w:r w:rsidR="00CC6E31">
          <w:rPr>
            <w:noProof/>
            <w:webHidden/>
          </w:rPr>
          <w:instrText xml:space="preserve"> PAGEREF _Toc156213095 \h </w:instrText>
        </w:r>
        <w:r w:rsidR="00CC6E31">
          <w:rPr>
            <w:noProof/>
            <w:webHidden/>
          </w:rPr>
        </w:r>
        <w:r w:rsidR="00CC6E31">
          <w:rPr>
            <w:noProof/>
            <w:webHidden/>
          </w:rPr>
          <w:fldChar w:fldCharType="separate"/>
        </w:r>
        <w:r w:rsidR="00CC6E31">
          <w:rPr>
            <w:noProof/>
            <w:webHidden/>
          </w:rPr>
          <w:t>30</w:t>
        </w:r>
        <w:r w:rsidR="00CC6E31">
          <w:rPr>
            <w:noProof/>
            <w:webHidden/>
          </w:rPr>
          <w:fldChar w:fldCharType="end"/>
        </w:r>
      </w:hyperlink>
    </w:p>
    <w:p w14:paraId="5A9503CA" w14:textId="77777777" w:rsidR="00CC6E31" w:rsidRDefault="00E228FE">
      <w:pPr>
        <w:pStyle w:val="TOC3"/>
        <w:rPr>
          <w:rFonts w:asciiTheme="minorHAnsi" w:eastAsiaTheme="minorEastAsia" w:hAnsiTheme="minorHAnsi"/>
          <w:noProof/>
          <w:sz w:val="22"/>
          <w:lang w:eastAsia="en-AU"/>
        </w:rPr>
      </w:pPr>
      <w:hyperlink w:anchor="_Toc156213096" w:history="1">
        <w:r w:rsidR="00CC6E31" w:rsidRPr="00F77EA0">
          <w:rPr>
            <w:rStyle w:val="Hyperlink"/>
            <w:noProof/>
          </w:rPr>
          <w:t>14.14 Fraud prevention</w:t>
        </w:r>
        <w:r w:rsidR="00CC6E31">
          <w:rPr>
            <w:noProof/>
            <w:webHidden/>
          </w:rPr>
          <w:tab/>
        </w:r>
        <w:r w:rsidR="00CC6E31">
          <w:rPr>
            <w:noProof/>
            <w:webHidden/>
          </w:rPr>
          <w:fldChar w:fldCharType="begin"/>
        </w:r>
        <w:r w:rsidR="00CC6E31">
          <w:rPr>
            <w:noProof/>
            <w:webHidden/>
          </w:rPr>
          <w:instrText xml:space="preserve"> PAGEREF _Toc156213096 \h </w:instrText>
        </w:r>
        <w:r w:rsidR="00CC6E31">
          <w:rPr>
            <w:noProof/>
            <w:webHidden/>
          </w:rPr>
        </w:r>
        <w:r w:rsidR="00CC6E31">
          <w:rPr>
            <w:noProof/>
            <w:webHidden/>
          </w:rPr>
          <w:fldChar w:fldCharType="separate"/>
        </w:r>
        <w:r w:rsidR="00CC6E31">
          <w:rPr>
            <w:noProof/>
            <w:webHidden/>
          </w:rPr>
          <w:t>30</w:t>
        </w:r>
        <w:r w:rsidR="00CC6E31">
          <w:rPr>
            <w:noProof/>
            <w:webHidden/>
          </w:rPr>
          <w:fldChar w:fldCharType="end"/>
        </w:r>
      </w:hyperlink>
    </w:p>
    <w:p w14:paraId="21BF31E1" w14:textId="77777777" w:rsidR="00CC6E31" w:rsidRDefault="00E228FE">
      <w:pPr>
        <w:pStyle w:val="TOC1"/>
        <w:rPr>
          <w:rFonts w:asciiTheme="minorHAnsi" w:eastAsiaTheme="minorEastAsia" w:hAnsiTheme="minorHAnsi"/>
          <w:b w:val="0"/>
          <w:noProof/>
          <w:color w:val="auto"/>
          <w:u w:val="none"/>
          <w:lang w:eastAsia="en-AU"/>
        </w:rPr>
      </w:pPr>
      <w:hyperlink w:anchor="_Toc156213097" w:history="1">
        <w:r w:rsidR="00CC6E31" w:rsidRPr="00F77EA0">
          <w:rPr>
            <w:rStyle w:val="Hyperlink"/>
            <w:noProof/>
          </w:rPr>
          <w:t>Part F – Glossary</w:t>
        </w:r>
        <w:r w:rsidR="00CC6E31">
          <w:rPr>
            <w:noProof/>
            <w:webHidden/>
          </w:rPr>
          <w:tab/>
        </w:r>
        <w:r w:rsidR="00CC6E31">
          <w:rPr>
            <w:noProof/>
            <w:webHidden/>
          </w:rPr>
          <w:fldChar w:fldCharType="begin"/>
        </w:r>
        <w:r w:rsidR="00CC6E31">
          <w:rPr>
            <w:noProof/>
            <w:webHidden/>
          </w:rPr>
          <w:instrText xml:space="preserve"> PAGEREF _Toc156213097 \h </w:instrText>
        </w:r>
        <w:r w:rsidR="00CC6E31">
          <w:rPr>
            <w:noProof/>
            <w:webHidden/>
          </w:rPr>
        </w:r>
        <w:r w:rsidR="00CC6E31">
          <w:rPr>
            <w:noProof/>
            <w:webHidden/>
          </w:rPr>
          <w:fldChar w:fldCharType="separate"/>
        </w:r>
        <w:r w:rsidR="00CC6E31">
          <w:rPr>
            <w:noProof/>
            <w:webHidden/>
          </w:rPr>
          <w:t>31</w:t>
        </w:r>
        <w:r w:rsidR="00CC6E31">
          <w:rPr>
            <w:noProof/>
            <w:webHidden/>
          </w:rPr>
          <w:fldChar w:fldCharType="end"/>
        </w:r>
      </w:hyperlink>
    </w:p>
    <w:p w14:paraId="3EE958E2" w14:textId="77777777" w:rsidR="00CC6E31" w:rsidRDefault="00E228FE">
      <w:pPr>
        <w:pStyle w:val="TOC1"/>
        <w:rPr>
          <w:rFonts w:asciiTheme="minorHAnsi" w:eastAsiaTheme="minorEastAsia" w:hAnsiTheme="minorHAnsi"/>
          <w:b w:val="0"/>
          <w:noProof/>
          <w:color w:val="auto"/>
          <w:u w:val="none"/>
          <w:lang w:eastAsia="en-AU"/>
        </w:rPr>
      </w:pPr>
      <w:hyperlink w:anchor="_Toc156213098" w:history="1">
        <w:r w:rsidR="00CC6E31" w:rsidRPr="00F77EA0">
          <w:rPr>
            <w:rStyle w:val="Hyperlink"/>
            <w:noProof/>
          </w:rPr>
          <w:t>Part G – Attachments</w:t>
        </w:r>
        <w:r w:rsidR="00CC6E31">
          <w:rPr>
            <w:noProof/>
            <w:webHidden/>
          </w:rPr>
          <w:tab/>
        </w:r>
        <w:r w:rsidR="00CC6E31">
          <w:rPr>
            <w:noProof/>
            <w:webHidden/>
          </w:rPr>
          <w:fldChar w:fldCharType="begin"/>
        </w:r>
        <w:r w:rsidR="00CC6E31">
          <w:rPr>
            <w:noProof/>
            <w:webHidden/>
          </w:rPr>
          <w:instrText xml:space="preserve"> PAGEREF _Toc156213098 \h </w:instrText>
        </w:r>
        <w:r w:rsidR="00CC6E31">
          <w:rPr>
            <w:noProof/>
            <w:webHidden/>
          </w:rPr>
        </w:r>
        <w:r w:rsidR="00CC6E31">
          <w:rPr>
            <w:noProof/>
            <w:webHidden/>
          </w:rPr>
          <w:fldChar w:fldCharType="separate"/>
        </w:r>
        <w:r w:rsidR="00CC6E31">
          <w:rPr>
            <w:noProof/>
            <w:webHidden/>
          </w:rPr>
          <w:t>33</w:t>
        </w:r>
        <w:r w:rsidR="00CC6E31">
          <w:rPr>
            <w:noProof/>
            <w:webHidden/>
          </w:rPr>
          <w:fldChar w:fldCharType="end"/>
        </w:r>
      </w:hyperlink>
    </w:p>
    <w:p w14:paraId="1903AF45" w14:textId="77777777" w:rsidR="00CC6E31" w:rsidRDefault="00E228FE">
      <w:pPr>
        <w:pStyle w:val="TOC2"/>
        <w:rPr>
          <w:rFonts w:asciiTheme="minorHAnsi" w:eastAsiaTheme="minorEastAsia" w:hAnsiTheme="minorHAnsi"/>
          <w:noProof/>
          <w:sz w:val="22"/>
          <w:lang w:eastAsia="en-AU"/>
        </w:rPr>
      </w:pPr>
      <w:hyperlink w:anchor="_Toc156213099" w:history="1">
        <w:r w:rsidR="00CC6E31" w:rsidRPr="00F77EA0">
          <w:rPr>
            <w:rStyle w:val="Hyperlink"/>
            <w:noProof/>
          </w:rPr>
          <w:t>Attachment A – Priority Locations &amp; Issue Descriptions</w:t>
        </w:r>
        <w:r w:rsidR="00CC6E31">
          <w:rPr>
            <w:noProof/>
            <w:webHidden/>
          </w:rPr>
          <w:tab/>
        </w:r>
        <w:r w:rsidR="00CC6E31">
          <w:rPr>
            <w:noProof/>
            <w:webHidden/>
          </w:rPr>
          <w:fldChar w:fldCharType="begin"/>
        </w:r>
        <w:r w:rsidR="00CC6E31">
          <w:rPr>
            <w:noProof/>
            <w:webHidden/>
          </w:rPr>
          <w:instrText xml:space="preserve"> PAGEREF _Toc156213099 \h </w:instrText>
        </w:r>
        <w:r w:rsidR="00CC6E31">
          <w:rPr>
            <w:noProof/>
            <w:webHidden/>
          </w:rPr>
        </w:r>
        <w:r w:rsidR="00CC6E31">
          <w:rPr>
            <w:noProof/>
            <w:webHidden/>
          </w:rPr>
          <w:fldChar w:fldCharType="separate"/>
        </w:r>
        <w:r w:rsidR="00CC6E31">
          <w:rPr>
            <w:noProof/>
            <w:webHidden/>
          </w:rPr>
          <w:t>33</w:t>
        </w:r>
        <w:r w:rsidR="00CC6E31">
          <w:rPr>
            <w:noProof/>
            <w:webHidden/>
          </w:rPr>
          <w:fldChar w:fldCharType="end"/>
        </w:r>
      </w:hyperlink>
    </w:p>
    <w:p w14:paraId="3D67A363" w14:textId="77777777" w:rsidR="00CC6E31" w:rsidRDefault="00E228FE">
      <w:pPr>
        <w:pStyle w:val="TOC2"/>
        <w:rPr>
          <w:rFonts w:asciiTheme="minorHAnsi" w:eastAsiaTheme="minorEastAsia" w:hAnsiTheme="minorHAnsi"/>
          <w:noProof/>
          <w:sz w:val="22"/>
          <w:lang w:eastAsia="en-AU"/>
        </w:rPr>
      </w:pPr>
      <w:hyperlink w:anchor="_Toc156213100" w:history="1">
        <w:r w:rsidR="00CC6E31" w:rsidRPr="00F77EA0">
          <w:rPr>
            <w:rStyle w:val="Hyperlink"/>
            <w:noProof/>
          </w:rPr>
          <w:t>Attachment B – Draft Grant Agreement</w:t>
        </w:r>
        <w:r w:rsidR="00CC6E31">
          <w:rPr>
            <w:noProof/>
            <w:webHidden/>
          </w:rPr>
          <w:tab/>
        </w:r>
        <w:r w:rsidR="00CC6E31">
          <w:rPr>
            <w:noProof/>
            <w:webHidden/>
          </w:rPr>
          <w:fldChar w:fldCharType="begin"/>
        </w:r>
        <w:r w:rsidR="00CC6E31">
          <w:rPr>
            <w:noProof/>
            <w:webHidden/>
          </w:rPr>
          <w:instrText xml:space="preserve"> PAGEREF _Toc156213100 \h </w:instrText>
        </w:r>
        <w:r w:rsidR="00CC6E31">
          <w:rPr>
            <w:noProof/>
            <w:webHidden/>
          </w:rPr>
        </w:r>
        <w:r w:rsidR="00CC6E31">
          <w:rPr>
            <w:noProof/>
            <w:webHidden/>
          </w:rPr>
          <w:fldChar w:fldCharType="separate"/>
        </w:r>
        <w:r w:rsidR="00CC6E31">
          <w:rPr>
            <w:noProof/>
            <w:webHidden/>
          </w:rPr>
          <w:t>34</w:t>
        </w:r>
        <w:r w:rsidR="00CC6E31">
          <w:rPr>
            <w:noProof/>
            <w:webHidden/>
          </w:rPr>
          <w:fldChar w:fldCharType="end"/>
        </w:r>
      </w:hyperlink>
    </w:p>
    <w:p w14:paraId="4BF3E515" w14:textId="77777777" w:rsidR="00CC6E31" w:rsidRDefault="00E228FE">
      <w:pPr>
        <w:pStyle w:val="TOC2"/>
        <w:rPr>
          <w:rFonts w:asciiTheme="minorHAnsi" w:eastAsiaTheme="minorEastAsia" w:hAnsiTheme="minorHAnsi"/>
          <w:noProof/>
          <w:sz w:val="22"/>
          <w:lang w:eastAsia="en-AU"/>
        </w:rPr>
      </w:pPr>
      <w:hyperlink w:anchor="_Toc156213101" w:history="1">
        <w:r w:rsidR="00CC6E31" w:rsidRPr="00F77EA0">
          <w:rPr>
            <w:rStyle w:val="Hyperlink"/>
            <w:noProof/>
          </w:rPr>
          <w:t>Attachment C – Application Pack</w:t>
        </w:r>
        <w:r w:rsidR="00CC6E31">
          <w:rPr>
            <w:noProof/>
            <w:webHidden/>
          </w:rPr>
          <w:tab/>
        </w:r>
        <w:r w:rsidR="00CC6E31">
          <w:rPr>
            <w:noProof/>
            <w:webHidden/>
          </w:rPr>
          <w:fldChar w:fldCharType="begin"/>
        </w:r>
        <w:r w:rsidR="00CC6E31">
          <w:rPr>
            <w:noProof/>
            <w:webHidden/>
          </w:rPr>
          <w:instrText xml:space="preserve"> PAGEREF _Toc156213101 \h </w:instrText>
        </w:r>
        <w:r w:rsidR="00CC6E31">
          <w:rPr>
            <w:noProof/>
            <w:webHidden/>
          </w:rPr>
        </w:r>
        <w:r w:rsidR="00CC6E31">
          <w:rPr>
            <w:noProof/>
            <w:webHidden/>
          </w:rPr>
          <w:fldChar w:fldCharType="separate"/>
        </w:r>
        <w:r w:rsidR="00CC6E31">
          <w:rPr>
            <w:noProof/>
            <w:webHidden/>
          </w:rPr>
          <w:t>35</w:t>
        </w:r>
        <w:r w:rsidR="00CC6E31">
          <w:rPr>
            <w:noProof/>
            <w:webHidden/>
          </w:rPr>
          <w:fldChar w:fldCharType="end"/>
        </w:r>
      </w:hyperlink>
    </w:p>
    <w:p w14:paraId="66A8217B" w14:textId="77777777" w:rsidR="00CC6E31" w:rsidRDefault="00E228FE">
      <w:pPr>
        <w:pStyle w:val="TOC2"/>
        <w:rPr>
          <w:rFonts w:asciiTheme="minorHAnsi" w:eastAsiaTheme="minorEastAsia" w:hAnsiTheme="minorHAnsi"/>
          <w:noProof/>
          <w:sz w:val="22"/>
          <w:lang w:eastAsia="en-AU"/>
        </w:rPr>
      </w:pPr>
      <w:hyperlink w:anchor="_Toc156213102" w:history="1">
        <w:r w:rsidR="00CC6E31" w:rsidRPr="00F77EA0">
          <w:rPr>
            <w:rStyle w:val="Hyperlink"/>
            <w:noProof/>
          </w:rPr>
          <w:t>Attachment D – State, Territory, Local Government and NBN Co contacts</w:t>
        </w:r>
        <w:r w:rsidR="00CC6E31">
          <w:rPr>
            <w:noProof/>
            <w:webHidden/>
          </w:rPr>
          <w:tab/>
        </w:r>
        <w:r w:rsidR="00CC6E31">
          <w:rPr>
            <w:noProof/>
            <w:webHidden/>
          </w:rPr>
          <w:fldChar w:fldCharType="begin"/>
        </w:r>
        <w:r w:rsidR="00CC6E31">
          <w:rPr>
            <w:noProof/>
            <w:webHidden/>
          </w:rPr>
          <w:instrText xml:space="preserve"> PAGEREF _Toc156213102 \h </w:instrText>
        </w:r>
        <w:r w:rsidR="00CC6E31">
          <w:rPr>
            <w:noProof/>
            <w:webHidden/>
          </w:rPr>
        </w:r>
        <w:r w:rsidR="00CC6E31">
          <w:rPr>
            <w:noProof/>
            <w:webHidden/>
          </w:rPr>
          <w:fldChar w:fldCharType="separate"/>
        </w:r>
        <w:r w:rsidR="00CC6E31">
          <w:rPr>
            <w:noProof/>
            <w:webHidden/>
          </w:rPr>
          <w:t>36</w:t>
        </w:r>
        <w:r w:rsidR="00CC6E31">
          <w:rPr>
            <w:noProof/>
            <w:webHidden/>
          </w:rPr>
          <w:fldChar w:fldCharType="end"/>
        </w:r>
      </w:hyperlink>
    </w:p>
    <w:p w14:paraId="5B195721"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763078F5" w14:textId="77777777" w:rsidR="002C5C9E" w:rsidRDefault="002C5C9E" w:rsidP="00871936">
      <w:pPr>
        <w:tabs>
          <w:tab w:val="right" w:leader="dot" w:pos="9072"/>
        </w:tabs>
      </w:pPr>
    </w:p>
    <w:p w14:paraId="3C9D4564" w14:textId="77777777" w:rsidR="00796AB4" w:rsidRDefault="00796AB4">
      <w:pPr>
        <w:spacing w:line="259" w:lineRule="auto"/>
        <w:sectPr w:rsidR="00796AB4" w:rsidSect="0064434C">
          <w:footerReference w:type="default" r:id="rId13"/>
          <w:type w:val="continuous"/>
          <w:pgSz w:w="11906" w:h="16838"/>
          <w:pgMar w:top="1276" w:right="991" w:bottom="1276" w:left="1440" w:header="0" w:footer="0" w:gutter="0"/>
          <w:cols w:space="708"/>
          <w:titlePg/>
          <w:docGrid w:linePitch="360"/>
        </w:sectPr>
      </w:pPr>
    </w:p>
    <w:p w14:paraId="787BE6DD" w14:textId="77777777" w:rsidR="0064434C" w:rsidRPr="00B93274" w:rsidRDefault="0045012F" w:rsidP="00226B4F">
      <w:pPr>
        <w:pStyle w:val="Heading2"/>
      </w:pPr>
      <w:bookmarkStart w:id="9" w:name="_Toc393908547"/>
      <w:bookmarkStart w:id="10" w:name="_Toc405380412"/>
      <w:bookmarkStart w:id="11" w:name="_Toc441049659"/>
      <w:bookmarkStart w:id="12" w:name="_Toc497901400"/>
      <w:bookmarkStart w:id="13" w:name="_Toc156213017"/>
      <w:r>
        <w:lastRenderedPageBreak/>
        <w:t xml:space="preserve">1. </w:t>
      </w:r>
      <w:r w:rsidR="0064434C" w:rsidRPr="00B93274">
        <w:t>Introduction</w:t>
      </w:r>
      <w:bookmarkEnd w:id="9"/>
      <w:bookmarkEnd w:id="10"/>
      <w:bookmarkEnd w:id="11"/>
      <w:bookmarkEnd w:id="12"/>
      <w:bookmarkEnd w:id="13"/>
    </w:p>
    <w:p w14:paraId="4454AECF" w14:textId="77777777" w:rsidR="0064434C" w:rsidRPr="00B93274" w:rsidRDefault="00B27863" w:rsidP="00226B4F">
      <w:pPr>
        <w:pStyle w:val="Heading3"/>
      </w:pPr>
      <w:bookmarkStart w:id="14" w:name="_Toc393908548"/>
      <w:bookmarkStart w:id="15" w:name="_Toc405380413"/>
      <w:bookmarkStart w:id="16" w:name="_Toc441049660"/>
      <w:bookmarkStart w:id="17" w:name="_Toc497901401"/>
      <w:bookmarkStart w:id="18" w:name="_Toc156213018"/>
      <w:r>
        <w:t xml:space="preserve">1.1 </w:t>
      </w:r>
      <w:r w:rsidR="0064434C" w:rsidRPr="00B93274">
        <w:t>Mobile Black Spot Program</w:t>
      </w:r>
      <w:bookmarkEnd w:id="14"/>
      <w:bookmarkEnd w:id="15"/>
      <w:bookmarkEnd w:id="16"/>
      <w:bookmarkEnd w:id="17"/>
      <w:bookmarkEnd w:id="18"/>
    </w:p>
    <w:p w14:paraId="7FC32538" w14:textId="77777777" w:rsidR="0064434C" w:rsidRPr="00EB6877" w:rsidRDefault="0064434C" w:rsidP="0064434C">
      <w:pPr>
        <w:pStyle w:val="Bodynumbered-Level1"/>
      </w:pPr>
      <w:bookmarkStart w:id="19" w:name="_Ref390202474"/>
      <w:r w:rsidRPr="00EB6877">
        <w:t>1.1.</w:t>
      </w:r>
      <w:r>
        <w:t>1</w:t>
      </w:r>
      <w:r w:rsidRPr="00EB6877">
        <w:tab/>
        <w:t xml:space="preserve">The Mobile Black Spot Program (the </w:t>
      </w:r>
      <w:r w:rsidRPr="003D2F00">
        <w:rPr>
          <w:b/>
        </w:rPr>
        <w:t>Program</w:t>
      </w:r>
      <w:r w:rsidRPr="00EB6877">
        <w:t xml:space="preserve">) is the Australian Government’s initiative to extend </w:t>
      </w:r>
      <w:r>
        <w:t xml:space="preserve">and improve </w:t>
      </w:r>
      <w:r w:rsidRPr="00EB6877">
        <w:t>mobile phone coverage and competition</w:t>
      </w:r>
      <w:r w:rsidRPr="00BF670F">
        <w:t>.</w:t>
      </w:r>
      <w:r w:rsidRPr="00EB6877">
        <w:t xml:space="preserve"> The Government </w:t>
      </w:r>
      <w:r>
        <w:t>has allocated</w:t>
      </w:r>
      <w:r w:rsidRPr="00EB6877">
        <w:t xml:space="preserve"> $</w:t>
      </w:r>
      <w:r>
        <w:t>60</w:t>
      </w:r>
      <w:r w:rsidRPr="00EB6877">
        <w:t xml:space="preserve"> million</w:t>
      </w:r>
      <w:r>
        <w:t xml:space="preserve"> (GST exclusive)</w:t>
      </w:r>
      <w:r w:rsidRPr="00EB6877">
        <w:t xml:space="preserve"> to deliver </w:t>
      </w:r>
      <w:r>
        <w:t xml:space="preserve">the </w:t>
      </w:r>
      <w:r w:rsidRPr="003D40F7">
        <w:rPr>
          <w:b/>
        </w:rPr>
        <w:t>Priority Locations</w:t>
      </w:r>
      <w:r>
        <w:t xml:space="preserve"> round of </w:t>
      </w:r>
      <w:r w:rsidRPr="00EB6877">
        <w:t>the Program.</w:t>
      </w:r>
      <w:bookmarkEnd w:id="19"/>
    </w:p>
    <w:p w14:paraId="7C77D65E" w14:textId="77777777" w:rsidR="0064434C" w:rsidRPr="00EB6877" w:rsidRDefault="0064434C" w:rsidP="0064434C">
      <w:pPr>
        <w:pStyle w:val="Bodynumbered-Level1"/>
      </w:pPr>
      <w:bookmarkStart w:id="20" w:name="_Ref390202431"/>
      <w:r w:rsidRPr="00EB6877">
        <w:t>1.1.</w:t>
      </w:r>
      <w:r>
        <w:t>2</w:t>
      </w:r>
      <w:r w:rsidRPr="00EB6877">
        <w:tab/>
        <w:t>The Department of Communications</w:t>
      </w:r>
      <w:r>
        <w:t xml:space="preserve"> and the Arts</w:t>
      </w:r>
      <w:r w:rsidRPr="00EB6877">
        <w:t xml:space="preserve"> (the </w:t>
      </w:r>
      <w:r w:rsidRPr="003D2F00">
        <w:rPr>
          <w:b/>
        </w:rPr>
        <w:t>Department</w:t>
      </w:r>
      <w:r w:rsidRPr="00EB6877">
        <w:t>) is responsible for administering the Program on behalf of the Government.</w:t>
      </w:r>
      <w:bookmarkEnd w:id="20"/>
    </w:p>
    <w:p w14:paraId="1C67CC43" w14:textId="77777777" w:rsidR="0064434C" w:rsidRDefault="0064434C" w:rsidP="0064434C">
      <w:pPr>
        <w:pStyle w:val="Bodynumbered-Level1"/>
      </w:pPr>
      <w:r w:rsidRPr="00EB6877">
        <w:t>1.1.</w:t>
      </w:r>
      <w:r>
        <w:t>3</w:t>
      </w:r>
      <w:r w:rsidRPr="00EB6877">
        <w:tab/>
      </w:r>
      <w:r>
        <w:t>In June 2015, the Government announced the 499 successful locations to receive funding under round 1 of the Program. In December 2016 a further 266 successful locations were announced to receive funding under round 2 of the Program. These Priority Location grant opportunity guidelines (th</w:t>
      </w:r>
      <w:r w:rsidRPr="009C650A">
        <w:t>ese</w:t>
      </w:r>
      <w:r w:rsidRPr="00EA030D">
        <w:rPr>
          <w:b/>
        </w:rPr>
        <w:t xml:space="preserve"> Guidelines</w:t>
      </w:r>
      <w:r>
        <w:t xml:space="preserve">) have been prepared following a review of rounds 1 and 2 of the Program, and targeted consultation with industry stakeholders and State and Territory governments. </w:t>
      </w:r>
    </w:p>
    <w:p w14:paraId="5513E069" w14:textId="77777777" w:rsidR="0064434C" w:rsidRDefault="00B27863" w:rsidP="00226B4F">
      <w:pPr>
        <w:pStyle w:val="Heading3"/>
      </w:pPr>
      <w:bookmarkStart w:id="21" w:name="_Toc393908549"/>
      <w:bookmarkStart w:id="22" w:name="_Toc405380414"/>
      <w:bookmarkStart w:id="23" w:name="_Toc441049661"/>
      <w:bookmarkStart w:id="24" w:name="_Toc497901402"/>
      <w:bookmarkStart w:id="25" w:name="_Toc156213019"/>
      <w:r>
        <w:t xml:space="preserve">1.2 </w:t>
      </w:r>
      <w:r w:rsidR="0064434C">
        <w:t>About these</w:t>
      </w:r>
      <w:r w:rsidR="0064434C" w:rsidRPr="00285067">
        <w:t xml:space="preserve"> Guidelines</w:t>
      </w:r>
      <w:bookmarkEnd w:id="21"/>
      <w:bookmarkEnd w:id="22"/>
      <w:bookmarkEnd w:id="23"/>
      <w:bookmarkEnd w:id="24"/>
      <w:bookmarkEnd w:id="25"/>
    </w:p>
    <w:p w14:paraId="7694ED37" w14:textId="77777777" w:rsidR="0064434C" w:rsidRPr="005933C5" w:rsidRDefault="0064434C" w:rsidP="0064434C">
      <w:pPr>
        <w:pStyle w:val="Bodynumbered-Level1"/>
        <w:spacing w:after="120"/>
        <w:rPr>
          <w:b/>
        </w:rPr>
      </w:pPr>
      <w:r>
        <w:t>1.2.1</w:t>
      </w:r>
      <w:r>
        <w:tab/>
      </w:r>
      <w:r w:rsidRPr="00A81D90">
        <w:t>These Guidelines describe</w:t>
      </w:r>
      <w:r w:rsidRPr="00490475">
        <w:t xml:space="preserve"> the operation of the Program and include</w:t>
      </w:r>
      <w:r>
        <w:t xml:space="preserve"> </w:t>
      </w:r>
      <w:r w:rsidRPr="00490475">
        <w:t xml:space="preserve">relevant </w:t>
      </w:r>
      <w:r w:rsidRPr="00204BA9">
        <w:t>information</w:t>
      </w:r>
      <w:r w:rsidRPr="00490475">
        <w:t xml:space="preserve"> concerning</w:t>
      </w:r>
      <w:r>
        <w:t>:</w:t>
      </w:r>
    </w:p>
    <w:p w14:paraId="4A5D4559" w14:textId="77777777" w:rsidR="0064434C" w:rsidRPr="004D7C42" w:rsidRDefault="0064434C" w:rsidP="00B27863">
      <w:pPr>
        <w:pStyle w:val="Bodynumbered-Level1"/>
        <w:spacing w:before="120" w:after="120"/>
        <w:ind w:left="1428" w:hanging="578"/>
      </w:pPr>
      <w:r>
        <w:t>(a)</w:t>
      </w:r>
      <w:r>
        <w:tab/>
      </w:r>
      <w:r w:rsidRPr="004D7C42">
        <w:t>who i</w:t>
      </w:r>
      <w:r>
        <w:t>s eligible to apply for funding;</w:t>
      </w:r>
    </w:p>
    <w:p w14:paraId="773A5699" w14:textId="77777777" w:rsidR="0064434C" w:rsidRPr="004D7C42" w:rsidRDefault="0064434C" w:rsidP="00B27863">
      <w:pPr>
        <w:pStyle w:val="Bodynumbered-Level1"/>
        <w:spacing w:before="120" w:after="120"/>
        <w:ind w:left="1428" w:hanging="578"/>
      </w:pPr>
      <w:r>
        <w:t>(b)</w:t>
      </w:r>
      <w:r>
        <w:tab/>
      </w:r>
      <w:r w:rsidRPr="004D7C42">
        <w:t>how to apply for the funding</w:t>
      </w:r>
      <w:r>
        <w:t>; and</w:t>
      </w:r>
      <w:r w:rsidRPr="004D7C42">
        <w:t xml:space="preserve"> </w:t>
      </w:r>
    </w:p>
    <w:p w14:paraId="141921AC" w14:textId="77777777" w:rsidR="0064434C" w:rsidRPr="004D7C42" w:rsidRDefault="0064434C" w:rsidP="00B27863">
      <w:pPr>
        <w:pStyle w:val="Bodynumbered-Level1"/>
        <w:spacing w:before="120"/>
        <w:ind w:left="1428" w:hanging="578"/>
      </w:pPr>
      <w:r>
        <w:t>(c)</w:t>
      </w:r>
      <w:r>
        <w:tab/>
      </w:r>
      <w:r w:rsidRPr="004D7C42">
        <w:t>how the funding will b</w:t>
      </w:r>
      <w:r>
        <w:t>e allocated under the Program.</w:t>
      </w:r>
    </w:p>
    <w:p w14:paraId="232D8127" w14:textId="77777777" w:rsidR="0064434C" w:rsidRPr="005933C5" w:rsidRDefault="0064434C" w:rsidP="0064434C">
      <w:pPr>
        <w:pStyle w:val="Bodynumbered-Level1"/>
        <w:spacing w:after="120"/>
      </w:pPr>
      <w:r>
        <w:t>1.2.2</w:t>
      </w:r>
      <w:r>
        <w:tab/>
      </w:r>
      <w:r w:rsidRPr="00490475">
        <w:t>Th</w:t>
      </w:r>
      <w:r>
        <w:t>ese</w:t>
      </w:r>
      <w:r w:rsidRPr="00490475">
        <w:t xml:space="preserve"> </w:t>
      </w:r>
      <w:r>
        <w:t>Guidelines are</w:t>
      </w:r>
      <w:r w:rsidRPr="00490475">
        <w:t xml:space="preserve"> divided into the following parts:</w:t>
      </w:r>
    </w:p>
    <w:p w14:paraId="23C07B74" w14:textId="77777777" w:rsidR="0064434C" w:rsidRPr="0049453A" w:rsidRDefault="0064434C" w:rsidP="00B27863">
      <w:pPr>
        <w:pStyle w:val="Bodynumbered-Level1"/>
        <w:spacing w:before="120" w:after="120"/>
        <w:ind w:left="1417" w:hanging="567"/>
      </w:pPr>
      <w:r w:rsidRPr="0049453A">
        <w:t>(a)</w:t>
      </w:r>
      <w:r w:rsidRPr="0049453A">
        <w:tab/>
      </w:r>
      <w:r w:rsidRPr="0049453A">
        <w:rPr>
          <w:b/>
        </w:rPr>
        <w:t>Part A:</w:t>
      </w:r>
      <w:r w:rsidRPr="0049453A">
        <w:t xml:space="preserve"> Eligibility</w:t>
      </w:r>
      <w:r>
        <w:t>;</w:t>
      </w:r>
    </w:p>
    <w:p w14:paraId="2A4CD327" w14:textId="77777777" w:rsidR="0064434C" w:rsidRPr="0049453A" w:rsidRDefault="0064434C" w:rsidP="00B27863">
      <w:pPr>
        <w:pStyle w:val="Bodynumbered-Level1"/>
        <w:spacing w:before="120" w:after="120"/>
        <w:ind w:left="1417" w:hanging="567"/>
      </w:pPr>
      <w:r w:rsidRPr="0049453A">
        <w:t>(b)</w:t>
      </w:r>
      <w:r w:rsidRPr="0049453A">
        <w:tab/>
      </w:r>
      <w:r w:rsidRPr="0049453A">
        <w:rPr>
          <w:b/>
        </w:rPr>
        <w:t>Part B:</w:t>
      </w:r>
      <w:r w:rsidRPr="0049453A">
        <w:t xml:space="preserve"> Program requirements and considerations</w:t>
      </w:r>
      <w:r>
        <w:t>;</w:t>
      </w:r>
    </w:p>
    <w:p w14:paraId="604D59FB" w14:textId="77777777" w:rsidR="0064434C" w:rsidRPr="0049453A" w:rsidRDefault="0064434C" w:rsidP="00B27863">
      <w:pPr>
        <w:pStyle w:val="Bodynumbered-Level1"/>
        <w:spacing w:before="120" w:after="120"/>
        <w:ind w:left="1417" w:hanging="567"/>
      </w:pPr>
      <w:r w:rsidRPr="0049453A">
        <w:t>(c)</w:t>
      </w:r>
      <w:r w:rsidRPr="0049453A">
        <w:tab/>
      </w:r>
      <w:r w:rsidRPr="0049453A">
        <w:rPr>
          <w:b/>
        </w:rPr>
        <w:t>Part C:</w:t>
      </w:r>
      <w:r w:rsidRPr="0049453A">
        <w:t xml:space="preserve"> Application and Assessment</w:t>
      </w:r>
      <w:r>
        <w:t>;</w:t>
      </w:r>
      <w:r w:rsidRPr="0049453A">
        <w:t xml:space="preserve"> </w:t>
      </w:r>
    </w:p>
    <w:p w14:paraId="1281D1B8" w14:textId="77777777" w:rsidR="0064434C" w:rsidRPr="0049453A" w:rsidRDefault="0064434C" w:rsidP="00B27863">
      <w:pPr>
        <w:pStyle w:val="Bodynumbered-Level1"/>
        <w:spacing w:before="120" w:after="120"/>
        <w:ind w:left="1417" w:hanging="567"/>
      </w:pPr>
      <w:r w:rsidRPr="0049453A">
        <w:t>(d)</w:t>
      </w:r>
      <w:r w:rsidRPr="0049453A">
        <w:tab/>
      </w:r>
      <w:r w:rsidRPr="0049453A">
        <w:rPr>
          <w:b/>
        </w:rPr>
        <w:t>Part D:</w:t>
      </w:r>
      <w:r w:rsidRPr="0049453A">
        <w:t xml:space="preserve"> Program timing</w:t>
      </w:r>
      <w:r>
        <w:t>;</w:t>
      </w:r>
      <w:r w:rsidRPr="0049453A">
        <w:t xml:space="preserve"> </w:t>
      </w:r>
    </w:p>
    <w:p w14:paraId="19574A07" w14:textId="77777777" w:rsidR="0064434C" w:rsidRPr="0049453A" w:rsidRDefault="0064434C" w:rsidP="00B27863">
      <w:pPr>
        <w:pStyle w:val="Bodynumbered-Level1"/>
        <w:spacing w:before="120" w:after="120"/>
        <w:ind w:left="1417" w:hanging="567"/>
      </w:pPr>
      <w:r w:rsidRPr="0049453A">
        <w:t>(e)</w:t>
      </w:r>
      <w:r w:rsidRPr="0049453A">
        <w:tab/>
      </w:r>
      <w:r w:rsidRPr="0049453A">
        <w:rPr>
          <w:b/>
        </w:rPr>
        <w:t>Part E:</w:t>
      </w:r>
      <w:r w:rsidRPr="0049453A">
        <w:t xml:space="preserve"> Additional information</w:t>
      </w:r>
      <w:r>
        <w:t>;</w:t>
      </w:r>
    </w:p>
    <w:p w14:paraId="44BF9B46" w14:textId="77777777" w:rsidR="0064434C" w:rsidRPr="0049453A" w:rsidRDefault="0064434C" w:rsidP="00B27863">
      <w:pPr>
        <w:pStyle w:val="Bodynumbered-Level1"/>
        <w:spacing w:before="120" w:after="120"/>
        <w:ind w:left="1417" w:hanging="567"/>
      </w:pPr>
      <w:r w:rsidRPr="0049453A">
        <w:t>(f)</w:t>
      </w:r>
      <w:r w:rsidRPr="0049453A">
        <w:tab/>
      </w:r>
      <w:r w:rsidRPr="0049453A">
        <w:rPr>
          <w:b/>
        </w:rPr>
        <w:t>Part F:</w:t>
      </w:r>
      <w:r w:rsidRPr="0049453A">
        <w:t xml:space="preserve"> Glossary</w:t>
      </w:r>
      <w:r>
        <w:t>; and</w:t>
      </w:r>
    </w:p>
    <w:p w14:paraId="05B4B722" w14:textId="77777777" w:rsidR="0064434C" w:rsidRPr="006D52A9" w:rsidRDefault="0064434C" w:rsidP="00B27863">
      <w:pPr>
        <w:pStyle w:val="Bodynumbered-Level1"/>
        <w:spacing w:before="120"/>
        <w:ind w:left="1417" w:hanging="567"/>
      </w:pPr>
      <w:r w:rsidRPr="0049453A">
        <w:t>(g)</w:t>
      </w:r>
      <w:r w:rsidRPr="0049453A">
        <w:tab/>
      </w:r>
      <w:r w:rsidRPr="0049453A">
        <w:rPr>
          <w:b/>
        </w:rPr>
        <w:t>Part G:</w:t>
      </w:r>
      <w:r w:rsidRPr="0049453A">
        <w:t xml:space="preserve"> Attachments</w:t>
      </w:r>
      <w:r>
        <w:t>.</w:t>
      </w:r>
    </w:p>
    <w:p w14:paraId="00E239A5" w14:textId="77777777" w:rsidR="0064434C" w:rsidRPr="00667448" w:rsidRDefault="0064434C" w:rsidP="0064434C">
      <w:pPr>
        <w:pStyle w:val="Bodynumbered-Level1"/>
      </w:pPr>
      <w:bookmarkStart w:id="26" w:name="_Toc389744813"/>
      <w:bookmarkStart w:id="27" w:name="_Toc389748738"/>
      <w:bookmarkStart w:id="28" w:name="_Toc389750275"/>
      <w:bookmarkStart w:id="29" w:name="_Toc389743233"/>
      <w:bookmarkEnd w:id="26"/>
      <w:bookmarkEnd w:id="27"/>
      <w:bookmarkEnd w:id="28"/>
      <w:r>
        <w:t>1.2.3</w:t>
      </w:r>
      <w:r>
        <w:tab/>
      </w:r>
      <w:r w:rsidRPr="00667448">
        <w:t>The</w:t>
      </w:r>
      <w:r>
        <w:t>se</w:t>
      </w:r>
      <w:r w:rsidRPr="00667448">
        <w:t xml:space="preserve"> Guidelines aim to ensure the Program is delivered as efficiently</w:t>
      </w:r>
      <w:r>
        <w:t xml:space="preserve">, </w:t>
      </w:r>
      <w:r w:rsidRPr="00667448">
        <w:t>effectively</w:t>
      </w:r>
      <w:r>
        <w:t xml:space="preserve"> and economically as possible and achieves</w:t>
      </w:r>
      <w:r w:rsidRPr="00667448">
        <w:t xml:space="preserve"> value for money</w:t>
      </w:r>
      <w:r>
        <w:t xml:space="preserve"> to the Commonwealth</w:t>
      </w:r>
      <w:r w:rsidRPr="00667448">
        <w:t>.</w:t>
      </w:r>
      <w:bookmarkEnd w:id="29"/>
    </w:p>
    <w:p w14:paraId="01CA1B74" w14:textId="77777777" w:rsidR="0064434C" w:rsidRDefault="00B27863" w:rsidP="00226B4F">
      <w:pPr>
        <w:pStyle w:val="Heading3"/>
      </w:pPr>
      <w:bookmarkStart w:id="30" w:name="_Toc393908550"/>
      <w:bookmarkStart w:id="31" w:name="_Toc405380415"/>
      <w:bookmarkStart w:id="32" w:name="_Toc441049662"/>
      <w:bookmarkStart w:id="33" w:name="_Toc497901403"/>
      <w:bookmarkStart w:id="34" w:name="_Toc156213020"/>
      <w:r>
        <w:t xml:space="preserve">1.3 </w:t>
      </w:r>
      <w:r w:rsidR="0064434C">
        <w:t>Application deadline</w:t>
      </w:r>
      <w:bookmarkEnd w:id="30"/>
      <w:bookmarkEnd w:id="31"/>
      <w:bookmarkEnd w:id="32"/>
      <w:bookmarkEnd w:id="33"/>
      <w:bookmarkEnd w:id="34"/>
    </w:p>
    <w:p w14:paraId="418BE092" w14:textId="77777777" w:rsidR="0064434C" w:rsidRPr="0055435C" w:rsidRDefault="0064434C" w:rsidP="0064434C">
      <w:pPr>
        <w:pStyle w:val="Bodytext-Indent"/>
        <w:pBdr>
          <w:top w:val="single" w:sz="4" w:space="18" w:color="auto"/>
          <w:left w:val="single" w:sz="4" w:space="4" w:color="auto"/>
          <w:bottom w:val="single" w:sz="4" w:space="18" w:color="auto"/>
          <w:right w:val="single" w:sz="4" w:space="4" w:color="auto"/>
        </w:pBdr>
        <w:spacing w:after="240"/>
        <w:rPr>
          <w:sz w:val="22"/>
        </w:rPr>
      </w:pPr>
      <w:r w:rsidRPr="0055435C">
        <w:rPr>
          <w:sz w:val="22"/>
        </w:rPr>
        <w:t xml:space="preserve">The closing date for </w:t>
      </w:r>
      <w:proofErr w:type="gramStart"/>
      <w:r w:rsidRPr="0055435C">
        <w:rPr>
          <w:sz w:val="22"/>
        </w:rPr>
        <w:t>submitting an application</w:t>
      </w:r>
      <w:proofErr w:type="gramEnd"/>
      <w:r w:rsidRPr="0055435C">
        <w:rPr>
          <w:sz w:val="22"/>
        </w:rPr>
        <w:t xml:space="preserve"> for funding under</w:t>
      </w:r>
      <w:r>
        <w:rPr>
          <w:sz w:val="22"/>
        </w:rPr>
        <w:t xml:space="preserve"> the Priority Locations round of</w:t>
      </w:r>
      <w:r w:rsidRPr="0055435C">
        <w:rPr>
          <w:sz w:val="22"/>
        </w:rPr>
        <w:t xml:space="preserve"> the Program is </w:t>
      </w:r>
      <w:r w:rsidRPr="0055435C">
        <w:rPr>
          <w:b/>
          <w:sz w:val="22"/>
        </w:rPr>
        <w:t>5.</w:t>
      </w:r>
      <w:r w:rsidRPr="004F0BF3">
        <w:rPr>
          <w:b/>
          <w:sz w:val="22"/>
        </w:rPr>
        <w:t>00pm </w:t>
      </w:r>
      <w:r>
        <w:rPr>
          <w:b/>
          <w:sz w:val="22"/>
        </w:rPr>
        <w:t>WEDNESDAY</w:t>
      </w:r>
      <w:r w:rsidRPr="004F0BF3">
        <w:rPr>
          <w:b/>
          <w:sz w:val="22"/>
        </w:rPr>
        <w:t xml:space="preserve"> </w:t>
      </w:r>
      <w:r>
        <w:rPr>
          <w:b/>
          <w:sz w:val="22"/>
        </w:rPr>
        <w:t>20</w:t>
      </w:r>
      <w:r w:rsidRPr="004F0BF3">
        <w:rPr>
          <w:b/>
          <w:sz w:val="22"/>
        </w:rPr>
        <w:t xml:space="preserve"> December 2017</w:t>
      </w:r>
      <w:r w:rsidRPr="0055435C">
        <w:rPr>
          <w:b/>
          <w:sz w:val="22"/>
        </w:rPr>
        <w:t xml:space="preserve"> (Canberra time)</w:t>
      </w:r>
      <w:r w:rsidRPr="0055435C">
        <w:rPr>
          <w:sz w:val="22"/>
        </w:rPr>
        <w:t>.</w:t>
      </w:r>
    </w:p>
    <w:p w14:paraId="2E33258E" w14:textId="77777777" w:rsidR="0064434C" w:rsidRDefault="00B27863" w:rsidP="00226B4F">
      <w:pPr>
        <w:pStyle w:val="Heading3"/>
      </w:pPr>
      <w:bookmarkStart w:id="35" w:name="_Ref389781679"/>
      <w:bookmarkStart w:id="36" w:name="_Toc393908551"/>
      <w:bookmarkStart w:id="37" w:name="_Toc405380416"/>
      <w:bookmarkStart w:id="38" w:name="_Toc441049663"/>
      <w:bookmarkStart w:id="39" w:name="_Toc497901404"/>
      <w:bookmarkStart w:id="40" w:name="_Toc156213021"/>
      <w:r>
        <w:lastRenderedPageBreak/>
        <w:t xml:space="preserve">1.4 </w:t>
      </w:r>
      <w:r w:rsidR="0064434C">
        <w:t>Further information</w:t>
      </w:r>
      <w:bookmarkEnd w:id="35"/>
      <w:bookmarkEnd w:id="36"/>
      <w:bookmarkEnd w:id="37"/>
      <w:bookmarkEnd w:id="38"/>
      <w:bookmarkEnd w:id="39"/>
      <w:bookmarkEnd w:id="40"/>
    </w:p>
    <w:p w14:paraId="7B348203" w14:textId="77777777" w:rsidR="0064434C" w:rsidRDefault="0064434C" w:rsidP="0064434C">
      <w:pPr>
        <w:pStyle w:val="Bodynumbered-Level1"/>
      </w:pPr>
      <w:r>
        <w:t>1.4.1</w:t>
      </w:r>
      <w:r>
        <w:tab/>
      </w:r>
      <w:r w:rsidRPr="00D017F1">
        <w:t xml:space="preserve">Further information on the Program is available on </w:t>
      </w:r>
      <w:r w:rsidRPr="006A6C34">
        <w:t>the Department</w:t>
      </w:r>
      <w:r>
        <w:t xml:space="preserve">’s </w:t>
      </w:r>
      <w:r w:rsidRPr="006A6C34">
        <w:t>web</w:t>
      </w:r>
      <w:r>
        <w:t xml:space="preserve">site at </w:t>
      </w:r>
      <w:hyperlink r:id="rId14" w:history="1">
        <w:r w:rsidRPr="00B243D0">
          <w:rPr>
            <w:rStyle w:val="Hyperlink"/>
          </w:rPr>
          <w:t>www.communications.gov.au/mobile_coverage</w:t>
        </w:r>
      </w:hyperlink>
      <w:r>
        <w:t xml:space="preserve"> </w:t>
      </w:r>
    </w:p>
    <w:p w14:paraId="286CAD98" w14:textId="77777777" w:rsidR="0064434C" w:rsidRDefault="0064434C" w:rsidP="0064434C">
      <w:pPr>
        <w:pStyle w:val="Bodynumbered-Level1"/>
      </w:pPr>
      <w:r>
        <w:t>1.4.2</w:t>
      </w:r>
      <w:r>
        <w:tab/>
      </w:r>
      <w:r w:rsidRPr="00D017F1">
        <w:t xml:space="preserve">Enquiries about the Program can be made to </w:t>
      </w:r>
      <w:r>
        <w:t xml:space="preserve">the Department via the </w:t>
      </w:r>
      <w:r w:rsidRPr="00204BA9">
        <w:t>following</w:t>
      </w:r>
      <w:r>
        <w:t xml:space="preserve"> email address: </w:t>
      </w:r>
      <w:hyperlink r:id="rId15" w:history="1">
        <w:r w:rsidRPr="00F93B0E">
          <w:rPr>
            <w:rStyle w:val="Hyperlink"/>
          </w:rPr>
          <w:t>mobilecoverage@communications.gov.au</w:t>
        </w:r>
      </w:hyperlink>
    </w:p>
    <w:p w14:paraId="6C4C6779" w14:textId="77777777" w:rsidR="0064434C" w:rsidRPr="00150CF3" w:rsidRDefault="0064434C" w:rsidP="00B27863">
      <w:pPr>
        <w:pStyle w:val="Heading2"/>
      </w:pPr>
      <w:bookmarkStart w:id="41" w:name="_Toc393908552"/>
      <w:r>
        <w:br w:type="page"/>
      </w:r>
      <w:bookmarkStart w:id="42" w:name="_Toc405380417"/>
      <w:bookmarkStart w:id="43" w:name="_Toc441049664"/>
      <w:bookmarkStart w:id="44" w:name="_Toc497901405"/>
      <w:bookmarkStart w:id="45" w:name="_Toc156213022"/>
      <w:r w:rsidRPr="00150CF3">
        <w:lastRenderedPageBreak/>
        <w:t>Part A – E</w:t>
      </w:r>
      <w:bookmarkEnd w:id="41"/>
      <w:r w:rsidRPr="00150CF3">
        <w:t>ligibility</w:t>
      </w:r>
      <w:bookmarkEnd w:id="42"/>
      <w:bookmarkEnd w:id="43"/>
      <w:bookmarkEnd w:id="44"/>
      <w:bookmarkEnd w:id="45"/>
    </w:p>
    <w:p w14:paraId="4A2A8332" w14:textId="77777777" w:rsidR="0064434C" w:rsidRPr="003D2F00" w:rsidRDefault="00132AD1" w:rsidP="00132AD1">
      <w:pPr>
        <w:pStyle w:val="Heading3"/>
      </w:pPr>
      <w:bookmarkStart w:id="46" w:name="_Ref389782737"/>
      <w:bookmarkStart w:id="47" w:name="_Toc393908553"/>
      <w:bookmarkStart w:id="48" w:name="_Toc405380418"/>
      <w:bookmarkStart w:id="49" w:name="_Toc441049665"/>
      <w:bookmarkStart w:id="50" w:name="_Toc497901406"/>
      <w:bookmarkStart w:id="51" w:name="_Toc156213023"/>
      <w:r>
        <w:t xml:space="preserve">2. </w:t>
      </w:r>
      <w:r w:rsidR="0064434C" w:rsidRPr="003D2F00">
        <w:t>Eligibility criteria</w:t>
      </w:r>
      <w:bookmarkEnd w:id="46"/>
      <w:bookmarkEnd w:id="47"/>
      <w:bookmarkEnd w:id="48"/>
      <w:bookmarkEnd w:id="49"/>
      <w:bookmarkEnd w:id="50"/>
      <w:bookmarkEnd w:id="51"/>
    </w:p>
    <w:p w14:paraId="5BF7E0EA" w14:textId="77777777" w:rsidR="0064434C" w:rsidRDefault="0064434C" w:rsidP="00B84B0D">
      <w:pPr>
        <w:pStyle w:val="Heading4"/>
        <w:numPr>
          <w:ilvl w:val="1"/>
          <w:numId w:val="45"/>
        </w:numPr>
      </w:pPr>
      <w:bookmarkStart w:id="52" w:name="_Toc393908554"/>
      <w:bookmarkStart w:id="53" w:name="_Toc405380419"/>
      <w:bookmarkStart w:id="54" w:name="_Toc441049666"/>
      <w:bookmarkStart w:id="55" w:name="_Toc497901407"/>
      <w:bookmarkStart w:id="56" w:name="_Toc156213024"/>
      <w:r>
        <w:t>Eligible applicants</w:t>
      </w:r>
      <w:bookmarkEnd w:id="52"/>
      <w:bookmarkEnd w:id="53"/>
      <w:bookmarkEnd w:id="54"/>
      <w:bookmarkEnd w:id="55"/>
      <w:bookmarkEnd w:id="56"/>
    </w:p>
    <w:p w14:paraId="4F7C6359" w14:textId="77777777" w:rsidR="0064434C" w:rsidRPr="00003D4E" w:rsidRDefault="0064434C" w:rsidP="0064434C">
      <w:pPr>
        <w:pStyle w:val="Bodynumbered-Level1"/>
      </w:pPr>
      <w:bookmarkStart w:id="57" w:name="_Ref389836929"/>
      <w:r>
        <w:t>2.1.1</w:t>
      </w:r>
      <w:r>
        <w:tab/>
      </w:r>
      <w:r w:rsidRPr="00003D4E">
        <w:t xml:space="preserve">To be eligible for funding under the Mobile Black Spot Program, an applicant must be a </w:t>
      </w:r>
      <w:r>
        <w:t>national M</w:t>
      </w:r>
      <w:r w:rsidRPr="00003D4E">
        <w:t xml:space="preserve">obile </w:t>
      </w:r>
      <w:r>
        <w:t>N</w:t>
      </w:r>
      <w:r w:rsidRPr="00003D4E">
        <w:t xml:space="preserve">etwork </w:t>
      </w:r>
      <w:r>
        <w:t>O</w:t>
      </w:r>
      <w:r w:rsidRPr="00003D4E">
        <w:t>perator</w:t>
      </w:r>
      <w:r>
        <w:t xml:space="preserve"> </w:t>
      </w:r>
      <w:r w:rsidRPr="00003D4E">
        <w:t xml:space="preserve">or a </w:t>
      </w:r>
      <w:r>
        <w:t>M</w:t>
      </w:r>
      <w:r w:rsidRPr="00003D4E">
        <w:t xml:space="preserve">obile </w:t>
      </w:r>
      <w:r>
        <w:t>N</w:t>
      </w:r>
      <w:r w:rsidRPr="00003D4E">
        <w:t xml:space="preserve">etwork </w:t>
      </w:r>
      <w:r>
        <w:t>I</w:t>
      </w:r>
      <w:r w:rsidRPr="00003D4E">
        <w:t xml:space="preserve">nfrastructure </w:t>
      </w:r>
      <w:r>
        <w:t>P</w:t>
      </w:r>
      <w:r w:rsidRPr="00003D4E">
        <w:t>rovider</w:t>
      </w:r>
      <w:r>
        <w:t>.</w:t>
      </w:r>
      <w:bookmarkEnd w:id="57"/>
    </w:p>
    <w:p w14:paraId="71FC2E36" w14:textId="77777777" w:rsidR="0064434C" w:rsidRDefault="0064434C" w:rsidP="0064434C">
      <w:pPr>
        <w:pStyle w:val="Bodynumbered-Level1"/>
        <w:spacing w:after="120"/>
      </w:pPr>
      <w:bookmarkStart w:id="58" w:name="_Ref389836927"/>
      <w:r>
        <w:t>2.1.2</w:t>
      </w:r>
      <w:r>
        <w:tab/>
        <w:t xml:space="preserve">For the purposes of the Program, a </w:t>
      </w:r>
      <w:r w:rsidRPr="00003D4E">
        <w:t xml:space="preserve">Mobile </w:t>
      </w:r>
      <w:r>
        <w:t>N</w:t>
      </w:r>
      <w:r w:rsidRPr="00003D4E">
        <w:t xml:space="preserve">etwork </w:t>
      </w:r>
      <w:r>
        <w:t>O</w:t>
      </w:r>
      <w:r w:rsidRPr="00003D4E">
        <w:t xml:space="preserve">perator </w:t>
      </w:r>
      <w:r>
        <w:t>(</w:t>
      </w:r>
      <w:r w:rsidRPr="003D2F00">
        <w:rPr>
          <w:b/>
        </w:rPr>
        <w:t>MNO</w:t>
      </w:r>
      <w:r>
        <w:t>) means</w:t>
      </w:r>
      <w:r w:rsidRPr="00003D4E">
        <w:t xml:space="preserve"> a company, other than a </w:t>
      </w:r>
      <w:r>
        <w:t>M</w:t>
      </w:r>
      <w:r w:rsidRPr="00003D4E">
        <w:t xml:space="preserve">obile </w:t>
      </w:r>
      <w:r>
        <w:t>N</w:t>
      </w:r>
      <w:r w:rsidRPr="00003D4E">
        <w:t xml:space="preserve">etwork </w:t>
      </w:r>
      <w:r>
        <w:t>I</w:t>
      </w:r>
      <w:r w:rsidRPr="00003D4E">
        <w:t xml:space="preserve">nfrastructure </w:t>
      </w:r>
      <w:r>
        <w:t>P</w:t>
      </w:r>
      <w:r w:rsidRPr="00003D4E">
        <w:t>rovider, that</w:t>
      </w:r>
      <w:r>
        <w:t>:</w:t>
      </w:r>
      <w:bookmarkEnd w:id="58"/>
    </w:p>
    <w:p w14:paraId="7285C87F" w14:textId="77777777" w:rsidR="0064434C" w:rsidRDefault="0064434C" w:rsidP="00132AD1">
      <w:pPr>
        <w:pStyle w:val="Bodynumbered-Level3"/>
        <w:numPr>
          <w:ilvl w:val="0"/>
          <w:numId w:val="22"/>
        </w:numPr>
        <w:spacing w:before="120" w:after="120"/>
        <w:ind w:left="1405"/>
      </w:pPr>
      <w:r w:rsidRPr="003B5277">
        <w:t xml:space="preserve">supplies a public mobile telecommunications service within the meaning of </w:t>
      </w:r>
      <w:r w:rsidRPr="00EF7D45">
        <w:rPr>
          <w:i/>
        </w:rPr>
        <w:t xml:space="preserve">the </w:t>
      </w:r>
      <w:r w:rsidRPr="00246CC8">
        <w:rPr>
          <w:i/>
        </w:rPr>
        <w:t>Telecommunications</w:t>
      </w:r>
      <w:r w:rsidRPr="00EF7D45">
        <w:rPr>
          <w:i/>
        </w:rPr>
        <w:t xml:space="preserve"> Act 1997</w:t>
      </w:r>
      <w:r>
        <w:rPr>
          <w:i/>
        </w:rPr>
        <w:t>;</w:t>
      </w:r>
      <w:r>
        <w:t xml:space="preserve"> and</w:t>
      </w:r>
    </w:p>
    <w:p w14:paraId="1169AC25" w14:textId="77777777" w:rsidR="0064434C" w:rsidRPr="003B5277" w:rsidRDefault="0064434C" w:rsidP="00132AD1">
      <w:pPr>
        <w:pStyle w:val="Bodynumbered-Level3"/>
        <w:numPr>
          <w:ilvl w:val="0"/>
          <w:numId w:val="22"/>
        </w:numPr>
        <w:spacing w:before="120" w:after="240"/>
        <w:ind w:left="1405"/>
      </w:pPr>
      <w:r w:rsidRPr="003B5277">
        <w:t xml:space="preserve">holds an apparatus or a spectrum licence </w:t>
      </w:r>
      <w:r>
        <w:t xml:space="preserve">(or both) </w:t>
      </w:r>
      <w:r w:rsidRPr="003B5277">
        <w:t xml:space="preserve">for the supply of public mobile telecommunications services under </w:t>
      </w:r>
      <w:r w:rsidRPr="0018433C">
        <w:rPr>
          <w:i/>
        </w:rPr>
        <w:t>the Radiocommunications</w:t>
      </w:r>
      <w:r w:rsidRPr="007A240E">
        <w:rPr>
          <w:i/>
        </w:rPr>
        <w:t xml:space="preserve"> Act 1992</w:t>
      </w:r>
      <w:r w:rsidRPr="003B5277">
        <w:t>.</w:t>
      </w:r>
    </w:p>
    <w:p w14:paraId="1DFDD299" w14:textId="77777777" w:rsidR="0064434C" w:rsidRPr="0035161C" w:rsidRDefault="0064434C" w:rsidP="0064434C">
      <w:pPr>
        <w:pStyle w:val="Bodynumbered-Level1"/>
      </w:pPr>
      <w:r>
        <w:t>2.1.3</w:t>
      </w:r>
      <w:r>
        <w:tab/>
        <w:t xml:space="preserve">For the purposes of the Program, a </w:t>
      </w:r>
      <w:r w:rsidRPr="00003D4E">
        <w:t xml:space="preserve">Mobile </w:t>
      </w:r>
      <w:r>
        <w:t>N</w:t>
      </w:r>
      <w:r w:rsidRPr="00003D4E">
        <w:t xml:space="preserve">etwork </w:t>
      </w:r>
      <w:r>
        <w:t>I</w:t>
      </w:r>
      <w:r w:rsidRPr="00003D4E">
        <w:t xml:space="preserve">nfrastructure </w:t>
      </w:r>
      <w:r>
        <w:t>P</w:t>
      </w:r>
      <w:r w:rsidRPr="00003D4E">
        <w:t xml:space="preserve">rovider </w:t>
      </w:r>
      <w:r>
        <w:t>(</w:t>
      </w:r>
      <w:r w:rsidRPr="003D2F00">
        <w:rPr>
          <w:b/>
        </w:rPr>
        <w:t>MNIP</w:t>
      </w:r>
      <w:r>
        <w:t xml:space="preserve">) means </w:t>
      </w:r>
      <w:r w:rsidRPr="00003D4E">
        <w:t xml:space="preserve">a company, other than </w:t>
      </w:r>
      <w:proofErr w:type="gramStart"/>
      <w:r w:rsidRPr="00003D4E">
        <w:t>a</w:t>
      </w:r>
      <w:proofErr w:type="gramEnd"/>
      <w:r w:rsidRPr="00003D4E">
        <w:t xml:space="preserve"> </w:t>
      </w:r>
      <w:r>
        <w:t>MNO</w:t>
      </w:r>
      <w:r w:rsidRPr="00003D4E">
        <w:t>, that</w:t>
      </w:r>
      <w:r>
        <w:t xml:space="preserve"> </w:t>
      </w:r>
      <w:r w:rsidRPr="00003D4E">
        <w:t>provid</w:t>
      </w:r>
      <w:r>
        <w:t>es</w:t>
      </w:r>
      <w:r w:rsidRPr="00003D4E">
        <w:t xml:space="preserve"> communications infrastructure in Australia or overseas, including the installation</w:t>
      </w:r>
      <w:r>
        <w:t xml:space="preserve"> and</w:t>
      </w:r>
      <w:r w:rsidRPr="00003D4E">
        <w:t xml:space="preserve"> operation of infrastructure to be used by one or more </w:t>
      </w:r>
      <w:r>
        <w:t>MNOs</w:t>
      </w:r>
      <w:r w:rsidRPr="00003D4E">
        <w:t xml:space="preserve"> to provide public mobile telecommunications services</w:t>
      </w:r>
      <w:r w:rsidRPr="0035161C">
        <w:t>.</w:t>
      </w:r>
      <w:r>
        <w:t xml:space="preserve"> MNIP applications must be accompanied by evidence of a commercially binding commitment from at least one MNO to use the infrastructure to deliver mobile services as described at </w:t>
      </w:r>
      <w:r w:rsidRPr="00B64709">
        <w:t>section 5</w:t>
      </w:r>
      <w:r>
        <w:t xml:space="preserve"> for at least 10 years.</w:t>
      </w:r>
    </w:p>
    <w:p w14:paraId="2D84F22D" w14:textId="77777777" w:rsidR="0064434C" w:rsidRPr="00EF7D45" w:rsidRDefault="0064434C" w:rsidP="0064434C">
      <w:pPr>
        <w:pStyle w:val="Bodynumbered-Level1"/>
      </w:pPr>
      <w:r>
        <w:t>2.1.4</w:t>
      </w:r>
      <w:r>
        <w:tab/>
      </w:r>
      <w:r w:rsidRPr="00003D4E">
        <w:t xml:space="preserve">MNOs and MNIPs may also apply jointly for funding through the Program. Joint </w:t>
      </w:r>
      <w:r>
        <w:t xml:space="preserve">applications </w:t>
      </w:r>
      <w:r w:rsidRPr="00003D4E">
        <w:t>must be underpinned by commercially binding arrangements or the clear intention to enter into such arrangements</w:t>
      </w:r>
      <w:r>
        <w:t xml:space="preserve"> should the application be successful</w:t>
      </w:r>
      <w:r w:rsidRPr="00003D4E">
        <w:t>.</w:t>
      </w:r>
      <w:r>
        <w:t xml:space="preserve"> Awards to joint applicants may be granted on the condition that the parties would enter into a binding arrangement approved by the Department prior to finalisation of the </w:t>
      </w:r>
      <w:r>
        <w:rPr>
          <w:b/>
        </w:rPr>
        <w:t>Grant Agreement</w:t>
      </w:r>
      <w:r>
        <w:t>.</w:t>
      </w:r>
    </w:p>
    <w:p w14:paraId="604B83D5" w14:textId="77777777" w:rsidR="0064434C" w:rsidRDefault="00132AD1" w:rsidP="00B84B0D">
      <w:pPr>
        <w:pStyle w:val="Heading4"/>
      </w:pPr>
      <w:bookmarkStart w:id="59" w:name="_Toc441049667"/>
      <w:bookmarkStart w:id="60" w:name="_Toc497901408"/>
      <w:bookmarkStart w:id="61" w:name="_Toc156213025"/>
      <w:bookmarkStart w:id="62" w:name="_Toc393908555"/>
      <w:bookmarkStart w:id="63" w:name="_Toc405380420"/>
      <w:r>
        <w:t xml:space="preserve">2.2 </w:t>
      </w:r>
      <w:r w:rsidR="0064434C">
        <w:t>Solution eligibility</w:t>
      </w:r>
      <w:bookmarkEnd w:id="59"/>
      <w:bookmarkEnd w:id="60"/>
      <w:bookmarkEnd w:id="61"/>
    </w:p>
    <w:p w14:paraId="4C0D7A44" w14:textId="77777777" w:rsidR="0064434C" w:rsidRDefault="0064434C" w:rsidP="0064434C">
      <w:pPr>
        <w:pStyle w:val="Bodynumbered-Level1"/>
        <w:spacing w:after="120"/>
      </w:pPr>
      <w:r>
        <w:t>2.2.1</w:t>
      </w:r>
      <w:r>
        <w:tab/>
        <w:t xml:space="preserve">To be eligible for funding under the Program, each </w:t>
      </w:r>
      <w:r>
        <w:rPr>
          <w:b/>
        </w:rPr>
        <w:t>Proposed Solution</w:t>
      </w:r>
      <w:r>
        <w:t xml:space="preserve"> must:</w:t>
      </w:r>
    </w:p>
    <w:p w14:paraId="3C184E28" w14:textId="77777777" w:rsidR="0064434C" w:rsidRPr="002865E9" w:rsidRDefault="0064434C" w:rsidP="00132AD1">
      <w:pPr>
        <w:pStyle w:val="Bodynumbered-Level3"/>
        <w:numPr>
          <w:ilvl w:val="0"/>
          <w:numId w:val="23"/>
        </w:numPr>
        <w:spacing w:before="120" w:after="120"/>
        <w:ind w:left="1417" w:hanging="567"/>
      </w:pPr>
      <w:r>
        <w:t>a</w:t>
      </w:r>
      <w:r w:rsidRPr="00D20760">
        <w:t>ddress the specified mobile coverage issue/</w:t>
      </w:r>
      <w:r w:rsidRPr="00816049">
        <w:t xml:space="preserve">s at one or more of the Priority Locations </w:t>
      </w:r>
      <w:r w:rsidRPr="002865E9">
        <w:t>(Attachment A);</w:t>
      </w:r>
    </w:p>
    <w:p w14:paraId="0B7B2B01" w14:textId="77777777" w:rsidR="0064434C" w:rsidRPr="000A3FC9" w:rsidRDefault="0064434C" w:rsidP="00132AD1">
      <w:pPr>
        <w:pStyle w:val="Bodynumbered-Level3"/>
        <w:numPr>
          <w:ilvl w:val="0"/>
          <w:numId w:val="23"/>
        </w:numPr>
        <w:spacing w:before="120" w:after="120"/>
        <w:ind w:left="1417" w:hanging="567"/>
      </w:pPr>
      <w:r w:rsidRPr="002865E9">
        <w:t xml:space="preserve">address the quality of service issue/s as </w:t>
      </w:r>
      <w:r w:rsidRPr="000A3FC9">
        <w:t>set out at Attachment A; and</w:t>
      </w:r>
    </w:p>
    <w:p w14:paraId="0F2D6A02" w14:textId="77777777" w:rsidR="0064434C" w:rsidRDefault="0064434C" w:rsidP="00132AD1">
      <w:pPr>
        <w:pStyle w:val="Bodynumbered-Level3"/>
        <w:numPr>
          <w:ilvl w:val="0"/>
          <w:numId w:val="23"/>
        </w:numPr>
        <w:spacing w:before="120" w:after="120"/>
        <w:ind w:left="1417" w:hanging="567"/>
      </w:pPr>
      <w:r>
        <w:t>n</w:t>
      </w:r>
      <w:r w:rsidRPr="00DF7E42">
        <w:t>ot be sited at</w:t>
      </w:r>
      <w:r w:rsidRPr="00155C57">
        <w:t xml:space="preserve"> a location identified on the </w:t>
      </w:r>
      <w:r w:rsidRPr="00E97FE2">
        <w:t>applicant’</w:t>
      </w:r>
      <w:r w:rsidRPr="00AB667D">
        <w:t>s 2017</w:t>
      </w:r>
      <w:r w:rsidRPr="00A104A5">
        <w:t>-1</w:t>
      </w:r>
      <w:r w:rsidRPr="00D20760">
        <w:t xml:space="preserve">8 </w:t>
      </w:r>
      <w:r w:rsidRPr="00155C57">
        <w:t>to 2019</w:t>
      </w:r>
      <w:r w:rsidRPr="00155C57">
        <w:noBreakHyphen/>
        <w:t>20 forward build network expansion or upgrade plans</w:t>
      </w:r>
      <w:r w:rsidRPr="00DF7E42">
        <w:t>.</w:t>
      </w:r>
    </w:p>
    <w:p w14:paraId="5C487B62" w14:textId="77777777" w:rsidR="0064434C" w:rsidRPr="008E3258" w:rsidRDefault="0064434C" w:rsidP="0064434C">
      <w:pPr>
        <w:pStyle w:val="Bodynumbered-Level1"/>
      </w:pPr>
      <w:r>
        <w:t>2.2.2</w:t>
      </w:r>
      <w:r>
        <w:tab/>
        <w:t xml:space="preserve">Applicants </w:t>
      </w:r>
      <w:r w:rsidRPr="00002067">
        <w:t xml:space="preserve">may propose the use of </w:t>
      </w:r>
      <w:r>
        <w:t xml:space="preserve">either </w:t>
      </w:r>
      <w:proofErr w:type="spellStart"/>
      <w:r w:rsidRPr="00B50689">
        <w:rPr>
          <w:b/>
        </w:rPr>
        <w:t>Macrocell</w:t>
      </w:r>
      <w:proofErr w:type="spellEnd"/>
      <w:r>
        <w:t xml:space="preserve"> or </w:t>
      </w:r>
      <w:r w:rsidRPr="00631A60">
        <w:rPr>
          <w:b/>
        </w:rPr>
        <w:t>Small Cell</w:t>
      </w:r>
      <w:r>
        <w:t xml:space="preserve"> </w:t>
      </w:r>
      <w:r w:rsidRPr="00002067">
        <w:t xml:space="preserve">technologies to </w:t>
      </w:r>
      <w:r>
        <w:t xml:space="preserve">deliver services at the Priority Locations. For locations experiencing congestion/service quality issues, applicants may propose any solution which addresses the mobile coverage issue detailed </w:t>
      </w:r>
      <w:r w:rsidRPr="00B64709">
        <w:t>at Attachment A</w:t>
      </w:r>
      <w:r>
        <w:t xml:space="preserve"> so long as it delivers the minimum standards specified </w:t>
      </w:r>
      <w:r w:rsidRPr="00D20760">
        <w:t xml:space="preserve">at </w:t>
      </w:r>
      <w:r w:rsidRPr="00B64709">
        <w:t>5.2.</w:t>
      </w:r>
    </w:p>
    <w:p w14:paraId="63B24254" w14:textId="77777777" w:rsidR="0064434C" w:rsidRPr="008C3E77" w:rsidRDefault="0064434C" w:rsidP="0064434C">
      <w:pPr>
        <w:pStyle w:val="Bodynumbered-Level1"/>
      </w:pPr>
      <w:r>
        <w:t>2.2.3</w:t>
      </w:r>
      <w:r>
        <w:tab/>
        <w:t xml:space="preserve">To the extent that the predicted coverage to be provided by a Proposed Solution overlaps with existing </w:t>
      </w:r>
      <w:r w:rsidRPr="007631E0">
        <w:rPr>
          <w:b/>
        </w:rPr>
        <w:t>Handheld Coverage</w:t>
      </w:r>
      <w:r>
        <w:t xml:space="preserve"> from the applicant’s own network, this overlapping portion of coverage will not be considered in the assessment of applications. </w:t>
      </w:r>
      <w:r w:rsidRPr="00327A23">
        <w:rPr>
          <w:b/>
        </w:rPr>
        <w:t>External Antenna Coverage</w:t>
      </w:r>
      <w:r>
        <w:t xml:space="preserve"> may be considered in the overarching value for money assessment of applications.</w:t>
      </w:r>
    </w:p>
    <w:p w14:paraId="48A787A7" w14:textId="77777777" w:rsidR="0064434C" w:rsidRPr="00E04541" w:rsidRDefault="0064434C" w:rsidP="00B84B0D">
      <w:pPr>
        <w:pStyle w:val="Heading4"/>
        <w:numPr>
          <w:ilvl w:val="1"/>
          <w:numId w:val="46"/>
        </w:numPr>
      </w:pPr>
      <w:bookmarkStart w:id="64" w:name="_Toc434092315"/>
      <w:bookmarkStart w:id="65" w:name="_Toc434093325"/>
      <w:bookmarkStart w:id="66" w:name="_Toc434093467"/>
      <w:bookmarkStart w:id="67" w:name="_Toc434228312"/>
      <w:bookmarkStart w:id="68" w:name="_Toc434841000"/>
      <w:bookmarkStart w:id="69" w:name="_Toc435080340"/>
      <w:bookmarkStart w:id="70" w:name="_Toc434092316"/>
      <w:bookmarkStart w:id="71" w:name="_Toc434093326"/>
      <w:bookmarkStart w:id="72" w:name="_Toc434093468"/>
      <w:bookmarkStart w:id="73" w:name="_Toc434228313"/>
      <w:bookmarkStart w:id="74" w:name="_Toc434841001"/>
      <w:bookmarkStart w:id="75" w:name="_Toc435080341"/>
      <w:bookmarkStart w:id="76" w:name="_Toc434092318"/>
      <w:bookmarkStart w:id="77" w:name="_Toc434093328"/>
      <w:bookmarkStart w:id="78" w:name="_Toc434093470"/>
      <w:bookmarkStart w:id="79" w:name="_Toc434228315"/>
      <w:bookmarkStart w:id="80" w:name="_Toc434841003"/>
      <w:bookmarkStart w:id="81" w:name="_Toc435080343"/>
      <w:bookmarkStart w:id="82" w:name="_Toc434092319"/>
      <w:bookmarkStart w:id="83" w:name="_Toc434093329"/>
      <w:bookmarkStart w:id="84" w:name="_Toc434093471"/>
      <w:bookmarkStart w:id="85" w:name="_Toc434228316"/>
      <w:bookmarkStart w:id="86" w:name="_Toc434841004"/>
      <w:bookmarkStart w:id="87" w:name="_Toc435080344"/>
      <w:bookmarkStart w:id="88" w:name="_Toc386635486"/>
      <w:bookmarkStart w:id="89" w:name="_Ref389830818"/>
      <w:bookmarkStart w:id="90" w:name="_Toc393908556"/>
      <w:bookmarkStart w:id="91" w:name="_Toc405380421"/>
      <w:bookmarkStart w:id="92" w:name="_Toc441049668"/>
      <w:bookmarkStart w:id="93" w:name="_Toc497901409"/>
      <w:bookmarkStart w:id="94" w:name="_Toc15621302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E04541">
        <w:lastRenderedPageBreak/>
        <w:t>Existing network plans</w:t>
      </w:r>
      <w:bookmarkEnd w:id="88"/>
      <w:bookmarkEnd w:id="89"/>
      <w:bookmarkEnd w:id="90"/>
      <w:bookmarkEnd w:id="91"/>
      <w:bookmarkEnd w:id="92"/>
      <w:bookmarkEnd w:id="93"/>
      <w:bookmarkEnd w:id="94"/>
    </w:p>
    <w:p w14:paraId="5E0BE42A" w14:textId="77777777" w:rsidR="0064434C" w:rsidRPr="00165610" w:rsidRDefault="0064434C" w:rsidP="00132AD1">
      <w:pPr>
        <w:pStyle w:val="Bodynumbered-Level1"/>
        <w:keepLines/>
      </w:pPr>
      <w:r>
        <w:t>2.3.1</w:t>
      </w:r>
      <w:r>
        <w:tab/>
      </w:r>
      <w:r w:rsidRPr="00165610">
        <w:t xml:space="preserve">To ensure that applicants do not seek Commonwealth funding for </w:t>
      </w:r>
      <w:r>
        <w:t>Proposed Solution</w:t>
      </w:r>
      <w:r w:rsidRPr="00165610">
        <w:t xml:space="preserve">s where they have already planned to invest commercially, all applicants </w:t>
      </w:r>
      <w:r>
        <w:t xml:space="preserve">(including MNIPs) </w:t>
      </w:r>
      <w:r w:rsidRPr="00165610">
        <w:t xml:space="preserve">must certify that any </w:t>
      </w:r>
      <w:r>
        <w:t>Proposed Solution</w:t>
      </w:r>
      <w:r w:rsidRPr="00165610">
        <w:t xml:space="preserve">s for which </w:t>
      </w:r>
      <w:r w:rsidRPr="00C34CFE">
        <w:t xml:space="preserve">Commonwealth funds are being sought were </w:t>
      </w:r>
      <w:r w:rsidRPr="00DD65AB">
        <w:t>not at any time part of their 201</w:t>
      </w:r>
      <w:r>
        <w:t>7</w:t>
      </w:r>
      <w:r w:rsidRPr="00DD65AB">
        <w:t>-1</w:t>
      </w:r>
      <w:r>
        <w:t>8</w:t>
      </w:r>
      <w:r w:rsidRPr="00DD65AB">
        <w:t xml:space="preserve"> to 201</w:t>
      </w:r>
      <w:r>
        <w:t>9</w:t>
      </w:r>
      <w:r w:rsidRPr="00DD65AB">
        <w:t>-</w:t>
      </w:r>
      <w:r>
        <w:t>20</w:t>
      </w:r>
      <w:r w:rsidRPr="00DD65AB">
        <w:t xml:space="preserve"> forward</w:t>
      </w:r>
      <w:r w:rsidRPr="00DD65AB">
        <w:noBreakHyphen/>
        <w:t>build network expansion</w:t>
      </w:r>
      <w:r>
        <w:t xml:space="preserve"> or upgrade</w:t>
      </w:r>
      <w:r w:rsidRPr="00DD65AB">
        <w:t xml:space="preserve"> plans</w:t>
      </w:r>
      <w:r>
        <w:t>.</w:t>
      </w:r>
    </w:p>
    <w:p w14:paraId="093CF893" w14:textId="77777777" w:rsidR="0064434C" w:rsidRPr="00EF7D45" w:rsidRDefault="0064434C" w:rsidP="00132AD1">
      <w:pPr>
        <w:pStyle w:val="Bodynumbered-Level1"/>
      </w:pPr>
      <w:r>
        <w:t>2.3.2</w:t>
      </w:r>
      <w:r>
        <w:tab/>
        <w:t xml:space="preserve">The Department may audit a Grantee’s compliance with </w:t>
      </w:r>
      <w:r w:rsidRPr="00B64709">
        <w:t>section 2.3.1.</w:t>
      </w:r>
    </w:p>
    <w:p w14:paraId="0318E6AA" w14:textId="77777777" w:rsidR="0064434C" w:rsidRPr="00150CF3" w:rsidRDefault="0064434C" w:rsidP="00226B4F">
      <w:pPr>
        <w:pStyle w:val="Heading2"/>
      </w:pPr>
      <w:r>
        <w:br w:type="page"/>
      </w:r>
      <w:bookmarkStart w:id="95" w:name="_Toc393908557"/>
      <w:bookmarkStart w:id="96" w:name="_Toc405380422"/>
      <w:bookmarkStart w:id="97" w:name="_Toc441049669"/>
      <w:bookmarkStart w:id="98" w:name="_Toc497901410"/>
      <w:bookmarkStart w:id="99" w:name="_Toc156213027"/>
      <w:r w:rsidRPr="00150CF3">
        <w:lastRenderedPageBreak/>
        <w:t xml:space="preserve">Part B – </w:t>
      </w:r>
      <w:r>
        <w:t>Program</w:t>
      </w:r>
      <w:r w:rsidRPr="00150CF3">
        <w:t xml:space="preserve"> requirements and considerations</w:t>
      </w:r>
      <w:bookmarkEnd w:id="95"/>
      <w:bookmarkEnd w:id="96"/>
      <w:bookmarkEnd w:id="97"/>
      <w:bookmarkEnd w:id="98"/>
      <w:bookmarkEnd w:id="99"/>
    </w:p>
    <w:p w14:paraId="6D55B144" w14:textId="77777777" w:rsidR="0064434C" w:rsidRDefault="00132AD1" w:rsidP="00132AD1">
      <w:pPr>
        <w:pStyle w:val="Heading3"/>
      </w:pPr>
      <w:bookmarkStart w:id="100" w:name="_Toc156213028"/>
      <w:r>
        <w:t xml:space="preserve">3. </w:t>
      </w:r>
      <w:bookmarkStart w:id="101" w:name="_Toc441049670"/>
      <w:bookmarkStart w:id="102" w:name="_Toc497901411"/>
      <w:bookmarkStart w:id="103" w:name="_Toc393908558"/>
      <w:bookmarkStart w:id="104" w:name="_Toc405380423"/>
      <w:r w:rsidR="0064434C">
        <w:t>Program funding</w:t>
      </w:r>
      <w:bookmarkEnd w:id="101"/>
      <w:bookmarkEnd w:id="102"/>
      <w:bookmarkEnd w:id="100"/>
      <w:r w:rsidR="0064434C">
        <w:t xml:space="preserve"> </w:t>
      </w:r>
      <w:bookmarkEnd w:id="103"/>
      <w:bookmarkEnd w:id="104"/>
    </w:p>
    <w:p w14:paraId="0B7E6FAD" w14:textId="77777777" w:rsidR="0064434C" w:rsidRPr="00D05E5E" w:rsidRDefault="0064434C" w:rsidP="00B84B0D">
      <w:pPr>
        <w:pStyle w:val="Heading4"/>
        <w:numPr>
          <w:ilvl w:val="1"/>
          <w:numId w:val="48"/>
        </w:numPr>
      </w:pPr>
      <w:bookmarkStart w:id="105" w:name="_Toc441049671"/>
      <w:bookmarkStart w:id="106" w:name="_Toc497901412"/>
      <w:bookmarkStart w:id="107" w:name="_Toc156213029"/>
      <w:r>
        <w:t>Grant Agreements</w:t>
      </w:r>
      <w:bookmarkEnd w:id="105"/>
      <w:bookmarkEnd w:id="106"/>
      <w:bookmarkEnd w:id="107"/>
    </w:p>
    <w:p w14:paraId="0C8EEE88" w14:textId="77777777" w:rsidR="0064434C" w:rsidRDefault="0064434C" w:rsidP="0064434C">
      <w:pPr>
        <w:pStyle w:val="Bodynumbered-Level1"/>
      </w:pPr>
      <w:r>
        <w:t>3.1.1</w:t>
      </w:r>
      <w:r>
        <w:tab/>
        <w:t xml:space="preserve">Each </w:t>
      </w:r>
      <w:r>
        <w:rPr>
          <w:b/>
        </w:rPr>
        <w:t>Grantee</w:t>
      </w:r>
      <w:r w:rsidRPr="006222CD">
        <w:t xml:space="preserve"> </w:t>
      </w:r>
      <w:r>
        <w:t xml:space="preserve">will be required to enter into </w:t>
      </w:r>
      <w:r w:rsidRPr="006222CD">
        <w:t xml:space="preserve">a </w:t>
      </w:r>
      <w:r>
        <w:t>Grant Agreement</w:t>
      </w:r>
      <w:r w:rsidRPr="00002067">
        <w:t xml:space="preserve"> </w:t>
      </w:r>
      <w:r>
        <w:t xml:space="preserve">with the Commonwealth prior to the Government’s announcement of successful Grantees and Priority Locations to receive funding </w:t>
      </w:r>
      <w:r w:rsidRPr="003549D9">
        <w:t>(see section 13).</w:t>
      </w:r>
      <w:r>
        <w:t xml:space="preserve"> The Grant Agreement will be in the legal form of a deed.</w:t>
      </w:r>
    </w:p>
    <w:p w14:paraId="62619119" w14:textId="77777777" w:rsidR="0064434C" w:rsidRDefault="0064434C" w:rsidP="0064434C">
      <w:pPr>
        <w:pStyle w:val="Bodynumbered-Level1"/>
      </w:pPr>
      <w:r>
        <w:t>3.1.2</w:t>
      </w:r>
      <w:r>
        <w:tab/>
      </w:r>
      <w:r w:rsidRPr="006222CD">
        <w:t xml:space="preserve">A draft </w:t>
      </w:r>
      <w:r>
        <w:t>Grant Agreement</w:t>
      </w:r>
      <w:r w:rsidRPr="006222CD">
        <w:t xml:space="preserve"> is at </w:t>
      </w:r>
      <w:r w:rsidRPr="003549D9">
        <w:t>Attachment B</w:t>
      </w:r>
      <w:r w:rsidRPr="006222CD">
        <w:t xml:space="preserve"> of these Guidelines</w:t>
      </w:r>
      <w:r>
        <w:t>.</w:t>
      </w:r>
      <w:r w:rsidRPr="007A56E9">
        <w:t xml:space="preserve"> </w:t>
      </w:r>
    </w:p>
    <w:p w14:paraId="5408670A" w14:textId="77777777" w:rsidR="0064434C" w:rsidRDefault="0064434C" w:rsidP="0064434C">
      <w:pPr>
        <w:pStyle w:val="Bodynumbered-Level1"/>
      </w:pPr>
      <w:r>
        <w:t>3.1.3</w:t>
      </w:r>
      <w:r>
        <w:tab/>
        <w:t>Each Grant Agreement will set out the Grantee’s obligations in respect of the roll</w:t>
      </w:r>
      <w:r>
        <w:noBreakHyphen/>
        <w:t xml:space="preserve">out, co-location and open access terms and service terms for each </w:t>
      </w:r>
      <w:r>
        <w:rPr>
          <w:b/>
        </w:rPr>
        <w:t>Funded Solution</w:t>
      </w:r>
      <w:r>
        <w:t>.</w:t>
      </w:r>
    </w:p>
    <w:p w14:paraId="6165C73E" w14:textId="77777777" w:rsidR="0064434C" w:rsidRDefault="0064434C" w:rsidP="0064434C">
      <w:pPr>
        <w:pStyle w:val="Bodynumbered-Level1"/>
      </w:pPr>
      <w:r>
        <w:t>3.1.4</w:t>
      </w:r>
      <w:r>
        <w:tab/>
      </w:r>
      <w:r w:rsidRPr="00373989">
        <w:t xml:space="preserve">For existing participants in the </w:t>
      </w:r>
      <w:r>
        <w:t>P</w:t>
      </w:r>
      <w:r w:rsidRPr="00373989">
        <w:t>rogram, the Commonwealth agrees that the bas</w:t>
      </w:r>
      <w:r>
        <w:t>is for this Priority Location round Grant Agreement</w:t>
      </w:r>
      <w:r w:rsidRPr="00373989">
        <w:t xml:space="preserve"> could be the executed round 2 agreements</w:t>
      </w:r>
      <w:r>
        <w:t xml:space="preserve"> as more fully described in section 8.3.4.</w:t>
      </w:r>
    </w:p>
    <w:p w14:paraId="189982D9" w14:textId="77777777" w:rsidR="0064434C" w:rsidRPr="003F7B9F" w:rsidRDefault="00B84B0D" w:rsidP="00B84B0D">
      <w:pPr>
        <w:pStyle w:val="Heading4"/>
      </w:pPr>
      <w:bookmarkStart w:id="108" w:name="_Toc441049672"/>
      <w:bookmarkStart w:id="109" w:name="_Toc497901413"/>
      <w:bookmarkStart w:id="110" w:name="_Toc156213030"/>
      <w:r>
        <w:t xml:space="preserve">3.2 </w:t>
      </w:r>
      <w:r w:rsidR="0064434C">
        <w:t>Commonwealth funding</w:t>
      </w:r>
      <w:bookmarkEnd w:id="108"/>
      <w:bookmarkEnd w:id="109"/>
      <w:bookmarkEnd w:id="110"/>
    </w:p>
    <w:p w14:paraId="543D72D5" w14:textId="77777777" w:rsidR="0064434C" w:rsidRDefault="0064434C" w:rsidP="0064434C">
      <w:pPr>
        <w:pStyle w:val="Bodynumbered-Level1"/>
      </w:pPr>
      <w:r>
        <w:t>3.2.1</w:t>
      </w:r>
      <w:r>
        <w:tab/>
        <w:t>The Commonwealth has allocated $60 million (GST exclusive) to this Priority Locations round of the Program.</w:t>
      </w:r>
    </w:p>
    <w:p w14:paraId="546B3177" w14:textId="77777777" w:rsidR="0064434C" w:rsidRPr="008E3258" w:rsidRDefault="0064434C" w:rsidP="0064434C">
      <w:pPr>
        <w:pStyle w:val="Bodynumbered-Level1"/>
      </w:pPr>
      <w:r>
        <w:t>3.2.2</w:t>
      </w:r>
      <w:r>
        <w:tab/>
      </w:r>
      <w:r w:rsidRPr="008E3258">
        <w:t xml:space="preserve">The maximum Commonwealth co-contribution to be provided for each </w:t>
      </w:r>
      <w:r>
        <w:t>Proposed Solution</w:t>
      </w:r>
      <w:r w:rsidRPr="008E3258">
        <w:t xml:space="preserve"> is $500,000 </w:t>
      </w:r>
      <w:r>
        <w:t xml:space="preserve">(GST inclusive) </w:t>
      </w:r>
      <w:r w:rsidRPr="008E3258">
        <w:t xml:space="preserve">unless </w:t>
      </w:r>
      <w:r>
        <w:t xml:space="preserve">it is considered, in accordance with these Guidelines (see section 9.5.2), </w:t>
      </w:r>
      <w:r w:rsidRPr="008E3258">
        <w:t>that a higher Commonwealth co</w:t>
      </w:r>
      <w:r w:rsidRPr="008E3258">
        <w:noBreakHyphen/>
        <w:t>contribution is merited</w:t>
      </w:r>
      <w:r>
        <w:t>, when compared to other Proposed Solutions recommended for funding</w:t>
      </w:r>
      <w:r w:rsidRPr="008E3258">
        <w:t xml:space="preserve"> </w:t>
      </w:r>
      <w:r>
        <w:t>under this round.</w:t>
      </w:r>
    </w:p>
    <w:p w14:paraId="2F558523" w14:textId="77777777" w:rsidR="0064434C" w:rsidRDefault="0064434C" w:rsidP="0064434C">
      <w:pPr>
        <w:pStyle w:val="Bodynumbered-Level1"/>
      </w:pPr>
      <w:r>
        <w:t>3.2.3</w:t>
      </w:r>
      <w:r>
        <w:tab/>
        <w:t xml:space="preserve">Commonwealth funding under this Priority Locations round will be available only for the estimated </w:t>
      </w:r>
      <w:r w:rsidRPr="00397919">
        <w:t xml:space="preserve">capital </w:t>
      </w:r>
      <w:r>
        <w:t>costs</w:t>
      </w:r>
      <w:r w:rsidRPr="00397919">
        <w:t xml:space="preserve"> of </w:t>
      </w:r>
      <w:r>
        <w:t>building Funded Solution</w:t>
      </w:r>
      <w:r w:rsidRPr="003452EF">
        <w:t>s</w:t>
      </w:r>
      <w:r>
        <w:t xml:space="preserve"> and the Grantees will be responsible for any actual capital costs which exceed estimated costs. </w:t>
      </w:r>
      <w:r w:rsidRPr="008D5A45">
        <w:t xml:space="preserve">All operating costs </w:t>
      </w:r>
      <w:r>
        <w:t xml:space="preserve">for Funded Solutions </w:t>
      </w:r>
      <w:r w:rsidRPr="008D5A45">
        <w:t xml:space="preserve">will be the responsibility of </w:t>
      </w:r>
      <w:r>
        <w:t>the</w:t>
      </w:r>
      <w:r w:rsidRPr="008D5A45">
        <w:t xml:space="preserve"> </w:t>
      </w:r>
      <w:r>
        <w:t>Grantee.</w:t>
      </w:r>
    </w:p>
    <w:p w14:paraId="7EE1608F" w14:textId="77777777" w:rsidR="0064434C" w:rsidRDefault="0064434C" w:rsidP="0064434C">
      <w:pPr>
        <w:pStyle w:val="Bodynumbered-Level1"/>
      </w:pPr>
      <w:r>
        <w:t>3.2.4</w:t>
      </w:r>
      <w:r>
        <w:tab/>
        <w:t xml:space="preserve">For Funded Solutions which utilise satellite </w:t>
      </w:r>
      <w:r w:rsidRPr="00232871">
        <w:rPr>
          <w:b/>
        </w:rPr>
        <w:t>backhaul</w:t>
      </w:r>
      <w:r>
        <w:t xml:space="preserve">, the capitalised net present value (using a discount rate equivalent to the 10-year Treasury Bond Rate applied at the date of the application) of the </w:t>
      </w:r>
      <w:r w:rsidRPr="00FB027D">
        <w:t>Indefeasible Right of Use</w:t>
      </w:r>
      <w:r>
        <w:t xml:space="preserve"> for this backhaul may be included in the cost of building these solutions.</w:t>
      </w:r>
    </w:p>
    <w:p w14:paraId="27424DC7" w14:textId="77777777" w:rsidR="0064434C" w:rsidRDefault="00B84B0D" w:rsidP="00B84B0D">
      <w:pPr>
        <w:pStyle w:val="Heading4"/>
      </w:pPr>
      <w:bookmarkStart w:id="111" w:name="_Toc434092325"/>
      <w:bookmarkStart w:id="112" w:name="_Toc434093335"/>
      <w:bookmarkStart w:id="113" w:name="_Toc434093477"/>
      <w:bookmarkStart w:id="114" w:name="_Toc434225199"/>
      <w:bookmarkStart w:id="115" w:name="_Toc434228322"/>
      <w:bookmarkStart w:id="116" w:name="_Toc434841010"/>
      <w:bookmarkStart w:id="117" w:name="_Toc435080350"/>
      <w:bookmarkStart w:id="118" w:name="_Toc441049673"/>
      <w:bookmarkStart w:id="119" w:name="_Toc497901414"/>
      <w:bookmarkStart w:id="120" w:name="_Toc156213031"/>
      <w:bookmarkStart w:id="121" w:name="_Toc393908560"/>
      <w:bookmarkStart w:id="122" w:name="_Toc405380425"/>
      <w:bookmarkEnd w:id="111"/>
      <w:bookmarkEnd w:id="112"/>
      <w:bookmarkEnd w:id="113"/>
      <w:bookmarkEnd w:id="114"/>
      <w:bookmarkEnd w:id="115"/>
      <w:bookmarkEnd w:id="116"/>
      <w:bookmarkEnd w:id="117"/>
      <w:r>
        <w:t xml:space="preserve">3.3 </w:t>
      </w:r>
      <w:r w:rsidR="0064434C">
        <w:t>Applicant co-contribution</w:t>
      </w:r>
      <w:bookmarkEnd w:id="118"/>
      <w:bookmarkEnd w:id="119"/>
      <w:bookmarkEnd w:id="120"/>
    </w:p>
    <w:p w14:paraId="35AEA0A3" w14:textId="77777777" w:rsidR="0064434C" w:rsidRDefault="0064434C" w:rsidP="0064434C">
      <w:pPr>
        <w:pStyle w:val="Bodynumbered-Level1"/>
      </w:pPr>
      <w:r>
        <w:t>3.3.1</w:t>
      </w:r>
      <w:r>
        <w:tab/>
      </w:r>
      <w:r w:rsidRPr="00397919">
        <w:t xml:space="preserve">All </w:t>
      </w:r>
      <w:r>
        <w:t>Grantee</w:t>
      </w:r>
      <w:r w:rsidRPr="00397919">
        <w:t xml:space="preserve">s will be required to make a substantial </w:t>
      </w:r>
      <w:r>
        <w:t xml:space="preserve">financial (cash) </w:t>
      </w:r>
      <w:r w:rsidRPr="00397919">
        <w:t xml:space="preserve">co-contribution to the capital costs of building each </w:t>
      </w:r>
      <w:r>
        <w:t>Funded Solution</w:t>
      </w:r>
      <w:r w:rsidRPr="00397919">
        <w:t>.</w:t>
      </w:r>
    </w:p>
    <w:p w14:paraId="075562C9" w14:textId="77777777" w:rsidR="0064434C" w:rsidRDefault="00B84B0D" w:rsidP="00B84B0D">
      <w:pPr>
        <w:pStyle w:val="Heading4"/>
      </w:pPr>
      <w:bookmarkStart w:id="123" w:name="_Toc441049674"/>
      <w:bookmarkStart w:id="124" w:name="_Toc497901415"/>
      <w:bookmarkStart w:id="125" w:name="_Toc156213032"/>
      <w:r>
        <w:t xml:space="preserve">3.4 </w:t>
      </w:r>
      <w:r w:rsidR="0064434C">
        <w:t>Third Party funding c</w:t>
      </w:r>
      <w:r w:rsidR="0064434C" w:rsidRPr="00D05E5E">
        <w:t>o-contributions</w:t>
      </w:r>
      <w:bookmarkEnd w:id="121"/>
      <w:bookmarkEnd w:id="122"/>
      <w:bookmarkEnd w:id="123"/>
      <w:bookmarkEnd w:id="124"/>
      <w:bookmarkEnd w:id="125"/>
    </w:p>
    <w:p w14:paraId="71BB7D20" w14:textId="77777777" w:rsidR="0064434C" w:rsidRDefault="0064434C" w:rsidP="0064434C">
      <w:pPr>
        <w:pStyle w:val="Bodynumbered-Level1"/>
      </w:pPr>
      <w:r>
        <w:t>3.4.1</w:t>
      </w:r>
      <w:r>
        <w:tab/>
        <w:t xml:space="preserve">To increase the reach of the Program, applicants are encouraged to seek financial </w:t>
      </w:r>
      <w:r>
        <w:br/>
        <w:t>co-contributions from State, Territory or local governments, local communities and/or other third parties.</w:t>
      </w:r>
    </w:p>
    <w:p w14:paraId="40BC3919" w14:textId="77777777" w:rsidR="0064434C" w:rsidRDefault="0064434C" w:rsidP="0064434C">
      <w:pPr>
        <w:pStyle w:val="Bodynumbered-Level1"/>
      </w:pPr>
      <w:r>
        <w:t>3.4.2</w:t>
      </w:r>
      <w:r>
        <w:tab/>
      </w:r>
      <w:r w:rsidRPr="00FC4691">
        <w:t xml:space="preserve">During the application </w:t>
      </w:r>
      <w:r>
        <w:t>period</w:t>
      </w:r>
      <w:r w:rsidRPr="00FC4691">
        <w:t>, applicants are strongly encouraged to consult with State</w:t>
      </w:r>
      <w:r>
        <w:t xml:space="preserve">, </w:t>
      </w:r>
      <w:r w:rsidRPr="00FC4691">
        <w:t xml:space="preserve">Territory </w:t>
      </w:r>
      <w:r>
        <w:t xml:space="preserve">and local </w:t>
      </w:r>
      <w:r w:rsidRPr="00FC4691">
        <w:t xml:space="preserve">governments and local communities regarding the </w:t>
      </w:r>
      <w:r>
        <w:t>Priority L</w:t>
      </w:r>
      <w:r w:rsidRPr="00FC4691">
        <w:t xml:space="preserve">ocations for which they intend to build </w:t>
      </w:r>
      <w:r>
        <w:t>Proposed Solution</w:t>
      </w:r>
      <w:r w:rsidRPr="00FC4691">
        <w:t>s</w:t>
      </w:r>
      <w:r>
        <w:t xml:space="preserve">. These consultations should include any specific areas identified within the Priority Location which would be considered desirable to be covered by the Proposed Solution e.g. specific roads, recreational areas etc. </w:t>
      </w:r>
    </w:p>
    <w:p w14:paraId="0FE75352" w14:textId="77777777" w:rsidR="0064434C" w:rsidRPr="00C31FBC" w:rsidRDefault="0064434C" w:rsidP="0064434C">
      <w:pPr>
        <w:pStyle w:val="Bodynumbered-Level1"/>
      </w:pPr>
      <w:r>
        <w:lastRenderedPageBreak/>
        <w:t>3.4.3</w:t>
      </w:r>
      <w:r>
        <w:tab/>
      </w:r>
      <w:r w:rsidRPr="00FC4691">
        <w:t>Where applicants can confirm the level of co</w:t>
      </w:r>
      <w:r w:rsidRPr="00FC4691">
        <w:noBreakHyphen/>
        <w:t>contribution</w:t>
      </w:r>
      <w:r>
        <w:t>s</w:t>
      </w:r>
      <w:r w:rsidRPr="00FC4691">
        <w:t xml:space="preserve"> that State</w:t>
      </w:r>
      <w:r>
        <w:t xml:space="preserve">, </w:t>
      </w:r>
      <w:r w:rsidRPr="00FC4691">
        <w:t xml:space="preserve">Territory </w:t>
      </w:r>
      <w:r>
        <w:t xml:space="preserve">or local </w:t>
      </w:r>
      <w:r w:rsidRPr="00FC4691">
        <w:t>governments or other third</w:t>
      </w:r>
      <w:r>
        <w:noBreakHyphen/>
      </w:r>
      <w:r w:rsidRPr="00FC4691">
        <w:t xml:space="preserve">parties propose to make, applicants should include this in their application in respect of the relevant </w:t>
      </w:r>
      <w:r>
        <w:t>Proposed Solution</w:t>
      </w:r>
      <w:r w:rsidRPr="00FC4691">
        <w:t>.</w:t>
      </w:r>
    </w:p>
    <w:p w14:paraId="38741F18" w14:textId="77777777" w:rsidR="0064434C" w:rsidRDefault="0064434C" w:rsidP="0064434C">
      <w:pPr>
        <w:pStyle w:val="Bodynumbered-Level1"/>
      </w:pPr>
      <w:r>
        <w:t>3.4.4</w:t>
      </w:r>
      <w:r>
        <w:tab/>
      </w:r>
      <w:r w:rsidRPr="00FC4691">
        <w:t>The</w:t>
      </w:r>
      <w:r>
        <w:t xml:space="preserve"> </w:t>
      </w:r>
      <w:r w:rsidRPr="00FC4691">
        <w:t>appropriate contact details for each State</w:t>
      </w:r>
      <w:r>
        <w:t xml:space="preserve"> and local government, and </w:t>
      </w:r>
      <w:r w:rsidRPr="002512B1">
        <w:rPr>
          <w:b/>
        </w:rPr>
        <w:t>NBN Co</w:t>
      </w:r>
      <w:r>
        <w:t xml:space="preserve"> are at </w:t>
      </w:r>
      <w:r w:rsidRPr="00A06B2B">
        <w:t>Attachment D.</w:t>
      </w:r>
      <w:r>
        <w:t xml:space="preserve"> Applicants are solely responsible for forming relationships and negotiating contributions with any relevant parties, and for testing or verifying any advice received from these parties.</w:t>
      </w:r>
    </w:p>
    <w:p w14:paraId="59D9BF4C" w14:textId="77777777" w:rsidR="0064434C" w:rsidRDefault="0064434C" w:rsidP="0064434C">
      <w:pPr>
        <w:pStyle w:val="Bodynumbered-Level1"/>
      </w:pPr>
      <w:r>
        <w:t>3.4.5</w:t>
      </w:r>
      <w:r>
        <w:tab/>
      </w:r>
      <w:r w:rsidRPr="006222CD">
        <w:t xml:space="preserve">For </w:t>
      </w:r>
      <w:r>
        <w:t>Funded Solution</w:t>
      </w:r>
      <w:r w:rsidRPr="006222CD">
        <w:t xml:space="preserve">s that include a co-contribution from a </w:t>
      </w:r>
      <w:r>
        <w:t>S</w:t>
      </w:r>
      <w:r w:rsidRPr="006222CD">
        <w:t xml:space="preserve">tate or </w:t>
      </w:r>
      <w:r>
        <w:t>T</w:t>
      </w:r>
      <w:r w:rsidRPr="006222CD">
        <w:t xml:space="preserve">erritory government, </w:t>
      </w:r>
      <w:r>
        <w:t>the Department expects that Grantees will enter into a</w:t>
      </w:r>
      <w:r w:rsidRPr="003E194A">
        <w:t xml:space="preserve"> </w:t>
      </w:r>
      <w:r>
        <w:t xml:space="preserve">Grant Agreement with the Commonwealth and a separate agreement with </w:t>
      </w:r>
      <w:r w:rsidRPr="006222CD">
        <w:t xml:space="preserve">the respective </w:t>
      </w:r>
      <w:r>
        <w:t>S</w:t>
      </w:r>
      <w:r w:rsidRPr="006222CD">
        <w:t xml:space="preserve">tate or </w:t>
      </w:r>
      <w:r>
        <w:t xml:space="preserve">Territory government. </w:t>
      </w:r>
    </w:p>
    <w:p w14:paraId="118CAFD0" w14:textId="77777777" w:rsidR="0064434C" w:rsidRDefault="0064434C" w:rsidP="0064434C">
      <w:pPr>
        <w:pStyle w:val="Bodynumbered-Level1"/>
      </w:pPr>
      <w:r>
        <w:t>3.4.6</w:t>
      </w:r>
      <w:r>
        <w:tab/>
      </w:r>
      <w:r w:rsidRPr="00FC4691">
        <w:t>State</w:t>
      </w:r>
      <w:r>
        <w:t xml:space="preserve">, </w:t>
      </w:r>
      <w:r w:rsidRPr="00FC4691">
        <w:t xml:space="preserve">Territory </w:t>
      </w:r>
      <w:r>
        <w:t xml:space="preserve">and local </w:t>
      </w:r>
      <w:r w:rsidRPr="00FC4691">
        <w:t xml:space="preserve">governments </w:t>
      </w:r>
      <w:r>
        <w:t xml:space="preserve">may </w:t>
      </w:r>
      <w:r w:rsidRPr="00FC4691">
        <w:t>own infrastructure in</w:t>
      </w:r>
      <w:r>
        <w:t xml:space="preserve"> Priority Location areas</w:t>
      </w:r>
      <w:r w:rsidRPr="00FC4691">
        <w:t xml:space="preserve"> that could potentially be used for </w:t>
      </w:r>
      <w:r>
        <w:t>Funded Solution</w:t>
      </w:r>
      <w:r w:rsidRPr="00FC4691">
        <w:t xml:space="preserve">s. </w:t>
      </w:r>
      <w:r>
        <w:t>These</w:t>
      </w:r>
      <w:r w:rsidRPr="00FC4691">
        <w:t xml:space="preserve"> governments may have specific requirements that will need to be reflected in the </w:t>
      </w:r>
      <w:r>
        <w:t>applications</w:t>
      </w:r>
      <w:r w:rsidRPr="00FC4691">
        <w:t xml:space="preserve"> put forward by applicants</w:t>
      </w:r>
      <w:r>
        <w:t xml:space="preserve"> </w:t>
      </w:r>
      <w:r w:rsidRPr="00FC4691">
        <w:t xml:space="preserve">for each </w:t>
      </w:r>
      <w:r>
        <w:t>Proposed Solution</w:t>
      </w:r>
      <w:r w:rsidRPr="00FC4691">
        <w:t>.</w:t>
      </w:r>
    </w:p>
    <w:p w14:paraId="5D4172F0" w14:textId="77777777" w:rsidR="0064434C" w:rsidRDefault="0064434C" w:rsidP="0064434C">
      <w:pPr>
        <w:pStyle w:val="Bodynumbered-Level1"/>
      </w:pPr>
      <w:r>
        <w:t>3.4.7</w:t>
      </w:r>
      <w:r>
        <w:tab/>
      </w:r>
      <w:r w:rsidRPr="006222CD">
        <w:t xml:space="preserve">For </w:t>
      </w:r>
      <w:r>
        <w:t>Proposed Solution</w:t>
      </w:r>
      <w:r w:rsidRPr="006222CD">
        <w:t>s that include co-contributions from third part</w:t>
      </w:r>
      <w:r>
        <w:t>ies</w:t>
      </w:r>
      <w:r w:rsidRPr="006222CD">
        <w:t xml:space="preserve">, a copy of the </w:t>
      </w:r>
      <w:r>
        <w:t xml:space="preserve">terms of the </w:t>
      </w:r>
      <w:r w:rsidRPr="006222CD">
        <w:t>third part</w:t>
      </w:r>
      <w:r>
        <w:t>ies’</w:t>
      </w:r>
      <w:r w:rsidRPr="006222CD">
        <w:t xml:space="preserve"> commitment to the </w:t>
      </w:r>
      <w:r>
        <w:t xml:space="preserve">applicant </w:t>
      </w:r>
      <w:r w:rsidRPr="006222CD">
        <w:t>is to be attached to the</w:t>
      </w:r>
      <w:r>
        <w:t xml:space="preserve"> application for funding.</w:t>
      </w:r>
      <w:r w:rsidRPr="006222CD">
        <w:t xml:space="preserve"> </w:t>
      </w:r>
    </w:p>
    <w:p w14:paraId="32E339C1" w14:textId="77777777" w:rsidR="0064434C" w:rsidRPr="00223B47" w:rsidRDefault="0064434C" w:rsidP="0064434C">
      <w:pPr>
        <w:pStyle w:val="Bodynumbered-Level1"/>
        <w:rPr>
          <w:b/>
          <w:bCs/>
        </w:rPr>
      </w:pPr>
      <w:r>
        <w:t>3.4.8</w:t>
      </w:r>
      <w:r>
        <w:tab/>
      </w:r>
      <w:r w:rsidRPr="006222CD">
        <w:t xml:space="preserve">For </w:t>
      </w:r>
      <w:r>
        <w:t>Funded Solution</w:t>
      </w:r>
      <w:r w:rsidRPr="006222CD">
        <w:t>s that include co-contributions from third part</w:t>
      </w:r>
      <w:r>
        <w:t>ies</w:t>
      </w:r>
      <w:r w:rsidRPr="006222CD">
        <w:t>,</w:t>
      </w:r>
      <w:r>
        <w:t xml:space="preserve"> the Grantee will bear any costs, and provide that third parties’ funding, if the </w:t>
      </w:r>
      <w:r w:rsidRPr="006222CD">
        <w:t>third part</w:t>
      </w:r>
      <w:r>
        <w:t>ies’ funding is not secured following execution of the Grant Agreement between the Grantee and the Commonwealth.</w:t>
      </w:r>
      <w:r w:rsidRPr="006222CD">
        <w:t xml:space="preserve"> </w:t>
      </w:r>
    </w:p>
    <w:p w14:paraId="522B6F6A" w14:textId="77777777" w:rsidR="0064434C" w:rsidRPr="00FC4691" w:rsidRDefault="00B84B0D" w:rsidP="00B84B0D">
      <w:pPr>
        <w:pStyle w:val="Heading4"/>
      </w:pPr>
      <w:bookmarkStart w:id="126" w:name="_Toc441049675"/>
      <w:bookmarkStart w:id="127" w:name="_Toc497901416"/>
      <w:bookmarkStart w:id="128" w:name="_Toc156213033"/>
      <w:r>
        <w:t xml:space="preserve">3.5 </w:t>
      </w:r>
      <w:r w:rsidR="0064434C">
        <w:t>In-kind co-contributions</w:t>
      </w:r>
      <w:bookmarkEnd w:id="126"/>
      <w:bookmarkEnd w:id="127"/>
      <w:bookmarkEnd w:id="128"/>
    </w:p>
    <w:p w14:paraId="675E083A" w14:textId="77777777" w:rsidR="0064434C" w:rsidRDefault="0064434C" w:rsidP="0064434C">
      <w:pPr>
        <w:pStyle w:val="Bodynumbered-Level1"/>
      </w:pPr>
      <w:r>
        <w:t>3.5.1</w:t>
      </w:r>
      <w:r>
        <w:tab/>
        <w:t>A third party may wish to provide an incentive for applicants to include a particular Priority Location in their funding applications. T</w:t>
      </w:r>
      <w:r w:rsidRPr="00FC4691">
        <w:t>hird part</w:t>
      </w:r>
      <w:r>
        <w:t>y</w:t>
      </w:r>
      <w:r w:rsidRPr="00FC4691">
        <w:t xml:space="preserve"> </w:t>
      </w:r>
      <w:r>
        <w:t>incentives may include</w:t>
      </w:r>
      <w:r w:rsidRPr="00FC4691">
        <w:t xml:space="preserve"> in</w:t>
      </w:r>
      <w:r w:rsidRPr="00FC4691">
        <w:noBreakHyphen/>
        <w:t>kind co</w:t>
      </w:r>
      <w:r w:rsidRPr="00FC4691">
        <w:noBreakHyphen/>
        <w:t xml:space="preserve">contributions </w:t>
      </w:r>
      <w:r>
        <w:t>towards the construction of a Proposed Solution such as the co-contributions outlined in section 3.5.2</w:t>
      </w:r>
      <w:r w:rsidRPr="00FC4691">
        <w:t>.</w:t>
      </w:r>
      <w:r>
        <w:t xml:space="preserve"> </w:t>
      </w:r>
    </w:p>
    <w:p w14:paraId="1D6E874B" w14:textId="77777777" w:rsidR="0064434C" w:rsidRPr="00D93780" w:rsidRDefault="0064434C" w:rsidP="0064434C">
      <w:pPr>
        <w:pStyle w:val="Bodynumbered-Level1"/>
        <w:spacing w:after="120"/>
      </w:pPr>
      <w:r>
        <w:t>3.5.2</w:t>
      </w:r>
      <w:r>
        <w:tab/>
      </w:r>
      <w:r w:rsidRPr="00FC4691">
        <w:t xml:space="preserve">In-kind </w:t>
      </w:r>
      <w:r>
        <w:t>co-</w:t>
      </w:r>
      <w:r w:rsidRPr="00FC4691">
        <w:t>contributions could include:</w:t>
      </w:r>
    </w:p>
    <w:p w14:paraId="34490324" w14:textId="77777777" w:rsidR="0064434C" w:rsidRPr="008E3258" w:rsidRDefault="0064434C" w:rsidP="000A634F">
      <w:pPr>
        <w:pStyle w:val="Bodynumbered-Level3"/>
        <w:numPr>
          <w:ilvl w:val="0"/>
          <w:numId w:val="27"/>
        </w:numPr>
        <w:spacing w:before="120" w:after="120"/>
        <w:ind w:left="1494" w:hanging="644"/>
      </w:pPr>
      <w:r w:rsidRPr="008E3258">
        <w:t>assistance with identifying and consultin</w:t>
      </w:r>
      <w:r>
        <w:t xml:space="preserve">g with the local community on a </w:t>
      </w:r>
      <w:r w:rsidRPr="008E3258">
        <w:t>suitable site</w:t>
      </w:r>
      <w:r>
        <w:t>;</w:t>
      </w:r>
    </w:p>
    <w:p w14:paraId="700A4D13" w14:textId="77777777" w:rsidR="0064434C" w:rsidRPr="008E3258" w:rsidRDefault="0064434C" w:rsidP="000A634F">
      <w:pPr>
        <w:pStyle w:val="Bodynumbered-Level3"/>
        <w:numPr>
          <w:ilvl w:val="0"/>
          <w:numId w:val="27"/>
        </w:numPr>
        <w:spacing w:before="120" w:after="120"/>
        <w:ind w:left="1494" w:hanging="644"/>
      </w:pPr>
      <w:r w:rsidRPr="008E3258">
        <w:t>securing the necessary planning and site approvals</w:t>
      </w:r>
      <w:r>
        <w:t>;</w:t>
      </w:r>
    </w:p>
    <w:p w14:paraId="563BB94D" w14:textId="77777777" w:rsidR="0064434C" w:rsidRPr="008E3258" w:rsidRDefault="0064434C" w:rsidP="000A634F">
      <w:pPr>
        <w:pStyle w:val="Bodynumbered-Level3"/>
        <w:numPr>
          <w:ilvl w:val="0"/>
          <w:numId w:val="27"/>
        </w:numPr>
        <w:spacing w:before="120" w:after="120"/>
        <w:ind w:left="1494" w:hanging="644"/>
      </w:pPr>
      <w:r w:rsidRPr="008E3258">
        <w:t>lease arrangements</w:t>
      </w:r>
      <w:r>
        <w:t>;</w:t>
      </w:r>
    </w:p>
    <w:p w14:paraId="4C40B249" w14:textId="77777777" w:rsidR="0064434C" w:rsidRPr="008E3258" w:rsidRDefault="0064434C" w:rsidP="000A634F">
      <w:pPr>
        <w:pStyle w:val="Bodynumbered-Level3"/>
        <w:numPr>
          <w:ilvl w:val="0"/>
          <w:numId w:val="27"/>
        </w:numPr>
        <w:spacing w:before="120" w:after="120"/>
        <w:ind w:left="1494" w:hanging="644"/>
      </w:pPr>
      <w:r w:rsidRPr="008E3258">
        <w:t xml:space="preserve">civil works required for access to </w:t>
      </w:r>
      <w:r>
        <w:t xml:space="preserve">the </w:t>
      </w:r>
      <w:r w:rsidRPr="008E3258">
        <w:t>site</w:t>
      </w:r>
      <w:r>
        <w:t>;</w:t>
      </w:r>
    </w:p>
    <w:p w14:paraId="69048943" w14:textId="77777777" w:rsidR="0064434C" w:rsidRPr="008E3258" w:rsidRDefault="0064434C" w:rsidP="000A634F">
      <w:pPr>
        <w:pStyle w:val="Bodynumbered-Level3"/>
        <w:numPr>
          <w:ilvl w:val="0"/>
          <w:numId w:val="27"/>
        </w:numPr>
        <w:spacing w:before="120" w:after="120"/>
        <w:ind w:left="1494" w:hanging="644"/>
      </w:pPr>
      <w:r w:rsidRPr="008E3258">
        <w:t xml:space="preserve">assistance with coordinating power to </w:t>
      </w:r>
      <w:r>
        <w:t xml:space="preserve">the </w:t>
      </w:r>
      <w:r w:rsidRPr="008E3258">
        <w:t>site</w:t>
      </w:r>
      <w:r>
        <w:t>; or</w:t>
      </w:r>
    </w:p>
    <w:p w14:paraId="6E12BB02" w14:textId="77777777" w:rsidR="0064434C" w:rsidRPr="00FC4691" w:rsidRDefault="0064434C" w:rsidP="000A634F">
      <w:pPr>
        <w:pStyle w:val="Bodynumbered-Level3"/>
        <w:numPr>
          <w:ilvl w:val="0"/>
          <w:numId w:val="27"/>
        </w:numPr>
        <w:spacing w:before="120" w:after="240"/>
        <w:ind w:left="1494" w:hanging="644"/>
      </w:pPr>
      <w:r>
        <w:t xml:space="preserve">facilitating </w:t>
      </w:r>
      <w:r w:rsidRPr="008E3258">
        <w:t>access to existing infrastructure</w:t>
      </w:r>
      <w:r>
        <w:t>.</w:t>
      </w:r>
    </w:p>
    <w:p w14:paraId="5F9D3C9A" w14:textId="77777777" w:rsidR="0064434C" w:rsidRDefault="0064434C" w:rsidP="0064434C">
      <w:pPr>
        <w:pStyle w:val="Bodynumbered-Level1"/>
      </w:pPr>
      <w:r>
        <w:t>3.5.3</w:t>
      </w:r>
      <w:r>
        <w:tab/>
        <w:t>Third party contributions are the responsibility of the applicant, and can be reflected in a reduction in the amount of funding an applicant seeks for a Proposed Solution.</w:t>
      </w:r>
    </w:p>
    <w:p w14:paraId="2E2AC9F8" w14:textId="77777777" w:rsidR="0064434C" w:rsidRPr="00FC4691" w:rsidRDefault="0064434C" w:rsidP="0064434C">
      <w:pPr>
        <w:pStyle w:val="Bodynumbered-Level1"/>
      </w:pPr>
      <w:r>
        <w:t>3.5.4</w:t>
      </w:r>
      <w:r>
        <w:tab/>
      </w:r>
      <w:r w:rsidRPr="00887AAC">
        <w:t xml:space="preserve">A list of the </w:t>
      </w:r>
      <w:r>
        <w:t xml:space="preserve">contact details for </w:t>
      </w:r>
      <w:r w:rsidRPr="00887AAC">
        <w:t xml:space="preserve">local governments with one or more </w:t>
      </w:r>
      <w:r>
        <w:t>Priority Location</w:t>
      </w:r>
      <w:r w:rsidRPr="00887AAC">
        <w:t xml:space="preserve">s in their local government area is at </w:t>
      </w:r>
      <w:r w:rsidRPr="00C83F19">
        <w:t>Attachment D.</w:t>
      </w:r>
      <w:r w:rsidRPr="00887AAC">
        <w:t xml:space="preserve"> Applicants are responsible for forming relationships and negotiating contributions with any relevant parties, and for testing or verifying any advice received from these parties.</w:t>
      </w:r>
    </w:p>
    <w:p w14:paraId="3A9309C2" w14:textId="77777777" w:rsidR="0064434C" w:rsidRPr="00B93274" w:rsidRDefault="000A634F" w:rsidP="000A634F">
      <w:pPr>
        <w:pStyle w:val="Heading3"/>
      </w:pPr>
      <w:bookmarkStart w:id="129" w:name="_Toc434092329"/>
      <w:bookmarkStart w:id="130" w:name="_Toc434093339"/>
      <w:bookmarkStart w:id="131" w:name="_Toc434093481"/>
      <w:bookmarkStart w:id="132" w:name="_Toc434228326"/>
      <w:bookmarkStart w:id="133" w:name="_Toc434092331"/>
      <w:bookmarkStart w:id="134" w:name="_Toc434093341"/>
      <w:bookmarkStart w:id="135" w:name="_Toc434093483"/>
      <w:bookmarkStart w:id="136" w:name="_Toc434228328"/>
      <w:bookmarkStart w:id="137" w:name="_Toc434841017"/>
      <w:bookmarkStart w:id="138" w:name="_Toc435080357"/>
      <w:bookmarkStart w:id="139" w:name="_Toc434092332"/>
      <w:bookmarkStart w:id="140" w:name="_Toc434093342"/>
      <w:bookmarkStart w:id="141" w:name="_Toc434093484"/>
      <w:bookmarkStart w:id="142" w:name="_Toc434228329"/>
      <w:bookmarkStart w:id="143" w:name="_Toc434841018"/>
      <w:bookmarkStart w:id="144" w:name="_Toc435080358"/>
      <w:bookmarkStart w:id="145" w:name="_Toc441049676"/>
      <w:bookmarkStart w:id="146" w:name="_Toc497901417"/>
      <w:bookmarkStart w:id="147" w:name="_Toc1562130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lastRenderedPageBreak/>
        <w:t xml:space="preserve">4. </w:t>
      </w:r>
      <w:r w:rsidR="0064434C" w:rsidRPr="00B93274">
        <w:t>Reporting requirements</w:t>
      </w:r>
      <w:bookmarkEnd w:id="145"/>
      <w:bookmarkEnd w:id="146"/>
      <w:bookmarkEnd w:id="147"/>
    </w:p>
    <w:p w14:paraId="35EA2913" w14:textId="77777777" w:rsidR="0064434C" w:rsidRPr="002338F5" w:rsidRDefault="000A634F" w:rsidP="00B84B0D">
      <w:pPr>
        <w:pStyle w:val="Heading4"/>
      </w:pPr>
      <w:bookmarkStart w:id="148" w:name="_Toc441049677"/>
      <w:bookmarkStart w:id="149" w:name="_Toc497901418"/>
      <w:bookmarkStart w:id="150" w:name="_Toc156213035"/>
      <w:r>
        <w:t xml:space="preserve">4.1 </w:t>
      </w:r>
      <w:r w:rsidR="0064434C">
        <w:t>Program Evaluation</w:t>
      </w:r>
      <w:bookmarkEnd w:id="148"/>
      <w:bookmarkEnd w:id="149"/>
      <w:bookmarkEnd w:id="150"/>
    </w:p>
    <w:p w14:paraId="73369052" w14:textId="77777777" w:rsidR="0064434C" w:rsidRPr="002B50C5" w:rsidRDefault="0064434C" w:rsidP="0064434C">
      <w:pPr>
        <w:pStyle w:val="Bodynumbered-Level1"/>
      </w:pPr>
      <w:r>
        <w:t>4.1.1</w:t>
      </w:r>
      <w:r>
        <w:tab/>
      </w:r>
      <w:r w:rsidRPr="002B50C5">
        <w:t>The Program will be evaluated by the Department against key performance indicators (</w:t>
      </w:r>
      <w:r w:rsidRPr="007D1D01">
        <w:t>KPIs</w:t>
      </w:r>
      <w:r w:rsidRPr="002B50C5">
        <w:t xml:space="preserve">) as agreed with </w:t>
      </w:r>
      <w:r>
        <w:t>each</w:t>
      </w:r>
      <w:r w:rsidRPr="002B50C5">
        <w:t xml:space="preserve"> </w:t>
      </w:r>
      <w:r>
        <w:t>Grantee</w:t>
      </w:r>
      <w:r w:rsidRPr="002B50C5">
        <w:t>. The Department will use the KPIs to monitor, measure and report on progress, outputs, outcomes</w:t>
      </w:r>
      <w:r>
        <w:t xml:space="preserve"> and benefits of the Program.</w:t>
      </w:r>
    </w:p>
    <w:p w14:paraId="0F4B9280" w14:textId="77777777" w:rsidR="0064434C" w:rsidRDefault="0064434C" w:rsidP="000A634F">
      <w:pPr>
        <w:pStyle w:val="Bodynumbered-Level1"/>
        <w:numPr>
          <w:ilvl w:val="2"/>
          <w:numId w:val="50"/>
        </w:numPr>
      </w:pPr>
      <w:r>
        <w:t>Grantee</w:t>
      </w:r>
      <w:r w:rsidRPr="002B50C5">
        <w:t xml:space="preserve">s will be required to participate in Program reviews and evaluations. </w:t>
      </w:r>
    </w:p>
    <w:p w14:paraId="614003F3" w14:textId="77777777" w:rsidR="0064434C" w:rsidRDefault="000A634F" w:rsidP="00B84B0D">
      <w:pPr>
        <w:pStyle w:val="Heading4"/>
      </w:pPr>
      <w:bookmarkStart w:id="151" w:name="_Toc441049678"/>
      <w:bookmarkStart w:id="152" w:name="_Toc497901419"/>
      <w:bookmarkStart w:id="153" w:name="_Toc156213036"/>
      <w:r>
        <w:t xml:space="preserve">4.2 </w:t>
      </w:r>
      <w:r w:rsidR="0064434C">
        <w:t>Baseline data</w:t>
      </w:r>
      <w:bookmarkEnd w:id="151"/>
      <w:bookmarkEnd w:id="152"/>
      <w:bookmarkEnd w:id="153"/>
    </w:p>
    <w:p w14:paraId="6FE47E1B" w14:textId="77777777" w:rsidR="0064434C" w:rsidRDefault="0064434C" w:rsidP="0064434C">
      <w:pPr>
        <w:pStyle w:val="Bodynumbered-Level1"/>
      </w:pPr>
      <w:r>
        <w:t>4.2.1</w:t>
      </w:r>
      <w:r>
        <w:tab/>
        <w:t>Grantee</w:t>
      </w:r>
      <w:r w:rsidRPr="002B50C5">
        <w:t xml:space="preserve">s will need to establish </w:t>
      </w:r>
      <w:r w:rsidRPr="00A37F07">
        <w:rPr>
          <w:b/>
        </w:rPr>
        <w:t>Baseline Data</w:t>
      </w:r>
      <w:r w:rsidRPr="002B50C5">
        <w:t xml:space="preserve"> for measuring project and Program progress. This Baseline Data will be provided by </w:t>
      </w:r>
      <w:r>
        <w:t xml:space="preserve">the applicant </w:t>
      </w:r>
      <w:r w:rsidRPr="002B50C5">
        <w:t>in their application, which will subsequently form the basis of project progress reports.</w:t>
      </w:r>
    </w:p>
    <w:p w14:paraId="2BC6C32D" w14:textId="77777777" w:rsidR="0064434C" w:rsidRDefault="000A634F" w:rsidP="00B84B0D">
      <w:pPr>
        <w:pStyle w:val="Heading4"/>
      </w:pPr>
      <w:bookmarkStart w:id="154" w:name="_Toc441049679"/>
      <w:bookmarkStart w:id="155" w:name="_Toc497901420"/>
      <w:bookmarkStart w:id="156" w:name="_Toc156213037"/>
      <w:r>
        <w:t xml:space="preserve">4.3 </w:t>
      </w:r>
      <w:r w:rsidR="0064434C">
        <w:t>Public information</w:t>
      </w:r>
      <w:bookmarkEnd w:id="154"/>
      <w:bookmarkEnd w:id="155"/>
      <w:bookmarkEnd w:id="156"/>
    </w:p>
    <w:p w14:paraId="033A6872" w14:textId="77777777" w:rsidR="0064434C" w:rsidRPr="00D62F90" w:rsidRDefault="0064434C" w:rsidP="0064434C">
      <w:pPr>
        <w:pStyle w:val="Bodynumbered-Level1"/>
      </w:pPr>
      <w:r>
        <w:t>4.3.1</w:t>
      </w:r>
      <w:r>
        <w:tab/>
        <w:t>Grantee</w:t>
      </w:r>
      <w:r w:rsidRPr="00D62F90">
        <w:t xml:space="preserve">s will be required to maintain a publicly available online database for the construction phase of the Program, </w:t>
      </w:r>
      <w:r>
        <w:t xml:space="preserve">as specified in the Grant Agreements, </w:t>
      </w:r>
      <w:r w:rsidRPr="00D62F90">
        <w:t xml:space="preserve">which </w:t>
      </w:r>
      <w:r>
        <w:t xml:space="preserve">will </w:t>
      </w:r>
      <w:r w:rsidRPr="00D62F90">
        <w:t xml:space="preserve">include information regarding the status and progress of </w:t>
      </w:r>
      <w:r>
        <w:t>Funded Solution</w:t>
      </w:r>
      <w:r w:rsidRPr="00D62F90">
        <w:t xml:space="preserve">s. </w:t>
      </w:r>
    </w:p>
    <w:p w14:paraId="72C5A1BF" w14:textId="77777777" w:rsidR="0064434C" w:rsidRPr="00FC6486" w:rsidRDefault="000A634F" w:rsidP="000A634F">
      <w:pPr>
        <w:pStyle w:val="Heading3"/>
      </w:pPr>
      <w:bookmarkStart w:id="157" w:name="_Toc434092341"/>
      <w:bookmarkStart w:id="158" w:name="_Toc434093351"/>
      <w:bookmarkStart w:id="159" w:name="_Toc434093493"/>
      <w:bookmarkStart w:id="160" w:name="_Toc434225215"/>
      <w:bookmarkStart w:id="161" w:name="_Toc434228338"/>
      <w:bookmarkStart w:id="162" w:name="_Toc434841027"/>
      <w:bookmarkStart w:id="163" w:name="_Toc435080367"/>
      <w:bookmarkStart w:id="164" w:name="_Ref389782744"/>
      <w:bookmarkStart w:id="165" w:name="_Toc393908562"/>
      <w:bookmarkStart w:id="166" w:name="_Toc405380427"/>
      <w:bookmarkStart w:id="167" w:name="_Toc441049680"/>
      <w:bookmarkStart w:id="168" w:name="_Toc497901421"/>
      <w:bookmarkStart w:id="169" w:name="_Toc156213038"/>
      <w:bookmarkStart w:id="170" w:name="_Toc378930080"/>
      <w:bookmarkStart w:id="171" w:name="_Toc378930204"/>
      <w:bookmarkStart w:id="172" w:name="_Toc386635485"/>
      <w:bookmarkEnd w:id="157"/>
      <w:bookmarkEnd w:id="158"/>
      <w:bookmarkEnd w:id="159"/>
      <w:bookmarkEnd w:id="160"/>
      <w:bookmarkEnd w:id="161"/>
      <w:bookmarkEnd w:id="162"/>
      <w:bookmarkEnd w:id="163"/>
      <w:r>
        <w:t xml:space="preserve">5. </w:t>
      </w:r>
      <w:r w:rsidR="0064434C">
        <w:t>Minimum requirements</w:t>
      </w:r>
      <w:bookmarkEnd w:id="164"/>
      <w:bookmarkEnd w:id="165"/>
      <w:bookmarkEnd w:id="166"/>
      <w:bookmarkEnd w:id="167"/>
      <w:bookmarkEnd w:id="168"/>
      <w:bookmarkEnd w:id="169"/>
    </w:p>
    <w:p w14:paraId="22DB0F68" w14:textId="77777777" w:rsidR="0064434C" w:rsidRPr="002B50C5" w:rsidRDefault="000A634F" w:rsidP="00B84B0D">
      <w:pPr>
        <w:pStyle w:val="Heading4"/>
      </w:pPr>
      <w:bookmarkStart w:id="173" w:name="_Toc393908563"/>
      <w:bookmarkStart w:id="174" w:name="_Toc405380428"/>
      <w:bookmarkStart w:id="175" w:name="_Toc441049681"/>
      <w:bookmarkStart w:id="176" w:name="_Toc497901422"/>
      <w:bookmarkStart w:id="177" w:name="_Toc156213039"/>
      <w:r>
        <w:t xml:space="preserve">5.1 </w:t>
      </w:r>
      <w:r w:rsidR="0064434C" w:rsidRPr="002B50C5">
        <w:t>Introduction</w:t>
      </w:r>
      <w:bookmarkEnd w:id="173"/>
      <w:bookmarkEnd w:id="174"/>
      <w:bookmarkEnd w:id="175"/>
      <w:bookmarkEnd w:id="176"/>
      <w:bookmarkEnd w:id="177"/>
    </w:p>
    <w:p w14:paraId="48EACC4B" w14:textId="77777777" w:rsidR="0064434C" w:rsidRPr="00FC6486" w:rsidRDefault="0064434C" w:rsidP="0064434C">
      <w:pPr>
        <w:pStyle w:val="Bodynumbered-Level1"/>
      </w:pPr>
      <w:r>
        <w:t>5.1.1</w:t>
      </w:r>
      <w:r>
        <w:tab/>
        <w:t>Unless indicated otherwise in these Guidelines, this section 5 sets out the minimum requirements that Grantees would need to comply with. These requirements will be included as schedules to the Grant Agreements. Under section 9.3.1, applications that do not meet the minimum requirements may, at the Department’s absolute discretion, be excluded from further consideration.</w:t>
      </w:r>
    </w:p>
    <w:p w14:paraId="72AC25F8" w14:textId="77777777" w:rsidR="0064434C" w:rsidRPr="0031276D" w:rsidRDefault="000A634F" w:rsidP="00B84B0D">
      <w:pPr>
        <w:pStyle w:val="Heading4"/>
      </w:pPr>
      <w:bookmarkStart w:id="178" w:name="_Toc434841030"/>
      <w:bookmarkStart w:id="179" w:name="_Toc435080370"/>
      <w:bookmarkStart w:id="180" w:name="_Toc434841031"/>
      <w:bookmarkStart w:id="181" w:name="_Toc435080371"/>
      <w:bookmarkStart w:id="182" w:name="_Toc441049682"/>
      <w:bookmarkStart w:id="183" w:name="_Toc497901423"/>
      <w:bookmarkStart w:id="184" w:name="_Toc156213040"/>
      <w:bookmarkEnd w:id="170"/>
      <w:bookmarkEnd w:id="171"/>
      <w:bookmarkEnd w:id="172"/>
      <w:bookmarkEnd w:id="178"/>
      <w:bookmarkEnd w:id="179"/>
      <w:bookmarkEnd w:id="180"/>
      <w:bookmarkEnd w:id="181"/>
      <w:r>
        <w:t xml:space="preserve">5.2 </w:t>
      </w:r>
      <w:r w:rsidR="0064434C" w:rsidRPr="00EE5F16">
        <w:t>Services required</w:t>
      </w:r>
      <w:bookmarkEnd w:id="182"/>
      <w:bookmarkEnd w:id="183"/>
      <w:bookmarkEnd w:id="184"/>
    </w:p>
    <w:p w14:paraId="51399B4C" w14:textId="77777777" w:rsidR="0064434C" w:rsidRDefault="0064434C" w:rsidP="0064434C">
      <w:pPr>
        <w:pStyle w:val="Bodynumbered-Level1"/>
      </w:pPr>
      <w:r>
        <w:t>5.2.1</w:t>
      </w:r>
      <w:r>
        <w:tab/>
      </w:r>
      <w:r w:rsidRPr="00002067">
        <w:t xml:space="preserve">All </w:t>
      </w:r>
      <w:r>
        <w:t>Funded Solution</w:t>
      </w:r>
      <w:r w:rsidRPr="00002067">
        <w:t xml:space="preserve">s </w:t>
      </w:r>
      <w:r>
        <w:t xml:space="preserve">must </w:t>
      </w:r>
      <w:r w:rsidRPr="00002067">
        <w:t xml:space="preserve">deliver </w:t>
      </w:r>
      <w:r>
        <w:t xml:space="preserve">new or </w:t>
      </w:r>
      <w:r w:rsidRPr="00002067">
        <w:t>improved mobile coverage</w:t>
      </w:r>
      <w:r>
        <w:t>, or both,</w:t>
      </w:r>
      <w:r w:rsidRPr="00002067">
        <w:t xml:space="preserve"> </w:t>
      </w:r>
      <w:r>
        <w:t xml:space="preserve">to the Priority Location, as outlined in </w:t>
      </w:r>
      <w:r w:rsidRPr="00B64709">
        <w:t>section 2.2</w:t>
      </w:r>
      <w:r w:rsidRPr="00D20760">
        <w:t>.</w:t>
      </w:r>
      <w:r>
        <w:t xml:space="preserve"> </w:t>
      </w:r>
    </w:p>
    <w:p w14:paraId="2A07845C" w14:textId="77777777" w:rsidR="0064434C" w:rsidRDefault="0064434C" w:rsidP="0064434C">
      <w:pPr>
        <w:pStyle w:val="Bodynumbered-Level1"/>
        <w:spacing w:after="120"/>
      </w:pPr>
      <w:r>
        <w:t>5.2.2</w:t>
      </w:r>
      <w:r>
        <w:tab/>
      </w:r>
      <w:r w:rsidRPr="00002067">
        <w:t>The Government’s expectation is that consumers will be able to perform a range of functions using mobile devices, such as making and receiving phone calls, sending emails and text messages, browsing the internet, accessing online services, downloadi</w:t>
      </w:r>
      <w:r>
        <w:t xml:space="preserve">ng files and using mobile apps. </w:t>
      </w:r>
      <w:r w:rsidRPr="00002067">
        <w:t>To meet this expectation</w:t>
      </w:r>
      <w:r>
        <w:t>:</w:t>
      </w:r>
    </w:p>
    <w:p w14:paraId="7D6D776A" w14:textId="77777777" w:rsidR="0064434C" w:rsidRDefault="0064434C" w:rsidP="000A634F">
      <w:pPr>
        <w:pStyle w:val="Bodynumbered-Level3"/>
        <w:spacing w:before="120" w:after="120"/>
        <w:ind w:left="1494" w:hanging="644"/>
        <w:rPr>
          <w:b/>
        </w:rPr>
      </w:pPr>
      <w:r>
        <w:t>(a)</w:t>
      </w:r>
      <w:r>
        <w:tab/>
        <w:t>a</w:t>
      </w:r>
      <w:r w:rsidRPr="00002067">
        <w:t xml:space="preserve">ll </w:t>
      </w:r>
      <w:r>
        <w:t>Funded Solution</w:t>
      </w:r>
      <w:r w:rsidRPr="00002067">
        <w:t xml:space="preserve">s will </w:t>
      </w:r>
      <w:r>
        <w:t xml:space="preserve">be required to </w:t>
      </w:r>
      <w:r w:rsidRPr="00002067">
        <w:t>deliver mobile voice and broadband data services using</w:t>
      </w:r>
      <w:r>
        <w:t xml:space="preserve"> at least </w:t>
      </w:r>
      <w:r w:rsidRPr="003D2F00">
        <w:rPr>
          <w:b/>
        </w:rPr>
        <w:t>3G</w:t>
      </w:r>
      <w:r w:rsidRPr="00CA6777">
        <w:rPr>
          <w:b/>
        </w:rPr>
        <w:t> </w:t>
      </w:r>
      <w:r w:rsidRPr="003D2F00">
        <w:rPr>
          <w:b/>
        </w:rPr>
        <w:t>HSPA+</w:t>
      </w:r>
      <w:r w:rsidRPr="004D6DDA">
        <w:t>;</w:t>
      </w:r>
    </w:p>
    <w:p w14:paraId="6B8B0DF9" w14:textId="77777777" w:rsidR="0064434C" w:rsidRDefault="0064434C" w:rsidP="000A634F">
      <w:pPr>
        <w:pStyle w:val="Bodynumbered-Level3"/>
        <w:spacing w:before="120" w:after="120"/>
        <w:ind w:left="1494" w:hanging="644"/>
      </w:pPr>
      <w:r w:rsidRPr="004D6DDA">
        <w:t>(b)</w:t>
      </w:r>
      <w:r w:rsidRPr="004D6DDA">
        <w:tab/>
      </w:r>
      <w:r>
        <w:t xml:space="preserve">in addition </w:t>
      </w:r>
      <w:r w:rsidRPr="00D20760">
        <w:t xml:space="preserve">to </w:t>
      </w:r>
      <w:r w:rsidRPr="00B64709">
        <w:t>section 5.2.2(a)</w:t>
      </w:r>
      <w:r>
        <w:t xml:space="preserve"> </w:t>
      </w:r>
      <w:r w:rsidRPr="004D6DDA">
        <w:t xml:space="preserve">all </w:t>
      </w:r>
      <w:r>
        <w:t>Funded Solution</w:t>
      </w:r>
      <w:r w:rsidRPr="004D6DDA">
        <w:t xml:space="preserve">s not in </w:t>
      </w:r>
      <w:r w:rsidRPr="00094D76">
        <w:rPr>
          <w:b/>
        </w:rPr>
        <w:t xml:space="preserve">Remote </w:t>
      </w:r>
      <w:r>
        <w:rPr>
          <w:b/>
        </w:rPr>
        <w:t>or</w:t>
      </w:r>
      <w:r w:rsidRPr="00094D76">
        <w:rPr>
          <w:b/>
        </w:rPr>
        <w:t xml:space="preserve"> Very Remote</w:t>
      </w:r>
      <w:r>
        <w:t xml:space="preserve"> areas (as determined in accordance with the Australian Bureau of Statistics’ 2011 Remoteness Structure) will be required to deliver broadband data services using </w:t>
      </w:r>
      <w:r w:rsidRPr="0087116F">
        <w:rPr>
          <w:b/>
        </w:rPr>
        <w:t>4G</w:t>
      </w:r>
      <w:r>
        <w:t xml:space="preserve"> </w:t>
      </w:r>
      <w:r w:rsidRPr="00002067">
        <w:t>technology</w:t>
      </w:r>
      <w:r>
        <w:t>;</w:t>
      </w:r>
    </w:p>
    <w:p w14:paraId="50A3FC06" w14:textId="77777777" w:rsidR="0064434C" w:rsidRPr="00FB027D" w:rsidRDefault="0064434C" w:rsidP="000A634F">
      <w:pPr>
        <w:pStyle w:val="Bodynumbered-Level3"/>
        <w:spacing w:before="120" w:after="120"/>
        <w:ind w:left="1494" w:hanging="644"/>
      </w:pPr>
      <w:r w:rsidRPr="00FB027D">
        <w:t>(</w:t>
      </w:r>
      <w:r>
        <w:t>c</w:t>
      </w:r>
      <w:r w:rsidRPr="00FB027D">
        <w:t>)</w:t>
      </w:r>
      <w:r w:rsidRPr="00FB027D">
        <w:tab/>
        <w:t xml:space="preserve">proposed handheld coverage modelling for 3G HSPA+ must be based on outdoor Received Signal Code Power (RSCP) greater than </w:t>
      </w:r>
      <w:r w:rsidRPr="00FB027D">
        <w:noBreakHyphen/>
        <w:t>90 dBm at a 90 per cent confidence level for the cell area; and</w:t>
      </w:r>
    </w:p>
    <w:p w14:paraId="3E0841AE" w14:textId="77777777" w:rsidR="0064434C" w:rsidRDefault="0064434C" w:rsidP="000A634F">
      <w:pPr>
        <w:pStyle w:val="Bodynumbered-Level3"/>
        <w:spacing w:before="120"/>
        <w:ind w:left="1494" w:hanging="644"/>
      </w:pPr>
      <w:r w:rsidRPr="00FB027D">
        <w:t>(</w:t>
      </w:r>
      <w:r>
        <w:t>d</w:t>
      </w:r>
      <w:r w:rsidRPr="00FB027D">
        <w:t>)</w:t>
      </w:r>
      <w:r w:rsidRPr="00FB027D">
        <w:tab/>
        <w:t xml:space="preserve">proposed </w:t>
      </w:r>
      <w:r w:rsidRPr="0087116F">
        <w:t>external antenna coverage</w:t>
      </w:r>
      <w:r w:rsidRPr="00FB027D">
        <w:t xml:space="preserve"> modelling for 3G HSPA+ must be based on outdoor RSCP greater than -</w:t>
      </w:r>
      <w:r>
        <w:t>107</w:t>
      </w:r>
      <w:r w:rsidRPr="00FB027D">
        <w:t xml:space="preserve"> dBm at a 90 per cent confidence level for the cell area</w:t>
      </w:r>
      <w:r>
        <w:t xml:space="preserve"> (refer to section 13.4.3).</w:t>
      </w:r>
    </w:p>
    <w:p w14:paraId="5DCC7F55" w14:textId="77777777" w:rsidR="0064434C" w:rsidRDefault="0064434C" w:rsidP="0064434C">
      <w:pPr>
        <w:pStyle w:val="Bodynumbered-Level1"/>
      </w:pPr>
      <w:r>
        <w:lastRenderedPageBreak/>
        <w:t>5.2.3</w:t>
      </w:r>
      <w:r>
        <w:tab/>
      </w:r>
      <w:r w:rsidRPr="00002067">
        <w:t xml:space="preserve">All </w:t>
      </w:r>
      <w:r>
        <w:t>Funded Solution</w:t>
      </w:r>
      <w:r w:rsidRPr="00002067">
        <w:t xml:space="preserve">s will </w:t>
      </w:r>
      <w:r>
        <w:t xml:space="preserve">be required to </w:t>
      </w:r>
      <w:r w:rsidRPr="00002067">
        <w:t xml:space="preserve">deliver mobile services in accordance with the relevant standards specified in the funded MNOs’ </w:t>
      </w:r>
      <w:r>
        <w:t>c</w:t>
      </w:r>
      <w:r w:rsidRPr="00002067">
        <w:t xml:space="preserve">arrier </w:t>
      </w:r>
      <w:r>
        <w:t>l</w:t>
      </w:r>
      <w:r w:rsidRPr="00002067">
        <w:t xml:space="preserve">icence </w:t>
      </w:r>
      <w:r>
        <w:t>c</w:t>
      </w:r>
      <w:r w:rsidRPr="00002067">
        <w:t>onditions</w:t>
      </w:r>
      <w:r>
        <w:t>, or</w:t>
      </w:r>
      <w:r w:rsidRPr="00002067">
        <w:t xml:space="preserve"> under </w:t>
      </w:r>
      <w:r w:rsidRPr="00B50689">
        <w:t>the</w:t>
      </w:r>
      <w:r w:rsidRPr="0006685B">
        <w:rPr>
          <w:i/>
        </w:rPr>
        <w:t xml:space="preserve"> </w:t>
      </w:r>
      <w:r w:rsidRPr="00406FE1">
        <w:rPr>
          <w:i/>
        </w:rPr>
        <w:t>Telecommunications Act 1997</w:t>
      </w:r>
      <w:r>
        <w:t xml:space="preserve"> or both.</w:t>
      </w:r>
      <w:bookmarkStart w:id="185" w:name="_Toc388963695"/>
      <w:bookmarkStart w:id="186" w:name="_Toc389122733"/>
      <w:bookmarkStart w:id="187" w:name="_Toc388963696"/>
      <w:bookmarkStart w:id="188" w:name="_Toc389122734"/>
      <w:bookmarkStart w:id="189" w:name="_Toc388963697"/>
      <w:bookmarkStart w:id="190" w:name="_Toc389122735"/>
      <w:bookmarkStart w:id="191" w:name="_Toc388963698"/>
      <w:bookmarkStart w:id="192" w:name="_Toc389122736"/>
      <w:bookmarkStart w:id="193" w:name="_Toc388963699"/>
      <w:bookmarkStart w:id="194" w:name="_Toc389122737"/>
      <w:bookmarkStart w:id="195" w:name="_Toc388963700"/>
      <w:bookmarkStart w:id="196" w:name="_Toc389122738"/>
      <w:bookmarkStart w:id="197" w:name="_Toc388963701"/>
      <w:bookmarkStart w:id="198" w:name="_Toc389122739"/>
      <w:bookmarkStart w:id="199" w:name="_Toc388963702"/>
      <w:bookmarkStart w:id="200" w:name="_Toc389122740"/>
      <w:bookmarkStart w:id="201" w:name="_Toc388963703"/>
      <w:bookmarkStart w:id="202" w:name="_Toc389122741"/>
      <w:bookmarkStart w:id="203" w:name="_Toc388963704"/>
      <w:bookmarkStart w:id="204" w:name="_Toc38912274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93DD8E4" w14:textId="77777777" w:rsidR="0064434C" w:rsidRPr="00DD1B36" w:rsidRDefault="0064434C" w:rsidP="0064434C">
      <w:pPr>
        <w:pStyle w:val="Bodynumbered-Level1"/>
      </w:pPr>
      <w:r>
        <w:t>5.2.4</w:t>
      </w:r>
      <w:r>
        <w:tab/>
        <w:t xml:space="preserve">Grantees will be required to ensure that each Funded Solution delivers </w:t>
      </w:r>
      <w:r w:rsidRPr="009D1F9A">
        <w:t xml:space="preserve">the required mobile services to the target coverage areas </w:t>
      </w:r>
      <w:r w:rsidRPr="00E308EB">
        <w:t xml:space="preserve">on a commercial basis for a minimum of ten years, commencing from </w:t>
      </w:r>
      <w:r>
        <w:t xml:space="preserve">the date </w:t>
      </w:r>
      <w:r w:rsidRPr="00E308EB">
        <w:t>when initial services commence</w:t>
      </w:r>
      <w:r>
        <w:t xml:space="preserve"> being delivered from each Funded Solution. </w:t>
      </w:r>
    </w:p>
    <w:p w14:paraId="24B663B8" w14:textId="77777777" w:rsidR="0064434C" w:rsidRPr="0031276D" w:rsidRDefault="000A634F" w:rsidP="00B84B0D">
      <w:pPr>
        <w:pStyle w:val="Heading4"/>
      </w:pPr>
      <w:bookmarkStart w:id="205" w:name="_Toc378930081"/>
      <w:bookmarkStart w:id="206" w:name="_Toc378930205"/>
      <w:bookmarkStart w:id="207" w:name="_Toc386635487"/>
      <w:bookmarkStart w:id="208" w:name="_Toc393908565"/>
      <w:bookmarkStart w:id="209" w:name="_Toc405380430"/>
      <w:bookmarkStart w:id="210" w:name="_Toc441049683"/>
      <w:bookmarkStart w:id="211" w:name="_Toc497901424"/>
      <w:bookmarkStart w:id="212" w:name="_Toc156213041"/>
      <w:r>
        <w:t xml:space="preserve">5.3 </w:t>
      </w:r>
      <w:r w:rsidR="0064434C" w:rsidRPr="008770C0">
        <w:t>Open access</w:t>
      </w:r>
      <w:r w:rsidR="0064434C">
        <w:t>,</w:t>
      </w:r>
      <w:r w:rsidR="0064434C" w:rsidRPr="008770C0">
        <w:t xml:space="preserve"> co-location</w:t>
      </w:r>
      <w:bookmarkEnd w:id="205"/>
      <w:bookmarkEnd w:id="206"/>
      <w:bookmarkEnd w:id="207"/>
      <w:bookmarkEnd w:id="208"/>
      <w:bookmarkEnd w:id="209"/>
      <w:bookmarkEnd w:id="210"/>
      <w:r w:rsidR="0064434C">
        <w:t xml:space="preserve"> and co-build</w:t>
      </w:r>
      <w:bookmarkEnd w:id="211"/>
      <w:bookmarkEnd w:id="212"/>
    </w:p>
    <w:p w14:paraId="041C48DD" w14:textId="77777777" w:rsidR="0064434C" w:rsidRDefault="0064434C" w:rsidP="0064434C">
      <w:pPr>
        <w:pStyle w:val="Bodynumbered-Level1"/>
      </w:pPr>
      <w:r>
        <w:t>5.3.1</w:t>
      </w:r>
      <w:r>
        <w:tab/>
      </w:r>
      <w:r w:rsidRPr="00D62F90">
        <w:t xml:space="preserve">A key objective of the Program is to maximise the choice of </w:t>
      </w:r>
      <w:r>
        <w:t>MNOs</w:t>
      </w:r>
      <w:r w:rsidRPr="00D62F90">
        <w:t xml:space="preserve"> for consumers.</w:t>
      </w:r>
      <w:r>
        <w:t xml:space="preserve"> All Proposed Solutions must offer co-location, or the applicant must provide evidence (as per section 5.3.3) that the Proposed Solution is unable to support an additional MNO.</w:t>
      </w:r>
    </w:p>
    <w:p w14:paraId="4C23F08B" w14:textId="77777777" w:rsidR="0064434C" w:rsidRDefault="0064434C" w:rsidP="0064434C">
      <w:pPr>
        <w:pStyle w:val="Bodynumbered-Level1"/>
      </w:pPr>
      <w:r>
        <w:t>5.3.2</w:t>
      </w:r>
      <w:r>
        <w:tab/>
        <w:t>When applying for funding under this Priority Location round of the Program, applications will be assessed based on the cost to the Commonwealth of building the Proposed Solution with no additional co-locating MNOs. Applicants will need to provide details of the incremental costs to support an additional MNO on the site, which may be considered as part of a value for money assessment of the Proposed Solution.</w:t>
      </w:r>
    </w:p>
    <w:p w14:paraId="19CFEF6C" w14:textId="77777777" w:rsidR="0064434C" w:rsidRPr="00D62F90" w:rsidRDefault="0064434C" w:rsidP="0064434C">
      <w:pPr>
        <w:pStyle w:val="Bodynumbered-Level1"/>
      </w:pPr>
      <w:r>
        <w:t>5.3.3</w:t>
      </w:r>
      <w:r>
        <w:tab/>
        <w:t>If a Proposed Solution is unable to support an additional MNO, applicants must provide a detailed explanation of why it is not technically feasible to reconfigure the Proposed Solution to support an additional MNO at incremental cost to the co-locating MNO. The Department’s technical advisor will review the technical advice from the applicant. If the Department’s view is that co-location is technically possible, then the applicant must be prepared to offer co</w:t>
      </w:r>
      <w:r>
        <w:noBreakHyphen/>
        <w:t>location at incremental cost to an MNO seeking to co-locate on the Proposed Solution, or the Department may remove the Proposed Solution from the assessment process.</w:t>
      </w:r>
    </w:p>
    <w:p w14:paraId="5920BD6D" w14:textId="77777777" w:rsidR="0064434C" w:rsidRPr="00D62F90" w:rsidRDefault="0064434C" w:rsidP="0064434C">
      <w:pPr>
        <w:pStyle w:val="Bodynumbered-Level1"/>
      </w:pPr>
      <w:r>
        <w:t>5.3.4</w:t>
      </w:r>
      <w:r>
        <w:tab/>
      </w:r>
      <w:r w:rsidRPr="00D62F90">
        <w:t xml:space="preserve">Once an </w:t>
      </w:r>
      <w:r>
        <w:t>applicant</w:t>
      </w:r>
      <w:r w:rsidRPr="00D62F90">
        <w:t xml:space="preserve"> is selected to build a </w:t>
      </w:r>
      <w:r>
        <w:t>Proposed Solution</w:t>
      </w:r>
      <w:r w:rsidRPr="00D62F90">
        <w:t>, it must give other MNOs the opportunity to co-locate and to participate in the</w:t>
      </w:r>
      <w:r>
        <w:t xml:space="preserve"> detailed</w:t>
      </w:r>
      <w:r w:rsidRPr="00D62F90">
        <w:t xml:space="preserve"> design</w:t>
      </w:r>
      <w:r>
        <w:t xml:space="preserve"> phase for that Funded Solution</w:t>
      </w:r>
      <w:r w:rsidRPr="00D62F90">
        <w:t xml:space="preserve"> using the </w:t>
      </w:r>
      <w:r>
        <w:t>process set out in this section 5. The incremental cost for a Funded Solution to support an additional MNO will be provided to the other participating MNOs to allow for greater transparency in co-location negotiations.</w:t>
      </w:r>
    </w:p>
    <w:p w14:paraId="580FEB78" w14:textId="77777777" w:rsidR="0064434C" w:rsidRPr="00D62F90" w:rsidRDefault="0064434C" w:rsidP="0064434C">
      <w:pPr>
        <w:pStyle w:val="Bodynumbered-Level1"/>
      </w:pPr>
      <w:r>
        <w:t>5.3.5</w:t>
      </w:r>
      <w:r>
        <w:tab/>
      </w:r>
      <w:r w:rsidRPr="00D62F90">
        <w:t xml:space="preserve">For </w:t>
      </w:r>
      <w:r>
        <w:t xml:space="preserve">Funded Solutions where other MNOs are interested in co-locating, the costs can be shared more broadly and efficiencies achieved if the interested MNOs can participate in the design and build phases which should ensure that their reasonable specifications are accommodated in the design and construction of the Funded Solution. </w:t>
      </w:r>
      <w:r w:rsidRPr="00D62F90">
        <w:t>This opportunity relates to all the requirements necessary for co-location to efficiently occur, including (but not limited to)</w:t>
      </w:r>
      <w:r>
        <w:t xml:space="preserve"> the height and robustness of the Funded Solution, as well as</w:t>
      </w:r>
      <w:r w:rsidRPr="00D62F90">
        <w:t xml:space="preserve"> site space for housing equipment and access to power and </w:t>
      </w:r>
      <w:r w:rsidRPr="00232871">
        <w:t>backhaul.</w:t>
      </w:r>
    </w:p>
    <w:p w14:paraId="75C93182" w14:textId="77777777" w:rsidR="0064434C" w:rsidRDefault="0064434C" w:rsidP="0064434C">
      <w:pPr>
        <w:pStyle w:val="Bodynumbered-Level1"/>
        <w:spacing w:after="120"/>
      </w:pPr>
      <w:r>
        <w:t>5.3.6</w:t>
      </w:r>
      <w:r>
        <w:tab/>
        <w:t>The Government is supportive of Grantees offering other MNOs the opportunity to co-invest in Funded Solutions including (but not limited to) provision of backhaul.</w:t>
      </w:r>
    </w:p>
    <w:p w14:paraId="427D3D0A" w14:textId="77777777" w:rsidR="0064434C" w:rsidRDefault="0064434C" w:rsidP="0064434C">
      <w:pPr>
        <w:pStyle w:val="Bodynumbered-Level1"/>
        <w:spacing w:after="120"/>
      </w:pPr>
      <w:r>
        <w:t>5.3.7</w:t>
      </w:r>
      <w:r>
        <w:tab/>
        <w:t>For the purpose of providing the incremental cost of supporting an additional MNO, a Proposed Solution must meet the following minimum specifications to be considered capable of supporting two or more MNOs:</w:t>
      </w:r>
    </w:p>
    <w:p w14:paraId="599B895D" w14:textId="77777777" w:rsidR="0064434C" w:rsidRDefault="0064434C" w:rsidP="000A634F">
      <w:pPr>
        <w:pStyle w:val="Bodynumbered-Level1"/>
        <w:spacing w:after="120"/>
        <w:ind w:left="1701"/>
      </w:pPr>
      <w:r>
        <w:t>(a)</w:t>
      </w:r>
      <w:r>
        <w:tab/>
        <w:t xml:space="preserve">The </w:t>
      </w:r>
      <w:r w:rsidRPr="00A14BD3">
        <w:t xml:space="preserve">structure </w:t>
      </w:r>
      <w:r>
        <w:t>is based on one of the following configurations:</w:t>
      </w:r>
    </w:p>
    <w:tbl>
      <w:tblPr>
        <w:tblStyle w:val="DefaultTable11"/>
        <w:tblW w:w="4487" w:type="pct"/>
        <w:tblInd w:w="851" w:type="dxa"/>
        <w:tblLook w:val="04A0" w:firstRow="1" w:lastRow="0" w:firstColumn="1" w:lastColumn="0" w:noHBand="0" w:noVBand="1"/>
        <w:tblDescription w:val="Table 1: RSRP Coverage Modelling Requirements"/>
      </w:tblPr>
      <w:tblGrid>
        <w:gridCol w:w="3117"/>
        <w:gridCol w:w="2694"/>
        <w:gridCol w:w="2692"/>
      </w:tblGrid>
      <w:tr w:rsidR="001310C5" w:rsidRPr="00654F9E" w14:paraId="1F35E86F" w14:textId="77777777" w:rsidTr="009612F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33" w:type="pct"/>
          </w:tcPr>
          <w:p w14:paraId="3EF1A1BB" w14:textId="77777777" w:rsidR="001310C5" w:rsidRPr="00692754" w:rsidRDefault="001310C5" w:rsidP="008B35BF">
            <w:pPr>
              <w:pStyle w:val="Tablerowcolumnheading"/>
              <w:keepNext/>
              <w:rPr>
                <w:b/>
                <w:sz w:val="22"/>
                <w:szCs w:val="22"/>
              </w:rPr>
            </w:pPr>
            <w:r>
              <w:rPr>
                <w:b/>
                <w:sz w:val="22"/>
                <w:szCs w:val="22"/>
              </w:rPr>
              <w:lastRenderedPageBreak/>
              <w:t>Configuration 1</w:t>
            </w:r>
          </w:p>
        </w:tc>
        <w:tc>
          <w:tcPr>
            <w:tcW w:w="1584" w:type="pct"/>
          </w:tcPr>
          <w:p w14:paraId="56D660D1" w14:textId="77777777" w:rsidR="001310C5" w:rsidRPr="00692754" w:rsidRDefault="001310C5" w:rsidP="008B35BF">
            <w:pPr>
              <w:pStyle w:val="Tablerowcolumnheadingcentred"/>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Configuration 2</w:t>
            </w:r>
          </w:p>
        </w:tc>
        <w:tc>
          <w:tcPr>
            <w:tcW w:w="1583" w:type="pct"/>
          </w:tcPr>
          <w:p w14:paraId="794D229D" w14:textId="77777777" w:rsidR="001310C5" w:rsidRPr="00692754" w:rsidRDefault="001310C5" w:rsidP="008B35BF">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Configur</w:t>
            </w:r>
            <w:r w:rsidR="004F28B1">
              <w:rPr>
                <w:b/>
                <w:sz w:val="22"/>
                <w:szCs w:val="22"/>
              </w:rPr>
              <w:t>a</w:t>
            </w:r>
            <w:r>
              <w:rPr>
                <w:b/>
                <w:sz w:val="22"/>
                <w:szCs w:val="22"/>
              </w:rPr>
              <w:t>tion 3</w:t>
            </w:r>
          </w:p>
        </w:tc>
      </w:tr>
      <w:tr w:rsidR="0064434C" w:rsidRPr="00654F9E" w14:paraId="46B38FDE" w14:textId="77777777" w:rsidTr="009612FB">
        <w:trPr>
          <w:cantSplit/>
        </w:trPr>
        <w:tc>
          <w:tcPr>
            <w:cnfStyle w:val="001000000000" w:firstRow="0" w:lastRow="0" w:firstColumn="1" w:lastColumn="0" w:oddVBand="0" w:evenVBand="0" w:oddHBand="0" w:evenHBand="0" w:firstRowFirstColumn="0" w:firstRowLastColumn="0" w:lastRowFirstColumn="0" w:lastRowLastColumn="0"/>
            <w:tcW w:w="1833" w:type="pct"/>
          </w:tcPr>
          <w:p w14:paraId="7222A67D" w14:textId="77777777" w:rsidR="0064434C" w:rsidRDefault="0064434C" w:rsidP="0064434C">
            <w:pPr>
              <w:pStyle w:val="TableText0"/>
            </w:pPr>
            <w:r w:rsidRPr="00E13659">
              <w:rPr>
                <w:lang w:val="en-US" w:eastAsia="en-AU"/>
              </w:rPr>
              <w:t>3 x 1 panel antenna</w:t>
            </w:r>
            <w:r>
              <w:rPr>
                <w:lang w:val="en-US" w:eastAsia="en-AU"/>
              </w:rPr>
              <w:t xml:space="preserve"> on a standalone headframe </w:t>
            </w:r>
            <w:r w:rsidRPr="00E13659">
              <w:rPr>
                <w:lang w:val="en-US" w:eastAsia="en-AU"/>
              </w:rPr>
              <w:t>(Dimensions: 2533mm (h) x 353mm (w) x 209mm (d), Weight 32kg); or equivalent load</w:t>
            </w:r>
          </w:p>
        </w:tc>
        <w:tc>
          <w:tcPr>
            <w:tcW w:w="1584" w:type="pct"/>
          </w:tcPr>
          <w:p w14:paraId="365A0425" w14:textId="77777777" w:rsidR="0064434C" w:rsidRDefault="0064434C" w:rsidP="0064434C">
            <w:pPr>
              <w:pStyle w:val="TableText0"/>
              <w:cnfStyle w:val="000000000000" w:firstRow="0" w:lastRow="0" w:firstColumn="0" w:lastColumn="0" w:oddVBand="0" w:evenVBand="0" w:oddHBand="0" w:evenHBand="0" w:firstRowFirstColumn="0" w:firstRowLastColumn="0" w:lastRowFirstColumn="0" w:lastRowLastColumn="0"/>
            </w:pPr>
            <w:r w:rsidRPr="00E13659">
              <w:rPr>
                <w:lang w:val="en-US" w:eastAsia="en-AU"/>
              </w:rPr>
              <w:t>3 x 6 port antenna</w:t>
            </w:r>
            <w:r>
              <w:rPr>
                <w:lang w:val="en-US" w:eastAsia="en-AU"/>
              </w:rPr>
              <w:t xml:space="preserve"> </w:t>
            </w:r>
            <w:r w:rsidRPr="00E13659">
              <w:rPr>
                <w:lang w:val="en-US" w:eastAsia="en-AU"/>
              </w:rPr>
              <w:t>(Dimensions: 2680mm (h) x 300mm (w) x 146mm (d), Weight: 39.5kg)</w:t>
            </w:r>
          </w:p>
        </w:tc>
        <w:tc>
          <w:tcPr>
            <w:tcW w:w="1583" w:type="pct"/>
          </w:tcPr>
          <w:p w14:paraId="365DC74C" w14:textId="77777777" w:rsidR="0064434C" w:rsidRDefault="0064434C" w:rsidP="0064434C">
            <w:pPr>
              <w:pStyle w:val="TableText0"/>
              <w:cnfStyle w:val="000000000000" w:firstRow="0" w:lastRow="0" w:firstColumn="0" w:lastColumn="0" w:oddVBand="0" w:evenVBand="0" w:oddHBand="0" w:evenHBand="0" w:firstRowFirstColumn="0" w:firstRowLastColumn="0" w:lastRowFirstColumn="0" w:lastRowLastColumn="0"/>
            </w:pPr>
            <w:r w:rsidRPr="00E13659">
              <w:rPr>
                <w:lang w:val="en-US" w:eastAsia="en-AU"/>
              </w:rPr>
              <w:t>3 x 10 port antenna (Dimensions: 2688mm (h) x 349mm (w) x 166mm (d), Weight 36.5kg)</w:t>
            </w:r>
          </w:p>
        </w:tc>
      </w:tr>
      <w:tr w:rsidR="0064434C" w:rsidRPr="00654F9E" w14:paraId="34E0431E" w14:textId="77777777" w:rsidTr="009612F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33" w:type="pct"/>
          </w:tcPr>
          <w:p w14:paraId="71A308A5" w14:textId="77777777" w:rsidR="0064434C" w:rsidRDefault="0064434C" w:rsidP="0064434C">
            <w:pPr>
              <w:pStyle w:val="TableText0"/>
            </w:pPr>
            <w:r w:rsidRPr="00E13659">
              <w:rPr>
                <w:lang w:val="en-US" w:eastAsia="en-AU"/>
              </w:rPr>
              <w:t>3 x Tower Mounted Amplifiers (457mm x 275mm x 208mm, Weight 25kg); or equivalent load</w:t>
            </w:r>
          </w:p>
        </w:tc>
        <w:tc>
          <w:tcPr>
            <w:tcW w:w="1584" w:type="pct"/>
          </w:tcPr>
          <w:p w14:paraId="168F8958" w14:textId="77777777" w:rsidR="0064434C" w:rsidRDefault="0064434C" w:rsidP="0064434C">
            <w:pPr>
              <w:pStyle w:val="TableText0"/>
              <w:cnfStyle w:val="000000010000" w:firstRow="0" w:lastRow="0" w:firstColumn="0" w:lastColumn="0" w:oddVBand="0" w:evenVBand="0" w:oddHBand="0" w:evenHBand="1" w:firstRowFirstColumn="0" w:firstRowLastColumn="0" w:lastRowFirstColumn="0" w:lastRowLastColumn="0"/>
            </w:pPr>
            <w:r w:rsidRPr="00E13659">
              <w:rPr>
                <w:lang w:val="en-US" w:eastAsia="en-AU"/>
              </w:rPr>
              <w:t>6 x RRUs (Dimensions:400mm (h) x 300mm (w) x 150mm (d), Weight 20kg)</w:t>
            </w:r>
          </w:p>
        </w:tc>
        <w:tc>
          <w:tcPr>
            <w:tcW w:w="1583" w:type="pct"/>
          </w:tcPr>
          <w:p w14:paraId="1B94C1EC" w14:textId="77777777" w:rsidR="0064434C" w:rsidRDefault="0064434C" w:rsidP="0064434C">
            <w:pPr>
              <w:pStyle w:val="TableText0"/>
              <w:cnfStyle w:val="000000010000" w:firstRow="0" w:lastRow="0" w:firstColumn="0" w:lastColumn="0" w:oddVBand="0" w:evenVBand="0" w:oddHBand="0" w:evenHBand="1" w:firstRowFirstColumn="0" w:firstRowLastColumn="0" w:lastRowFirstColumn="0" w:lastRowLastColumn="0"/>
            </w:pPr>
            <w:r w:rsidRPr="00E13659">
              <w:rPr>
                <w:lang w:val="en-US" w:eastAsia="en-AU"/>
              </w:rPr>
              <w:t>6 x RRUs (Dimensions: 400mm (h) x 300mm (w) x 100mm (d), Weight 13.5kg)</w:t>
            </w:r>
          </w:p>
        </w:tc>
      </w:tr>
      <w:tr w:rsidR="0064434C" w:rsidRPr="00654F9E" w14:paraId="28FC7ABC" w14:textId="77777777" w:rsidTr="009612FB">
        <w:trPr>
          <w:cantSplit/>
        </w:trPr>
        <w:tc>
          <w:tcPr>
            <w:cnfStyle w:val="001000000000" w:firstRow="0" w:lastRow="0" w:firstColumn="1" w:lastColumn="0" w:oddVBand="0" w:evenVBand="0" w:oddHBand="0" w:evenHBand="0" w:firstRowFirstColumn="0" w:firstRowLastColumn="0" w:lastRowFirstColumn="0" w:lastRowLastColumn="0"/>
            <w:tcW w:w="1833" w:type="pct"/>
          </w:tcPr>
          <w:p w14:paraId="1A7B9B36" w14:textId="77777777" w:rsidR="0064434C" w:rsidRDefault="0064434C" w:rsidP="0064434C">
            <w:pPr>
              <w:pStyle w:val="TableText0"/>
            </w:pPr>
            <w:r w:rsidRPr="00E13659">
              <w:rPr>
                <w:lang w:val="en-US" w:eastAsia="en-AU"/>
              </w:rPr>
              <w:t>6 x feeders + 300mm cable gantry for monopole structure type sites</w:t>
            </w:r>
          </w:p>
        </w:tc>
        <w:tc>
          <w:tcPr>
            <w:tcW w:w="1584" w:type="pct"/>
          </w:tcPr>
          <w:p w14:paraId="12FE1AC5" w14:textId="77777777" w:rsidR="0064434C" w:rsidRDefault="0064434C" w:rsidP="0064434C">
            <w:pPr>
              <w:pStyle w:val="TableText0"/>
              <w:cnfStyle w:val="000000000000" w:firstRow="0" w:lastRow="0" w:firstColumn="0" w:lastColumn="0" w:oddVBand="0" w:evenVBand="0" w:oddHBand="0" w:evenHBand="0" w:firstRowFirstColumn="0" w:firstRowLastColumn="0" w:lastRowFirstColumn="0" w:lastRowLastColumn="0"/>
            </w:pPr>
            <w:r w:rsidRPr="00E13659">
              <w:rPr>
                <w:lang w:val="en-US" w:eastAsia="en-AU"/>
              </w:rPr>
              <w:t>6 x combiners (Dimension: 330mm (h) x 200mm (w) x 130mm (d), Weight 3.2kg)</w:t>
            </w:r>
          </w:p>
        </w:tc>
        <w:tc>
          <w:tcPr>
            <w:tcW w:w="1583" w:type="pct"/>
          </w:tcPr>
          <w:p w14:paraId="3955BB3A" w14:textId="77777777" w:rsidR="0064434C" w:rsidRDefault="0064434C" w:rsidP="0064434C">
            <w:pPr>
              <w:pStyle w:val="TableText0"/>
              <w:cnfStyle w:val="000000000000" w:firstRow="0" w:lastRow="0" w:firstColumn="0" w:lastColumn="0" w:oddVBand="0" w:evenVBand="0" w:oddHBand="0" w:evenHBand="0" w:firstRowFirstColumn="0" w:firstRowLastColumn="0" w:lastRowFirstColumn="0" w:lastRowLastColumn="0"/>
            </w:pPr>
            <w:r w:rsidRPr="00E13659">
              <w:rPr>
                <w:lang w:val="en-US" w:eastAsia="en-AU"/>
              </w:rPr>
              <w:t>2 x 600mm fixed link dishes; or equivalent load</w:t>
            </w:r>
          </w:p>
        </w:tc>
      </w:tr>
      <w:tr w:rsidR="0064434C" w:rsidRPr="00654F9E" w14:paraId="7E09D5FA" w14:textId="77777777" w:rsidTr="009612F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33" w:type="pct"/>
          </w:tcPr>
          <w:p w14:paraId="78FD4FE4" w14:textId="77777777" w:rsidR="0064434C" w:rsidRDefault="0064434C" w:rsidP="0064434C">
            <w:pPr>
              <w:pStyle w:val="TableText0"/>
            </w:pPr>
            <w:r w:rsidRPr="00E13659">
              <w:rPr>
                <w:lang w:val="en-US" w:eastAsia="en-AU"/>
              </w:rPr>
              <w:t>2 x 600mm fixed link dishes; or equivalent load</w:t>
            </w:r>
          </w:p>
        </w:tc>
        <w:tc>
          <w:tcPr>
            <w:tcW w:w="1584" w:type="pct"/>
          </w:tcPr>
          <w:p w14:paraId="28EED69D" w14:textId="77777777" w:rsidR="0064434C" w:rsidRDefault="0064434C" w:rsidP="0064434C">
            <w:pPr>
              <w:pStyle w:val="TableText0"/>
              <w:cnfStyle w:val="000000010000" w:firstRow="0" w:lastRow="0" w:firstColumn="0" w:lastColumn="0" w:oddVBand="0" w:evenVBand="0" w:oddHBand="0" w:evenHBand="1" w:firstRowFirstColumn="0" w:firstRowLastColumn="0" w:lastRowFirstColumn="0" w:lastRowLastColumn="0"/>
            </w:pPr>
            <w:r w:rsidRPr="00E13659">
              <w:rPr>
                <w:lang w:val="en-US" w:eastAsia="en-AU"/>
              </w:rPr>
              <w:t xml:space="preserve">2 x 600mm transmission dishes; or equivalent load </w:t>
            </w:r>
          </w:p>
        </w:tc>
        <w:tc>
          <w:tcPr>
            <w:tcW w:w="1583" w:type="pct"/>
          </w:tcPr>
          <w:p w14:paraId="6DAC1761" w14:textId="77777777" w:rsidR="0064434C" w:rsidRDefault="0064434C" w:rsidP="0064434C">
            <w:pPr>
              <w:pStyle w:val="TableText0"/>
              <w:cnfStyle w:val="000000010000" w:firstRow="0" w:lastRow="0" w:firstColumn="0" w:lastColumn="0" w:oddVBand="0" w:evenVBand="0" w:oddHBand="0" w:evenHBand="1" w:firstRowFirstColumn="0" w:firstRowLastColumn="0" w:lastRowFirstColumn="0" w:lastRowLastColumn="0"/>
            </w:pPr>
          </w:p>
        </w:tc>
      </w:tr>
      <w:tr w:rsidR="0064434C" w:rsidRPr="00654F9E" w14:paraId="558DF208" w14:textId="77777777" w:rsidTr="009612FB">
        <w:trPr>
          <w:cantSplit/>
        </w:trPr>
        <w:tc>
          <w:tcPr>
            <w:cnfStyle w:val="001000000000" w:firstRow="0" w:lastRow="0" w:firstColumn="1" w:lastColumn="0" w:oddVBand="0" w:evenVBand="0" w:oddHBand="0" w:evenHBand="0" w:firstRowFirstColumn="0" w:firstRowLastColumn="0" w:lastRowFirstColumn="0" w:lastRowLastColumn="0"/>
            <w:tcW w:w="1833" w:type="pct"/>
          </w:tcPr>
          <w:p w14:paraId="5A62CDD5" w14:textId="77777777" w:rsidR="0064434C" w:rsidRDefault="0064434C" w:rsidP="0064434C">
            <w:pPr>
              <w:pStyle w:val="TableText0"/>
            </w:pPr>
          </w:p>
        </w:tc>
        <w:tc>
          <w:tcPr>
            <w:tcW w:w="1584" w:type="pct"/>
          </w:tcPr>
          <w:p w14:paraId="1B7F4184" w14:textId="77777777" w:rsidR="0064434C" w:rsidRDefault="0064434C" w:rsidP="0064434C">
            <w:pPr>
              <w:pStyle w:val="TableText0"/>
              <w:cnfStyle w:val="000000000000" w:firstRow="0" w:lastRow="0" w:firstColumn="0" w:lastColumn="0" w:oddVBand="0" w:evenVBand="0" w:oddHBand="0" w:evenHBand="0" w:firstRowFirstColumn="0" w:firstRowLastColumn="0" w:lastRowFirstColumn="0" w:lastRowLastColumn="0"/>
            </w:pPr>
            <w:r w:rsidRPr="00E13659">
              <w:rPr>
                <w:lang w:val="en-US" w:eastAsia="en-AU"/>
              </w:rPr>
              <w:t>Other DC Cables and Junction Boxes</w:t>
            </w:r>
          </w:p>
        </w:tc>
        <w:tc>
          <w:tcPr>
            <w:tcW w:w="1583" w:type="pct"/>
          </w:tcPr>
          <w:p w14:paraId="7C013652" w14:textId="77777777" w:rsidR="0064434C" w:rsidRDefault="0064434C" w:rsidP="0064434C">
            <w:pPr>
              <w:pStyle w:val="TableText0"/>
              <w:cnfStyle w:val="000000000000" w:firstRow="0" w:lastRow="0" w:firstColumn="0" w:lastColumn="0" w:oddVBand="0" w:evenVBand="0" w:oddHBand="0" w:evenHBand="0" w:firstRowFirstColumn="0" w:firstRowLastColumn="0" w:lastRowFirstColumn="0" w:lastRowLastColumn="0"/>
            </w:pPr>
          </w:p>
        </w:tc>
      </w:tr>
    </w:tbl>
    <w:p w14:paraId="418AFBB1" w14:textId="77777777" w:rsidR="0064434C" w:rsidRPr="00A14BD3" w:rsidRDefault="0064434C" w:rsidP="0064434C">
      <w:pPr>
        <w:pStyle w:val="Bodynumbered-Level3"/>
        <w:spacing w:before="120" w:after="120"/>
        <w:ind w:hanging="644"/>
      </w:pPr>
      <w:bookmarkStart w:id="213" w:name="_Ref397579508"/>
      <w:bookmarkStart w:id="214" w:name="_Toc467773996"/>
      <w:bookmarkStart w:id="215" w:name="_Toc5193551"/>
      <w:bookmarkStart w:id="216" w:name="_Toc5265960"/>
      <w:r>
        <w:t>(b)</w:t>
      </w:r>
      <w:r>
        <w:tab/>
      </w:r>
      <w:r w:rsidRPr="00A14BD3">
        <w:t xml:space="preserve">There </w:t>
      </w:r>
      <w:r>
        <w:t>is</w:t>
      </w:r>
      <w:r w:rsidRPr="00A14BD3">
        <w:t xml:space="preserve"> sufficient mains AC power provision to support the requirement</w:t>
      </w:r>
      <w:r>
        <w:t xml:space="preserve">s of </w:t>
      </w:r>
      <w:r w:rsidRPr="00A14BD3">
        <w:t>additional MNO equipment</w:t>
      </w:r>
      <w:r>
        <w:t xml:space="preserve">. This </w:t>
      </w:r>
      <w:r w:rsidRPr="00232871">
        <w:t>section 5.3.7(b)</w:t>
      </w:r>
      <w:r>
        <w:t xml:space="preserve"> does not apply to solar powered sites, however, solar powered sites must have sufficient space for the additional</w:t>
      </w:r>
      <w:r w:rsidRPr="0087116F">
        <w:t xml:space="preserve"> MNO</w:t>
      </w:r>
      <w:r w:rsidRPr="00A207C8">
        <w:t>/s</w:t>
      </w:r>
      <w:r>
        <w:t xml:space="preserve"> to install additional solar panels</w:t>
      </w:r>
      <w:r w:rsidRPr="00A14BD3">
        <w:t>.</w:t>
      </w:r>
      <w:bookmarkEnd w:id="213"/>
    </w:p>
    <w:p w14:paraId="0BE68687" w14:textId="77777777" w:rsidR="0064434C" w:rsidRDefault="0064434C" w:rsidP="0064434C">
      <w:pPr>
        <w:pStyle w:val="Bodynumbered-Level3"/>
        <w:spacing w:before="120" w:after="120"/>
        <w:ind w:hanging="644"/>
      </w:pPr>
      <w:r>
        <w:t>(c)</w:t>
      </w:r>
      <w:r>
        <w:tab/>
        <w:t>There is a c</w:t>
      </w:r>
      <w:r w:rsidRPr="00A14BD3">
        <w:t xml:space="preserve">ommunications hut </w:t>
      </w:r>
      <w:r>
        <w:t>of sufficient size (</w:t>
      </w:r>
      <w:r w:rsidRPr="00A14BD3">
        <w:t xml:space="preserve">or space </w:t>
      </w:r>
      <w:r>
        <w:t xml:space="preserve">available </w:t>
      </w:r>
      <w:r w:rsidRPr="00A14BD3">
        <w:t xml:space="preserve">on the site for </w:t>
      </w:r>
      <w:r>
        <w:t>further</w:t>
      </w:r>
      <w:r w:rsidRPr="00A14BD3">
        <w:t xml:space="preserve"> huts</w:t>
      </w:r>
      <w:r>
        <w:t>) to</w:t>
      </w:r>
      <w:r w:rsidRPr="00A14BD3">
        <w:t xml:space="preserve"> accommodate additional MNO equipment</w:t>
      </w:r>
      <w:r>
        <w:t>.</w:t>
      </w:r>
    </w:p>
    <w:p w14:paraId="25C398A0" w14:textId="77777777" w:rsidR="0064434C" w:rsidRDefault="0064434C" w:rsidP="0064434C">
      <w:pPr>
        <w:pStyle w:val="Bodynumbered-Level1"/>
      </w:pPr>
      <w:r>
        <w:t>5.3.8</w:t>
      </w:r>
      <w:r>
        <w:tab/>
      </w:r>
      <w:r w:rsidRPr="00C31FBC">
        <w:t>MNOs interested in co-locating on</w:t>
      </w:r>
      <w:r>
        <w:t>, or co-building</w:t>
      </w:r>
      <w:r w:rsidRPr="00C31FBC">
        <w:t xml:space="preserve"> a </w:t>
      </w:r>
      <w:r>
        <w:t>Funded Solution</w:t>
      </w:r>
      <w:r w:rsidRPr="00C31FBC">
        <w:t xml:space="preserve"> will</w:t>
      </w:r>
      <w:r w:rsidRPr="00126A93">
        <w:t xml:space="preserve"> be required to express interest prior to</w:t>
      </w:r>
      <w:r w:rsidRPr="00C31FBC">
        <w:t xml:space="preserve"> the start of the detailed design stage for that </w:t>
      </w:r>
      <w:r>
        <w:t>Funded Solution</w:t>
      </w:r>
      <w:r w:rsidRPr="00126A93">
        <w:t>. All parties will be required</w:t>
      </w:r>
      <w:r w:rsidRPr="00C31FBC">
        <w:t xml:space="preserve"> to negotiate in good faith with each other in relation to the </w:t>
      </w:r>
      <w:r>
        <w:t>Funded Solution</w:t>
      </w:r>
      <w:r w:rsidRPr="00C31FBC">
        <w:t xml:space="preserve"> access and price terms</w:t>
      </w:r>
      <w:r>
        <w:t>,</w:t>
      </w:r>
      <w:r w:rsidRPr="00C31FBC">
        <w:t xml:space="preserve"> and enter into commercial arrangements. The capital contribution to be made by the co-locating parties in respect of a </w:t>
      </w:r>
      <w:r>
        <w:t>Funded Solution</w:t>
      </w:r>
      <w:r w:rsidRPr="00C31FBC">
        <w:t xml:space="preserve"> must, at least, equal the incremental cost</w:t>
      </w:r>
      <w:r>
        <w:t xml:space="preserve"> incurred by reason of provisioning co-location for that Funded Solution.</w:t>
      </w:r>
    </w:p>
    <w:p w14:paraId="5BC2F2B6" w14:textId="77777777" w:rsidR="0064434C" w:rsidRPr="00D62F90" w:rsidRDefault="0064434C" w:rsidP="0064434C">
      <w:pPr>
        <w:pStyle w:val="Bodynumbered-Level1"/>
      </w:pPr>
      <w:r>
        <w:t>5.3.9</w:t>
      </w:r>
      <w:r>
        <w:tab/>
      </w:r>
      <w:r w:rsidRPr="00D62F90">
        <w:t xml:space="preserve">In accordance with the dispute resolution process outlined at </w:t>
      </w:r>
      <w:r w:rsidRPr="00B64709">
        <w:t xml:space="preserve">section </w:t>
      </w:r>
      <w:r w:rsidRPr="00B64709">
        <w:fldChar w:fldCharType="begin"/>
      </w:r>
      <w:r w:rsidRPr="00B64709">
        <w:instrText xml:space="preserve"> REF _Ref383513493 \r \h  \* MERGEFORMAT </w:instrText>
      </w:r>
      <w:r w:rsidRPr="00B64709">
        <w:fldChar w:fldCharType="separate"/>
      </w:r>
      <w:r>
        <w:t>5.5</w:t>
      </w:r>
      <w:r w:rsidRPr="00B64709">
        <w:fldChar w:fldCharType="end"/>
      </w:r>
      <w:r w:rsidRPr="00D62F90">
        <w:t xml:space="preserve"> of these Guidelines, any disagreements regarding open access and co-location matters will be </w:t>
      </w:r>
      <w:r>
        <w:t>determined</w:t>
      </w:r>
      <w:r w:rsidRPr="00D62F90">
        <w:t xml:space="preserve"> by an independent third party, to be appointed at the MNOs/MNIPs’ shared cost, and in accordance with the dispute resolution process.</w:t>
      </w:r>
    </w:p>
    <w:p w14:paraId="60E61FFC" w14:textId="77777777" w:rsidR="0064434C" w:rsidRPr="009D1F9A" w:rsidRDefault="0064434C" w:rsidP="0064434C">
      <w:pPr>
        <w:pStyle w:val="Bodynumbered-Level1"/>
      </w:pPr>
      <w:r>
        <w:t>5.3.10</w:t>
      </w:r>
      <w:r>
        <w:tab/>
      </w:r>
      <w:r w:rsidRPr="009D1F9A">
        <w:t xml:space="preserve">Co-location negotiations for </w:t>
      </w:r>
      <w:r>
        <w:t>Funded Solution</w:t>
      </w:r>
      <w:r w:rsidRPr="009D1F9A">
        <w:t xml:space="preserve">s are to occur at the earliest possible opportunity after the successful sites are known and before the commencement of the detailed site design phase begins for an individual </w:t>
      </w:r>
      <w:r>
        <w:t>Funded Solution</w:t>
      </w:r>
      <w:r w:rsidRPr="009D1F9A">
        <w:t xml:space="preserve">. </w:t>
      </w:r>
    </w:p>
    <w:p w14:paraId="7765E7A7" w14:textId="77777777" w:rsidR="0064434C" w:rsidRPr="00D62F90" w:rsidRDefault="0064434C" w:rsidP="0064434C">
      <w:pPr>
        <w:pStyle w:val="Bodynumbered-Level1"/>
      </w:pPr>
      <w:r w:rsidRPr="009D1F9A">
        <w:t>5.3.</w:t>
      </w:r>
      <w:r>
        <w:t>11</w:t>
      </w:r>
      <w:r w:rsidRPr="009D1F9A">
        <w:tab/>
        <w:t xml:space="preserve">Following the process set out in this </w:t>
      </w:r>
      <w:r w:rsidRPr="00365F98">
        <w:t>section 5.3</w:t>
      </w:r>
      <w:r w:rsidRPr="009D1F9A">
        <w:t>, if it is ascertained that there is no interest in co</w:t>
      </w:r>
      <w:r w:rsidRPr="009D1F9A">
        <w:noBreakHyphen/>
      </w:r>
      <w:r>
        <w:t>location</w:t>
      </w:r>
      <w:r w:rsidRPr="009D1F9A">
        <w:t xml:space="preserve"> from another MNO or </w:t>
      </w:r>
      <w:r w:rsidRPr="009D1F9A">
        <w:rPr>
          <w:b/>
        </w:rPr>
        <w:t>NBN</w:t>
      </w:r>
      <w:r w:rsidRPr="009D1F9A">
        <w:t xml:space="preserve"> </w:t>
      </w:r>
      <w:r w:rsidRPr="009D1F9A">
        <w:rPr>
          <w:b/>
        </w:rPr>
        <w:t>Co</w:t>
      </w:r>
      <w:r w:rsidRPr="009D1F9A">
        <w:t xml:space="preserve">, the </w:t>
      </w:r>
      <w:r>
        <w:t>Grantee</w:t>
      </w:r>
      <w:r w:rsidRPr="009D1F9A">
        <w:t xml:space="preserve"> will not be required to design or build the site to allow for co</w:t>
      </w:r>
      <w:r w:rsidRPr="009D1F9A">
        <w:noBreakHyphen/>
        <w:t>location.</w:t>
      </w:r>
    </w:p>
    <w:p w14:paraId="1B74DB18" w14:textId="77777777" w:rsidR="0064434C" w:rsidRPr="0031276D" w:rsidRDefault="000A634F" w:rsidP="00B84B0D">
      <w:pPr>
        <w:pStyle w:val="Heading4"/>
      </w:pPr>
      <w:bookmarkStart w:id="217" w:name="_Toc386635488"/>
      <w:bookmarkStart w:id="218" w:name="_Toc393908566"/>
      <w:bookmarkStart w:id="219" w:name="_Toc405380431"/>
      <w:bookmarkStart w:id="220" w:name="_Toc441049684"/>
      <w:bookmarkStart w:id="221" w:name="_Toc497901425"/>
      <w:bookmarkStart w:id="222" w:name="_Toc156213042"/>
      <w:r>
        <w:lastRenderedPageBreak/>
        <w:t xml:space="preserve">5.4 </w:t>
      </w:r>
      <w:r w:rsidR="0064434C" w:rsidRPr="008770C0">
        <w:t>Backhaul access and pricing</w:t>
      </w:r>
      <w:bookmarkEnd w:id="217"/>
      <w:bookmarkEnd w:id="218"/>
      <w:bookmarkEnd w:id="219"/>
      <w:bookmarkEnd w:id="220"/>
      <w:bookmarkEnd w:id="221"/>
      <w:bookmarkEnd w:id="222"/>
    </w:p>
    <w:p w14:paraId="6D05F112" w14:textId="77777777" w:rsidR="0064434C" w:rsidRDefault="0064434C" w:rsidP="000A634F">
      <w:pPr>
        <w:pStyle w:val="Bodynumbered-Level1"/>
        <w:keepLines/>
      </w:pPr>
      <w:r>
        <w:t>5.4.1</w:t>
      </w:r>
      <w:r>
        <w:tab/>
        <w:t>Where an MNO selected to build a Funded Solution (</w:t>
      </w:r>
      <w:r w:rsidRPr="00A207C8">
        <w:t>the</w:t>
      </w:r>
      <w:r w:rsidRPr="00FC1816">
        <w:t xml:space="preserve"> </w:t>
      </w:r>
      <w:r w:rsidRPr="003D2F00">
        <w:rPr>
          <w:b/>
        </w:rPr>
        <w:t>Building</w:t>
      </w:r>
      <w:r w:rsidRPr="00FC1816">
        <w:t xml:space="preserve"> </w:t>
      </w:r>
      <w:r w:rsidRPr="003D2F00">
        <w:rPr>
          <w:b/>
        </w:rPr>
        <w:t>MNO</w:t>
      </w:r>
      <w:r>
        <w:t xml:space="preserve">) reaches an agreement under </w:t>
      </w:r>
      <w:r w:rsidRPr="00365F98">
        <w:t>section 5.3</w:t>
      </w:r>
      <w:r>
        <w:t xml:space="preserve"> of these Guidelines for another MNO (</w:t>
      </w:r>
      <w:r w:rsidRPr="00FC1816">
        <w:t xml:space="preserve">the </w:t>
      </w:r>
      <w:r w:rsidRPr="001C1BAC">
        <w:rPr>
          <w:b/>
        </w:rPr>
        <w:t>Co</w:t>
      </w:r>
      <w:r w:rsidRPr="001C1BAC">
        <w:rPr>
          <w:b/>
        </w:rPr>
        <w:noBreakHyphen/>
        <w:t>locating MNO</w:t>
      </w:r>
      <w:r>
        <w:t>) to co-locate on the Funded Solution, the Building MNO must offer backhaul to the Co-locating MNO if the Building MNO is in a position to do so (</w:t>
      </w:r>
      <w:r w:rsidRPr="00365F98">
        <w:t>see section 5.4.2).</w:t>
      </w:r>
    </w:p>
    <w:p w14:paraId="17FE3913" w14:textId="77777777" w:rsidR="0064434C" w:rsidRPr="005B1B5C" w:rsidRDefault="0064434C" w:rsidP="0064434C">
      <w:pPr>
        <w:pStyle w:val="Bodynumbered-Level1"/>
      </w:pPr>
      <w:r>
        <w:t>5.4.2</w:t>
      </w:r>
      <w:r>
        <w:tab/>
        <w:t>The Building MNO will be taken to be in a position to offer backhaul to the Co-locating MNO if the Building MNO owns or controls an optical fibre which connects the Funded Solution to the Building MNO’s network.</w:t>
      </w:r>
    </w:p>
    <w:p w14:paraId="0EE0595C" w14:textId="77777777" w:rsidR="0064434C" w:rsidRPr="005B1B5C" w:rsidRDefault="0064434C" w:rsidP="0064434C">
      <w:pPr>
        <w:pStyle w:val="Bodynumbered-Level1"/>
      </w:pPr>
      <w:r>
        <w:t>5.4.3</w:t>
      </w:r>
      <w:r>
        <w:tab/>
      </w:r>
      <w:r w:rsidRPr="006F0BB5">
        <w:t xml:space="preserve">For more remote locations where existing fibre or microwave backhaul (or a combination of both) is not available or readily accessible, satellite backhaul technology may be utilised to deliver the mobile services. If satellite backhaul technology is proposed for a </w:t>
      </w:r>
      <w:r>
        <w:t>Proposed Solution</w:t>
      </w:r>
      <w:r w:rsidRPr="006F0BB5">
        <w:t>, the applicant should clearly define the level of service to be provided.</w:t>
      </w:r>
    </w:p>
    <w:p w14:paraId="4FD0CE86" w14:textId="77777777" w:rsidR="0064434C" w:rsidRDefault="0064434C" w:rsidP="0064434C">
      <w:pPr>
        <w:pStyle w:val="Bodynumbered-Level1"/>
      </w:pPr>
      <w:r>
        <w:t>5.4.4</w:t>
      </w:r>
      <w:r>
        <w:tab/>
      </w:r>
      <w:r w:rsidRPr="00604E56">
        <w:t xml:space="preserve">The price at which the Building MNO </w:t>
      </w:r>
      <w:r>
        <w:t>offers</w:t>
      </w:r>
      <w:r w:rsidRPr="00604E56">
        <w:t xml:space="preserve"> backhaul to the Co-locating MNO must be more favourable than </w:t>
      </w:r>
      <w:r>
        <w:t>the regulated prices set under the ACCC Domestic Transmission Capacity Service Final Access Determination (DTCS FAD). For example, by offering a defined rent-free period or other discounting mechanism.</w:t>
      </w:r>
    </w:p>
    <w:p w14:paraId="188FDC0D" w14:textId="77777777" w:rsidR="0064434C" w:rsidRPr="00D979AD" w:rsidRDefault="0064434C" w:rsidP="0064434C">
      <w:pPr>
        <w:pStyle w:val="Bodynumbered-Level1"/>
      </w:pPr>
      <w:r>
        <w:t>5.4.5</w:t>
      </w:r>
      <w:r>
        <w:tab/>
        <w:t>Where a Building MNO chooses to provide backhaul to a Funded Solution using an optical fibre connection, it must ensure that it provides sufficient backhaul capacity, transmission and interfacing equipment to meet the backhaul requirements of any Co</w:t>
      </w:r>
      <w:r>
        <w:noBreakHyphen/>
        <w:t xml:space="preserve">locating MNO on the Funded Solution. </w:t>
      </w:r>
    </w:p>
    <w:p w14:paraId="61F98B61" w14:textId="77777777" w:rsidR="0064434C" w:rsidRPr="00AE6923" w:rsidRDefault="0064434C" w:rsidP="0064434C">
      <w:pPr>
        <w:pStyle w:val="Bodynumbered-Level1"/>
        <w:spacing w:after="120"/>
      </w:pPr>
      <w:r>
        <w:t>5.4.6</w:t>
      </w:r>
      <w:r>
        <w:tab/>
        <w:t>Where a B</w:t>
      </w:r>
      <w:r w:rsidRPr="00AE6923">
        <w:t xml:space="preserve">uilding MNO chooses to provide backhaul to a </w:t>
      </w:r>
      <w:r>
        <w:t>Funded Solution using a microwave connection, t</w:t>
      </w:r>
      <w:r w:rsidRPr="00AE6923">
        <w:t xml:space="preserve">he Building MNO </w:t>
      </w:r>
      <w:r>
        <w:t>must</w:t>
      </w:r>
      <w:r w:rsidRPr="00AE6923">
        <w:t xml:space="preserve"> provide backhaul </w:t>
      </w:r>
      <w:r>
        <w:t>services</w:t>
      </w:r>
      <w:r w:rsidRPr="00AE6923">
        <w:t xml:space="preserve"> to a Co</w:t>
      </w:r>
      <w:r>
        <w:noBreakHyphen/>
      </w:r>
      <w:r w:rsidRPr="00AE6923">
        <w:t>locating MNO over th</w:t>
      </w:r>
      <w:r>
        <w:t>at</w:t>
      </w:r>
      <w:r w:rsidRPr="00AE6923">
        <w:t xml:space="preserve"> microwave </w:t>
      </w:r>
      <w:r>
        <w:t>connection, unless:</w:t>
      </w:r>
    </w:p>
    <w:p w14:paraId="3D64EBF8" w14:textId="77777777" w:rsidR="0064434C" w:rsidRDefault="0064434C" w:rsidP="000A634F">
      <w:pPr>
        <w:pStyle w:val="Bodynumbered-Level3"/>
        <w:spacing w:before="120" w:after="120"/>
        <w:ind w:left="1417" w:hanging="567"/>
      </w:pPr>
      <w:r>
        <w:t>(a)</w:t>
      </w:r>
      <w:r>
        <w:tab/>
        <w:t>t</w:t>
      </w:r>
      <w:r w:rsidRPr="00FD112F">
        <w:t xml:space="preserve">he </w:t>
      </w:r>
      <w:r>
        <w:t>Funded Solution</w:t>
      </w:r>
      <w:r w:rsidRPr="00FD112F">
        <w:t xml:space="preserve"> </w:t>
      </w:r>
      <w:r>
        <w:t xml:space="preserve">is designed and built </w:t>
      </w:r>
      <w:r w:rsidRPr="00FD112F">
        <w:t xml:space="preserve">to allow </w:t>
      </w:r>
      <w:r>
        <w:t xml:space="preserve">the </w:t>
      </w:r>
      <w:r w:rsidRPr="00FD112F">
        <w:t xml:space="preserve">Co-locating MNO to </w:t>
      </w:r>
      <w:r>
        <w:t xml:space="preserve">install, operate and maintain </w:t>
      </w:r>
      <w:r w:rsidRPr="00FD112F">
        <w:t xml:space="preserve">its own microwave backhaul equipment on the </w:t>
      </w:r>
      <w:r>
        <w:t>Funded Solution; and</w:t>
      </w:r>
    </w:p>
    <w:p w14:paraId="63BD59DD" w14:textId="77777777" w:rsidR="0064434C" w:rsidRPr="00E07E3A" w:rsidRDefault="0064434C" w:rsidP="000A634F">
      <w:pPr>
        <w:pStyle w:val="Bodynumbered-Level3"/>
        <w:spacing w:before="120"/>
        <w:ind w:left="1417" w:hanging="567"/>
      </w:pPr>
      <w:r>
        <w:t>(b)</w:t>
      </w:r>
      <w:r>
        <w:tab/>
        <w:t xml:space="preserve">the </w:t>
      </w:r>
      <w:r w:rsidRPr="00FD112F">
        <w:t>Co-locating MNO</w:t>
      </w:r>
      <w:r>
        <w:t xml:space="preserve"> is permitted to </w:t>
      </w:r>
      <w:r w:rsidRPr="00FD112F">
        <w:t>install</w:t>
      </w:r>
      <w:r>
        <w:t>, operate and maintain</w:t>
      </w:r>
      <w:r w:rsidRPr="00FD112F">
        <w:t xml:space="preserve"> its own microwave backhaul equipment on the </w:t>
      </w:r>
      <w:r>
        <w:t>Funded Solution</w:t>
      </w:r>
      <w:r w:rsidRPr="00FD112F">
        <w:t>.</w:t>
      </w:r>
    </w:p>
    <w:p w14:paraId="722D6C24" w14:textId="77777777" w:rsidR="0064434C" w:rsidRPr="00604E56" w:rsidRDefault="0064434C" w:rsidP="0064434C">
      <w:pPr>
        <w:pStyle w:val="Bodynumbered-Level1"/>
      </w:pPr>
      <w:r>
        <w:t>5.4.7</w:t>
      </w:r>
      <w:r>
        <w:tab/>
      </w:r>
      <w:r w:rsidRPr="00604E56">
        <w:t>The terms and pricing of backhaul services provided by a Building MNO to a Co</w:t>
      </w:r>
      <w:r w:rsidRPr="00604E56">
        <w:noBreakHyphen/>
        <w:t xml:space="preserve">locating MNO must be negotiated commercially between the Building MNO and Co-locating MNO in accordance with the principles set out in this </w:t>
      </w:r>
      <w:r w:rsidRPr="00A248A3">
        <w:t>section 5.4.</w:t>
      </w:r>
      <w:r w:rsidRPr="00604E56">
        <w:t xml:space="preserve"> </w:t>
      </w:r>
    </w:p>
    <w:p w14:paraId="539AA0C1" w14:textId="77777777" w:rsidR="0064434C" w:rsidRPr="00604E56" w:rsidRDefault="00B84B0D" w:rsidP="00B84B0D">
      <w:pPr>
        <w:pStyle w:val="Heading4"/>
      </w:pPr>
      <w:bookmarkStart w:id="223" w:name="_Toc434092348"/>
      <w:bookmarkStart w:id="224" w:name="_Toc434093358"/>
      <w:bookmarkStart w:id="225" w:name="_Toc434093500"/>
      <w:bookmarkStart w:id="226" w:name="_Toc434228345"/>
      <w:bookmarkStart w:id="227" w:name="_Toc434841035"/>
      <w:bookmarkStart w:id="228" w:name="_Toc435080375"/>
      <w:bookmarkStart w:id="229" w:name="_Toc397462767"/>
      <w:bookmarkStart w:id="230" w:name="_Toc397501039"/>
      <w:bookmarkStart w:id="231" w:name="_Toc397501516"/>
      <w:bookmarkStart w:id="232" w:name="_Toc397462768"/>
      <w:bookmarkStart w:id="233" w:name="_Toc397501040"/>
      <w:bookmarkStart w:id="234" w:name="_Toc397501517"/>
      <w:bookmarkStart w:id="235" w:name="_Toc397462769"/>
      <w:bookmarkStart w:id="236" w:name="_Toc397501041"/>
      <w:bookmarkStart w:id="237" w:name="_Toc397501518"/>
      <w:bookmarkStart w:id="238" w:name="_Toc397462770"/>
      <w:bookmarkStart w:id="239" w:name="_Toc397501042"/>
      <w:bookmarkStart w:id="240" w:name="_Toc397501519"/>
      <w:bookmarkStart w:id="241" w:name="_Ref383513493"/>
      <w:bookmarkStart w:id="242" w:name="_Toc386635489"/>
      <w:bookmarkStart w:id="243" w:name="_Toc393908567"/>
      <w:bookmarkStart w:id="244" w:name="_Toc405380432"/>
      <w:bookmarkStart w:id="245" w:name="_Toc441049685"/>
      <w:bookmarkStart w:id="246" w:name="_Toc497901426"/>
      <w:bookmarkStart w:id="247" w:name="_Toc156213043"/>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 xml:space="preserve">5.5 </w:t>
      </w:r>
      <w:r w:rsidR="0064434C" w:rsidRPr="00604E56">
        <w:t>Dispute resolution</w:t>
      </w:r>
      <w:bookmarkEnd w:id="241"/>
      <w:bookmarkEnd w:id="242"/>
      <w:bookmarkEnd w:id="243"/>
      <w:bookmarkEnd w:id="244"/>
      <w:bookmarkEnd w:id="245"/>
      <w:bookmarkEnd w:id="246"/>
      <w:bookmarkEnd w:id="247"/>
    </w:p>
    <w:p w14:paraId="6E15F9BB" w14:textId="77777777" w:rsidR="0064434C" w:rsidRPr="00604E56" w:rsidRDefault="0064434C" w:rsidP="0064434C">
      <w:pPr>
        <w:pStyle w:val="Bodynumbered-Level1"/>
      </w:pPr>
      <w:r w:rsidRPr="00604E56">
        <w:t>5.</w:t>
      </w:r>
      <w:r>
        <w:t>5</w:t>
      </w:r>
      <w:r w:rsidRPr="00604E56">
        <w:t>.1</w:t>
      </w:r>
      <w:r w:rsidRPr="00604E56">
        <w:tab/>
        <w:t xml:space="preserve">MNO disputes in relation to co-location and backhaul </w:t>
      </w:r>
      <w:r>
        <w:t xml:space="preserve">for a Funded Solution </w:t>
      </w:r>
      <w:r w:rsidRPr="00604E56">
        <w:t>will be referred for determination to a</w:t>
      </w:r>
      <w:r>
        <w:t>n independent</w:t>
      </w:r>
      <w:r w:rsidRPr="00604E56">
        <w:t xml:space="preserve"> </w:t>
      </w:r>
      <w:proofErr w:type="gramStart"/>
      <w:r w:rsidRPr="00604E56">
        <w:t>third party</w:t>
      </w:r>
      <w:proofErr w:type="gramEnd"/>
      <w:r w:rsidRPr="00604E56">
        <w:t xml:space="preserve"> expert. MNOs will be given the opportunity to appoint, at their own shared cost, an independent third party to determine any disputes that may arise in relation to </w:t>
      </w:r>
      <w:r>
        <w:t>Funded Solution</w:t>
      </w:r>
      <w:r w:rsidRPr="00604E56">
        <w:t>s (for example</w:t>
      </w:r>
      <w:r>
        <w:t>,</w:t>
      </w:r>
      <w:r w:rsidRPr="00604E56">
        <w:t xml:space="preserve"> disputes related to technical or pricing matters). </w:t>
      </w:r>
    </w:p>
    <w:p w14:paraId="5C1A712B" w14:textId="77777777" w:rsidR="0064434C" w:rsidRPr="0031276D" w:rsidRDefault="0064434C" w:rsidP="0064434C">
      <w:pPr>
        <w:pStyle w:val="Bodynumbered-Level1"/>
      </w:pPr>
      <w:r w:rsidRPr="00604E56">
        <w:t>5.</w:t>
      </w:r>
      <w:r>
        <w:t>5</w:t>
      </w:r>
      <w:r w:rsidRPr="00604E56">
        <w:t>.2</w:t>
      </w:r>
      <w:r w:rsidRPr="00604E56">
        <w:tab/>
        <w:t xml:space="preserve">The Building MNO and </w:t>
      </w:r>
      <w:r>
        <w:t xml:space="preserve">Co-locating MNO </w:t>
      </w:r>
      <w:r w:rsidRPr="00604E56">
        <w:t xml:space="preserve">will be bound by the determination made by the independent </w:t>
      </w:r>
      <w:proofErr w:type="gramStart"/>
      <w:r w:rsidRPr="00604E56">
        <w:t>third party</w:t>
      </w:r>
      <w:proofErr w:type="gramEnd"/>
      <w:r w:rsidRPr="00604E56">
        <w:t xml:space="preserve"> expert</w:t>
      </w:r>
      <w:r>
        <w:t>.</w:t>
      </w:r>
      <w:r w:rsidRPr="00604E56">
        <w:t xml:space="preserve"> </w:t>
      </w:r>
    </w:p>
    <w:p w14:paraId="7D7470BC" w14:textId="77777777" w:rsidR="0064434C" w:rsidRPr="008770C0" w:rsidRDefault="00B84B0D" w:rsidP="00B84B0D">
      <w:pPr>
        <w:pStyle w:val="Heading3"/>
      </w:pPr>
      <w:bookmarkStart w:id="248" w:name="_Ref389773770"/>
      <w:bookmarkStart w:id="249" w:name="_Toc393908568"/>
      <w:bookmarkStart w:id="250" w:name="_Toc405380433"/>
      <w:bookmarkStart w:id="251" w:name="_Toc441049686"/>
      <w:bookmarkStart w:id="252" w:name="_Toc497901427"/>
      <w:bookmarkStart w:id="253" w:name="_Toc156213044"/>
      <w:r>
        <w:lastRenderedPageBreak/>
        <w:t xml:space="preserve">6. </w:t>
      </w:r>
      <w:r w:rsidR="0064434C" w:rsidRPr="008770C0">
        <w:t xml:space="preserve">Additional </w:t>
      </w:r>
      <w:bookmarkEnd w:id="248"/>
      <w:r w:rsidR="0064434C">
        <w:t>s</w:t>
      </w:r>
      <w:r w:rsidR="0064434C" w:rsidRPr="008770C0">
        <w:t>ervices</w:t>
      </w:r>
      <w:bookmarkEnd w:id="249"/>
      <w:bookmarkEnd w:id="250"/>
      <w:bookmarkEnd w:id="251"/>
      <w:bookmarkEnd w:id="252"/>
      <w:bookmarkEnd w:id="253"/>
    </w:p>
    <w:p w14:paraId="7715CEA2" w14:textId="77777777" w:rsidR="0064434C" w:rsidRPr="00B84B0D" w:rsidRDefault="00B84B0D" w:rsidP="00B84B0D">
      <w:pPr>
        <w:pStyle w:val="Heading4"/>
      </w:pPr>
      <w:bookmarkStart w:id="254" w:name="_Toc434841038"/>
      <w:bookmarkStart w:id="255" w:name="_Toc435080378"/>
      <w:bookmarkStart w:id="256" w:name="_Toc441049687"/>
      <w:bookmarkStart w:id="257" w:name="_Toc497901428"/>
      <w:bookmarkStart w:id="258" w:name="_Toc156213045"/>
      <w:bookmarkEnd w:id="254"/>
      <w:bookmarkEnd w:id="255"/>
      <w:r w:rsidRPr="00B84B0D">
        <w:t xml:space="preserve">6.1 </w:t>
      </w:r>
      <w:r w:rsidR="0064434C" w:rsidRPr="00B84B0D">
        <w:t>Roaming services</w:t>
      </w:r>
      <w:bookmarkStart w:id="259" w:name="_Toc491696409"/>
      <w:bookmarkStart w:id="260" w:name="_Toc491856708"/>
      <w:bookmarkStart w:id="261" w:name="_Toc492453748"/>
      <w:bookmarkStart w:id="262" w:name="_Toc492458166"/>
      <w:bookmarkStart w:id="263" w:name="_Toc492458167"/>
      <w:bookmarkEnd w:id="256"/>
      <w:bookmarkEnd w:id="257"/>
      <w:bookmarkEnd w:id="259"/>
      <w:bookmarkEnd w:id="260"/>
      <w:bookmarkEnd w:id="261"/>
      <w:bookmarkEnd w:id="262"/>
      <w:bookmarkEnd w:id="263"/>
      <w:bookmarkEnd w:id="258"/>
    </w:p>
    <w:p w14:paraId="1AA52440" w14:textId="77777777" w:rsidR="0064434C" w:rsidRDefault="0064434C" w:rsidP="0064434C">
      <w:pPr>
        <w:pStyle w:val="Bodynumbered-Level1"/>
      </w:pPr>
      <w:r>
        <w:t>6.1.1</w:t>
      </w:r>
      <w:r>
        <w:tab/>
        <w:t>Though no credit will be given under the assessment criteria, applicants are able to offer roaming from base stations funded under the Program.</w:t>
      </w:r>
    </w:p>
    <w:p w14:paraId="4C6C676B" w14:textId="5AD1B2C0" w:rsidR="0064434C" w:rsidRDefault="0064434C" w:rsidP="00C41877">
      <w:pPr>
        <w:pStyle w:val="Heading4"/>
        <w:numPr>
          <w:ilvl w:val="1"/>
          <w:numId w:val="52"/>
        </w:numPr>
      </w:pPr>
      <w:bookmarkStart w:id="264" w:name="_Toc497901429"/>
      <w:bookmarkStart w:id="265" w:name="_Toc156213046"/>
      <w:r>
        <w:t>Back-up Power</w:t>
      </w:r>
      <w:bookmarkEnd w:id="264"/>
      <w:bookmarkEnd w:id="265"/>
    </w:p>
    <w:p w14:paraId="75C8483D" w14:textId="65701187" w:rsidR="0064434C" w:rsidRPr="00BF670F" w:rsidRDefault="00C41877" w:rsidP="00C41877">
      <w:pPr>
        <w:pStyle w:val="Bodynumbered-Level1"/>
        <w:spacing w:before="240" w:after="240"/>
      </w:pPr>
      <w:r>
        <w:t>6.2.1</w:t>
      </w:r>
      <w:r>
        <w:tab/>
      </w:r>
      <w:r w:rsidR="0064434C" w:rsidRPr="0020546C">
        <w:t xml:space="preserve">All </w:t>
      </w:r>
      <w:proofErr w:type="spellStart"/>
      <w:r w:rsidR="0064434C" w:rsidRPr="0020546C">
        <w:t>Macrocell</w:t>
      </w:r>
      <w:proofErr w:type="spellEnd"/>
      <w:r w:rsidR="0064434C" w:rsidRPr="0020546C">
        <w:t xml:space="preserve"> and Small Cell solutions must have an auxiliary back-up power supply, which provides back-up power for a minimum of three hours in the event of the loss of external power to the site.</w:t>
      </w:r>
    </w:p>
    <w:p w14:paraId="1F883A3B" w14:textId="5563EFCE" w:rsidR="0064434C" w:rsidRPr="00BF670F" w:rsidRDefault="0064434C" w:rsidP="00C41877">
      <w:pPr>
        <w:pStyle w:val="Bodynumbered-Level1"/>
        <w:numPr>
          <w:ilvl w:val="2"/>
          <w:numId w:val="53"/>
        </w:numPr>
        <w:spacing w:before="240" w:after="240"/>
      </w:pPr>
      <w:r w:rsidRPr="0020546C">
        <w:t xml:space="preserve">Applicants must provide the cost for each </w:t>
      </w:r>
      <w:proofErr w:type="spellStart"/>
      <w:r w:rsidRPr="0020546C">
        <w:t>Macrocell</w:t>
      </w:r>
      <w:proofErr w:type="spellEnd"/>
      <w:r w:rsidRPr="0020546C">
        <w:t xml:space="preserve"> or Small Cell for which funding is being sought of an additional nine hours of auxiliary back-up power, i.e. a total of 12 hours of back-up power. Funding may be provided to one or more Funded Solutions for the additional nine hours of auxiliary back-up power supply.</w:t>
      </w:r>
    </w:p>
    <w:p w14:paraId="482EBCD4" w14:textId="77777777" w:rsidR="0064434C" w:rsidRPr="00D017F1" w:rsidRDefault="00B01684" w:rsidP="00B01684">
      <w:pPr>
        <w:pStyle w:val="Heading3"/>
      </w:pPr>
      <w:bookmarkStart w:id="266" w:name="_Toc397501522"/>
      <w:bookmarkStart w:id="267" w:name="_Toc393908569"/>
      <w:bookmarkStart w:id="268" w:name="_Toc405380434"/>
      <w:bookmarkStart w:id="269" w:name="_Toc441049688"/>
      <w:bookmarkStart w:id="270" w:name="_Toc497901430"/>
      <w:bookmarkStart w:id="271" w:name="_Toc156213047"/>
      <w:bookmarkEnd w:id="266"/>
      <w:r>
        <w:t xml:space="preserve">7. </w:t>
      </w:r>
      <w:r w:rsidR="0064434C" w:rsidRPr="00346DFC">
        <w:t>Other considerations</w:t>
      </w:r>
      <w:bookmarkEnd w:id="267"/>
      <w:bookmarkEnd w:id="268"/>
      <w:bookmarkEnd w:id="269"/>
      <w:bookmarkEnd w:id="270"/>
      <w:bookmarkEnd w:id="271"/>
    </w:p>
    <w:p w14:paraId="440EF139" w14:textId="77777777" w:rsidR="0064434C" w:rsidRPr="0031276D" w:rsidRDefault="00B01684" w:rsidP="00B01684">
      <w:pPr>
        <w:pStyle w:val="Heading4"/>
      </w:pPr>
      <w:bookmarkStart w:id="272" w:name="_Toc434092354"/>
      <w:bookmarkStart w:id="273" w:name="_Toc434093364"/>
      <w:bookmarkStart w:id="274" w:name="_Toc434093506"/>
      <w:bookmarkStart w:id="275" w:name="_Toc434228351"/>
      <w:bookmarkStart w:id="276" w:name="_Toc434841042"/>
      <w:bookmarkStart w:id="277" w:name="_Toc435080382"/>
      <w:bookmarkStart w:id="278" w:name="_Toc434092355"/>
      <w:bookmarkStart w:id="279" w:name="_Toc434093365"/>
      <w:bookmarkStart w:id="280" w:name="_Toc434093507"/>
      <w:bookmarkStart w:id="281" w:name="_Toc434228352"/>
      <w:bookmarkStart w:id="282" w:name="_Toc434841043"/>
      <w:bookmarkStart w:id="283" w:name="_Toc435080383"/>
      <w:bookmarkStart w:id="284" w:name="_Toc434092356"/>
      <w:bookmarkStart w:id="285" w:name="_Toc434093366"/>
      <w:bookmarkStart w:id="286" w:name="_Toc434093508"/>
      <w:bookmarkStart w:id="287" w:name="_Toc434228353"/>
      <w:bookmarkStart w:id="288" w:name="_Toc434841044"/>
      <w:bookmarkStart w:id="289" w:name="_Toc435080384"/>
      <w:bookmarkStart w:id="290" w:name="_Toc434092357"/>
      <w:bookmarkStart w:id="291" w:name="_Toc434093367"/>
      <w:bookmarkStart w:id="292" w:name="_Toc434093509"/>
      <w:bookmarkStart w:id="293" w:name="_Toc434228354"/>
      <w:bookmarkStart w:id="294" w:name="_Toc434841045"/>
      <w:bookmarkStart w:id="295" w:name="_Toc435080385"/>
      <w:bookmarkStart w:id="296" w:name="_Toc434092364"/>
      <w:bookmarkStart w:id="297" w:name="_Toc434093374"/>
      <w:bookmarkStart w:id="298" w:name="_Toc434093516"/>
      <w:bookmarkStart w:id="299" w:name="_Toc434228361"/>
      <w:bookmarkStart w:id="300" w:name="_Toc434841052"/>
      <w:bookmarkStart w:id="301" w:name="_Toc435080392"/>
      <w:bookmarkStart w:id="302" w:name="_Toc434092365"/>
      <w:bookmarkStart w:id="303" w:name="_Toc434093375"/>
      <w:bookmarkStart w:id="304" w:name="_Toc434093517"/>
      <w:bookmarkStart w:id="305" w:name="_Toc434228362"/>
      <w:bookmarkStart w:id="306" w:name="_Toc434841053"/>
      <w:bookmarkStart w:id="307" w:name="_Toc435080393"/>
      <w:bookmarkStart w:id="308" w:name="_Toc434092366"/>
      <w:bookmarkStart w:id="309" w:name="_Toc434093376"/>
      <w:bookmarkStart w:id="310" w:name="_Toc434093518"/>
      <w:bookmarkStart w:id="311" w:name="_Toc434228363"/>
      <w:bookmarkStart w:id="312" w:name="_Toc434841054"/>
      <w:bookmarkStart w:id="313" w:name="_Toc435080394"/>
      <w:bookmarkStart w:id="314" w:name="_Toc434092367"/>
      <w:bookmarkStart w:id="315" w:name="_Toc434093377"/>
      <w:bookmarkStart w:id="316" w:name="_Toc434093519"/>
      <w:bookmarkStart w:id="317" w:name="_Toc434228364"/>
      <w:bookmarkStart w:id="318" w:name="_Toc434841055"/>
      <w:bookmarkStart w:id="319" w:name="_Toc435080395"/>
      <w:bookmarkStart w:id="320" w:name="_Toc491696412"/>
      <w:bookmarkStart w:id="321" w:name="_Toc491856711"/>
      <w:bookmarkStart w:id="322" w:name="_Toc492453751"/>
      <w:bookmarkStart w:id="323" w:name="_Toc492458169"/>
      <w:bookmarkStart w:id="324" w:name="_Toc491696413"/>
      <w:bookmarkStart w:id="325" w:name="_Toc491856712"/>
      <w:bookmarkStart w:id="326" w:name="_Toc492453752"/>
      <w:bookmarkStart w:id="327" w:name="_Toc492458170"/>
      <w:bookmarkStart w:id="328" w:name="_Toc491696414"/>
      <w:bookmarkStart w:id="329" w:name="_Toc491856713"/>
      <w:bookmarkStart w:id="330" w:name="_Toc492453753"/>
      <w:bookmarkStart w:id="331" w:name="_Toc492458171"/>
      <w:bookmarkStart w:id="332" w:name="_Toc491696415"/>
      <w:bookmarkStart w:id="333" w:name="_Toc491856714"/>
      <w:bookmarkStart w:id="334" w:name="_Toc492453754"/>
      <w:bookmarkStart w:id="335" w:name="_Toc492458172"/>
      <w:bookmarkStart w:id="336" w:name="_Toc396747101"/>
      <w:bookmarkStart w:id="337" w:name="_Toc397462776"/>
      <w:bookmarkStart w:id="338" w:name="_Toc397501048"/>
      <w:bookmarkStart w:id="339" w:name="_Toc397501526"/>
      <w:bookmarkStart w:id="340" w:name="_Toc387156034"/>
      <w:bookmarkStart w:id="341" w:name="_Toc387156087"/>
      <w:bookmarkStart w:id="342" w:name="_Toc386620963"/>
      <w:bookmarkStart w:id="343" w:name="_Toc386635491"/>
      <w:bookmarkStart w:id="344" w:name="_Toc393908572"/>
      <w:bookmarkStart w:id="345" w:name="_Toc405380437"/>
      <w:bookmarkStart w:id="346" w:name="_Toc441049690"/>
      <w:bookmarkStart w:id="347" w:name="_Toc497901431"/>
      <w:bookmarkStart w:id="348" w:name="_Toc156213048"/>
      <w:bookmarkStart w:id="349" w:name="_Toc378930083"/>
      <w:bookmarkStart w:id="350" w:name="_Toc378930207"/>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t xml:space="preserve">7.1 </w:t>
      </w:r>
      <w:r w:rsidR="0064434C" w:rsidRPr="00E04541">
        <w:t>Utilising NBN Co’s fixed wireless network</w:t>
      </w:r>
      <w:bookmarkEnd w:id="343"/>
      <w:bookmarkEnd w:id="344"/>
      <w:bookmarkEnd w:id="345"/>
      <w:bookmarkEnd w:id="346"/>
      <w:bookmarkEnd w:id="347"/>
      <w:bookmarkEnd w:id="348"/>
    </w:p>
    <w:p w14:paraId="0C48FA3E" w14:textId="77777777" w:rsidR="0064434C" w:rsidRPr="00FC4691" w:rsidRDefault="0064434C" w:rsidP="0064434C">
      <w:pPr>
        <w:pStyle w:val="Bodynumbered-Level1"/>
        <w:spacing w:after="120"/>
      </w:pPr>
      <w:r>
        <w:t>7.1.1</w:t>
      </w:r>
      <w:r>
        <w:tab/>
      </w:r>
      <w:r w:rsidRPr="00FC4691">
        <w:t>In some circumstances</w:t>
      </w:r>
      <w:r>
        <w:t>,</w:t>
      </w:r>
      <w:r w:rsidRPr="00FC4691">
        <w:t xml:space="preserve"> actual or planned </w:t>
      </w:r>
      <w:r w:rsidRPr="004D1954">
        <w:rPr>
          <w:b/>
        </w:rPr>
        <w:t>National Broadband Network (NBN)</w:t>
      </w:r>
      <w:r w:rsidRPr="00FC4691">
        <w:t xml:space="preserve"> facilities may offer applicants an opportunity to provide coverage in a location </w:t>
      </w:r>
      <w:r>
        <w:t xml:space="preserve">at lower cost </w:t>
      </w:r>
      <w:r w:rsidRPr="00FC4691">
        <w:t>than would otherwise be the case, including:</w:t>
      </w:r>
    </w:p>
    <w:p w14:paraId="66B4CA87" w14:textId="77777777" w:rsidR="0064434C" w:rsidRPr="008E3258" w:rsidRDefault="0064434C" w:rsidP="0064434C">
      <w:pPr>
        <w:pStyle w:val="Bodynumbered-Level3"/>
        <w:spacing w:before="120" w:after="120"/>
        <w:ind w:left="1276" w:hanging="567"/>
        <w:rPr>
          <w:rFonts w:cs="Calibri"/>
        </w:rPr>
      </w:pPr>
      <w:r>
        <w:t>(a)</w:t>
      </w:r>
      <w:r>
        <w:tab/>
      </w:r>
      <w:r w:rsidRPr="009032C5">
        <w:t xml:space="preserve">where </w:t>
      </w:r>
      <w:r w:rsidRPr="00E92068">
        <w:t>NBN Co</w:t>
      </w:r>
      <w:r w:rsidRPr="009032C5">
        <w:t xml:space="preserve"> has already built a fixed wireless base station in or near an area that has been identified as l</w:t>
      </w:r>
      <w:r>
        <w:rPr>
          <w:rFonts w:cs="Calibri"/>
        </w:rPr>
        <w:t>acking adequate mobile coverage;</w:t>
      </w:r>
    </w:p>
    <w:p w14:paraId="40CA8B1D" w14:textId="77777777" w:rsidR="0064434C" w:rsidRPr="008E3258" w:rsidRDefault="0064434C" w:rsidP="0064434C">
      <w:pPr>
        <w:pStyle w:val="Bodynumbered-Level3"/>
        <w:spacing w:before="120" w:after="120"/>
        <w:ind w:left="1276" w:hanging="567"/>
        <w:rPr>
          <w:rFonts w:cs="Calibri"/>
        </w:rPr>
      </w:pPr>
      <w:r>
        <w:t>(b)</w:t>
      </w:r>
      <w:r>
        <w:tab/>
      </w:r>
      <w:r w:rsidRPr="009032C5">
        <w:t xml:space="preserve">where </w:t>
      </w:r>
      <w:r w:rsidRPr="00E92068">
        <w:t>NBN Co</w:t>
      </w:r>
      <w:r w:rsidRPr="009032C5">
        <w:t xml:space="preserve"> can provide backhaul on a commercial basis that would reduce the cost of deploying a </w:t>
      </w:r>
      <w:r>
        <w:t>Funded Solution</w:t>
      </w:r>
      <w:r w:rsidRPr="009032C5">
        <w:t xml:space="preserve"> in an area that has been identified as lacking adequate mobile coverag</w:t>
      </w:r>
      <w:r>
        <w:rPr>
          <w:rFonts w:cs="Calibri"/>
        </w:rPr>
        <w:t>e;</w:t>
      </w:r>
    </w:p>
    <w:p w14:paraId="3547AADB" w14:textId="77777777" w:rsidR="0064434C" w:rsidRPr="003F0E35" w:rsidRDefault="0064434C" w:rsidP="0064434C">
      <w:pPr>
        <w:pStyle w:val="Bodynumbered-Level3"/>
        <w:spacing w:before="120" w:after="120"/>
        <w:ind w:left="1276" w:hanging="567"/>
        <w:rPr>
          <w:rFonts w:cs="Calibri"/>
        </w:rPr>
      </w:pPr>
      <w:r>
        <w:t>(c)</w:t>
      </w:r>
      <w:r>
        <w:tab/>
      </w:r>
      <w:r w:rsidRPr="009032C5">
        <w:t xml:space="preserve">where </w:t>
      </w:r>
      <w:r w:rsidRPr="00E92068">
        <w:t>NBN Co</w:t>
      </w:r>
      <w:r w:rsidRPr="009032C5">
        <w:t xml:space="preserve"> has already acquired land for a fixed wireless base station in an area that has been identified as la</w:t>
      </w:r>
      <w:r>
        <w:rPr>
          <w:rFonts w:cs="Calibri"/>
        </w:rPr>
        <w:t xml:space="preserve">cking adequate mobile coverage; </w:t>
      </w:r>
      <w:r w:rsidRPr="003F0E35">
        <w:rPr>
          <w:rFonts w:cs="Calibri"/>
        </w:rPr>
        <w:t>and</w:t>
      </w:r>
    </w:p>
    <w:p w14:paraId="19726CCD" w14:textId="77777777" w:rsidR="0064434C" w:rsidRPr="009032C5" w:rsidRDefault="0064434C" w:rsidP="0064434C">
      <w:pPr>
        <w:pStyle w:val="Bodynumbered-Level3"/>
        <w:spacing w:before="120"/>
        <w:ind w:left="1276" w:hanging="567"/>
      </w:pPr>
      <w:r>
        <w:t>(d)</w:t>
      </w:r>
      <w:r>
        <w:tab/>
      </w:r>
      <w:r w:rsidRPr="009032C5">
        <w:t xml:space="preserve">where </w:t>
      </w:r>
      <w:r w:rsidRPr="00E92068">
        <w:t>NBN Co</w:t>
      </w:r>
      <w:r w:rsidRPr="009032C5">
        <w:t xml:space="preserve"> has plans for a fixed wireless base station in an area that has been identified as lacking adequate mobile coverage.</w:t>
      </w:r>
    </w:p>
    <w:p w14:paraId="55C4B4C3" w14:textId="77777777" w:rsidR="0064434C" w:rsidRPr="00FC4691" w:rsidRDefault="0064434C" w:rsidP="0064434C">
      <w:pPr>
        <w:pStyle w:val="Bodynumbered-Level1"/>
      </w:pPr>
      <w:r>
        <w:t>7.1.2</w:t>
      </w:r>
      <w:r>
        <w:tab/>
      </w:r>
      <w:r w:rsidRPr="00FC4691">
        <w:t xml:space="preserve">Applicants are strongly encouraged to consult with </w:t>
      </w:r>
      <w:r w:rsidRPr="00E92068">
        <w:t>NBN Co</w:t>
      </w:r>
      <w:r w:rsidRPr="00FC4691">
        <w:t xml:space="preserve"> to identify all possible opportunities to achieve mutually beneficial outcomes via the</w:t>
      </w:r>
      <w:r>
        <w:t xml:space="preserve"> use of </w:t>
      </w:r>
      <w:r w:rsidRPr="00E92068">
        <w:t>NBN Co</w:t>
      </w:r>
      <w:r>
        <w:t xml:space="preserve"> network facilities.</w:t>
      </w:r>
    </w:p>
    <w:p w14:paraId="765770D5" w14:textId="77777777" w:rsidR="0064434C" w:rsidRPr="00FC4691" w:rsidRDefault="0064434C" w:rsidP="0064434C">
      <w:pPr>
        <w:pStyle w:val="Bodynumbered-Level1"/>
      </w:pPr>
      <w:r>
        <w:t>7.1.3</w:t>
      </w:r>
      <w:r>
        <w:tab/>
      </w:r>
      <w:r w:rsidRPr="00FC4691">
        <w:t xml:space="preserve">Should mutually suitable locations be identified, the potential applicant (or applicants) should reach </w:t>
      </w:r>
      <w:r>
        <w:t xml:space="preserve">an </w:t>
      </w:r>
      <w:r w:rsidRPr="00FC4691">
        <w:t xml:space="preserve">agreement with </w:t>
      </w:r>
      <w:r w:rsidRPr="00E92068">
        <w:t>NBN Co</w:t>
      </w:r>
      <w:r w:rsidRPr="00FC4691">
        <w:t xml:space="preserve"> on the planned use of NBN facilities. Such an arrangement should be specified </w:t>
      </w:r>
      <w:r>
        <w:t>in the application for funding.</w:t>
      </w:r>
    </w:p>
    <w:p w14:paraId="13908CF9" w14:textId="77777777" w:rsidR="0064434C" w:rsidRDefault="0064434C" w:rsidP="0064434C">
      <w:pPr>
        <w:pStyle w:val="Bodynumbered-Level1"/>
      </w:pPr>
      <w:r>
        <w:t>7.1.</w:t>
      </w:r>
      <w:r>
        <w:tab/>
      </w:r>
      <w:r w:rsidRPr="00FC4691">
        <w:t xml:space="preserve">Alternatively, where the </w:t>
      </w:r>
      <w:r>
        <w:t>Proposed Solution</w:t>
      </w:r>
      <w:r w:rsidRPr="00FC4691">
        <w:t xml:space="preserve"> is in an area for which </w:t>
      </w:r>
      <w:r w:rsidRPr="00E92068">
        <w:t>NBN Co</w:t>
      </w:r>
      <w:r w:rsidRPr="00FC4691">
        <w:t xml:space="preserve"> has plans to construct network facilities (but has not yet) such as a base station or fibre optic or microwave </w:t>
      </w:r>
      <w:r>
        <w:t>b</w:t>
      </w:r>
      <w:r w:rsidRPr="00FC4691">
        <w:t xml:space="preserve">ackhaul, the applicant and </w:t>
      </w:r>
      <w:r w:rsidRPr="00E92068">
        <w:t>NBN Co</w:t>
      </w:r>
      <w:r w:rsidRPr="00FC4691">
        <w:t xml:space="preserve"> may choose to specify that the application include a co</w:t>
      </w:r>
      <w:r>
        <w:noBreakHyphen/>
      </w:r>
      <w:r w:rsidRPr="00FC4691">
        <w:t xml:space="preserve">contribution from </w:t>
      </w:r>
      <w:r w:rsidRPr="00E92068">
        <w:t>NBN Co</w:t>
      </w:r>
      <w:r w:rsidRPr="00FC4691">
        <w:t xml:space="preserve"> (on the basis that the </w:t>
      </w:r>
      <w:r>
        <w:t>Proposed Solution</w:t>
      </w:r>
      <w:r w:rsidRPr="00FC4691">
        <w:t xml:space="preserve"> to be built will be of use to both </w:t>
      </w:r>
      <w:r w:rsidRPr="00E92068">
        <w:t>NBN Co</w:t>
      </w:r>
      <w:r w:rsidRPr="00FC4691">
        <w:t xml:space="preserve"> and the </w:t>
      </w:r>
      <w:r>
        <w:t>applicant</w:t>
      </w:r>
      <w:r w:rsidRPr="00FC4691">
        <w:t>).</w:t>
      </w:r>
    </w:p>
    <w:bookmarkEnd w:id="349"/>
    <w:bookmarkEnd w:id="350"/>
    <w:p w14:paraId="2B7CEE05" w14:textId="77777777" w:rsidR="0064434C" w:rsidRPr="00150CF3" w:rsidRDefault="0064434C" w:rsidP="00226B4F">
      <w:pPr>
        <w:pStyle w:val="Heading2"/>
      </w:pPr>
      <w:r w:rsidRPr="00FC4691">
        <w:br w:type="page"/>
      </w:r>
      <w:bookmarkStart w:id="351" w:name="_Toc441049691"/>
      <w:bookmarkStart w:id="352" w:name="_Toc497901432"/>
      <w:bookmarkStart w:id="353" w:name="_Toc156213049"/>
      <w:r w:rsidRPr="00150CF3">
        <w:lastRenderedPageBreak/>
        <w:t xml:space="preserve">Part C – Application and </w:t>
      </w:r>
      <w:r>
        <w:t>A</w:t>
      </w:r>
      <w:r w:rsidRPr="00150CF3">
        <w:t>ssessment</w:t>
      </w:r>
      <w:bookmarkEnd w:id="351"/>
      <w:bookmarkEnd w:id="352"/>
      <w:bookmarkEnd w:id="353"/>
    </w:p>
    <w:p w14:paraId="72C40D2E" w14:textId="77777777" w:rsidR="0064434C" w:rsidRPr="00D017F1" w:rsidRDefault="000C7638" w:rsidP="00B01684">
      <w:pPr>
        <w:pStyle w:val="Heading3"/>
      </w:pPr>
      <w:bookmarkStart w:id="354" w:name="_Toc378930104"/>
      <w:bookmarkStart w:id="355" w:name="_Toc378930228"/>
      <w:bookmarkStart w:id="356" w:name="_Toc386635493"/>
      <w:bookmarkStart w:id="357" w:name="_Ref387754741"/>
      <w:bookmarkStart w:id="358" w:name="_Ref389783536"/>
      <w:bookmarkStart w:id="359" w:name="_Toc393908574"/>
      <w:bookmarkStart w:id="360" w:name="_Toc405380438"/>
      <w:bookmarkStart w:id="361" w:name="_Toc441049692"/>
      <w:bookmarkStart w:id="362" w:name="_Toc497901433"/>
      <w:bookmarkStart w:id="363" w:name="_Toc156213050"/>
      <w:r>
        <w:t xml:space="preserve">8. </w:t>
      </w:r>
      <w:r w:rsidR="0064434C" w:rsidRPr="00D017F1">
        <w:t xml:space="preserve">Application </w:t>
      </w:r>
      <w:bookmarkEnd w:id="354"/>
      <w:bookmarkEnd w:id="355"/>
      <w:bookmarkEnd w:id="356"/>
      <w:bookmarkEnd w:id="357"/>
      <w:r w:rsidR="0064434C" w:rsidRPr="00D017F1">
        <w:t>process</w:t>
      </w:r>
      <w:bookmarkEnd w:id="358"/>
      <w:bookmarkEnd w:id="359"/>
      <w:bookmarkEnd w:id="360"/>
      <w:bookmarkEnd w:id="361"/>
      <w:bookmarkEnd w:id="362"/>
      <w:bookmarkEnd w:id="363"/>
    </w:p>
    <w:p w14:paraId="663A95F8" w14:textId="77777777" w:rsidR="0064434C" w:rsidRDefault="000C7638" w:rsidP="000C7638">
      <w:pPr>
        <w:pStyle w:val="Heading4"/>
      </w:pPr>
      <w:bookmarkStart w:id="364" w:name="_Toc441049693"/>
      <w:bookmarkStart w:id="365" w:name="_Toc497901434"/>
      <w:bookmarkStart w:id="366" w:name="_Toc156213051"/>
      <w:bookmarkStart w:id="367" w:name="_Toc393908575"/>
      <w:bookmarkStart w:id="368" w:name="_Toc405380439"/>
      <w:bookmarkStart w:id="369" w:name="_Toc378930106"/>
      <w:bookmarkStart w:id="370" w:name="_Toc378930230"/>
      <w:bookmarkStart w:id="371" w:name="_Toc378930105"/>
      <w:bookmarkStart w:id="372" w:name="_Toc378930229"/>
      <w:r>
        <w:t xml:space="preserve">8.1 </w:t>
      </w:r>
      <w:r w:rsidR="0064434C">
        <w:t>Applicant registration</w:t>
      </w:r>
      <w:bookmarkEnd w:id="364"/>
      <w:bookmarkEnd w:id="365"/>
      <w:bookmarkEnd w:id="366"/>
    </w:p>
    <w:p w14:paraId="70983976" w14:textId="77777777" w:rsidR="0064434C" w:rsidRPr="0051560F" w:rsidRDefault="0064434C" w:rsidP="0064434C">
      <w:pPr>
        <w:pStyle w:val="Bodynumbered-Level1"/>
      </w:pPr>
      <w:r>
        <w:t>8.1.1</w:t>
      </w:r>
      <w:r>
        <w:tab/>
        <w:t>Potential applicants must register their interest with the Department and sign a Non</w:t>
      </w:r>
      <w:r>
        <w:noBreakHyphen/>
        <w:t xml:space="preserve">Disclosure Agreement prior to being granted access to the Program documentation for this Priority Locations round. </w:t>
      </w:r>
    </w:p>
    <w:p w14:paraId="1AE15310" w14:textId="77777777" w:rsidR="0064434C" w:rsidRDefault="000C7638" w:rsidP="000C7638">
      <w:pPr>
        <w:pStyle w:val="Heading4"/>
      </w:pPr>
      <w:bookmarkStart w:id="373" w:name="_Toc441049694"/>
      <w:bookmarkStart w:id="374" w:name="_Toc497901435"/>
      <w:bookmarkStart w:id="375" w:name="_Toc156213052"/>
      <w:r>
        <w:t xml:space="preserve">8.2 </w:t>
      </w:r>
      <w:r w:rsidR="0064434C">
        <w:t>Pre-application lodgement</w:t>
      </w:r>
      <w:bookmarkEnd w:id="373"/>
      <w:bookmarkEnd w:id="374"/>
      <w:bookmarkEnd w:id="375"/>
    </w:p>
    <w:p w14:paraId="513C5591" w14:textId="77777777" w:rsidR="0064434C" w:rsidRPr="009D1F9A" w:rsidRDefault="0064434C" w:rsidP="0064434C">
      <w:pPr>
        <w:pStyle w:val="Bodynumbered-Level1"/>
      </w:pPr>
      <w:r>
        <w:t>8.2.1</w:t>
      </w:r>
      <w:r>
        <w:tab/>
      </w:r>
      <w:r w:rsidRPr="009D1F9A">
        <w:t xml:space="preserve">MNOs who have registered as potential applicants and </w:t>
      </w:r>
      <w:r>
        <w:t xml:space="preserve">intend to submit </w:t>
      </w:r>
      <w:r w:rsidRPr="009D1F9A">
        <w:t xml:space="preserve">applications for funding under </w:t>
      </w:r>
      <w:r>
        <w:t>this Priority Locations r</w:t>
      </w:r>
      <w:r w:rsidRPr="009D1F9A">
        <w:t>ound must first submit their existing coverage information</w:t>
      </w:r>
      <w:r>
        <w:t>,</w:t>
      </w:r>
      <w:r w:rsidRPr="009D1F9A">
        <w:t xml:space="preserve"> incorporating the</w:t>
      </w:r>
      <w:r>
        <w:t xml:space="preserve"> </w:t>
      </w:r>
      <w:r w:rsidRPr="009D1F9A">
        <w:t xml:space="preserve">coverage from base stations which were funded under </w:t>
      </w:r>
      <w:r>
        <w:t>r</w:t>
      </w:r>
      <w:r w:rsidRPr="009D1F9A">
        <w:t>ound</w:t>
      </w:r>
      <w:r>
        <w:t>s</w:t>
      </w:r>
      <w:r w:rsidRPr="009D1F9A">
        <w:t xml:space="preserve"> 1 </w:t>
      </w:r>
      <w:r>
        <w:t xml:space="preserve">and 2 </w:t>
      </w:r>
      <w:r w:rsidRPr="009D1F9A">
        <w:t>(where relevant).</w:t>
      </w:r>
    </w:p>
    <w:p w14:paraId="12AB83D4" w14:textId="77777777" w:rsidR="0064434C" w:rsidRDefault="0064434C" w:rsidP="0064434C">
      <w:pPr>
        <w:pStyle w:val="Bodynumbered-Level1"/>
      </w:pPr>
      <w:r w:rsidRPr="009D1F9A">
        <w:t>8.2.2</w:t>
      </w:r>
      <w:r w:rsidRPr="009D1F9A">
        <w:tab/>
        <w:t xml:space="preserve">Existing coverage information required at </w:t>
      </w:r>
      <w:r w:rsidRPr="001E261D">
        <w:t>section 8.2.1</w:t>
      </w:r>
      <w:r w:rsidRPr="009D1F9A">
        <w:t xml:space="preserve"> must be submitted to the Department by no later </w:t>
      </w:r>
      <w:r w:rsidRPr="002865E9">
        <w:t>than</w:t>
      </w:r>
      <w:r w:rsidRPr="002865E9">
        <w:rPr>
          <w:b/>
        </w:rPr>
        <w:t xml:space="preserve"> </w:t>
      </w:r>
      <w:r w:rsidRPr="000A3FC9">
        <w:rPr>
          <w:b/>
        </w:rPr>
        <w:t xml:space="preserve">5pm (Canberra time), </w:t>
      </w:r>
      <w:r w:rsidRPr="004F0BF3">
        <w:rPr>
          <w:b/>
        </w:rPr>
        <w:t>Friday 1 December 2017</w:t>
      </w:r>
      <w:r w:rsidRPr="004F0BF3">
        <w:t>. The</w:t>
      </w:r>
      <w:r w:rsidRPr="009D1F9A">
        <w:t xml:space="preserve"> Department may, at its absolute</w:t>
      </w:r>
      <w:r>
        <w:t xml:space="preserve"> discretion, accept mobile coverage information submitted by MNOs after this date. </w:t>
      </w:r>
    </w:p>
    <w:p w14:paraId="58ED21EC" w14:textId="77777777" w:rsidR="0064434C" w:rsidRDefault="0064434C" w:rsidP="0064434C">
      <w:pPr>
        <w:pStyle w:val="Bodynumbered-Level1"/>
      </w:pPr>
      <w:r>
        <w:t>8.2.3</w:t>
      </w:r>
      <w:r>
        <w:tab/>
      </w:r>
      <w:r w:rsidRPr="009D0F8B">
        <w:t xml:space="preserve">The existing coverage information required </w:t>
      </w:r>
      <w:r>
        <w:t xml:space="preserve">in accordance with </w:t>
      </w:r>
      <w:r w:rsidRPr="00B64709">
        <w:t>section 8.2.1</w:t>
      </w:r>
      <w:r w:rsidRPr="009D0F8B">
        <w:t xml:space="preserve"> must be supplied as per the predictive coverage modelling standards which underpin the </w:t>
      </w:r>
      <w:proofErr w:type="spellStart"/>
      <w:r w:rsidRPr="009D0F8B">
        <w:t>publically</w:t>
      </w:r>
      <w:proofErr w:type="spellEnd"/>
      <w:r w:rsidRPr="009D0F8B">
        <w:t xml:space="preserve"> available coverage maps on the MNOs website, and </w:t>
      </w:r>
      <w:r>
        <w:t xml:space="preserve">must </w:t>
      </w:r>
      <w:r w:rsidRPr="009D0F8B">
        <w:t xml:space="preserve">not be prepared based on the coverage modelling standard outlined </w:t>
      </w:r>
      <w:r w:rsidRPr="00A104A5">
        <w:t xml:space="preserve">at </w:t>
      </w:r>
      <w:r w:rsidRPr="00B64709">
        <w:t>section 5.2.2</w:t>
      </w:r>
      <w:r w:rsidRPr="00A104A5">
        <w:t>.</w:t>
      </w:r>
    </w:p>
    <w:p w14:paraId="1C3B46A2" w14:textId="77777777" w:rsidR="0064434C" w:rsidRPr="0051560F" w:rsidRDefault="0064434C" w:rsidP="0064434C">
      <w:pPr>
        <w:pStyle w:val="Bodynumbered-Level1"/>
      </w:pPr>
      <w:r>
        <w:t>8.2.4</w:t>
      </w:r>
      <w:r>
        <w:tab/>
        <w:t xml:space="preserve">Pre-application information can be submitted by either of the methods outlined </w:t>
      </w:r>
      <w:r w:rsidRPr="001E261D">
        <w:t>at section 8.3.</w:t>
      </w:r>
      <w:r>
        <w:t xml:space="preserve"> </w:t>
      </w:r>
    </w:p>
    <w:p w14:paraId="29117DE9" w14:textId="77777777" w:rsidR="0064434C" w:rsidRPr="0031276D" w:rsidRDefault="000C7638" w:rsidP="000C7638">
      <w:pPr>
        <w:pStyle w:val="Heading4"/>
      </w:pPr>
      <w:bookmarkStart w:id="376" w:name="_Toc441049695"/>
      <w:bookmarkStart w:id="377" w:name="_Toc497901436"/>
      <w:bookmarkStart w:id="378" w:name="_Toc156213053"/>
      <w:r>
        <w:t xml:space="preserve">8.3 </w:t>
      </w:r>
      <w:r w:rsidR="0064434C" w:rsidRPr="00E04541">
        <w:t xml:space="preserve">Completing and lodging </w:t>
      </w:r>
      <w:r w:rsidR="0064434C" w:rsidRPr="0031276D">
        <w:t xml:space="preserve">an </w:t>
      </w:r>
      <w:r w:rsidR="0064434C" w:rsidRPr="00C8626D">
        <w:t>application</w:t>
      </w:r>
      <w:bookmarkEnd w:id="367"/>
      <w:bookmarkEnd w:id="368"/>
      <w:bookmarkEnd w:id="376"/>
      <w:bookmarkEnd w:id="377"/>
      <w:bookmarkEnd w:id="378"/>
    </w:p>
    <w:p w14:paraId="1F180AF2" w14:textId="77777777" w:rsidR="0064434C" w:rsidRPr="00B3346F" w:rsidRDefault="0064434C" w:rsidP="0064434C">
      <w:pPr>
        <w:pStyle w:val="Bodynumbered-Level1"/>
      </w:pPr>
      <w:r>
        <w:t>8.3.1</w:t>
      </w:r>
      <w:r>
        <w:tab/>
        <w:t>A</w:t>
      </w:r>
      <w:r w:rsidRPr="00B3346F">
        <w:t xml:space="preserve">pplications </w:t>
      </w:r>
      <w:r>
        <w:t xml:space="preserve">for funding must </w:t>
      </w:r>
      <w:r w:rsidRPr="00B3346F">
        <w:t xml:space="preserve">be lodged using the Application Pack provided at </w:t>
      </w:r>
      <w:r w:rsidRPr="001E261D">
        <w:t>Attachment C</w:t>
      </w:r>
      <w:r w:rsidRPr="00B3346F">
        <w:t xml:space="preserve"> of these </w:t>
      </w:r>
      <w:r>
        <w:t xml:space="preserve">Guidelines. </w:t>
      </w:r>
    </w:p>
    <w:p w14:paraId="78689B56" w14:textId="77777777" w:rsidR="0064434C" w:rsidRPr="004A2BFF" w:rsidRDefault="0064434C" w:rsidP="0064434C">
      <w:pPr>
        <w:pStyle w:val="Bodynumbered-Level1"/>
        <w:spacing w:after="120"/>
      </w:pPr>
      <w:r>
        <w:t>8.3.2</w:t>
      </w:r>
      <w:r>
        <w:tab/>
      </w:r>
      <w:r w:rsidRPr="00B3346F">
        <w:t xml:space="preserve">To seek funding under the </w:t>
      </w:r>
      <w:r>
        <w:t>Program</w:t>
      </w:r>
      <w:r w:rsidRPr="00B3346F">
        <w:t xml:space="preserve">, </w:t>
      </w:r>
      <w:r>
        <w:t>a</w:t>
      </w:r>
      <w:r w:rsidRPr="004A2BFF">
        <w:t>pplicant</w:t>
      </w:r>
      <w:r>
        <w:t>s</w:t>
      </w:r>
      <w:r w:rsidRPr="004A2BFF">
        <w:t xml:space="preserve"> </w:t>
      </w:r>
      <w:r>
        <w:t xml:space="preserve">must complete the Base Station Assessment Tool (BSAT) from the Application Pack to </w:t>
      </w:r>
      <w:r w:rsidRPr="004A2BFF">
        <w:t xml:space="preserve">provide </w:t>
      </w:r>
      <w:r>
        <w:t>information for each</w:t>
      </w:r>
      <w:r w:rsidRPr="004A2BFF">
        <w:t xml:space="preserve"> </w:t>
      </w:r>
      <w:r>
        <w:t>Proposed Solution</w:t>
      </w:r>
      <w:r w:rsidRPr="004A2BFF">
        <w:t xml:space="preserve"> for which it is seeking funding, specifying in each case:</w:t>
      </w:r>
    </w:p>
    <w:p w14:paraId="601C1FA3" w14:textId="77777777" w:rsidR="0064434C" w:rsidRPr="008E3258" w:rsidRDefault="0064434C" w:rsidP="000C7638">
      <w:pPr>
        <w:pStyle w:val="Bodynumbered-Level3"/>
        <w:spacing w:after="120"/>
        <w:ind w:left="1417" w:hanging="567"/>
        <w:rPr>
          <w:rFonts w:cs="Calibri"/>
        </w:rPr>
      </w:pPr>
      <w:r>
        <w:t>(a)</w:t>
      </w:r>
      <w:r>
        <w:tab/>
        <w:t>the Priority Location</w:t>
      </w:r>
      <w:r>
        <w:rPr>
          <w:rFonts w:cs="Calibri"/>
        </w:rPr>
        <w:t>;</w:t>
      </w:r>
    </w:p>
    <w:p w14:paraId="31F6918C" w14:textId="77777777" w:rsidR="0064434C" w:rsidRPr="008E3258" w:rsidRDefault="0064434C" w:rsidP="000C7638">
      <w:pPr>
        <w:pStyle w:val="Bodynumbered-Level3"/>
        <w:spacing w:after="120"/>
        <w:ind w:left="1417" w:hanging="567"/>
        <w:rPr>
          <w:rFonts w:cs="Calibri"/>
        </w:rPr>
      </w:pPr>
      <w:r>
        <w:t>(b)</w:t>
      </w:r>
      <w:r>
        <w:tab/>
        <w:t xml:space="preserve">the </w:t>
      </w:r>
      <w:r w:rsidRPr="008C4FBC">
        <w:t>total estimated all-up capital cost of construction</w:t>
      </w:r>
      <w:r>
        <w:t xml:space="preserve"> (GST inclusive), </w:t>
      </w:r>
      <w:r w:rsidRPr="008C4FBC">
        <w:t>including backhaul and power</w:t>
      </w:r>
      <w:r>
        <w:rPr>
          <w:rFonts w:cs="Calibri"/>
        </w:rPr>
        <w:t>;</w:t>
      </w:r>
    </w:p>
    <w:p w14:paraId="5B3A7FD3" w14:textId="77777777" w:rsidR="0064434C" w:rsidRDefault="0064434C" w:rsidP="000C7638">
      <w:pPr>
        <w:pStyle w:val="Bodynumbered-Level3"/>
        <w:spacing w:after="120"/>
        <w:ind w:left="1417" w:hanging="567"/>
        <w:rPr>
          <w:rFonts w:cs="Calibri"/>
        </w:rPr>
      </w:pPr>
      <w:r>
        <w:t>(c)</w:t>
      </w:r>
      <w:r>
        <w:tab/>
        <w:t xml:space="preserve">the </w:t>
      </w:r>
      <w:r w:rsidRPr="008C4FBC">
        <w:t xml:space="preserve">amount of co-contribution </w:t>
      </w:r>
      <w:r>
        <w:t>(GST inclusive)</w:t>
      </w:r>
      <w:r w:rsidRPr="008C4FBC">
        <w:t xml:space="preserve"> being provided by the applicant</w:t>
      </w:r>
      <w:r>
        <w:rPr>
          <w:rFonts w:cs="Calibri"/>
        </w:rPr>
        <w:t>;</w:t>
      </w:r>
    </w:p>
    <w:p w14:paraId="6E46A4EE" w14:textId="1672F6FD" w:rsidR="0064434C" w:rsidRPr="00073D26" w:rsidRDefault="0064434C" w:rsidP="000C7638">
      <w:pPr>
        <w:pStyle w:val="Bodynumbered-Level3"/>
        <w:spacing w:after="120"/>
        <w:ind w:left="1417" w:hanging="567"/>
        <w:rPr>
          <w:rFonts w:cs="Calibri"/>
        </w:rPr>
      </w:pPr>
      <w:r>
        <w:t>(d)</w:t>
      </w:r>
      <w:r>
        <w:tab/>
        <w:t xml:space="preserve">the </w:t>
      </w:r>
      <w:r w:rsidRPr="008C4FBC">
        <w:t xml:space="preserve">amount of Commonwealth co-contribution sought under the </w:t>
      </w:r>
      <w:r>
        <w:t>Program</w:t>
      </w:r>
      <w:r w:rsidRPr="008C4FBC">
        <w:t xml:space="preserve"> – capped at $500</w:t>
      </w:r>
      <w:r w:rsidR="004F28B1">
        <w:t>,</w:t>
      </w:r>
      <w:r w:rsidRPr="008C4FBC">
        <w:t xml:space="preserve">000 </w:t>
      </w:r>
      <w:r>
        <w:t xml:space="preserve">(GST inclusive) </w:t>
      </w:r>
      <w:r w:rsidRPr="008C4FBC">
        <w:t xml:space="preserve">per </w:t>
      </w:r>
      <w:r>
        <w:t xml:space="preserve">Proposed </w:t>
      </w:r>
      <w:r w:rsidRPr="000B1E24">
        <w:t>Solution (</w:t>
      </w:r>
      <w:r w:rsidRPr="00B64709">
        <w:t xml:space="preserve">subject to </w:t>
      </w:r>
      <w:r w:rsidRPr="00B64709">
        <w:rPr>
          <w:rFonts w:cs="Calibri"/>
        </w:rPr>
        <w:t>section 3.2.2</w:t>
      </w:r>
      <w:r w:rsidRPr="000B1E24">
        <w:rPr>
          <w:rFonts w:cs="Calibri"/>
        </w:rPr>
        <w:t>);</w:t>
      </w:r>
    </w:p>
    <w:p w14:paraId="27323227" w14:textId="77777777" w:rsidR="0064434C" w:rsidRPr="00B93FCF" w:rsidRDefault="0064434C" w:rsidP="000C7638">
      <w:pPr>
        <w:pStyle w:val="Bodynumbered-Level3"/>
        <w:spacing w:after="120"/>
        <w:ind w:left="1417" w:hanging="567"/>
        <w:rPr>
          <w:rFonts w:cs="Calibri"/>
        </w:rPr>
      </w:pPr>
      <w:r>
        <w:t>(e)</w:t>
      </w:r>
      <w:r>
        <w:tab/>
        <w:t xml:space="preserve">the </w:t>
      </w:r>
      <w:r w:rsidRPr="008C4FBC">
        <w:t>amount (if any) of co-contributions</w:t>
      </w:r>
      <w:r>
        <w:t xml:space="preserve"> (GST inclusive)</w:t>
      </w:r>
      <w:r w:rsidRPr="008C4FBC">
        <w:t xml:space="preserve"> to be received from third parties such as State, Territory or local governments, local communities</w:t>
      </w:r>
      <w:r>
        <w:t>,</w:t>
      </w:r>
      <w:r w:rsidRPr="008C4FBC">
        <w:t xml:space="preserve"> </w:t>
      </w:r>
      <w:r>
        <w:t>or</w:t>
      </w:r>
      <w:r w:rsidRPr="008C4FBC">
        <w:t xml:space="preserve"> </w:t>
      </w:r>
      <w:r w:rsidRPr="00E92068">
        <w:t>NBN Co</w:t>
      </w:r>
      <w:r w:rsidRPr="008C4FBC">
        <w:t xml:space="preserve"> </w:t>
      </w:r>
      <w:r>
        <w:t xml:space="preserve">or any combination of these, </w:t>
      </w:r>
      <w:r w:rsidRPr="008C4FBC">
        <w:t>and any specific requirements or condition</w:t>
      </w:r>
      <w:r>
        <w:rPr>
          <w:rFonts w:cs="Calibri"/>
        </w:rPr>
        <w:t>s tied to the co-contributions (for information purposes);</w:t>
      </w:r>
    </w:p>
    <w:p w14:paraId="4BBAC707" w14:textId="77777777" w:rsidR="0064434C" w:rsidRDefault="0064434C" w:rsidP="000C7638">
      <w:pPr>
        <w:pStyle w:val="Bodynumbered-Level3"/>
        <w:spacing w:after="120"/>
        <w:ind w:left="1417" w:hanging="567"/>
        <w:rPr>
          <w:rFonts w:cs="Calibri"/>
        </w:rPr>
      </w:pPr>
      <w:r>
        <w:t>(f)</w:t>
      </w:r>
      <w:r>
        <w:tab/>
        <w:t xml:space="preserve">the </w:t>
      </w:r>
      <w:r w:rsidRPr="008C4FBC">
        <w:t xml:space="preserve">extent to which it meets the </w:t>
      </w:r>
      <w:r>
        <w:t>a</w:t>
      </w:r>
      <w:r w:rsidRPr="008C4FBC">
        <w:t xml:space="preserve">ssessment </w:t>
      </w:r>
      <w:r>
        <w:t>c</w:t>
      </w:r>
      <w:r w:rsidRPr="008C4FBC">
        <w:t>riteria</w:t>
      </w:r>
      <w:r>
        <w:rPr>
          <w:rFonts w:cs="Calibri"/>
        </w:rPr>
        <w:t>;</w:t>
      </w:r>
    </w:p>
    <w:p w14:paraId="57722E9C" w14:textId="2CDAAF97" w:rsidR="0064434C" w:rsidRDefault="0064434C" w:rsidP="000C7638">
      <w:pPr>
        <w:pStyle w:val="Bodynumbered-Level3"/>
        <w:spacing w:after="120"/>
        <w:ind w:left="1417" w:hanging="567"/>
        <w:rPr>
          <w:rFonts w:cs="Calibri"/>
        </w:rPr>
      </w:pPr>
      <w:r>
        <w:rPr>
          <w:rFonts w:cs="Calibri"/>
        </w:rPr>
        <w:t>(g)</w:t>
      </w:r>
      <w:r>
        <w:rPr>
          <w:rFonts w:cs="Calibri"/>
        </w:rPr>
        <w:tab/>
        <w:t>whether the Proposed Solution is dependent on the construction of one or more of the applicant’s other Proposed Solutions, including explaining the specific dependencies;</w:t>
      </w:r>
    </w:p>
    <w:p w14:paraId="5272F30F" w14:textId="77777777" w:rsidR="0064434C" w:rsidRDefault="0064434C" w:rsidP="000C7638">
      <w:pPr>
        <w:pStyle w:val="Bodynumbered-Level3"/>
        <w:ind w:left="1417" w:hanging="567"/>
      </w:pPr>
      <w:r>
        <w:t>(h)</w:t>
      </w:r>
      <w:r>
        <w:tab/>
        <w:t xml:space="preserve">predictive coverage mapping data for each Proposed Solution (as </w:t>
      </w:r>
      <w:r w:rsidRPr="00A104A5">
        <w:t xml:space="preserve">per </w:t>
      </w:r>
      <w:r w:rsidRPr="00B64709">
        <w:t>section 5.2.2</w:t>
      </w:r>
      <w:r w:rsidRPr="00A104A5">
        <w:t>);</w:t>
      </w:r>
    </w:p>
    <w:p w14:paraId="1EE35EDE" w14:textId="77777777" w:rsidR="0064434C" w:rsidRDefault="0064434C" w:rsidP="000C7638">
      <w:pPr>
        <w:pStyle w:val="Bodynumbered-Level3"/>
        <w:ind w:left="1417" w:hanging="567"/>
      </w:pPr>
      <w:r>
        <w:lastRenderedPageBreak/>
        <w:t>(</w:t>
      </w:r>
      <w:proofErr w:type="spellStart"/>
      <w:r>
        <w:t>i</w:t>
      </w:r>
      <w:proofErr w:type="spellEnd"/>
      <w:r>
        <w:t>)</w:t>
      </w:r>
      <w:r>
        <w:tab/>
        <w:t>specific network elements to be added, augmented or upgraded which are proposed to address a capacity and/or service quality issue at a Priority Location. For example, in addressing network capacity issues applicants may be required to provide network statistics for existing sectors in a suitable time resolution such as, call set up success rates, data throughput per cell / per user and the number of active users per cell. Information provided on network quality issues may include the number of cell reselections, call set up failures, dropped calls and uplink noise; and</w:t>
      </w:r>
    </w:p>
    <w:p w14:paraId="13BB2B04" w14:textId="77777777" w:rsidR="0064434C" w:rsidRDefault="0064434C" w:rsidP="000C7638">
      <w:pPr>
        <w:pStyle w:val="Bodynumbered-Level3"/>
        <w:ind w:left="1417" w:hanging="567"/>
      </w:pPr>
      <w:r>
        <w:t>(k)</w:t>
      </w:r>
      <w:r>
        <w:tab/>
      </w:r>
      <w:r>
        <w:rPr>
          <w:rFonts w:cs="Calibri"/>
        </w:rPr>
        <w:t xml:space="preserve">the cost of providing an auxiliary back-up power supply of a minimum additional nine hours for each </w:t>
      </w:r>
      <w:proofErr w:type="spellStart"/>
      <w:r>
        <w:rPr>
          <w:rFonts w:cs="Calibri"/>
        </w:rPr>
        <w:t>macrocell</w:t>
      </w:r>
      <w:proofErr w:type="spellEnd"/>
      <w:r>
        <w:rPr>
          <w:rFonts w:cs="Calibri"/>
        </w:rPr>
        <w:t xml:space="preserve"> or small cell (nine hours additional to the required three hours).</w:t>
      </w:r>
      <w:r>
        <w:t xml:space="preserve"> </w:t>
      </w:r>
    </w:p>
    <w:p w14:paraId="0E6DED0E" w14:textId="77777777" w:rsidR="0064434C" w:rsidRPr="0088250C" w:rsidRDefault="0064434C" w:rsidP="000C7638">
      <w:pPr>
        <w:pStyle w:val="Bodynumbered-Level3"/>
        <w:ind w:left="1496" w:hanging="646"/>
      </w:pPr>
      <w:r w:rsidRPr="0088250C">
        <w:rPr>
          <w:b/>
        </w:rPr>
        <w:t>Note</w:t>
      </w:r>
      <w:r>
        <w:rPr>
          <w:b/>
        </w:rPr>
        <w:t>:</w:t>
      </w:r>
      <w:r>
        <w:rPr>
          <w:b/>
        </w:rPr>
        <w:tab/>
      </w:r>
      <w:r w:rsidRPr="000E31D8">
        <w:t>T</w:t>
      </w:r>
      <w:r w:rsidRPr="0088250C">
        <w:t xml:space="preserve">he applicant must </w:t>
      </w:r>
      <w:r>
        <w:t xml:space="preserve">agree that the predictive coverage mapping data supplied at </w:t>
      </w:r>
      <w:r w:rsidRPr="00B64709">
        <w:t>section 8.</w:t>
      </w:r>
      <w:r>
        <w:t>3</w:t>
      </w:r>
      <w:r w:rsidRPr="00B64709">
        <w:t>.</w:t>
      </w:r>
      <w:r>
        <w:t>2</w:t>
      </w:r>
      <w:r w:rsidRPr="00A104A5">
        <w:t>(</w:t>
      </w:r>
      <w:r>
        <w:t>h) can be used by the Department to prepare promotional material for the Program.</w:t>
      </w:r>
    </w:p>
    <w:p w14:paraId="2A2BF932" w14:textId="77777777" w:rsidR="0064434C" w:rsidRDefault="0064434C" w:rsidP="0064434C">
      <w:pPr>
        <w:pStyle w:val="Bodynumbered-Level1"/>
      </w:pPr>
      <w:r>
        <w:t>8.3.3</w:t>
      </w:r>
      <w:r>
        <w:tab/>
        <w:t xml:space="preserve">In </w:t>
      </w:r>
      <w:r w:rsidRPr="00157337">
        <w:t>addition</w:t>
      </w:r>
      <w:r>
        <w:t xml:space="preserve">, applicants must warrant that none of the Proposed Solutions for which Commonwealth funds have been sought were part of their </w:t>
      </w:r>
      <w:r w:rsidRPr="00DD65AB">
        <w:t>201</w:t>
      </w:r>
      <w:r>
        <w:t>7</w:t>
      </w:r>
      <w:r w:rsidRPr="00DD65AB">
        <w:t>-1</w:t>
      </w:r>
      <w:r>
        <w:t>8</w:t>
      </w:r>
      <w:r w:rsidRPr="00DD65AB">
        <w:t xml:space="preserve"> to 201</w:t>
      </w:r>
      <w:r>
        <w:t>9</w:t>
      </w:r>
      <w:r w:rsidRPr="00DD65AB">
        <w:t>-</w:t>
      </w:r>
      <w:r>
        <w:t>20</w:t>
      </w:r>
      <w:r w:rsidRPr="00DD65AB">
        <w:t xml:space="preserve"> forward</w:t>
      </w:r>
      <w:r w:rsidRPr="00DD65AB">
        <w:noBreakHyphen/>
        <w:t>build network expansion</w:t>
      </w:r>
      <w:r>
        <w:t xml:space="preserve"> or upgrade</w:t>
      </w:r>
      <w:r w:rsidRPr="00DD65AB">
        <w:t xml:space="preserve"> </w:t>
      </w:r>
      <w:r w:rsidRPr="001E261D">
        <w:t xml:space="preserve">plans (see section </w:t>
      </w:r>
      <w:r w:rsidRPr="001E261D">
        <w:fldChar w:fldCharType="begin"/>
      </w:r>
      <w:r w:rsidRPr="001E261D">
        <w:instrText xml:space="preserve"> REF _Ref389830818 \r \h  \* MERGEFORMAT </w:instrText>
      </w:r>
      <w:r w:rsidRPr="001E261D">
        <w:fldChar w:fldCharType="separate"/>
      </w:r>
      <w:r>
        <w:t>2.3</w:t>
      </w:r>
      <w:r w:rsidRPr="001E261D">
        <w:fldChar w:fldCharType="end"/>
      </w:r>
      <w:r w:rsidRPr="001E261D">
        <w:t>).</w:t>
      </w:r>
    </w:p>
    <w:p w14:paraId="7403B519" w14:textId="62257810" w:rsidR="0064434C" w:rsidRPr="003F0E35" w:rsidRDefault="0064434C" w:rsidP="0064434C">
      <w:pPr>
        <w:pStyle w:val="Bodynumbered-Level1"/>
      </w:pPr>
      <w:r>
        <w:t>8.3.4</w:t>
      </w:r>
      <w:r>
        <w:tab/>
      </w:r>
      <w:r w:rsidRPr="007A5798">
        <w:t xml:space="preserve">Subject to clause 8.3.4A, Applicants must indicate their compliance with the draft </w:t>
      </w:r>
      <w:r>
        <w:t>Grant Agreement</w:t>
      </w:r>
      <w:r w:rsidRPr="007A5798">
        <w:t xml:space="preserve"> (at Attachment B of these Guidelines) at the time of submitting their applications. Where the terms of the draft </w:t>
      </w:r>
      <w:r>
        <w:t>Grant Agreement</w:t>
      </w:r>
      <w:r w:rsidRPr="007A5798">
        <w:t xml:space="preserve"> are not accepted in full, applicants are required to submit a revision marked version of the draft </w:t>
      </w:r>
      <w:r>
        <w:t>Grant Agreement</w:t>
      </w:r>
      <w:r w:rsidRPr="007A5798">
        <w:t xml:space="preserve"> reflecting their proposed position and their reasons for requesting the change.</w:t>
      </w:r>
    </w:p>
    <w:p w14:paraId="4D477A4A" w14:textId="77777777" w:rsidR="0064434C" w:rsidRDefault="0064434C" w:rsidP="0064434C">
      <w:pPr>
        <w:pStyle w:val="Bodynumbered-Level1"/>
      </w:pPr>
      <w:r>
        <w:t>8.3.4A</w:t>
      </w:r>
      <w:r>
        <w:tab/>
      </w:r>
      <w:r w:rsidRPr="007A5798">
        <w:t xml:space="preserve">Applicants who have previously agreed a funding agreement with the Commonwealth under round 2 of the Program (Previous Funding Agreement) and wish to use that Previous Funding Agreement as the basis for this Priority Location round </w:t>
      </w:r>
      <w:r>
        <w:t>Grant Agreement</w:t>
      </w:r>
      <w:r w:rsidRPr="007A5798">
        <w:t xml:space="preserve"> must indicate their compliance with the Previous Funding Agreement as amended to reflect the requirements of this Priority Location round (Updated Previous Funding Agreement) at the time of submitting their applications. Where the terms of the Updated Previous Funding Agreement are not accepted in full, applicants are required to submit a revision marked version of the Updated Previous Funding Agreement reflecting their proposed position and their reasons for requesting the change.</w:t>
      </w:r>
    </w:p>
    <w:p w14:paraId="4A2B4C9D" w14:textId="77777777" w:rsidR="0064434C" w:rsidRDefault="0064434C" w:rsidP="000C7638">
      <w:pPr>
        <w:pStyle w:val="Bodynumbered-Level3"/>
        <w:ind w:left="1496" w:hanging="646"/>
      </w:pPr>
      <w:r w:rsidRPr="00C7444D">
        <w:rPr>
          <w:b/>
        </w:rPr>
        <w:t>Note:</w:t>
      </w:r>
      <w:r>
        <w:t xml:space="preserve"> </w:t>
      </w:r>
      <w:r>
        <w:tab/>
      </w:r>
      <w:r w:rsidRPr="007A5798">
        <w:t xml:space="preserve">Following registration, the Department will provide relevant applicants with details of the clauses from their Previous Funding Agreement that will need to be amended to reflect the requirements of this Priority Location round. These requirements will be drawn from the draft </w:t>
      </w:r>
      <w:r>
        <w:t>Grant Agreement</w:t>
      </w:r>
      <w:r w:rsidRPr="007A5798">
        <w:t xml:space="preserve"> at Attachment B to these Guidelines. The Previous Funding Agreement together with these requirements will effectively comprise the Updated Previous Funding Agreement which should be used for the applicants’ compliance statements and to develop the revision-marked version referenced above. Section 13.6 contains further information about the timing for </w:t>
      </w:r>
      <w:r>
        <w:t>Grant Agreement</w:t>
      </w:r>
      <w:r w:rsidRPr="007A5798">
        <w:t xml:space="preserve"> negotiations.</w:t>
      </w:r>
    </w:p>
    <w:p w14:paraId="7A26F3CE" w14:textId="77777777" w:rsidR="0064434C" w:rsidRDefault="0064434C" w:rsidP="0064434C">
      <w:pPr>
        <w:pStyle w:val="Bodynumbered-Level1"/>
      </w:pPr>
      <w:r>
        <w:t>8.3.5</w:t>
      </w:r>
      <w:r>
        <w:tab/>
      </w:r>
      <w:r w:rsidRPr="00B3346F">
        <w:t xml:space="preserve">Details for contacting the Department to seek </w:t>
      </w:r>
      <w:r>
        <w:t xml:space="preserve">clarification or </w:t>
      </w:r>
      <w:r w:rsidRPr="00B3346F">
        <w:t xml:space="preserve">assistance with </w:t>
      </w:r>
      <w:r>
        <w:t xml:space="preserve">any aspects of </w:t>
      </w:r>
      <w:r w:rsidRPr="00B3346F">
        <w:t xml:space="preserve">completing an application are at </w:t>
      </w:r>
      <w:r w:rsidRPr="001E261D">
        <w:t xml:space="preserve">section </w:t>
      </w:r>
      <w:r w:rsidRPr="001E261D">
        <w:fldChar w:fldCharType="begin"/>
      </w:r>
      <w:r w:rsidRPr="001E261D">
        <w:instrText xml:space="preserve"> REF _Ref389781679 \r \h  \* MERGEFORMAT </w:instrText>
      </w:r>
      <w:r w:rsidRPr="001E261D">
        <w:fldChar w:fldCharType="separate"/>
      </w:r>
      <w:r>
        <w:t>1.4</w:t>
      </w:r>
      <w:r w:rsidRPr="001E261D">
        <w:fldChar w:fldCharType="end"/>
      </w:r>
      <w:r w:rsidRPr="001E261D">
        <w:t xml:space="preserve"> of</w:t>
      </w:r>
      <w:r w:rsidRPr="00B3346F">
        <w:t xml:space="preserve"> these </w:t>
      </w:r>
      <w:r>
        <w:t>Guidelines.</w:t>
      </w:r>
    </w:p>
    <w:p w14:paraId="43641EB2" w14:textId="77777777" w:rsidR="0064434C" w:rsidRDefault="0064434C" w:rsidP="0064434C">
      <w:pPr>
        <w:pStyle w:val="Bodynumbered-Level1"/>
      </w:pPr>
      <w:r>
        <w:t>8.3.6</w:t>
      </w:r>
      <w:r>
        <w:tab/>
        <w:t xml:space="preserve">Applications can be lodged using </w:t>
      </w:r>
      <w:proofErr w:type="spellStart"/>
      <w:r>
        <w:t>Govdex</w:t>
      </w:r>
      <w:proofErr w:type="spellEnd"/>
      <w:r>
        <w:t xml:space="preserve">, the Australian Government’s secure online document sharing and project management system. Potential applicants will be provided with information about lodging applications using </w:t>
      </w:r>
      <w:proofErr w:type="spellStart"/>
      <w:r>
        <w:t>Govdex</w:t>
      </w:r>
      <w:proofErr w:type="spellEnd"/>
      <w:r>
        <w:t xml:space="preserve"> upon registering as a potential applicant for this Priority Locations round.</w:t>
      </w:r>
    </w:p>
    <w:p w14:paraId="72FA6C0D" w14:textId="77777777" w:rsidR="0064434C" w:rsidRPr="00205F8B" w:rsidRDefault="0064434C" w:rsidP="0064434C">
      <w:pPr>
        <w:pStyle w:val="Bodynumbered-Level1"/>
      </w:pPr>
      <w:r>
        <w:t>8.3.7</w:t>
      </w:r>
      <w:r>
        <w:tab/>
      </w:r>
      <w:r w:rsidRPr="00205F8B">
        <w:t xml:space="preserve">All electronic files, regardless of transmission method, should be provided in a Microsoft compatible format. Geo-spatial information such as maps should be provided in either </w:t>
      </w:r>
      <w:r>
        <w:t>M</w:t>
      </w:r>
      <w:r w:rsidRPr="00205F8B">
        <w:t>apInfo TAB or MID/MIF; ESRI Shape; GML; or</w:t>
      </w:r>
      <w:r>
        <w:t xml:space="preserve"> </w:t>
      </w:r>
      <w:r w:rsidRPr="00205F8B">
        <w:t>KML</w:t>
      </w:r>
      <w:r>
        <w:t xml:space="preserve"> format</w:t>
      </w:r>
      <w:r w:rsidRPr="00205F8B">
        <w:t>.</w:t>
      </w:r>
    </w:p>
    <w:p w14:paraId="0C102351" w14:textId="77777777" w:rsidR="0064434C" w:rsidRPr="00D52517" w:rsidRDefault="0064434C" w:rsidP="0064434C">
      <w:pPr>
        <w:pStyle w:val="Bodynumbered-Level1"/>
      </w:pPr>
      <w:r>
        <w:lastRenderedPageBreak/>
        <w:t>8.3.8</w:t>
      </w:r>
      <w:r>
        <w:tab/>
        <w:t xml:space="preserve">The Department may also accept applications via hard copy and/or physical electronic media, in addition to electronic applications (refer </w:t>
      </w:r>
      <w:r w:rsidRPr="001E261D">
        <w:t>to sections 8.3.9 and 8.3.10).</w:t>
      </w:r>
    </w:p>
    <w:p w14:paraId="62277FD0" w14:textId="77777777" w:rsidR="0064434C" w:rsidRPr="009F131B" w:rsidRDefault="0064434C" w:rsidP="0064434C">
      <w:pPr>
        <w:pStyle w:val="Bodynumbered-Level1"/>
      </w:pPr>
      <w:r>
        <w:t>8.3.9</w:t>
      </w:r>
      <w:r>
        <w:tab/>
        <w:t>Should applicants wish to submit</w:t>
      </w:r>
      <w:r w:rsidRPr="009F131B">
        <w:t xml:space="preserve"> hard copy documents, </w:t>
      </w:r>
      <w:r>
        <w:t>a</w:t>
      </w:r>
      <w:r w:rsidRPr="009F131B">
        <w:t xml:space="preserve">pplicants should provide the original hard copy plus </w:t>
      </w:r>
      <w:r>
        <w:t>three</w:t>
      </w:r>
      <w:r w:rsidRPr="009F131B">
        <w:t xml:space="preserve"> copies (unbound). The original document should be marked </w:t>
      </w:r>
      <w:r>
        <w:t>‘Original’</w:t>
      </w:r>
      <w:r w:rsidRPr="009F131B">
        <w:t>, and be signed and dated. The copies should be nu</w:t>
      </w:r>
      <w:r>
        <w:t>mbered sequentially and marked ‘Copy 1’, ‘Copy 2’ and</w:t>
      </w:r>
      <w:r w:rsidRPr="009F131B">
        <w:t xml:space="preserve"> </w:t>
      </w:r>
      <w:r>
        <w:t xml:space="preserve">‘Copy 3’. Where hard copy documents are submitted, applicants must provide electronic copies of geo-spatial information via physical electronic media or via </w:t>
      </w:r>
      <w:proofErr w:type="spellStart"/>
      <w:r>
        <w:t>Govdex</w:t>
      </w:r>
      <w:proofErr w:type="spellEnd"/>
      <w:r>
        <w:t>.</w:t>
      </w:r>
    </w:p>
    <w:p w14:paraId="205F40E8" w14:textId="77777777" w:rsidR="0064434C" w:rsidRPr="009F131B" w:rsidRDefault="0064434C" w:rsidP="0064434C">
      <w:pPr>
        <w:pStyle w:val="Bodynumbered-Level1"/>
      </w:pPr>
      <w:r>
        <w:t>8.3.10</w:t>
      </w:r>
      <w:r>
        <w:tab/>
      </w:r>
      <w:r w:rsidRPr="009F131B">
        <w:t>Where physical electronic media is to be provided, such as CD-ROM</w:t>
      </w:r>
      <w:r>
        <w:t>,</w:t>
      </w:r>
      <w:r w:rsidRPr="009F131B">
        <w:t xml:space="preserve"> DVD-ROM</w:t>
      </w:r>
      <w:r>
        <w:t xml:space="preserve"> or USB stick</w:t>
      </w:r>
      <w:r w:rsidRPr="009F131B">
        <w:t xml:space="preserve">, the media must be PC-formatted. Applicants should include an index of all electronic documents on the </w:t>
      </w:r>
      <w:r>
        <w:t xml:space="preserve">physical electronic media. </w:t>
      </w:r>
    </w:p>
    <w:p w14:paraId="0149BECE" w14:textId="77777777" w:rsidR="0064434C" w:rsidRDefault="0064434C" w:rsidP="0064434C">
      <w:pPr>
        <w:pStyle w:val="Bodynumbered-Level1"/>
      </w:pPr>
      <w:r>
        <w:t>8.3.11</w:t>
      </w:r>
      <w:r>
        <w:tab/>
      </w:r>
      <w:r w:rsidRPr="009F131B">
        <w:t>Submissions</w:t>
      </w:r>
      <w:r>
        <w:t xml:space="preserve"> provided</w:t>
      </w:r>
      <w:r w:rsidRPr="009F131B">
        <w:t xml:space="preserve"> in hard copy </w:t>
      </w:r>
      <w:r>
        <w:t>and</w:t>
      </w:r>
      <w:r w:rsidRPr="009F131B">
        <w:t xml:space="preserve"> physical electronic media formats should be</w:t>
      </w:r>
      <w:r>
        <w:t xml:space="preserve"> </w:t>
      </w:r>
      <w:r w:rsidRPr="009F131B">
        <w:t xml:space="preserve">delivered </w:t>
      </w:r>
      <w:r>
        <w:t>via registered post or by hand</w:t>
      </w:r>
      <w:r w:rsidRPr="009F131B">
        <w:t xml:space="preserve"> </w:t>
      </w:r>
      <w:r>
        <w:t>prior to the closing date (</w:t>
      </w:r>
      <w:r w:rsidRPr="001E261D">
        <w:t>see sections 8.3.12 and 8.4.1).</w:t>
      </w:r>
    </w:p>
    <w:p w14:paraId="052992FF" w14:textId="77777777" w:rsidR="0064434C" w:rsidRPr="009F131B" w:rsidRDefault="0064434C" w:rsidP="0064434C">
      <w:pPr>
        <w:pStyle w:val="Bodynumbered-Level1"/>
        <w:spacing w:after="120"/>
      </w:pPr>
      <w:r>
        <w:t>8.3.12</w:t>
      </w:r>
      <w:r>
        <w:tab/>
      </w:r>
      <w:r w:rsidRPr="009F131B">
        <w:t xml:space="preserve">Applications are to be addressed </w:t>
      </w:r>
      <w:r>
        <w:t>and delivered</w:t>
      </w:r>
      <w:r w:rsidRPr="009F131B">
        <w:t xml:space="preserve"> to:</w:t>
      </w:r>
    </w:p>
    <w:p w14:paraId="26F8EFEB" w14:textId="77777777" w:rsidR="0064434C" w:rsidRPr="009F131B" w:rsidRDefault="0064434C" w:rsidP="000C7638">
      <w:pPr>
        <w:pStyle w:val="Bodynumbered-Level1"/>
        <w:spacing w:before="120"/>
        <w:ind w:left="861" w:hanging="11"/>
      </w:pPr>
      <w:r>
        <w:t xml:space="preserve">Director, </w:t>
      </w:r>
      <w:r w:rsidRPr="004B4466">
        <w:t xml:space="preserve">Mobile Black Spot </w:t>
      </w:r>
      <w:r>
        <w:t xml:space="preserve">Program (Priority Locations) </w:t>
      </w:r>
      <w:r>
        <w:br/>
        <w:t>Department of Communications and the Arts</w:t>
      </w:r>
      <w:r>
        <w:br/>
        <w:t xml:space="preserve">2 Phillip Law Street </w:t>
      </w:r>
      <w:r>
        <w:br/>
      </w:r>
      <w:proofErr w:type="gramStart"/>
      <w:r w:rsidRPr="004B4466">
        <w:t>C</w:t>
      </w:r>
      <w:r>
        <w:t>ANBERRA  ACT</w:t>
      </w:r>
      <w:proofErr w:type="gramEnd"/>
      <w:r>
        <w:t xml:space="preserve">  2601</w:t>
      </w:r>
    </w:p>
    <w:p w14:paraId="3718E0F2" w14:textId="77777777" w:rsidR="0064434C" w:rsidRPr="0060542E" w:rsidRDefault="0064434C" w:rsidP="0064434C">
      <w:pPr>
        <w:pStyle w:val="Bodynumbered-Level1"/>
      </w:pPr>
      <w:r>
        <w:t>8.3.13</w:t>
      </w:r>
      <w:r>
        <w:tab/>
      </w:r>
      <w:r w:rsidRPr="00B3346F">
        <w:t xml:space="preserve">The Department will acknowledge receipt of </w:t>
      </w:r>
      <w:r>
        <w:t xml:space="preserve">all </w:t>
      </w:r>
      <w:r w:rsidRPr="00B3346F">
        <w:t>applications by email</w:t>
      </w:r>
      <w:r>
        <w:t xml:space="preserve"> to the nominated contact officer</w:t>
      </w:r>
      <w:r w:rsidRPr="00B3346F">
        <w:t>.</w:t>
      </w:r>
    </w:p>
    <w:p w14:paraId="507A84E8" w14:textId="77777777" w:rsidR="0064434C" w:rsidRPr="00E04541" w:rsidRDefault="000C7638" w:rsidP="000C7638">
      <w:pPr>
        <w:pStyle w:val="Heading4"/>
      </w:pPr>
      <w:bookmarkStart w:id="379" w:name="_Toc393908576"/>
      <w:bookmarkStart w:id="380" w:name="_Toc405380440"/>
      <w:bookmarkStart w:id="381" w:name="_Toc441049696"/>
      <w:bookmarkStart w:id="382" w:name="_Toc497901437"/>
      <w:bookmarkStart w:id="383" w:name="_Toc156213054"/>
      <w:r>
        <w:t xml:space="preserve">8.4 </w:t>
      </w:r>
      <w:r w:rsidR="0064434C" w:rsidRPr="00E04541">
        <w:t>Closing date</w:t>
      </w:r>
      <w:bookmarkEnd w:id="379"/>
      <w:bookmarkEnd w:id="380"/>
      <w:bookmarkEnd w:id="381"/>
      <w:r w:rsidR="0064434C">
        <w:t xml:space="preserve"> for funding applications</w:t>
      </w:r>
      <w:bookmarkEnd w:id="382"/>
      <w:bookmarkEnd w:id="383"/>
      <w:r w:rsidR="0064434C">
        <w:t xml:space="preserve"> </w:t>
      </w:r>
    </w:p>
    <w:p w14:paraId="0749AA7A" w14:textId="77777777" w:rsidR="0064434C" w:rsidRPr="004A2BFF" w:rsidRDefault="0064434C" w:rsidP="0064434C">
      <w:pPr>
        <w:pStyle w:val="Bodynumbered-Level1"/>
      </w:pPr>
      <w:r>
        <w:t>8.4.1</w:t>
      </w:r>
      <w:r>
        <w:tab/>
      </w:r>
      <w:r w:rsidRPr="004A2BFF">
        <w:t xml:space="preserve">The closing date for </w:t>
      </w:r>
      <w:proofErr w:type="gramStart"/>
      <w:r w:rsidRPr="004A2BFF">
        <w:t>submitting an application</w:t>
      </w:r>
      <w:proofErr w:type="gramEnd"/>
      <w:r w:rsidRPr="004A2BFF">
        <w:t xml:space="preserve"> for funding under </w:t>
      </w:r>
      <w:r>
        <w:t xml:space="preserve">this round of </w:t>
      </w:r>
      <w:r w:rsidRPr="004A2BFF">
        <w:t xml:space="preserve">the </w:t>
      </w:r>
      <w:r>
        <w:t>Program</w:t>
      </w:r>
      <w:r w:rsidRPr="004A2BFF">
        <w:t xml:space="preserve"> is </w:t>
      </w:r>
      <w:r w:rsidRPr="000A3FC9">
        <w:rPr>
          <w:b/>
        </w:rPr>
        <w:t xml:space="preserve">5.00pm (Canberra time), </w:t>
      </w:r>
      <w:r w:rsidRPr="004F0BF3">
        <w:rPr>
          <w:b/>
        </w:rPr>
        <w:t>Wednesday 20 December 2017</w:t>
      </w:r>
      <w:r w:rsidRPr="004F0BF3">
        <w:t>.</w:t>
      </w:r>
    </w:p>
    <w:p w14:paraId="301DB6E7" w14:textId="77777777" w:rsidR="0064434C" w:rsidRPr="00E04541" w:rsidRDefault="000C7638" w:rsidP="000C7638">
      <w:pPr>
        <w:pStyle w:val="Heading4"/>
      </w:pPr>
      <w:bookmarkStart w:id="384" w:name="_Toc393908577"/>
      <w:bookmarkStart w:id="385" w:name="_Toc405380441"/>
      <w:bookmarkStart w:id="386" w:name="_Toc441049697"/>
      <w:bookmarkStart w:id="387" w:name="_Toc497901438"/>
      <w:bookmarkStart w:id="388" w:name="_Toc156213055"/>
      <w:r>
        <w:t xml:space="preserve">8.5 </w:t>
      </w:r>
      <w:r w:rsidR="0064434C" w:rsidRPr="00E04541">
        <w:t>Late applications</w:t>
      </w:r>
      <w:bookmarkEnd w:id="384"/>
      <w:bookmarkEnd w:id="385"/>
      <w:bookmarkEnd w:id="386"/>
      <w:bookmarkEnd w:id="387"/>
      <w:bookmarkEnd w:id="388"/>
    </w:p>
    <w:p w14:paraId="7EFE98AD" w14:textId="77777777" w:rsidR="0064434C" w:rsidRPr="004A2BFF" w:rsidRDefault="0064434C" w:rsidP="0064434C">
      <w:pPr>
        <w:pStyle w:val="Bodynumbered-Level1"/>
      </w:pPr>
      <w:r>
        <w:t>8.5.1</w:t>
      </w:r>
      <w:r>
        <w:tab/>
      </w:r>
      <w:r w:rsidRPr="004A2BFF">
        <w:t xml:space="preserve">Any decision by the Department on whether or not to </w:t>
      </w:r>
      <w:r>
        <w:t>accept</w:t>
      </w:r>
      <w:r w:rsidRPr="004A2BFF">
        <w:t xml:space="preserve"> a late application to the asse</w:t>
      </w:r>
      <w:r>
        <w:t>ssment process shall be final.</w:t>
      </w:r>
    </w:p>
    <w:p w14:paraId="0834201C" w14:textId="77777777" w:rsidR="0064434C" w:rsidRPr="0031276D" w:rsidRDefault="000C7638" w:rsidP="000C7638">
      <w:pPr>
        <w:pStyle w:val="Heading4"/>
      </w:pPr>
      <w:bookmarkStart w:id="389" w:name="_Toc393908578"/>
      <w:bookmarkStart w:id="390" w:name="_Toc405380442"/>
      <w:bookmarkStart w:id="391" w:name="_Toc441049698"/>
      <w:bookmarkStart w:id="392" w:name="_Toc497901439"/>
      <w:bookmarkStart w:id="393" w:name="_Toc156213056"/>
      <w:r>
        <w:t xml:space="preserve">8.6 </w:t>
      </w:r>
      <w:r w:rsidR="0064434C" w:rsidRPr="00E04541">
        <w:t xml:space="preserve">Further </w:t>
      </w:r>
      <w:r w:rsidR="0064434C" w:rsidRPr="0031276D">
        <w:t>information about the application</w:t>
      </w:r>
      <w:bookmarkEnd w:id="389"/>
      <w:bookmarkEnd w:id="390"/>
      <w:bookmarkEnd w:id="391"/>
      <w:bookmarkEnd w:id="392"/>
      <w:bookmarkEnd w:id="393"/>
    </w:p>
    <w:p w14:paraId="52C07E01" w14:textId="77777777" w:rsidR="0064434C" w:rsidRPr="004A2BFF" w:rsidRDefault="0064434C" w:rsidP="0064434C">
      <w:pPr>
        <w:pStyle w:val="Bodynumbered-Level1"/>
        <w:spacing w:after="120"/>
      </w:pPr>
      <w:bookmarkStart w:id="394" w:name="OLE_LINK5"/>
      <w:bookmarkStart w:id="395" w:name="OLE_LINK6"/>
      <w:r>
        <w:t>8.6.1</w:t>
      </w:r>
      <w:r>
        <w:tab/>
        <w:t xml:space="preserve">At any time during the due diligence assessment or the assessment proper, </w:t>
      </w:r>
      <w:r w:rsidRPr="004A2BFF">
        <w:t>the Department</w:t>
      </w:r>
      <w:r>
        <w:t xml:space="preserve"> </w:t>
      </w:r>
      <w:r w:rsidRPr="004A2BFF">
        <w:t>may:</w:t>
      </w:r>
    </w:p>
    <w:p w14:paraId="3DAED02B" w14:textId="77777777" w:rsidR="0064434C" w:rsidRDefault="0064434C" w:rsidP="000C7638">
      <w:pPr>
        <w:pStyle w:val="Bodynumbered-Level3"/>
        <w:spacing w:before="120" w:after="120"/>
        <w:ind w:left="1494" w:hanging="644"/>
        <w:rPr>
          <w:rFonts w:cs="Calibri"/>
        </w:rPr>
      </w:pPr>
      <w:r>
        <w:t>(a)</w:t>
      </w:r>
      <w:r>
        <w:tab/>
      </w:r>
      <w:r w:rsidRPr="005219B8">
        <w:t>contact applicants to check information t</w:t>
      </w:r>
      <w:r>
        <w:rPr>
          <w:rFonts w:cs="Calibri"/>
        </w:rPr>
        <w:t>hat may be ambiguous or unclear;</w:t>
      </w:r>
    </w:p>
    <w:p w14:paraId="7674D95C" w14:textId="77777777" w:rsidR="0064434C" w:rsidRPr="00C65758" w:rsidRDefault="0064434C" w:rsidP="000C7638">
      <w:pPr>
        <w:pStyle w:val="Bodynumbered-Level3"/>
        <w:spacing w:before="120" w:after="120"/>
        <w:ind w:left="1494" w:hanging="644"/>
        <w:rPr>
          <w:rFonts w:cs="Calibri"/>
        </w:rPr>
      </w:pPr>
      <w:r>
        <w:t>(b)</w:t>
      </w:r>
      <w:r>
        <w:tab/>
      </w:r>
      <w:r w:rsidRPr="0071228C">
        <w:t>seek either additional information or seek clarification of certain information to assist its assessment of applications</w:t>
      </w:r>
      <w:r>
        <w:t>; and/or</w:t>
      </w:r>
    </w:p>
    <w:p w14:paraId="7BC39328" w14:textId="77777777" w:rsidR="0064434C" w:rsidRPr="007A0F01" w:rsidRDefault="0064434C" w:rsidP="000C7638">
      <w:pPr>
        <w:pStyle w:val="Bodynumbered-Level3"/>
        <w:spacing w:before="120" w:after="120"/>
        <w:ind w:left="1494" w:hanging="644"/>
        <w:rPr>
          <w:rFonts w:cs="Calibri"/>
        </w:rPr>
      </w:pPr>
      <w:r>
        <w:t>(c)</w:t>
      </w:r>
      <w:r>
        <w:tab/>
      </w:r>
      <w:r w:rsidRPr="005219B8">
        <w:t>seek expert advice to verify claims made.</w:t>
      </w:r>
    </w:p>
    <w:p w14:paraId="18F165BC" w14:textId="77777777" w:rsidR="0064434C" w:rsidRPr="004A42B3" w:rsidRDefault="000C7638" w:rsidP="000C7638">
      <w:pPr>
        <w:pStyle w:val="Heading3"/>
      </w:pPr>
      <w:bookmarkStart w:id="396" w:name="_Toc393904253"/>
      <w:bookmarkStart w:id="397" w:name="_Toc390632794"/>
      <w:bookmarkStart w:id="398" w:name="_Toc390637639"/>
      <w:bookmarkStart w:id="399" w:name="_Toc390637740"/>
      <w:bookmarkStart w:id="400" w:name="_Toc390637819"/>
      <w:bookmarkStart w:id="401" w:name="_Toc390637901"/>
      <w:bookmarkStart w:id="402" w:name="_Toc390639086"/>
      <w:bookmarkStart w:id="403" w:name="_Toc390640641"/>
      <w:bookmarkStart w:id="404" w:name="_Ref390200173"/>
      <w:bookmarkStart w:id="405" w:name="_Toc393908579"/>
      <w:bookmarkStart w:id="406" w:name="_Toc405380443"/>
      <w:bookmarkStart w:id="407" w:name="_Toc441049699"/>
      <w:bookmarkStart w:id="408" w:name="_Toc497901440"/>
      <w:bookmarkStart w:id="409" w:name="_Toc156213057"/>
      <w:bookmarkEnd w:id="394"/>
      <w:bookmarkEnd w:id="395"/>
      <w:bookmarkEnd w:id="396"/>
      <w:bookmarkEnd w:id="397"/>
      <w:bookmarkEnd w:id="398"/>
      <w:bookmarkEnd w:id="399"/>
      <w:bookmarkEnd w:id="400"/>
      <w:bookmarkEnd w:id="401"/>
      <w:bookmarkEnd w:id="402"/>
      <w:bookmarkEnd w:id="403"/>
      <w:r>
        <w:t xml:space="preserve">9. </w:t>
      </w:r>
      <w:r w:rsidR="0064434C" w:rsidRPr="008004F8">
        <w:t>Assessment</w:t>
      </w:r>
      <w:r w:rsidR="0064434C">
        <w:t xml:space="preserve"> process</w:t>
      </w:r>
      <w:bookmarkEnd w:id="404"/>
      <w:bookmarkEnd w:id="405"/>
      <w:bookmarkEnd w:id="406"/>
      <w:bookmarkEnd w:id="407"/>
      <w:bookmarkEnd w:id="408"/>
      <w:bookmarkEnd w:id="409"/>
    </w:p>
    <w:p w14:paraId="7FD8AF0A" w14:textId="77777777" w:rsidR="0064434C" w:rsidRDefault="000C7638" w:rsidP="000C7638">
      <w:pPr>
        <w:pStyle w:val="Heading4"/>
      </w:pPr>
      <w:bookmarkStart w:id="410" w:name="_Toc388444093"/>
      <w:bookmarkStart w:id="411" w:name="_Toc388453731"/>
      <w:bookmarkStart w:id="412" w:name="_Toc388523556"/>
      <w:bookmarkStart w:id="413" w:name="_Toc388524863"/>
      <w:bookmarkStart w:id="414" w:name="_Toc388525272"/>
      <w:bookmarkStart w:id="415" w:name="_Toc388963716"/>
      <w:bookmarkStart w:id="416" w:name="_Toc389122754"/>
      <w:bookmarkStart w:id="417" w:name="_Toc441049700"/>
      <w:bookmarkStart w:id="418" w:name="_Toc497901441"/>
      <w:bookmarkStart w:id="419" w:name="_Toc156213058"/>
      <w:bookmarkStart w:id="420" w:name="_Toc386635495"/>
      <w:bookmarkStart w:id="421" w:name="_Toc393908580"/>
      <w:bookmarkStart w:id="422" w:name="_Toc405380444"/>
      <w:bookmarkEnd w:id="410"/>
      <w:bookmarkEnd w:id="411"/>
      <w:bookmarkEnd w:id="412"/>
      <w:bookmarkEnd w:id="413"/>
      <w:bookmarkEnd w:id="414"/>
      <w:bookmarkEnd w:id="415"/>
      <w:bookmarkEnd w:id="416"/>
      <w:r>
        <w:t xml:space="preserve">9.1 </w:t>
      </w:r>
      <w:r w:rsidR="0064434C">
        <w:t xml:space="preserve">Application </w:t>
      </w:r>
      <w:r w:rsidR="0064434C" w:rsidRPr="008004F8">
        <w:t>completeness</w:t>
      </w:r>
      <w:r w:rsidR="0064434C">
        <w:t xml:space="preserve"> check</w:t>
      </w:r>
      <w:bookmarkEnd w:id="417"/>
      <w:bookmarkEnd w:id="418"/>
      <w:bookmarkEnd w:id="419"/>
    </w:p>
    <w:p w14:paraId="36C0195B" w14:textId="77777777" w:rsidR="0064434C" w:rsidRPr="004A2BFF" w:rsidRDefault="0064434C" w:rsidP="0064434C">
      <w:pPr>
        <w:pStyle w:val="Bodynumbered-Level1"/>
      </w:pPr>
      <w:r>
        <w:t>9.1.1</w:t>
      </w:r>
      <w:r>
        <w:tab/>
      </w:r>
      <w:r w:rsidRPr="004A2BFF">
        <w:t>Following the closing date for applications, the Department will undertake an initial check to ensure each application</w:t>
      </w:r>
      <w:r>
        <w:t xml:space="preserve"> is complete and all necessary supporting documentation has been submitted as part of the application.</w:t>
      </w:r>
      <w:r w:rsidRPr="004A2BFF">
        <w:t xml:space="preserve"> </w:t>
      </w:r>
      <w:r>
        <w:t>T</w:t>
      </w:r>
      <w:r w:rsidRPr="004A2BFF">
        <w:t>he Department may</w:t>
      </w:r>
      <w:r>
        <w:t>,</w:t>
      </w:r>
      <w:r w:rsidRPr="004A2BFF">
        <w:t xml:space="preserve"> at its</w:t>
      </w:r>
      <w:r>
        <w:t xml:space="preserve"> absolute</w:t>
      </w:r>
      <w:r w:rsidRPr="004A2BFF">
        <w:t xml:space="preserve"> discretion</w:t>
      </w:r>
      <w:r>
        <w:t>,</w:t>
      </w:r>
      <w:r w:rsidRPr="004A2BFF">
        <w:t xml:space="preserve"> contact </w:t>
      </w:r>
      <w:r>
        <w:t>an</w:t>
      </w:r>
      <w:r w:rsidRPr="004A2BFF">
        <w:t xml:space="preserve"> applican</w:t>
      </w:r>
      <w:r>
        <w:t>t to request missing information.</w:t>
      </w:r>
    </w:p>
    <w:p w14:paraId="02998251" w14:textId="77777777" w:rsidR="0064434C" w:rsidRPr="004C24B9" w:rsidRDefault="000C7638" w:rsidP="000C7638">
      <w:pPr>
        <w:pStyle w:val="Heading4"/>
      </w:pPr>
      <w:bookmarkStart w:id="423" w:name="_Toc434092381"/>
      <w:bookmarkStart w:id="424" w:name="_Toc434093391"/>
      <w:bookmarkStart w:id="425" w:name="_Toc434093533"/>
      <w:bookmarkStart w:id="426" w:name="_Toc434228378"/>
      <w:bookmarkStart w:id="427" w:name="_Toc434841069"/>
      <w:bookmarkStart w:id="428" w:name="_Toc435080409"/>
      <w:bookmarkStart w:id="429" w:name="_Toc434092382"/>
      <w:bookmarkStart w:id="430" w:name="_Toc434093392"/>
      <w:bookmarkStart w:id="431" w:name="_Toc434093534"/>
      <w:bookmarkStart w:id="432" w:name="_Toc434228379"/>
      <w:bookmarkStart w:id="433" w:name="_Toc434841070"/>
      <w:bookmarkStart w:id="434" w:name="_Toc435080410"/>
      <w:bookmarkStart w:id="435" w:name="_Toc405380445"/>
      <w:bookmarkStart w:id="436" w:name="_Toc441049701"/>
      <w:bookmarkStart w:id="437" w:name="_Toc497901442"/>
      <w:bookmarkStart w:id="438" w:name="_Toc15621305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lastRenderedPageBreak/>
        <w:t xml:space="preserve">9.2 </w:t>
      </w:r>
      <w:r w:rsidR="0064434C" w:rsidRPr="004C24B9">
        <w:t>Risk assessment</w:t>
      </w:r>
      <w:bookmarkEnd w:id="435"/>
      <w:bookmarkEnd w:id="436"/>
      <w:bookmarkEnd w:id="437"/>
      <w:bookmarkEnd w:id="438"/>
    </w:p>
    <w:p w14:paraId="56291120" w14:textId="77777777" w:rsidR="0064434C" w:rsidRPr="004C24B9" w:rsidRDefault="0064434C" w:rsidP="0064434C">
      <w:pPr>
        <w:pStyle w:val="Bodynumbered-Level1"/>
      </w:pPr>
      <w:r>
        <w:t>9.2.1</w:t>
      </w:r>
      <w:r>
        <w:tab/>
      </w:r>
      <w:r w:rsidRPr="004C24B9">
        <w:t>The Department will conduct an overall risk assessment in rela</w:t>
      </w:r>
      <w:r>
        <w:t>tion to the suitability of the a</w:t>
      </w:r>
      <w:r w:rsidRPr="004C24B9">
        <w:t xml:space="preserve">pplicants (and applications) for funding under the </w:t>
      </w:r>
      <w:r>
        <w:t>Program</w:t>
      </w:r>
      <w:r w:rsidRPr="004C24B9">
        <w:t>.</w:t>
      </w:r>
    </w:p>
    <w:p w14:paraId="0082DF35" w14:textId="77777777" w:rsidR="0064434C" w:rsidRPr="00671139" w:rsidRDefault="000C7638" w:rsidP="000C7638">
      <w:pPr>
        <w:pStyle w:val="Heading4"/>
      </w:pPr>
      <w:bookmarkStart w:id="439" w:name="_Toc404350984"/>
      <w:bookmarkStart w:id="440" w:name="_Toc393904257"/>
      <w:bookmarkStart w:id="441" w:name="_Toc393904258"/>
      <w:bookmarkStart w:id="442" w:name="_Toc386635497"/>
      <w:bookmarkStart w:id="443" w:name="_Toc393908581"/>
      <w:bookmarkStart w:id="444" w:name="_Toc405380446"/>
      <w:bookmarkStart w:id="445" w:name="_Toc441049702"/>
      <w:bookmarkStart w:id="446" w:name="_Toc497901443"/>
      <w:bookmarkStart w:id="447" w:name="_Toc156213060"/>
      <w:bookmarkEnd w:id="439"/>
      <w:bookmarkEnd w:id="440"/>
      <w:bookmarkEnd w:id="441"/>
      <w:r>
        <w:t xml:space="preserve">9.3 </w:t>
      </w:r>
      <w:r w:rsidR="0064434C" w:rsidRPr="00E04541">
        <w:t>Initial assessment</w:t>
      </w:r>
      <w:bookmarkEnd w:id="442"/>
      <w:bookmarkEnd w:id="443"/>
      <w:bookmarkEnd w:id="444"/>
      <w:bookmarkEnd w:id="445"/>
      <w:bookmarkEnd w:id="446"/>
      <w:bookmarkEnd w:id="447"/>
    </w:p>
    <w:p w14:paraId="37B9B1EC" w14:textId="77777777" w:rsidR="0064434C" w:rsidRDefault="0064434C" w:rsidP="0064434C">
      <w:pPr>
        <w:pStyle w:val="Bodynumbered-Level1"/>
      </w:pPr>
      <w:r>
        <w:t>9.3.1</w:t>
      </w:r>
      <w:r>
        <w:tab/>
      </w:r>
      <w:r w:rsidRPr="00593727">
        <w:t xml:space="preserve">Following confirmation that the applications are complete, the </w:t>
      </w:r>
      <w:r>
        <w:t>a</w:t>
      </w:r>
      <w:r w:rsidRPr="00593727">
        <w:t xml:space="preserve">ssessment </w:t>
      </w:r>
      <w:r>
        <w:t>c</w:t>
      </w:r>
      <w:r w:rsidRPr="00593727">
        <w:t xml:space="preserve">riteria will be used by the Department to undertake the initial evaluation of applications received for the Program, including an assessment of whether the minimum requirements set out in section 5 of these Guidelines have been satisfied. Proposed Solutions that do not meet the minimum requirements may, at the Department’s absolute discretion, be excluded from further consideration. </w:t>
      </w:r>
    </w:p>
    <w:p w14:paraId="69EB7104" w14:textId="77777777" w:rsidR="0064434C" w:rsidRPr="004A2BFF" w:rsidRDefault="0064434C" w:rsidP="0064434C">
      <w:pPr>
        <w:spacing w:after="240"/>
        <w:ind w:left="720" w:hanging="720"/>
      </w:pPr>
      <w:r>
        <w:t>9.3.2</w:t>
      </w:r>
      <w:r>
        <w:tab/>
      </w:r>
      <w:r w:rsidRPr="00593727">
        <w:t xml:space="preserve">The Department will review each Proposed Solution against the </w:t>
      </w:r>
      <w:r>
        <w:t>a</w:t>
      </w:r>
      <w:r w:rsidRPr="00593727">
        <w:t xml:space="preserve">ssessment </w:t>
      </w:r>
      <w:r>
        <w:t>c</w:t>
      </w:r>
      <w:r w:rsidRPr="00593727">
        <w:t>riteria, and will rank each Proposed Solution accordingly. Applicants must provide evidence to back up claims made in their applications, including mapping data on coverage claims in a format required by the Department (as per section 8.3.2(h)), and network statistics relating to capacity and/or service quality for sectors currently servicing a Priority Loc</w:t>
      </w:r>
      <w:r>
        <w:t>ation (as per section 8.3.2(</w:t>
      </w:r>
      <w:proofErr w:type="spellStart"/>
      <w:r>
        <w:t>i</w:t>
      </w:r>
      <w:proofErr w:type="spellEnd"/>
      <w:r>
        <w:t>)).</w:t>
      </w:r>
    </w:p>
    <w:p w14:paraId="085B9A4C" w14:textId="77777777" w:rsidR="0064434C" w:rsidRDefault="0064434C" w:rsidP="0064434C">
      <w:pPr>
        <w:pStyle w:val="Bodynumbered-Level1"/>
      </w:pPr>
      <w:bookmarkStart w:id="448" w:name="_Ref389785158"/>
      <w:r>
        <w:t>9.3.3</w:t>
      </w:r>
      <w:r>
        <w:tab/>
      </w:r>
      <w:r w:rsidRPr="00593727">
        <w:t xml:space="preserve">Following this review process, the Department will prepare a list including one Proposed Solution for each of the Priority Locations for which there is either a mobile coverage issue, or </w:t>
      </w:r>
      <w:r>
        <w:t xml:space="preserve">both </w:t>
      </w:r>
      <w:r w:rsidRPr="00593727">
        <w:t xml:space="preserve">a mobile coverage and quality of service issue (the </w:t>
      </w:r>
      <w:r w:rsidRPr="00593727">
        <w:rPr>
          <w:b/>
        </w:rPr>
        <w:t>Mobile Coverage Draft Merit List</w:t>
      </w:r>
      <w:r w:rsidRPr="00593727">
        <w:t>).</w:t>
      </w:r>
    </w:p>
    <w:p w14:paraId="3D3B020B" w14:textId="77777777" w:rsidR="0064434C" w:rsidRDefault="0064434C" w:rsidP="0064434C">
      <w:pPr>
        <w:pStyle w:val="Bodynumbered-Level1"/>
      </w:pPr>
      <w:r>
        <w:t>9.3.4</w:t>
      </w:r>
      <w:r>
        <w:tab/>
      </w:r>
      <w:r w:rsidRPr="00593727">
        <w:t xml:space="preserve">The Department will </w:t>
      </w:r>
      <w:r>
        <w:t xml:space="preserve">also </w:t>
      </w:r>
      <w:r w:rsidRPr="00593727">
        <w:t>prepare a list for each of the Priority Locations for which there is a quality of service issue (and no mobile coverage issue) (</w:t>
      </w:r>
      <w:r w:rsidRPr="00B64709">
        <w:t>the</w:t>
      </w:r>
      <w:r w:rsidRPr="00593727">
        <w:rPr>
          <w:b/>
        </w:rPr>
        <w:t xml:space="preserve"> Quality of Service Draft Merit List</w:t>
      </w:r>
      <w:r w:rsidRPr="00593727">
        <w:t>).</w:t>
      </w:r>
    </w:p>
    <w:p w14:paraId="1BCA2ED3" w14:textId="77777777" w:rsidR="0064434C" w:rsidRDefault="0064434C" w:rsidP="0064434C">
      <w:pPr>
        <w:pStyle w:val="Bodynumbered-Level1"/>
      </w:pPr>
      <w:r>
        <w:t>9.3.5</w:t>
      </w:r>
      <w:r>
        <w:tab/>
      </w:r>
      <w:r w:rsidRPr="00593727">
        <w:t xml:space="preserve">All other Proposed Solutions for each Priority Location will be grouped in two separate lists (the </w:t>
      </w:r>
      <w:r w:rsidRPr="00593727">
        <w:rPr>
          <w:b/>
        </w:rPr>
        <w:t>Secondary Mobile Coverage Draft Merit List</w:t>
      </w:r>
      <w:r w:rsidRPr="00593727">
        <w:t>, and the</w:t>
      </w:r>
      <w:r w:rsidRPr="00593727">
        <w:rPr>
          <w:b/>
        </w:rPr>
        <w:t xml:space="preserve"> Secondary Quality of Service Draft Merit List</w:t>
      </w:r>
      <w:r w:rsidRPr="00593727">
        <w:t>).</w:t>
      </w:r>
    </w:p>
    <w:p w14:paraId="36730B6D" w14:textId="77777777" w:rsidR="0064434C" w:rsidRPr="00F12602" w:rsidRDefault="000C7638" w:rsidP="000C7638">
      <w:pPr>
        <w:pStyle w:val="Heading4"/>
      </w:pPr>
      <w:bookmarkStart w:id="449" w:name="_Toc441049703"/>
      <w:bookmarkStart w:id="450" w:name="_Toc497901444"/>
      <w:bookmarkStart w:id="451" w:name="_Toc156213061"/>
      <w:r>
        <w:t xml:space="preserve">9.4 </w:t>
      </w:r>
      <w:r w:rsidR="0064434C" w:rsidRPr="00F12602">
        <w:t>Establish funding cut-off point</w:t>
      </w:r>
      <w:bookmarkEnd w:id="449"/>
      <w:bookmarkEnd w:id="450"/>
      <w:bookmarkEnd w:id="451"/>
    </w:p>
    <w:p w14:paraId="768A25F7" w14:textId="77777777" w:rsidR="0064434C" w:rsidRPr="00593727" w:rsidRDefault="0064434C" w:rsidP="00A5464C">
      <w:pPr>
        <w:pStyle w:val="ListParagraph"/>
        <w:numPr>
          <w:ilvl w:val="2"/>
          <w:numId w:val="44"/>
        </w:numPr>
        <w:spacing w:before="240" w:after="240"/>
        <w:ind w:left="709" w:hanging="709"/>
      </w:pPr>
      <w:r w:rsidRPr="00593727">
        <w:t>Of the $60 million (GST exclusive) in funding available:</w:t>
      </w:r>
    </w:p>
    <w:p w14:paraId="2CDF7EFA" w14:textId="77777777" w:rsidR="0064434C" w:rsidRPr="00593727" w:rsidRDefault="0064434C" w:rsidP="000C7638">
      <w:pPr>
        <w:pStyle w:val="Listparagraphbulletssecondlevel"/>
      </w:pPr>
      <w:r w:rsidRPr="00593727">
        <w:t>$54 million will be allocated towards funding Proposed Solutions from the Mobile Coverage Draft Merit List</w:t>
      </w:r>
      <w:r>
        <w:t>; and</w:t>
      </w:r>
    </w:p>
    <w:p w14:paraId="1516F53F" w14:textId="77777777" w:rsidR="0064434C" w:rsidRPr="00593727" w:rsidRDefault="0064434C" w:rsidP="000C7638">
      <w:pPr>
        <w:pStyle w:val="Listparagraphbulletssecondlevel"/>
      </w:pPr>
      <w:r w:rsidRPr="00593727">
        <w:t>$6 million will be allocated towards funding Proposed Solutions from the Quality of Service Draft Merit List.</w:t>
      </w:r>
    </w:p>
    <w:p w14:paraId="2CCB1CBF" w14:textId="77777777" w:rsidR="0064434C" w:rsidRPr="00593727" w:rsidRDefault="0064434C" w:rsidP="00A5464C">
      <w:pPr>
        <w:pStyle w:val="ListParagraph"/>
        <w:numPr>
          <w:ilvl w:val="2"/>
          <w:numId w:val="44"/>
        </w:numPr>
        <w:spacing w:before="240" w:after="240"/>
        <w:ind w:left="709"/>
      </w:pPr>
      <w:r w:rsidRPr="00593727">
        <w:t>If funding remains after all solutions are funded from the Mobile Coverage Draft Merit List, and unfunded Proposed Solutions remain on the Quality of Service Draft Merit List, then the Department may recommend that the unallocated funds be used to fund the Proposed Solutions on the Quality of Service Draft Merit List.</w:t>
      </w:r>
    </w:p>
    <w:p w14:paraId="071AA155" w14:textId="77777777" w:rsidR="0064434C" w:rsidRDefault="0064434C" w:rsidP="00A5464C">
      <w:pPr>
        <w:numPr>
          <w:ilvl w:val="2"/>
          <w:numId w:val="44"/>
        </w:numPr>
        <w:spacing w:before="240" w:after="240"/>
        <w:ind w:left="720"/>
      </w:pPr>
      <w:bookmarkStart w:id="452" w:name="_Toc441049704"/>
      <w:bookmarkEnd w:id="448"/>
      <w:r w:rsidRPr="00593727">
        <w:t>Correspondingly, if funding remains after all solutions are funded from the Quality of Service Draft Merit List, and unfunded Proposed Solutions remain on the Mobile Coverage Draft Merit List, then the Department may recommend that the unallocated funds be used to fund the Proposed Solutions on the Mobile Coverage Draft Merit List.</w:t>
      </w:r>
    </w:p>
    <w:p w14:paraId="23ABFA78" w14:textId="77777777" w:rsidR="0064434C" w:rsidRPr="006D4F26" w:rsidRDefault="0064434C" w:rsidP="0064434C">
      <w:pPr>
        <w:ind w:left="720" w:hanging="720"/>
      </w:pPr>
      <w:r>
        <w:t>9.4.4</w:t>
      </w:r>
      <w:r>
        <w:tab/>
      </w:r>
      <w:r w:rsidRPr="00593727">
        <w:t xml:space="preserve">If funding is still available after the process undertaken under 9.4.1, 9.4.2 and 9.4.3, the Department may recommend that locations be funded from the Secondary Mobile Coverage Draft Merit List, and the Secondary Quality of Service Draft Merit List. A value for money assessment may be undertaken in comparing the relative merits from Proposed Solutions from </w:t>
      </w:r>
      <w:r w:rsidRPr="00593727">
        <w:lastRenderedPageBreak/>
        <w:t>different Merit Lists. This may entail more than one Proposed Solution being funded at one or more Priority Locations</w:t>
      </w:r>
      <w:bookmarkEnd w:id="452"/>
      <w:r w:rsidR="004F28B1">
        <w:t>.</w:t>
      </w:r>
    </w:p>
    <w:p w14:paraId="17B4971A" w14:textId="77777777" w:rsidR="0064434C" w:rsidRDefault="000C7638" w:rsidP="000C7638">
      <w:pPr>
        <w:pStyle w:val="Heading4"/>
      </w:pPr>
      <w:bookmarkStart w:id="453" w:name="_Toc491696432"/>
      <w:bookmarkStart w:id="454" w:name="_Toc491856731"/>
      <w:bookmarkStart w:id="455" w:name="_Toc492453771"/>
      <w:bookmarkStart w:id="456" w:name="_Toc492458189"/>
      <w:bookmarkStart w:id="457" w:name="_Toc441049705"/>
      <w:bookmarkStart w:id="458" w:name="_Toc497901445"/>
      <w:bookmarkStart w:id="459" w:name="_Toc156213062"/>
      <w:bookmarkEnd w:id="453"/>
      <w:bookmarkEnd w:id="454"/>
      <w:bookmarkEnd w:id="455"/>
      <w:bookmarkEnd w:id="456"/>
      <w:r>
        <w:t xml:space="preserve">9.5 </w:t>
      </w:r>
      <w:r w:rsidR="0064434C">
        <w:t>Value for money assessment</w:t>
      </w:r>
      <w:bookmarkEnd w:id="457"/>
      <w:bookmarkEnd w:id="458"/>
      <w:bookmarkEnd w:id="459"/>
    </w:p>
    <w:p w14:paraId="06157B31" w14:textId="77777777" w:rsidR="0064434C" w:rsidRDefault="0064434C" w:rsidP="0064434C">
      <w:pPr>
        <w:pStyle w:val="Bodynumbered-Level1"/>
      </w:pPr>
      <w:r>
        <w:t>9.5.1</w:t>
      </w:r>
      <w:r>
        <w:tab/>
      </w:r>
      <w:r w:rsidRPr="00593727">
        <w:t>The Department will undertake an assessment of the value for money to the Commonwealth for all Proposed Solutions to be recommended for funding</w:t>
      </w:r>
      <w:r>
        <w:t xml:space="preserve"> (see 2.2.3, 5.3.2, 9.4.4, 10.3, 10.4, 13.4.3).</w:t>
      </w:r>
    </w:p>
    <w:p w14:paraId="0123C9DE" w14:textId="77777777" w:rsidR="0064434C" w:rsidRPr="00E73360" w:rsidRDefault="0064434C" w:rsidP="0064434C">
      <w:pPr>
        <w:pStyle w:val="Bodynumbered-Level1"/>
      </w:pPr>
      <w:r>
        <w:t>9.5.2</w:t>
      </w:r>
      <w:r>
        <w:tab/>
      </w:r>
      <w:r w:rsidRPr="00593727">
        <w:t>In ensuring there is a Proposed Solution recommended for funding for each of the Priority Locations the Department may, at its absolute discretion, recommend increasing the level of Commonwealth funding for one or more Proposed Solutions above the $500,000 (GST inclusive) cap.</w:t>
      </w:r>
    </w:p>
    <w:p w14:paraId="5503EC90" w14:textId="77777777" w:rsidR="0064434C" w:rsidRDefault="000C7638" w:rsidP="000C7638">
      <w:pPr>
        <w:pStyle w:val="Heading4"/>
      </w:pPr>
      <w:bookmarkStart w:id="460" w:name="_Toc497901446"/>
      <w:bookmarkStart w:id="461" w:name="_Toc156213063"/>
      <w:bookmarkStart w:id="462" w:name="_Toc441049706"/>
      <w:r>
        <w:t xml:space="preserve">9.6 </w:t>
      </w:r>
      <w:r w:rsidR="0064434C">
        <w:t>Terms of Grant Agreement</w:t>
      </w:r>
      <w:bookmarkEnd w:id="460"/>
      <w:bookmarkEnd w:id="461"/>
    </w:p>
    <w:p w14:paraId="129742E2" w14:textId="77777777" w:rsidR="0064434C" w:rsidRPr="00AA5E99" w:rsidRDefault="0064434C" w:rsidP="0064434C">
      <w:pPr>
        <w:pStyle w:val="Bodynumbered-Level1"/>
      </w:pPr>
      <w:r>
        <w:t>9.6.1</w:t>
      </w:r>
      <w:r>
        <w:tab/>
      </w:r>
      <w:r w:rsidRPr="00593727">
        <w:t xml:space="preserve">The Department </w:t>
      </w:r>
      <w:r>
        <w:t>may reject</w:t>
      </w:r>
      <w:r w:rsidRPr="00593727">
        <w:t xml:space="preserve"> any Proposed Solutions included in an application where the applicant has not reached agreement with the Commonwealth on the terms of the </w:t>
      </w:r>
      <w:r>
        <w:t>Grant Agreement</w:t>
      </w:r>
      <w:r w:rsidRPr="00593727">
        <w:t xml:space="preserve"> within the </w:t>
      </w:r>
      <w:r>
        <w:t>a</w:t>
      </w:r>
      <w:r w:rsidRPr="00593727">
        <w:t xml:space="preserve">ssessment of </w:t>
      </w:r>
      <w:r>
        <w:t>a</w:t>
      </w:r>
      <w:r w:rsidRPr="00593727">
        <w:t xml:space="preserve">pplications </w:t>
      </w:r>
      <w:r>
        <w:t>p</w:t>
      </w:r>
      <w:r w:rsidRPr="00593727">
        <w:t xml:space="preserve">eriod </w:t>
      </w:r>
      <w:r w:rsidRPr="001E261D">
        <w:t>at section 13.5.</w:t>
      </w:r>
    </w:p>
    <w:p w14:paraId="4FED8CA0" w14:textId="77777777" w:rsidR="0064434C" w:rsidRPr="00B4284B" w:rsidRDefault="000C7638" w:rsidP="000C7638">
      <w:pPr>
        <w:pStyle w:val="Heading4"/>
      </w:pPr>
      <w:bookmarkStart w:id="463" w:name="_Toc497901447"/>
      <w:bookmarkStart w:id="464" w:name="_Toc156213064"/>
      <w:r>
        <w:t xml:space="preserve">9.7 </w:t>
      </w:r>
      <w:r w:rsidR="0064434C" w:rsidRPr="00B4284B">
        <w:t>Merit List</w:t>
      </w:r>
      <w:bookmarkEnd w:id="462"/>
      <w:bookmarkEnd w:id="463"/>
      <w:bookmarkEnd w:id="464"/>
    </w:p>
    <w:p w14:paraId="6738BCA0" w14:textId="77777777" w:rsidR="0064434C" w:rsidRDefault="0064434C" w:rsidP="0064434C">
      <w:pPr>
        <w:pStyle w:val="Bodynumbered-Level1"/>
      </w:pPr>
      <w:r>
        <w:t>9.7.1</w:t>
      </w:r>
      <w:r>
        <w:tab/>
      </w:r>
      <w:r w:rsidRPr="00593727">
        <w:t xml:space="preserve">The list of Proposed Solutions that the Department will recommend to be Funded Solutions when the process set out in this section 9 is completed is the </w:t>
      </w:r>
      <w:r w:rsidRPr="00593727">
        <w:rPr>
          <w:b/>
        </w:rPr>
        <w:t>Merit List</w:t>
      </w:r>
      <w:r w:rsidRPr="00593727">
        <w:t>.</w:t>
      </w:r>
    </w:p>
    <w:p w14:paraId="06A9328D" w14:textId="77777777" w:rsidR="0064434C" w:rsidRPr="00974B15" w:rsidRDefault="0064434C" w:rsidP="0064434C">
      <w:pPr>
        <w:pStyle w:val="Bodynumbered-Level1"/>
      </w:pPr>
      <w:r>
        <w:t>9.7.2</w:t>
      </w:r>
      <w:r>
        <w:tab/>
      </w:r>
      <w:r w:rsidRPr="00593727">
        <w:t xml:space="preserve">Subject to section 9.3.3, the Department will provide the Merit List to the Minister for Regional Communications as the </w:t>
      </w:r>
      <w:r w:rsidRPr="00593727">
        <w:rPr>
          <w:b/>
        </w:rPr>
        <w:t>Decision Maker</w:t>
      </w:r>
      <w:r w:rsidRPr="00593727">
        <w:t>, including the assessment of the overall value for money to the Commonwealth for each Proposed Solution recommended for funding.</w:t>
      </w:r>
    </w:p>
    <w:p w14:paraId="2404F855" w14:textId="77777777" w:rsidR="0064434C" w:rsidRDefault="0064434C" w:rsidP="0064434C">
      <w:pPr>
        <w:pStyle w:val="Bodynumbered-Level1"/>
      </w:pPr>
      <w:r>
        <w:t>9.7.3</w:t>
      </w:r>
      <w:r>
        <w:tab/>
      </w:r>
      <w:r w:rsidRPr="00593727">
        <w:t>In establishing the Merit List, the Department will exercise its own judgement in determining if any changes are required to give best effect to the overall Program objectives regarding improved coverage and competition.</w:t>
      </w:r>
    </w:p>
    <w:p w14:paraId="6DB795B0" w14:textId="77777777" w:rsidR="0064434C" w:rsidRDefault="000C7638" w:rsidP="000C7638">
      <w:pPr>
        <w:pStyle w:val="Heading4"/>
      </w:pPr>
      <w:bookmarkStart w:id="465" w:name="_Toc393904260"/>
      <w:bookmarkStart w:id="466" w:name="_Toc393904261"/>
      <w:bookmarkStart w:id="467" w:name="_Toc434092390"/>
      <w:bookmarkStart w:id="468" w:name="_Toc434093400"/>
      <w:bookmarkStart w:id="469" w:name="_Toc434093542"/>
      <w:bookmarkStart w:id="470" w:name="_Toc434228387"/>
      <w:bookmarkStart w:id="471" w:name="_Toc434841078"/>
      <w:bookmarkStart w:id="472" w:name="_Toc435080418"/>
      <w:bookmarkStart w:id="473" w:name="_Toc397462788"/>
      <w:bookmarkStart w:id="474" w:name="_Toc397501060"/>
      <w:bookmarkStart w:id="475" w:name="_Toc397501538"/>
      <w:bookmarkStart w:id="476" w:name="_Toc397462789"/>
      <w:bookmarkStart w:id="477" w:name="_Toc397501061"/>
      <w:bookmarkStart w:id="478" w:name="_Toc397501539"/>
      <w:bookmarkStart w:id="479" w:name="_Toc393908583"/>
      <w:bookmarkStart w:id="480" w:name="_Toc405380448"/>
      <w:bookmarkStart w:id="481" w:name="_Toc441049707"/>
      <w:bookmarkStart w:id="482" w:name="_Toc497901448"/>
      <w:bookmarkStart w:id="483" w:name="_Toc156213065"/>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t xml:space="preserve">9.8 </w:t>
      </w:r>
      <w:r w:rsidR="0064434C">
        <w:t>Use of satellite backhaul</w:t>
      </w:r>
      <w:bookmarkEnd w:id="479"/>
      <w:bookmarkEnd w:id="480"/>
      <w:bookmarkEnd w:id="481"/>
      <w:bookmarkEnd w:id="482"/>
      <w:bookmarkEnd w:id="483"/>
    </w:p>
    <w:p w14:paraId="36F685B6" w14:textId="77777777" w:rsidR="0064434C" w:rsidRPr="00625E41" w:rsidRDefault="0064434C" w:rsidP="0064434C">
      <w:pPr>
        <w:pStyle w:val="Bodynumbered-Level1"/>
      </w:pPr>
      <w:r>
        <w:t>9.8.1</w:t>
      </w:r>
      <w:r>
        <w:tab/>
      </w:r>
      <w:r w:rsidRPr="00625E41">
        <w:t xml:space="preserve">It is acknowledged that </w:t>
      </w:r>
      <w:r w:rsidRPr="00836840">
        <w:t xml:space="preserve">satellite backhaul </w:t>
      </w:r>
      <w:r>
        <w:t xml:space="preserve">has limitations in regards to the level </w:t>
      </w:r>
      <w:r w:rsidRPr="00625E41">
        <w:t xml:space="preserve">of </w:t>
      </w:r>
      <w:r>
        <w:t xml:space="preserve">mobile </w:t>
      </w:r>
      <w:r w:rsidRPr="00625E41">
        <w:t xml:space="preserve">service </w:t>
      </w:r>
      <w:r>
        <w:t xml:space="preserve">it can provide </w:t>
      </w:r>
      <w:r w:rsidRPr="00983713">
        <w:t xml:space="preserve">to consumers </w:t>
      </w:r>
      <w:r>
        <w:t xml:space="preserve">(as compared with </w:t>
      </w:r>
      <w:r w:rsidRPr="00625E41">
        <w:t>fibre and/or microwave backhaul</w:t>
      </w:r>
      <w:r>
        <w:t>)</w:t>
      </w:r>
      <w:r w:rsidRPr="00625E41">
        <w:t>.</w:t>
      </w:r>
    </w:p>
    <w:p w14:paraId="2A746BDD" w14:textId="77777777" w:rsidR="0064434C" w:rsidRDefault="0064434C" w:rsidP="0064434C">
      <w:pPr>
        <w:pStyle w:val="Bodynumbered-Level1"/>
      </w:pPr>
      <w:r>
        <w:t>9.8.2</w:t>
      </w:r>
      <w:r>
        <w:tab/>
        <w:t>If</w:t>
      </w:r>
      <w:r w:rsidRPr="00625E41">
        <w:t xml:space="preserve"> a </w:t>
      </w:r>
      <w:r>
        <w:t>location</w:t>
      </w:r>
      <w:r w:rsidRPr="00625E41">
        <w:t xml:space="preserve"> is </w:t>
      </w:r>
      <w:r>
        <w:t xml:space="preserve">proposed </w:t>
      </w:r>
      <w:r w:rsidRPr="00625E41">
        <w:t xml:space="preserve">to be served by </w:t>
      </w:r>
      <w:r>
        <w:t xml:space="preserve">one applicant using </w:t>
      </w:r>
      <w:r w:rsidRPr="00625E41">
        <w:t xml:space="preserve">satellite backhaul and by another applicant by fibre and/or microwave backhaul, the </w:t>
      </w:r>
      <w:r>
        <w:t>Department</w:t>
      </w:r>
      <w:r w:rsidRPr="00625E41">
        <w:t xml:space="preserve"> will consider the respective levels of service to be provided in assessing the two applications.</w:t>
      </w:r>
    </w:p>
    <w:p w14:paraId="4F5AC178" w14:textId="77777777" w:rsidR="0064434C" w:rsidRPr="000C7638" w:rsidRDefault="0064434C" w:rsidP="000C7638">
      <w:bookmarkStart w:id="484" w:name="_Toc378930107"/>
      <w:bookmarkStart w:id="485" w:name="_Toc378930231"/>
      <w:bookmarkStart w:id="486" w:name="_Toc386635499"/>
      <w:bookmarkStart w:id="487" w:name="_Ref387753323"/>
      <w:bookmarkStart w:id="488" w:name="_Ref388446483"/>
      <w:bookmarkStart w:id="489" w:name="_Ref389783847"/>
      <w:bookmarkStart w:id="490" w:name="_Ref389785016"/>
      <w:bookmarkStart w:id="491" w:name="_Toc393908584"/>
      <w:bookmarkStart w:id="492" w:name="_Toc405380449"/>
      <w:bookmarkStart w:id="493" w:name="_Toc441049708"/>
      <w:bookmarkEnd w:id="369"/>
      <w:bookmarkEnd w:id="370"/>
      <w:bookmarkEnd w:id="371"/>
      <w:bookmarkEnd w:id="372"/>
      <w:r w:rsidRPr="000C7638">
        <w:br w:type="page"/>
      </w:r>
    </w:p>
    <w:p w14:paraId="67BCFDAB" w14:textId="77777777" w:rsidR="0064434C" w:rsidRPr="00011C59" w:rsidRDefault="000C7638" w:rsidP="000C7638">
      <w:pPr>
        <w:pStyle w:val="Heading3"/>
      </w:pPr>
      <w:bookmarkStart w:id="494" w:name="_Toc497901449"/>
      <w:bookmarkStart w:id="495" w:name="_Toc156213066"/>
      <w:r>
        <w:lastRenderedPageBreak/>
        <w:t xml:space="preserve">10. </w:t>
      </w:r>
      <w:r w:rsidR="0064434C" w:rsidRPr="00011C59">
        <w:t xml:space="preserve">Assessment </w:t>
      </w:r>
      <w:bookmarkEnd w:id="484"/>
      <w:bookmarkEnd w:id="485"/>
      <w:bookmarkEnd w:id="486"/>
      <w:bookmarkEnd w:id="487"/>
      <w:bookmarkEnd w:id="488"/>
      <w:bookmarkEnd w:id="489"/>
      <w:bookmarkEnd w:id="490"/>
      <w:bookmarkEnd w:id="491"/>
      <w:bookmarkEnd w:id="492"/>
      <w:bookmarkEnd w:id="493"/>
      <w:r w:rsidR="0064434C">
        <w:t>Criteria</w:t>
      </w:r>
      <w:bookmarkEnd w:id="494"/>
      <w:bookmarkEnd w:id="495"/>
    </w:p>
    <w:p w14:paraId="585C8A99" w14:textId="77777777" w:rsidR="0064434C" w:rsidRDefault="0064434C" w:rsidP="0064434C">
      <w:pPr>
        <w:pStyle w:val="Bodynumbered-Level3"/>
        <w:ind w:left="709" w:hanging="709"/>
      </w:pPr>
      <w:r>
        <w:t>10.1</w:t>
      </w:r>
      <w:r>
        <w:tab/>
        <w:t>Proposed Solutions for each Priority Location</w:t>
      </w:r>
      <w:r w:rsidRPr="004A2BFF">
        <w:t xml:space="preserve"> will be assessed against the following </w:t>
      </w:r>
      <w:r w:rsidRPr="007631E0">
        <w:rPr>
          <w:b/>
        </w:rPr>
        <w:t>Assessment Formula</w:t>
      </w:r>
      <w:r>
        <w:t xml:space="preserve"> to derive the cost to the Commonwealth per weighted square kilometre of new handheld coverage</w:t>
      </w:r>
      <w:r w:rsidRPr="004A2BFF">
        <w:t>:</w:t>
      </w:r>
    </w:p>
    <w:p w14:paraId="713DE49F" w14:textId="77777777" w:rsidR="00575523" w:rsidRDefault="000C7638" w:rsidP="00575523">
      <w:pPr>
        <w:pStyle w:val="Bodynumbered-Level3"/>
        <w:tabs>
          <w:tab w:val="center" w:pos="4111"/>
          <w:tab w:val="left" w:pos="6646"/>
        </w:tabs>
        <w:spacing w:after="0"/>
        <w:ind w:left="1440" w:hanging="22"/>
      </w:pPr>
      <w:r>
        <w:tab/>
      </w:r>
      <w:r w:rsidR="00575523">
        <w:tab/>
      </w:r>
      <w:r w:rsidR="0064434C">
        <w:t>Cost to the Commonwealth ($)</w:t>
      </w:r>
    </w:p>
    <w:p w14:paraId="6E78AE2E" w14:textId="77777777" w:rsidR="00575523" w:rsidRDefault="00575523" w:rsidP="00575523">
      <w:pPr>
        <w:pStyle w:val="Bodynumbered-Level3"/>
        <w:tabs>
          <w:tab w:val="center" w:pos="4111"/>
          <w:tab w:val="left" w:pos="6646"/>
        </w:tabs>
        <w:spacing w:after="0"/>
        <w:ind w:left="1440" w:hanging="22"/>
      </w:pPr>
      <w:r>
        <w:tab/>
      </w:r>
      <w:r>
        <w:tab/>
        <w:t>___________________________________</w:t>
      </w:r>
    </w:p>
    <w:p w14:paraId="26BF15D2" w14:textId="77777777" w:rsidR="00575523" w:rsidRDefault="00575523" w:rsidP="00575523">
      <w:pPr>
        <w:pStyle w:val="Bodynumbered-Level3"/>
        <w:tabs>
          <w:tab w:val="center" w:pos="4111"/>
          <w:tab w:val="left" w:pos="6646"/>
        </w:tabs>
        <w:spacing w:before="120" w:after="240"/>
        <w:ind w:left="1440" w:hanging="22"/>
      </w:pPr>
      <w:r>
        <w:tab/>
      </w:r>
      <w:r>
        <w:tab/>
      </w:r>
      <w:r w:rsidR="0064434C">
        <w:t>Weighted new handheld coverage (km2)</w:t>
      </w:r>
      <w:r w:rsidRPr="00575523">
        <w:t xml:space="preserve"> </w:t>
      </w:r>
    </w:p>
    <w:p w14:paraId="0BB4DD8D" w14:textId="77777777" w:rsidR="00575523" w:rsidRDefault="0064434C" w:rsidP="00575523">
      <w:pPr>
        <w:pStyle w:val="Bodynumbered-Level3"/>
        <w:ind w:left="720" w:hanging="720"/>
      </w:pPr>
      <w:r>
        <w:t>10.2</w:t>
      </w:r>
      <w:r>
        <w:tab/>
        <w:t>Weighted new handheld coverage is calculated as:</w:t>
      </w:r>
      <w:r w:rsidR="00575523" w:rsidRPr="00575523">
        <w:t xml:space="preserve"> </w:t>
      </w:r>
    </w:p>
    <w:p w14:paraId="34A42FE8" w14:textId="77777777" w:rsidR="0064434C" w:rsidRDefault="0064434C" w:rsidP="00A5464C">
      <w:pPr>
        <w:pStyle w:val="Bodynumbered-Level3"/>
        <w:numPr>
          <w:ilvl w:val="1"/>
          <w:numId w:val="43"/>
        </w:numPr>
        <w:spacing w:before="240" w:after="240"/>
      </w:pPr>
      <w:r>
        <w:t>t</w:t>
      </w:r>
      <w:r w:rsidRPr="003D46A5">
        <w:t>he size (in square kilometres) of the mobile coverage footprint area which will receive new handheld coverage where previously there was no coverage at all from any MNO</w:t>
      </w:r>
      <w:r>
        <w:t>, plus (+);</w:t>
      </w:r>
    </w:p>
    <w:p w14:paraId="19CEAE47" w14:textId="77777777" w:rsidR="0064434C" w:rsidRDefault="0064434C" w:rsidP="00A5464C">
      <w:pPr>
        <w:pStyle w:val="Bodynumbered-Level3"/>
        <w:numPr>
          <w:ilvl w:val="1"/>
          <w:numId w:val="43"/>
        </w:numPr>
        <w:spacing w:before="240" w:after="240"/>
      </w:pPr>
      <w:r>
        <w:t>t</w:t>
      </w:r>
      <w:r w:rsidRPr="003D46A5">
        <w:t>he size (in square kilometres) of the mobile coverage footprint area which will receive new handheld coverage</w:t>
      </w:r>
      <w:r>
        <w:t xml:space="preserve"> where previously there was </w:t>
      </w:r>
      <w:r w:rsidRPr="003D46A5">
        <w:t>coverage</w:t>
      </w:r>
      <w:r>
        <w:t xml:space="preserve"> from another MNO, divided by a weighting factor of two</w:t>
      </w:r>
      <w:r w:rsidDel="00C04206">
        <w:t xml:space="preserve"> </w:t>
      </w:r>
      <w:r>
        <w:t>(2).</w:t>
      </w:r>
    </w:p>
    <w:p w14:paraId="290088DA" w14:textId="77777777" w:rsidR="00575523" w:rsidRDefault="0064434C" w:rsidP="00575523">
      <w:pPr>
        <w:pStyle w:val="Bodynumbered-Level3"/>
        <w:tabs>
          <w:tab w:val="center" w:pos="4111"/>
          <w:tab w:val="left" w:pos="6646"/>
        </w:tabs>
        <w:spacing w:after="0"/>
        <w:ind w:left="1440" w:hanging="22"/>
      </w:pPr>
      <w:r>
        <w:t>i.e.</w:t>
      </w:r>
      <w:r>
        <w:tab/>
        <w:t>Cost to the Commonwealth ($)</w:t>
      </w:r>
    </w:p>
    <w:p w14:paraId="148EC95F" w14:textId="77777777" w:rsidR="00575523" w:rsidRDefault="00575523" w:rsidP="00575523">
      <w:pPr>
        <w:pStyle w:val="Bodynumbered-Level3"/>
        <w:tabs>
          <w:tab w:val="center" w:pos="4111"/>
          <w:tab w:val="left" w:pos="6646"/>
        </w:tabs>
        <w:spacing w:after="0"/>
        <w:ind w:left="1440" w:hanging="22"/>
      </w:pPr>
      <w:r>
        <w:tab/>
      </w:r>
      <w:r>
        <w:tab/>
        <w:t>___________________________________</w:t>
      </w:r>
    </w:p>
    <w:p w14:paraId="44D00180" w14:textId="77777777" w:rsidR="0064434C" w:rsidRDefault="00575523" w:rsidP="00575523">
      <w:pPr>
        <w:pStyle w:val="Bodynumbered-Level3"/>
        <w:tabs>
          <w:tab w:val="center" w:pos="4111"/>
          <w:tab w:val="left" w:pos="6646"/>
        </w:tabs>
        <w:spacing w:before="120" w:after="240"/>
        <w:ind w:left="1440" w:hanging="22"/>
      </w:pPr>
      <w:r>
        <w:tab/>
      </w:r>
      <w:r>
        <w:tab/>
      </w:r>
      <w:r w:rsidR="0064434C">
        <w:t>A + (B/2)</w:t>
      </w:r>
    </w:p>
    <w:p w14:paraId="7AD669FB" w14:textId="77777777" w:rsidR="0064434C" w:rsidRDefault="0064434C" w:rsidP="0064434C">
      <w:pPr>
        <w:pStyle w:val="Bodynumbered-Level3"/>
        <w:ind w:left="720" w:hanging="720"/>
      </w:pPr>
      <w:r>
        <w:t>10.3</w:t>
      </w:r>
      <w:r>
        <w:tab/>
        <w:t xml:space="preserve">If a Proposed Solution delivers no new handheld coverage (for example, it is addressing seasonal demand issues by increasing the capacity of an existing base station at a Priority Location), it will be ranked against other Proposed Solutions for the same Priority Location by cost to the Commonwealth and a value for money assessment. Applicants </w:t>
      </w:r>
      <w:r w:rsidRPr="00B935ED">
        <w:t xml:space="preserve">should provide </w:t>
      </w:r>
      <w:r>
        <w:t xml:space="preserve">information and </w:t>
      </w:r>
      <w:r w:rsidRPr="00B935ED">
        <w:t>an assessment of the capacity</w:t>
      </w:r>
      <w:r>
        <w:t xml:space="preserve"> </w:t>
      </w:r>
      <w:r w:rsidRPr="00B935ED">
        <w:t>/</w:t>
      </w:r>
      <w:r>
        <w:t xml:space="preserve"> service</w:t>
      </w:r>
      <w:r w:rsidRPr="00B935ED">
        <w:t xml:space="preserve"> quality indicators for the Priority Location</w:t>
      </w:r>
      <w:r>
        <w:t xml:space="preserve"> (as per section 8.3.2(</w:t>
      </w:r>
      <w:proofErr w:type="spellStart"/>
      <w:r>
        <w:t>i</w:t>
      </w:r>
      <w:proofErr w:type="spellEnd"/>
      <w:r>
        <w:t>))</w:t>
      </w:r>
      <w:r w:rsidRPr="00B935ED">
        <w:t>, and describe the</w:t>
      </w:r>
      <w:r>
        <w:t xml:space="preserve"> proposed solution that will address the specific issue.</w:t>
      </w:r>
    </w:p>
    <w:p w14:paraId="0EACC443" w14:textId="77777777" w:rsidR="0064434C" w:rsidRPr="00C65758" w:rsidRDefault="0064434C" w:rsidP="0064434C">
      <w:pPr>
        <w:pStyle w:val="Bodynumbered-Level3"/>
        <w:ind w:left="720" w:hanging="720"/>
      </w:pPr>
      <w:r>
        <w:t>10.4</w:t>
      </w:r>
      <w:r>
        <w:tab/>
        <w:t>An overarching value for money assessment will also be undertaken to consider which of the Proposed Solutions for each Priority Location is most appropriate to recommend for funding. Based on this assessment, the Department reserves the right to recommend one or more Proposed Solutions for funding which were lower ranked than other Proposed Solutions for the same Priority Location against the assessment criteria.</w:t>
      </w:r>
      <w:bookmarkStart w:id="496" w:name="_Toc491696443"/>
      <w:bookmarkStart w:id="497" w:name="_Toc491856742"/>
      <w:bookmarkStart w:id="498" w:name="_Toc492453782"/>
      <w:bookmarkStart w:id="499" w:name="_Toc492458200"/>
      <w:bookmarkStart w:id="500" w:name="_Toc491696446"/>
      <w:bookmarkStart w:id="501" w:name="_Toc491856745"/>
      <w:bookmarkStart w:id="502" w:name="_Toc492453785"/>
      <w:bookmarkStart w:id="503" w:name="_Toc492458203"/>
      <w:bookmarkStart w:id="504" w:name="_Toc491696447"/>
      <w:bookmarkStart w:id="505" w:name="_Toc491856746"/>
      <w:bookmarkStart w:id="506" w:name="_Toc492453786"/>
      <w:bookmarkStart w:id="507" w:name="_Toc492458204"/>
      <w:bookmarkStart w:id="508" w:name="_Toc491696448"/>
      <w:bookmarkStart w:id="509" w:name="_Toc491856747"/>
      <w:bookmarkStart w:id="510" w:name="_Toc492453787"/>
      <w:bookmarkStart w:id="511" w:name="_Toc492458205"/>
      <w:bookmarkStart w:id="512" w:name="_Toc491696453"/>
      <w:bookmarkStart w:id="513" w:name="_Toc491856752"/>
      <w:bookmarkStart w:id="514" w:name="_Toc492453792"/>
      <w:bookmarkStart w:id="515" w:name="_Toc492458210"/>
      <w:bookmarkStart w:id="516" w:name="_Toc491696454"/>
      <w:bookmarkStart w:id="517" w:name="_Toc491856753"/>
      <w:bookmarkStart w:id="518" w:name="_Toc492453793"/>
      <w:bookmarkStart w:id="519" w:name="_Toc492458211"/>
      <w:bookmarkStart w:id="520" w:name="_Toc491696457"/>
      <w:bookmarkStart w:id="521" w:name="_Toc491856756"/>
      <w:bookmarkStart w:id="522" w:name="_Toc492453796"/>
      <w:bookmarkStart w:id="523" w:name="_Toc492458214"/>
      <w:bookmarkStart w:id="524" w:name="_Toc491696459"/>
      <w:bookmarkStart w:id="525" w:name="_Toc491856758"/>
      <w:bookmarkStart w:id="526" w:name="_Toc492453798"/>
      <w:bookmarkStart w:id="527" w:name="_Toc492458216"/>
      <w:bookmarkStart w:id="528" w:name="_Toc491696460"/>
      <w:bookmarkStart w:id="529" w:name="_Toc491856759"/>
      <w:bookmarkStart w:id="530" w:name="_Toc492453799"/>
      <w:bookmarkStart w:id="531" w:name="_Toc492458217"/>
      <w:bookmarkStart w:id="532" w:name="_Toc491696463"/>
      <w:bookmarkStart w:id="533" w:name="_Toc491856762"/>
      <w:bookmarkStart w:id="534" w:name="_Toc492453802"/>
      <w:bookmarkStart w:id="535" w:name="_Toc492458220"/>
      <w:bookmarkStart w:id="536" w:name="_Toc491696464"/>
      <w:bookmarkStart w:id="537" w:name="_Toc491856763"/>
      <w:bookmarkStart w:id="538" w:name="_Toc492453803"/>
      <w:bookmarkStart w:id="539" w:name="_Toc492458221"/>
      <w:bookmarkStart w:id="540" w:name="_Toc393908585"/>
      <w:bookmarkStart w:id="541" w:name="_Toc386635510"/>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14F1FE68" w14:textId="77777777" w:rsidR="0064434C" w:rsidRPr="00382DBE" w:rsidRDefault="000C7638" w:rsidP="000C7638">
      <w:pPr>
        <w:pStyle w:val="Heading3"/>
      </w:pPr>
      <w:bookmarkStart w:id="542" w:name="_Toc405380450"/>
      <w:bookmarkStart w:id="543" w:name="_Toc441049709"/>
      <w:bookmarkStart w:id="544" w:name="_Toc497901450"/>
      <w:bookmarkStart w:id="545" w:name="_Toc156213067"/>
      <w:r>
        <w:t xml:space="preserve">11. </w:t>
      </w:r>
      <w:r w:rsidR="0064434C" w:rsidRPr="00382DBE">
        <w:t xml:space="preserve">Decision on </w:t>
      </w:r>
      <w:r w:rsidR="0064434C">
        <w:t>f</w:t>
      </w:r>
      <w:r w:rsidR="0064434C" w:rsidRPr="00382DBE">
        <w:t>unding</w:t>
      </w:r>
      <w:bookmarkEnd w:id="540"/>
      <w:bookmarkEnd w:id="542"/>
      <w:bookmarkEnd w:id="543"/>
      <w:bookmarkEnd w:id="544"/>
      <w:bookmarkEnd w:id="545"/>
    </w:p>
    <w:p w14:paraId="22B99ADF" w14:textId="77777777" w:rsidR="0064434C" w:rsidRPr="00B4284B" w:rsidRDefault="0064434C" w:rsidP="0064434C">
      <w:pPr>
        <w:pStyle w:val="Bodynumbered-Level1"/>
        <w:spacing w:after="120"/>
      </w:pPr>
      <w:r>
        <w:t>11.1</w:t>
      </w:r>
      <w:r>
        <w:tab/>
      </w:r>
      <w:r w:rsidRPr="00E62FF5">
        <w:t xml:space="preserve">The Decision Maker will review </w:t>
      </w:r>
      <w:r>
        <w:t xml:space="preserve">the recommendations set out in the Merit List, </w:t>
      </w:r>
      <w:r w:rsidRPr="00E62FF5">
        <w:t xml:space="preserve">and </w:t>
      </w:r>
      <w:r>
        <w:t>may do one or more of the following:</w:t>
      </w:r>
    </w:p>
    <w:p w14:paraId="4577349A" w14:textId="77777777" w:rsidR="0064434C" w:rsidRPr="00A21560" w:rsidRDefault="0064434C" w:rsidP="000C7638">
      <w:pPr>
        <w:pStyle w:val="Bodynumbered-Level3"/>
        <w:spacing w:before="120" w:after="120"/>
        <w:ind w:left="1494" w:hanging="644"/>
      </w:pPr>
      <w:r>
        <w:t>(a)</w:t>
      </w:r>
      <w:r>
        <w:tab/>
        <w:t>approve the recommendations;</w:t>
      </w:r>
    </w:p>
    <w:p w14:paraId="0929DEC0" w14:textId="77777777" w:rsidR="0064434C" w:rsidRPr="00A21560" w:rsidRDefault="0064434C" w:rsidP="000C7638">
      <w:pPr>
        <w:pStyle w:val="Bodynumbered-Level3"/>
        <w:spacing w:before="120" w:after="120"/>
        <w:ind w:left="1494" w:hanging="644"/>
      </w:pPr>
      <w:r>
        <w:t>(b)</w:t>
      </w:r>
      <w:r>
        <w:tab/>
      </w:r>
      <w:r w:rsidRPr="00A21560">
        <w:t>seek further information from the Depa</w:t>
      </w:r>
      <w:r>
        <w:t xml:space="preserve">rtment or relevant experts or both; </w:t>
      </w:r>
      <w:r w:rsidRPr="00A21560">
        <w:t>and</w:t>
      </w:r>
    </w:p>
    <w:p w14:paraId="26532752" w14:textId="77777777" w:rsidR="0064434C" w:rsidRPr="00A21560" w:rsidRDefault="0064434C" w:rsidP="000C7638">
      <w:pPr>
        <w:pStyle w:val="Bodynumbered-Level3"/>
        <w:spacing w:before="120"/>
        <w:ind w:left="1494" w:hanging="644"/>
      </w:pPr>
      <w:r>
        <w:t>(c)</w:t>
      </w:r>
      <w:r>
        <w:tab/>
      </w:r>
      <w:r w:rsidRPr="00A21560">
        <w:t xml:space="preserve">subject </w:t>
      </w:r>
      <w:r w:rsidRPr="001E261D">
        <w:t>to section 14,</w:t>
      </w:r>
      <w:r w:rsidRPr="00A21560">
        <w:t xml:space="preserve"> make </w:t>
      </w:r>
      <w:r>
        <w:t>any</w:t>
      </w:r>
      <w:r w:rsidRPr="00A21560">
        <w:t xml:space="preserve"> amendments the Decision Maker deems necessary.</w:t>
      </w:r>
    </w:p>
    <w:p w14:paraId="5F1837C6" w14:textId="77777777" w:rsidR="0064434C" w:rsidRPr="00C23C9F" w:rsidRDefault="0064434C" w:rsidP="0064434C">
      <w:pPr>
        <w:pStyle w:val="Bodynumbered-Level1"/>
      </w:pPr>
      <w:r>
        <w:t>11.2</w:t>
      </w:r>
      <w:r>
        <w:tab/>
        <w:t>The Department will prepare the list of Funded Solutions (</w:t>
      </w:r>
      <w:r w:rsidRPr="004D1954">
        <w:rPr>
          <w:b/>
        </w:rPr>
        <w:t>Decision Maker’s List</w:t>
      </w:r>
      <w:r>
        <w:t>) based on advice from the Decision Maker.</w:t>
      </w:r>
    </w:p>
    <w:p w14:paraId="3F208F9B" w14:textId="77777777" w:rsidR="0064434C" w:rsidRDefault="0064434C" w:rsidP="0064434C">
      <w:pPr>
        <w:pStyle w:val="Bodynumbered-Level1"/>
      </w:pPr>
      <w:r>
        <w:t>11.3</w:t>
      </w:r>
      <w:r>
        <w:tab/>
      </w:r>
      <w:r w:rsidRPr="001F21EB">
        <w:t xml:space="preserve">The Decision Maker will have the final </w:t>
      </w:r>
      <w:r>
        <w:t>decision</w:t>
      </w:r>
      <w:r w:rsidRPr="001F21EB">
        <w:t xml:space="preserve"> on all applica</w:t>
      </w:r>
      <w:r>
        <w:t>tions</w:t>
      </w:r>
      <w:r w:rsidRPr="001F21EB">
        <w:t xml:space="preserve"> for funding.</w:t>
      </w:r>
    </w:p>
    <w:p w14:paraId="5F31FDA1" w14:textId="77777777" w:rsidR="0064434C" w:rsidRPr="00346DFC" w:rsidRDefault="000C7638" w:rsidP="000C7638">
      <w:pPr>
        <w:pStyle w:val="Heading3"/>
      </w:pPr>
      <w:bookmarkStart w:id="546" w:name="_Toc397462794"/>
      <w:bookmarkStart w:id="547" w:name="_Toc397501066"/>
      <w:bookmarkStart w:id="548" w:name="_Toc397501544"/>
      <w:bookmarkStart w:id="549" w:name="_Toc393908586"/>
      <w:bookmarkStart w:id="550" w:name="_Toc405380451"/>
      <w:bookmarkStart w:id="551" w:name="_Toc441049710"/>
      <w:bookmarkStart w:id="552" w:name="_Toc497901451"/>
      <w:bookmarkStart w:id="553" w:name="_Toc156213068"/>
      <w:bookmarkEnd w:id="546"/>
      <w:bookmarkEnd w:id="547"/>
      <w:bookmarkEnd w:id="548"/>
      <w:r>
        <w:lastRenderedPageBreak/>
        <w:t xml:space="preserve">12. </w:t>
      </w:r>
      <w:r w:rsidR="0064434C" w:rsidRPr="00382DBE">
        <w:t>Review of decision</w:t>
      </w:r>
      <w:bookmarkEnd w:id="541"/>
      <w:bookmarkEnd w:id="549"/>
      <w:bookmarkEnd w:id="550"/>
      <w:bookmarkEnd w:id="551"/>
      <w:bookmarkEnd w:id="552"/>
      <w:bookmarkEnd w:id="553"/>
    </w:p>
    <w:p w14:paraId="1BDBFEE7" w14:textId="77777777" w:rsidR="0064434C" w:rsidRPr="001B1C92" w:rsidRDefault="0064434C" w:rsidP="000C7638">
      <w:pPr>
        <w:pStyle w:val="Bodynumbered-Level1"/>
        <w:keepLines/>
      </w:pPr>
      <w:r>
        <w:t>12.1</w:t>
      </w:r>
      <w:r>
        <w:tab/>
      </w:r>
      <w:r w:rsidRPr="001B1C92">
        <w:t xml:space="preserve">An applicant wishing to seek a review of the decision relating to its application for the </w:t>
      </w:r>
      <w:r>
        <w:t>Program</w:t>
      </w:r>
      <w:r w:rsidRPr="001B1C92">
        <w:t xml:space="preserve"> should contact the Department </w:t>
      </w:r>
      <w:r w:rsidRPr="006E1235">
        <w:t>by email</w:t>
      </w:r>
      <w:r w:rsidRPr="001B1C92">
        <w:t xml:space="preserve"> </w:t>
      </w:r>
      <w:r>
        <w:t xml:space="preserve">at </w:t>
      </w:r>
      <w:hyperlink r:id="rId16" w:history="1">
        <w:r w:rsidRPr="002E64F6">
          <w:rPr>
            <w:rStyle w:val="Hyperlink"/>
          </w:rPr>
          <w:t>mobilecoverage@communications.gov.au</w:t>
        </w:r>
      </w:hyperlink>
      <w:r w:rsidRPr="001B1C92">
        <w:t xml:space="preserve"> within two weeks of the issue of notification of the decision. The Department will review that decision internally and notify the applicant(s</w:t>
      </w:r>
      <w:r>
        <w:t>) of the outcome of the review.</w:t>
      </w:r>
    </w:p>
    <w:p w14:paraId="61CEAF98" w14:textId="77777777" w:rsidR="0064434C" w:rsidRPr="00B4284B" w:rsidRDefault="0064434C" w:rsidP="0064434C">
      <w:pPr>
        <w:pStyle w:val="Bodynumbered-Level1"/>
        <w:spacing w:after="120"/>
      </w:pPr>
      <w:r>
        <w:t>12.2</w:t>
      </w:r>
      <w:r>
        <w:tab/>
      </w:r>
      <w:r w:rsidRPr="001B1C92">
        <w:t>An applicant that is dissatisfied with the review may contact:</w:t>
      </w:r>
    </w:p>
    <w:p w14:paraId="51334597" w14:textId="77777777" w:rsidR="0064434C" w:rsidRPr="00D37777" w:rsidRDefault="0064434C" w:rsidP="000C7638">
      <w:pPr>
        <w:pStyle w:val="Bodynumbered-Level1"/>
        <w:spacing w:before="120"/>
        <w:ind w:left="861" w:hanging="11"/>
      </w:pPr>
      <w:r w:rsidRPr="008E3258">
        <w:t>The Commonwealth Ombudsm</w:t>
      </w:r>
      <w:r>
        <w:t>an</w:t>
      </w:r>
      <w:r>
        <w:br/>
        <w:t>GPO Box 442</w:t>
      </w:r>
      <w:r>
        <w:br/>
      </w:r>
      <w:proofErr w:type="gramStart"/>
      <w:r>
        <w:t>Canberra  ACT</w:t>
      </w:r>
      <w:proofErr w:type="gramEnd"/>
      <w:r>
        <w:t xml:space="preserve">  2601</w:t>
      </w:r>
      <w:r>
        <w:br/>
        <w:t>Telephone: 02 6276 0111</w:t>
      </w:r>
      <w:r>
        <w:br/>
        <w:t>Toll free: 1300 362 072</w:t>
      </w:r>
      <w:r>
        <w:br/>
      </w:r>
      <w:r w:rsidRPr="002F695D">
        <w:rPr>
          <w:color w:val="000000"/>
        </w:rPr>
        <w:t>Website</w:t>
      </w:r>
      <w:r>
        <w:rPr>
          <w:color w:val="000000"/>
        </w:rPr>
        <w:t xml:space="preserve">: </w:t>
      </w:r>
      <w:hyperlink r:id="rId17" w:history="1">
        <w:r w:rsidRPr="00424824">
          <w:rPr>
            <w:rStyle w:val="Hyperlink"/>
          </w:rPr>
          <w:t>www.ombudsman.gov.au</w:t>
        </w:r>
      </w:hyperlink>
    </w:p>
    <w:p w14:paraId="370196DC" w14:textId="77777777" w:rsidR="0064434C" w:rsidRDefault="0064434C" w:rsidP="0064434C">
      <w:pPr>
        <w:pStyle w:val="Bodynumbered-Level1"/>
      </w:pPr>
      <w:r>
        <w:t>12.3</w:t>
      </w:r>
      <w:r>
        <w:tab/>
      </w:r>
      <w:r w:rsidRPr="001B1C92">
        <w:t xml:space="preserve">Applicants should note that the Commonwealth Ombudsman can only review the </w:t>
      </w:r>
      <w:r>
        <w:t>Program</w:t>
      </w:r>
      <w:r w:rsidRPr="001B1C92">
        <w:t>’s assessment processes</w:t>
      </w:r>
      <w:r>
        <w:t>,</w:t>
      </w:r>
      <w:r w:rsidRPr="001B1C92">
        <w:t xml:space="preserve"> not any specific funding decision</w:t>
      </w:r>
      <w:r>
        <w:t>,</w:t>
      </w:r>
      <w:r w:rsidRPr="001B1C92">
        <w:t xml:space="preserve"> under the </w:t>
      </w:r>
      <w:r>
        <w:t>Program</w:t>
      </w:r>
      <w:r w:rsidRPr="001B1C92">
        <w:t>.</w:t>
      </w:r>
    </w:p>
    <w:p w14:paraId="53054A11" w14:textId="77777777" w:rsidR="0064434C" w:rsidRPr="00150CF3" w:rsidRDefault="0064434C" w:rsidP="00226B4F">
      <w:pPr>
        <w:pStyle w:val="Heading2"/>
      </w:pPr>
      <w:r w:rsidRPr="00B4284B">
        <w:br w:type="page"/>
      </w:r>
      <w:bookmarkStart w:id="554" w:name="_Toc393908587"/>
      <w:bookmarkStart w:id="555" w:name="_Toc405380452"/>
      <w:bookmarkStart w:id="556" w:name="_Toc441049711"/>
      <w:bookmarkStart w:id="557" w:name="_Toc497901452"/>
      <w:bookmarkStart w:id="558" w:name="_Toc156213069"/>
      <w:r w:rsidRPr="00150CF3">
        <w:lastRenderedPageBreak/>
        <w:t>Part D – Program timing</w:t>
      </w:r>
      <w:bookmarkEnd w:id="554"/>
      <w:bookmarkEnd w:id="555"/>
      <w:bookmarkEnd w:id="556"/>
      <w:bookmarkEnd w:id="557"/>
      <w:bookmarkEnd w:id="558"/>
    </w:p>
    <w:p w14:paraId="0CF74758" w14:textId="77777777" w:rsidR="0064434C" w:rsidRPr="00F8455C" w:rsidRDefault="000C7638" w:rsidP="000C7638">
      <w:pPr>
        <w:pStyle w:val="Heading3"/>
      </w:pPr>
      <w:bookmarkStart w:id="559" w:name="_Toc386635500"/>
      <w:bookmarkStart w:id="560" w:name="_Toc393908588"/>
      <w:bookmarkStart w:id="561" w:name="_Toc405380453"/>
      <w:bookmarkStart w:id="562" w:name="_Toc441049712"/>
      <w:bookmarkStart w:id="563" w:name="_Toc497901453"/>
      <w:bookmarkStart w:id="564" w:name="_Toc156213070"/>
      <w:r>
        <w:t xml:space="preserve">13. </w:t>
      </w:r>
      <w:r w:rsidR="0064434C" w:rsidRPr="00F8455C">
        <w:t>Key Program stages and timing</w:t>
      </w:r>
      <w:bookmarkEnd w:id="559"/>
      <w:bookmarkEnd w:id="560"/>
      <w:bookmarkEnd w:id="561"/>
      <w:bookmarkEnd w:id="562"/>
      <w:bookmarkEnd w:id="563"/>
      <w:bookmarkEnd w:id="564"/>
    </w:p>
    <w:p w14:paraId="0578B44B" w14:textId="77777777" w:rsidR="0064434C" w:rsidRPr="008E3258" w:rsidRDefault="0064434C" w:rsidP="000C7638">
      <w:r w:rsidRPr="008E3258">
        <w:t xml:space="preserve">The Program will be implemented in </w:t>
      </w:r>
      <w:r>
        <w:t xml:space="preserve">ten </w:t>
      </w:r>
      <w:r w:rsidRPr="008E3258">
        <w:t xml:space="preserve">key stages. A </w:t>
      </w:r>
      <w:r>
        <w:t xml:space="preserve">summary of each </w:t>
      </w:r>
      <w:r w:rsidRPr="004C24B9">
        <w:t>stage and indicative timing is</w:t>
      </w:r>
      <w:r w:rsidRPr="008E3258">
        <w:t xml:space="preserve"> provided </w:t>
      </w:r>
      <w:r>
        <w:t>below.</w:t>
      </w:r>
    </w:p>
    <w:p w14:paraId="02A95301" w14:textId="77777777" w:rsidR="0064434C" w:rsidRPr="00E04541" w:rsidRDefault="000C7638" w:rsidP="000C7638">
      <w:pPr>
        <w:pStyle w:val="Heading4"/>
      </w:pPr>
      <w:bookmarkStart w:id="565" w:name="_Toc386635501"/>
      <w:bookmarkStart w:id="566" w:name="_Toc393908589"/>
      <w:bookmarkStart w:id="567" w:name="_Toc405380454"/>
      <w:bookmarkStart w:id="568" w:name="_Toc441049713"/>
      <w:bookmarkStart w:id="569" w:name="_Toc497901454"/>
      <w:bookmarkStart w:id="570" w:name="_Toc156213071"/>
      <w:r>
        <w:t xml:space="preserve">13.1 </w:t>
      </w:r>
      <w:r w:rsidR="0064434C" w:rsidRPr="00E04541">
        <w:t xml:space="preserve">Stage 1 – Release of Guidelines and </w:t>
      </w:r>
      <w:r w:rsidR="0064434C">
        <w:t>c</w:t>
      </w:r>
      <w:r w:rsidR="0064434C" w:rsidRPr="00E04541">
        <w:t>all for Applications</w:t>
      </w:r>
      <w:bookmarkEnd w:id="565"/>
      <w:bookmarkEnd w:id="566"/>
      <w:bookmarkEnd w:id="567"/>
      <w:bookmarkEnd w:id="568"/>
      <w:bookmarkEnd w:id="569"/>
      <w:bookmarkEnd w:id="570"/>
    </w:p>
    <w:p w14:paraId="34E1F1DB" w14:textId="77777777" w:rsidR="0064434C" w:rsidRPr="00691272" w:rsidRDefault="0064434C" w:rsidP="000C7638">
      <w:pPr>
        <w:pStyle w:val="Heading5"/>
      </w:pPr>
      <w:r w:rsidRPr="00B64709">
        <w:t>Timing</w:t>
      </w:r>
      <w:r w:rsidRPr="00D2633C">
        <w:t xml:space="preserve">:  </w:t>
      </w:r>
      <w:r w:rsidRPr="004F0BF3">
        <w:t>22</w:t>
      </w:r>
      <w:r w:rsidRPr="00D2633C">
        <w:t xml:space="preserve"> November 2017</w:t>
      </w:r>
    </w:p>
    <w:p w14:paraId="5B0823A5" w14:textId="77777777" w:rsidR="0064434C" w:rsidRPr="001B1C92" w:rsidRDefault="0064434C" w:rsidP="0064434C">
      <w:pPr>
        <w:pStyle w:val="Bodynumbered-Level1"/>
      </w:pPr>
      <w:r>
        <w:t>13.1.1</w:t>
      </w:r>
      <w:r>
        <w:tab/>
      </w:r>
      <w:r w:rsidRPr="001B1C92">
        <w:t xml:space="preserve">At the same time as releasing these Guidelines, the Government </w:t>
      </w:r>
      <w:r>
        <w:t>will</w:t>
      </w:r>
      <w:r w:rsidRPr="001B1C92">
        <w:t xml:space="preserve"> issue a call for applications from eligible</w:t>
      </w:r>
      <w:r>
        <w:t xml:space="preserve"> applicants for funding under the Priority Locations round of the Program.</w:t>
      </w:r>
    </w:p>
    <w:p w14:paraId="624C4D8D" w14:textId="77777777" w:rsidR="0064434C" w:rsidRPr="001B1C92" w:rsidRDefault="0064434C" w:rsidP="0064434C">
      <w:pPr>
        <w:pStyle w:val="Bodynumbered-Level1"/>
      </w:pPr>
      <w:r>
        <w:t>13.1.2</w:t>
      </w:r>
      <w:r>
        <w:tab/>
      </w:r>
      <w:r w:rsidRPr="001B1C92">
        <w:t>The</w:t>
      </w:r>
      <w:r>
        <w:t>se</w:t>
      </w:r>
      <w:r w:rsidRPr="001B1C92">
        <w:t xml:space="preserve"> </w:t>
      </w:r>
      <w:r>
        <w:t>Guidelines</w:t>
      </w:r>
      <w:r w:rsidRPr="001B1C92">
        <w:t xml:space="preserve"> include </w:t>
      </w:r>
      <w:r>
        <w:t>the list of Priority Locations identified by the Government. Applicants</w:t>
      </w:r>
      <w:r w:rsidRPr="001B1C92">
        <w:t xml:space="preserve"> must </w:t>
      </w:r>
      <w:r>
        <w:t>use</w:t>
      </w:r>
      <w:r w:rsidRPr="001B1C92">
        <w:t xml:space="preserve"> this list of locations to identify areas they </w:t>
      </w:r>
      <w:r>
        <w:t>propose</w:t>
      </w:r>
      <w:r w:rsidRPr="001B1C92">
        <w:t xml:space="preserve"> to include in their </w:t>
      </w:r>
      <w:r>
        <w:t>applications for funding.</w:t>
      </w:r>
    </w:p>
    <w:p w14:paraId="2448078C" w14:textId="77777777" w:rsidR="0064434C" w:rsidRDefault="00934ED2" w:rsidP="00934ED2">
      <w:pPr>
        <w:pStyle w:val="Heading4"/>
      </w:pPr>
      <w:bookmarkStart w:id="571" w:name="_Toc441049714"/>
      <w:bookmarkStart w:id="572" w:name="_Toc497901455"/>
      <w:bookmarkStart w:id="573" w:name="_Toc156213072"/>
      <w:bookmarkStart w:id="574" w:name="_Toc386635502"/>
      <w:bookmarkStart w:id="575" w:name="_Toc393908590"/>
      <w:bookmarkStart w:id="576" w:name="_Toc405380455"/>
      <w:r>
        <w:t xml:space="preserve">13.2 </w:t>
      </w:r>
      <w:r w:rsidR="0064434C">
        <w:t>Stage 2 – Applicant registration</w:t>
      </w:r>
      <w:bookmarkEnd w:id="571"/>
      <w:bookmarkEnd w:id="572"/>
      <w:bookmarkEnd w:id="573"/>
    </w:p>
    <w:p w14:paraId="7A5639DB" w14:textId="77777777" w:rsidR="0064434C" w:rsidRPr="00691272" w:rsidRDefault="0064434C" w:rsidP="00934ED2">
      <w:pPr>
        <w:pStyle w:val="Heading5"/>
      </w:pPr>
      <w:r w:rsidRPr="00691272">
        <w:t>Timing</w:t>
      </w:r>
      <w:r>
        <w:t>:</w:t>
      </w:r>
      <w:r w:rsidRPr="00691272">
        <w:t xml:space="preserve"> </w:t>
      </w:r>
      <w:r>
        <w:t xml:space="preserve">Registration due by </w:t>
      </w:r>
      <w:r w:rsidRPr="004F0BF3">
        <w:t>29</w:t>
      </w:r>
      <w:r>
        <w:t xml:space="preserve"> November 2017</w:t>
      </w:r>
    </w:p>
    <w:p w14:paraId="58F68902" w14:textId="77777777" w:rsidR="0064434C" w:rsidRDefault="0064434C" w:rsidP="0064434C">
      <w:pPr>
        <w:pStyle w:val="Bodynumbered-Level1"/>
      </w:pPr>
      <w:r>
        <w:t>13.2.1</w:t>
      </w:r>
      <w:r>
        <w:tab/>
      </w:r>
      <w:r w:rsidRPr="0047769C">
        <w:t xml:space="preserve">Organisations wishing to apply for funding under </w:t>
      </w:r>
      <w:r>
        <w:t>the Priority Locations r</w:t>
      </w:r>
      <w:r w:rsidRPr="0047769C">
        <w:t xml:space="preserve">ound must contact the </w:t>
      </w:r>
      <w:r>
        <w:t>D</w:t>
      </w:r>
      <w:r w:rsidRPr="001E5E1D">
        <w:t>epartment to register as a potential applicant</w:t>
      </w:r>
      <w:r>
        <w:t xml:space="preserve"> within one week following release of these Guidelines in order to obtain access to the application documentation on </w:t>
      </w:r>
      <w:proofErr w:type="spellStart"/>
      <w:r w:rsidRPr="003D40F7">
        <w:rPr>
          <w:b/>
        </w:rPr>
        <w:t>GrantConnect</w:t>
      </w:r>
      <w:proofErr w:type="spellEnd"/>
      <w:r w:rsidRPr="001E5E1D">
        <w:t xml:space="preserve">. </w:t>
      </w:r>
      <w:r>
        <w:t>Eligible o</w:t>
      </w:r>
      <w:r w:rsidRPr="001E5E1D">
        <w:t xml:space="preserve">rganisations who registered under </w:t>
      </w:r>
      <w:r>
        <w:t>previous r</w:t>
      </w:r>
      <w:r w:rsidRPr="009B4B61">
        <w:t>ound</w:t>
      </w:r>
      <w:r>
        <w:t>s</w:t>
      </w:r>
      <w:r w:rsidRPr="009B4B61">
        <w:t xml:space="preserve"> </w:t>
      </w:r>
      <w:r>
        <w:t>and who are interested in participating in the Priority Locations round are</w:t>
      </w:r>
      <w:r w:rsidRPr="009B4B61">
        <w:t xml:space="preserve"> required to register </w:t>
      </w:r>
      <w:r>
        <w:t>for the Priority Locations round. (Previous registrations will not be valid for the purposes of the Priority Locations round)</w:t>
      </w:r>
      <w:r w:rsidRPr="009B4B61">
        <w:t>.</w:t>
      </w:r>
      <w:r>
        <w:t xml:space="preserve"> </w:t>
      </w:r>
    </w:p>
    <w:p w14:paraId="04F2F4B6" w14:textId="77777777" w:rsidR="0064434C" w:rsidRDefault="0064434C" w:rsidP="0064434C">
      <w:pPr>
        <w:pStyle w:val="Bodynumbered-Level1"/>
        <w:spacing w:after="120"/>
      </w:pPr>
      <w:r>
        <w:t>13.2.2</w:t>
      </w:r>
      <w:r>
        <w:tab/>
        <w:t xml:space="preserve">Organisations can register their interest with the Department by emailing </w:t>
      </w:r>
      <w:hyperlink r:id="rId18" w:history="1">
        <w:r w:rsidRPr="002E64F6">
          <w:rPr>
            <w:rStyle w:val="Hyperlink"/>
          </w:rPr>
          <w:t>mobilecoverage@communications.gov.au</w:t>
        </w:r>
      </w:hyperlink>
      <w:r>
        <w:t xml:space="preserve"> and providing the following information:</w:t>
      </w:r>
    </w:p>
    <w:p w14:paraId="77A29B91" w14:textId="77777777" w:rsidR="0064434C" w:rsidRDefault="0064434C" w:rsidP="00934ED2">
      <w:pPr>
        <w:pStyle w:val="Listparagraphbulletssecondlevel"/>
      </w:pPr>
      <w:r>
        <w:t>(a)</w:t>
      </w:r>
      <w:r>
        <w:tab/>
        <w:t>Organisation name;</w:t>
      </w:r>
    </w:p>
    <w:p w14:paraId="34370562" w14:textId="77777777" w:rsidR="0064434C" w:rsidRDefault="0064434C" w:rsidP="00934ED2">
      <w:pPr>
        <w:pStyle w:val="Listparagraphbulletssecondlevel"/>
      </w:pPr>
      <w:r>
        <w:t>(b)</w:t>
      </w:r>
      <w:r>
        <w:tab/>
        <w:t>Contact name;</w:t>
      </w:r>
    </w:p>
    <w:p w14:paraId="3DD6563F" w14:textId="77777777" w:rsidR="0064434C" w:rsidRDefault="0064434C" w:rsidP="00934ED2">
      <w:pPr>
        <w:pStyle w:val="Listparagraphbulletssecondlevel"/>
      </w:pPr>
      <w:r>
        <w:t>(c)</w:t>
      </w:r>
      <w:r>
        <w:tab/>
        <w:t>Contact phone number; and</w:t>
      </w:r>
    </w:p>
    <w:p w14:paraId="62B779F7" w14:textId="77777777" w:rsidR="0064434C" w:rsidRDefault="0064434C" w:rsidP="00934ED2">
      <w:pPr>
        <w:pStyle w:val="Listparagraphbulletssecondlevel"/>
      </w:pPr>
      <w:r>
        <w:t>(d)</w:t>
      </w:r>
      <w:r>
        <w:tab/>
        <w:t>Contact email address.</w:t>
      </w:r>
    </w:p>
    <w:p w14:paraId="33CED2B8" w14:textId="77777777" w:rsidR="0064434C" w:rsidRDefault="0064434C" w:rsidP="0064434C">
      <w:pPr>
        <w:pStyle w:val="Bodynumbered-Level1"/>
      </w:pPr>
      <w:r>
        <w:t>13.2.3</w:t>
      </w:r>
      <w:r>
        <w:tab/>
        <w:t>The Department will contact organisations that register their interest as potential applicants.</w:t>
      </w:r>
    </w:p>
    <w:p w14:paraId="2076BC74" w14:textId="77777777" w:rsidR="0064434C" w:rsidRPr="0047769C" w:rsidRDefault="0064434C" w:rsidP="0064434C">
      <w:pPr>
        <w:pStyle w:val="Bodynumbered-Level1"/>
      </w:pPr>
      <w:r>
        <w:t xml:space="preserve">13.2.4 </w:t>
      </w:r>
      <w:r>
        <w:tab/>
        <w:t>Following registration, the Department may contact registered organisations during the application period to negotiate and agree Terms of the draft Grant Agreement, in addition to the Negotiation of Grant Agreements period at section 13.6.</w:t>
      </w:r>
    </w:p>
    <w:p w14:paraId="06287F4B" w14:textId="77777777" w:rsidR="0064434C" w:rsidRDefault="00934ED2" w:rsidP="00934ED2">
      <w:pPr>
        <w:pStyle w:val="Heading4"/>
      </w:pPr>
      <w:bookmarkStart w:id="577" w:name="_Toc441049715"/>
      <w:bookmarkStart w:id="578" w:name="_Toc497901456"/>
      <w:bookmarkStart w:id="579" w:name="_Toc156213073"/>
      <w:r>
        <w:t xml:space="preserve">13.3 </w:t>
      </w:r>
      <w:r w:rsidR="0064434C">
        <w:t>Stage 3 – Pre-application documentation</w:t>
      </w:r>
      <w:bookmarkEnd w:id="577"/>
      <w:bookmarkEnd w:id="578"/>
      <w:bookmarkEnd w:id="579"/>
    </w:p>
    <w:p w14:paraId="5AA808DB" w14:textId="77777777" w:rsidR="0064434C" w:rsidRPr="00F76CAF" w:rsidRDefault="0064434C" w:rsidP="00934ED2">
      <w:pPr>
        <w:pStyle w:val="Heading5"/>
      </w:pPr>
      <w:r w:rsidRPr="00F76CAF">
        <w:t>Timing: Pre-app</w:t>
      </w:r>
      <w:r>
        <w:t xml:space="preserve">lication documentation due </w:t>
      </w:r>
      <w:r w:rsidRPr="004F0BF3">
        <w:t>by 1 December 2017</w:t>
      </w:r>
    </w:p>
    <w:p w14:paraId="7B68A4A1" w14:textId="77777777" w:rsidR="0064434C" w:rsidRDefault="0064434C" w:rsidP="0064434C">
      <w:pPr>
        <w:pStyle w:val="Bodynumbered-Level1"/>
      </w:pPr>
      <w:r>
        <w:t>13.3.1</w:t>
      </w:r>
      <w:r>
        <w:tab/>
      </w:r>
      <w:r w:rsidRPr="001B1C92">
        <w:t xml:space="preserve">The application documentation </w:t>
      </w:r>
      <w:r>
        <w:t xml:space="preserve">outlines the requirements on potential applicants prior to </w:t>
      </w:r>
      <w:proofErr w:type="gramStart"/>
      <w:r>
        <w:t>submitting an application</w:t>
      </w:r>
      <w:proofErr w:type="gramEnd"/>
      <w:r>
        <w:t xml:space="preserve"> for funding.</w:t>
      </w:r>
    </w:p>
    <w:p w14:paraId="7880A3FA" w14:textId="77777777" w:rsidR="0064434C" w:rsidRPr="001B1C92" w:rsidRDefault="0064434C" w:rsidP="0064434C">
      <w:pPr>
        <w:pStyle w:val="Bodynumbered-Level1"/>
      </w:pPr>
      <w:r>
        <w:t>13.3.2</w:t>
      </w:r>
      <w:r>
        <w:tab/>
        <w:t xml:space="preserve">Each applicant must submit their </w:t>
      </w:r>
      <w:proofErr w:type="spellStart"/>
      <w:r>
        <w:t>publically</w:t>
      </w:r>
      <w:proofErr w:type="spellEnd"/>
      <w:r>
        <w:t xml:space="preserve"> available coverage maps (incorporating, where relevant, all base stations funded under rounds 1 and 2 of the Program, regardless of the stage of construction) ahead of submitting their application for funding.</w:t>
      </w:r>
    </w:p>
    <w:p w14:paraId="7A1FB8CF" w14:textId="77777777" w:rsidR="0064434C" w:rsidRPr="00E04541" w:rsidRDefault="00934ED2" w:rsidP="00934ED2">
      <w:pPr>
        <w:pStyle w:val="Heading4"/>
      </w:pPr>
      <w:bookmarkStart w:id="580" w:name="_Toc434092400"/>
      <w:bookmarkStart w:id="581" w:name="_Toc434093410"/>
      <w:bookmarkStart w:id="582" w:name="_Toc434093552"/>
      <w:bookmarkStart w:id="583" w:name="_Toc434225274"/>
      <w:bookmarkStart w:id="584" w:name="_Toc434228397"/>
      <w:bookmarkStart w:id="585" w:name="_Toc434841088"/>
      <w:bookmarkStart w:id="586" w:name="_Toc435080428"/>
      <w:bookmarkStart w:id="587" w:name="_Toc441049716"/>
      <w:bookmarkStart w:id="588" w:name="_Toc497901457"/>
      <w:bookmarkStart w:id="589" w:name="_Toc156213074"/>
      <w:bookmarkEnd w:id="580"/>
      <w:bookmarkEnd w:id="581"/>
      <w:bookmarkEnd w:id="582"/>
      <w:bookmarkEnd w:id="583"/>
      <w:bookmarkEnd w:id="584"/>
      <w:bookmarkEnd w:id="585"/>
      <w:bookmarkEnd w:id="586"/>
      <w:r>
        <w:lastRenderedPageBreak/>
        <w:t xml:space="preserve">13.4 </w:t>
      </w:r>
      <w:r w:rsidR="0064434C" w:rsidRPr="00E04541">
        <w:t xml:space="preserve">Stage </w:t>
      </w:r>
      <w:r w:rsidR="0064434C">
        <w:t>4</w:t>
      </w:r>
      <w:r w:rsidR="0064434C" w:rsidRPr="00E04541">
        <w:t xml:space="preserve"> – Preparing and submitting </w:t>
      </w:r>
      <w:bookmarkEnd w:id="574"/>
      <w:r w:rsidR="0064434C" w:rsidRPr="00E04541">
        <w:t>applications</w:t>
      </w:r>
      <w:bookmarkEnd w:id="575"/>
      <w:bookmarkEnd w:id="576"/>
      <w:bookmarkEnd w:id="587"/>
      <w:bookmarkEnd w:id="588"/>
      <w:bookmarkEnd w:id="589"/>
      <w:r w:rsidR="0064434C" w:rsidRPr="00E04541">
        <w:t xml:space="preserve"> </w:t>
      </w:r>
    </w:p>
    <w:p w14:paraId="2E01DB4E" w14:textId="77777777" w:rsidR="0064434C" w:rsidRPr="00F76CAF" w:rsidRDefault="0064434C" w:rsidP="00934ED2">
      <w:pPr>
        <w:pStyle w:val="Heading5"/>
      </w:pPr>
      <w:r w:rsidRPr="00F76CAF">
        <w:t xml:space="preserve">Timing: Applications </w:t>
      </w:r>
      <w:r w:rsidRPr="00A25F88">
        <w:t xml:space="preserve">due </w:t>
      </w:r>
      <w:r w:rsidRPr="004F0BF3">
        <w:t>by 20 December 2017</w:t>
      </w:r>
    </w:p>
    <w:p w14:paraId="18470DCA" w14:textId="77777777" w:rsidR="0064434C" w:rsidRPr="001B1C92" w:rsidRDefault="0064434C" w:rsidP="0064434C">
      <w:pPr>
        <w:pStyle w:val="Bodynumbered-Level1"/>
      </w:pPr>
      <w:r>
        <w:t>13.4.1</w:t>
      </w:r>
      <w:r>
        <w:tab/>
      </w:r>
      <w:r w:rsidRPr="001B1C92">
        <w:t>The application documentation describes in detail the Program requirements, and outlines the terms and conditions under which Commonwealth funding is to be made available.</w:t>
      </w:r>
    </w:p>
    <w:p w14:paraId="78E8B8AD" w14:textId="77777777" w:rsidR="0064434C" w:rsidRDefault="0064434C" w:rsidP="0064434C">
      <w:pPr>
        <w:pStyle w:val="Bodynumbered-Level1"/>
      </w:pPr>
      <w:r>
        <w:t>13.4.2</w:t>
      </w:r>
      <w:r>
        <w:tab/>
        <w:t xml:space="preserve">Each applicant must complete the BSAT for each Proposed Solution for which it is seeking funding, specifying in each case the information set out in </w:t>
      </w:r>
      <w:r w:rsidRPr="001E261D">
        <w:t>section 8.3.2.</w:t>
      </w:r>
    </w:p>
    <w:p w14:paraId="1301AAD4" w14:textId="77777777" w:rsidR="0064434C" w:rsidRPr="001B1C92" w:rsidRDefault="0064434C" w:rsidP="0064434C">
      <w:pPr>
        <w:pStyle w:val="Bodynumbered-Level1"/>
      </w:pPr>
      <w:r>
        <w:t>13.4.3</w:t>
      </w:r>
      <w:r>
        <w:tab/>
        <w:t>The completed BSAT</w:t>
      </w:r>
      <w:r w:rsidRPr="001B1C92">
        <w:t xml:space="preserve"> must </w:t>
      </w:r>
      <w:r>
        <w:t>include</w:t>
      </w:r>
      <w:r w:rsidRPr="001B1C92">
        <w:t xml:space="preserve"> data on the level of coverage that each </w:t>
      </w:r>
      <w:r>
        <w:t>Proposed Solution</w:t>
      </w:r>
      <w:r w:rsidRPr="001B1C92">
        <w:t xml:space="preserve"> will achieve in terms of area</w:t>
      </w:r>
      <w:r>
        <w:t>. M</w:t>
      </w:r>
      <w:r w:rsidRPr="001B1C92">
        <w:t xml:space="preserve">apping data must be provided to indicate the area to be covered by </w:t>
      </w:r>
      <w:r>
        <w:t>h</w:t>
      </w:r>
      <w:r w:rsidRPr="001B1C92">
        <w:t xml:space="preserve">andheld </w:t>
      </w:r>
      <w:r>
        <w:t>c</w:t>
      </w:r>
      <w:r w:rsidRPr="001B1C92">
        <w:t>overage meeting the required service standards</w:t>
      </w:r>
      <w:r>
        <w:t xml:space="preserve"> set out at </w:t>
      </w:r>
      <w:r w:rsidRPr="00E57288">
        <w:t xml:space="preserve">section </w:t>
      </w:r>
      <w:r w:rsidRPr="00B64709">
        <w:t>5.2.2.</w:t>
      </w:r>
      <w:r w:rsidRPr="001B1C92">
        <w:t xml:space="preserve"> </w:t>
      </w:r>
      <w:r>
        <w:t>For reporting and value for money assessment purposes t</w:t>
      </w:r>
      <w:r w:rsidRPr="001B1C92">
        <w:t xml:space="preserve">he application should also indicate </w:t>
      </w:r>
      <w:r>
        <w:t xml:space="preserve">the area of external antenna coverage to be provided, </w:t>
      </w:r>
      <w:r w:rsidRPr="001B1C92">
        <w:t>the length of additional coverage of major transport routes (</w:t>
      </w:r>
      <w:r>
        <w:t>via</w:t>
      </w:r>
      <w:r w:rsidRPr="001B1C92">
        <w:t xml:space="preserve"> external antenna</w:t>
      </w:r>
      <w:r>
        <w:t xml:space="preserve"> coverage</w:t>
      </w:r>
      <w:r w:rsidRPr="001B1C92">
        <w:t xml:space="preserve">) and additional premises covered (via </w:t>
      </w:r>
      <w:r>
        <w:t>h</w:t>
      </w:r>
      <w:r w:rsidRPr="001B1C92">
        <w:t xml:space="preserve">andheld </w:t>
      </w:r>
      <w:r>
        <w:t>coverage), as per section 5.2.2.</w:t>
      </w:r>
    </w:p>
    <w:p w14:paraId="420342BC" w14:textId="77777777" w:rsidR="0064434C" w:rsidRDefault="0064434C" w:rsidP="0064434C">
      <w:pPr>
        <w:pStyle w:val="Bodynumbered-Level1"/>
      </w:pPr>
      <w:r>
        <w:t>13.4.4</w:t>
      </w:r>
      <w:r>
        <w:tab/>
      </w:r>
      <w:r w:rsidRPr="001B1C92">
        <w:t>Applicants may seek all or part of the total $</w:t>
      </w:r>
      <w:r>
        <w:t>60</w:t>
      </w:r>
      <w:r w:rsidRPr="001B1C92">
        <w:t> million</w:t>
      </w:r>
      <w:r>
        <w:t xml:space="preserve"> (GST exclusive)</w:t>
      </w:r>
      <w:r w:rsidRPr="001B1C92">
        <w:t xml:space="preserve"> funding av</w:t>
      </w:r>
      <w:r>
        <w:t>ailable through the Program.</w:t>
      </w:r>
    </w:p>
    <w:p w14:paraId="1223F739" w14:textId="77777777" w:rsidR="0064434C" w:rsidRPr="00EF7D45" w:rsidRDefault="00934ED2" w:rsidP="00934ED2">
      <w:pPr>
        <w:pStyle w:val="Heading4"/>
      </w:pPr>
      <w:bookmarkStart w:id="590" w:name="_Toc434092402"/>
      <w:bookmarkStart w:id="591" w:name="_Toc434093412"/>
      <w:bookmarkStart w:id="592" w:name="_Toc434093554"/>
      <w:bookmarkStart w:id="593" w:name="_Toc434225276"/>
      <w:bookmarkStart w:id="594" w:name="_Toc434228399"/>
      <w:bookmarkStart w:id="595" w:name="_Toc434841090"/>
      <w:bookmarkStart w:id="596" w:name="_Toc435080430"/>
      <w:bookmarkStart w:id="597" w:name="_Toc434092403"/>
      <w:bookmarkStart w:id="598" w:name="_Toc434093413"/>
      <w:bookmarkStart w:id="599" w:name="_Toc434093555"/>
      <w:bookmarkStart w:id="600" w:name="_Toc434225277"/>
      <w:bookmarkStart w:id="601" w:name="_Toc434228400"/>
      <w:bookmarkStart w:id="602" w:name="_Toc434841091"/>
      <w:bookmarkStart w:id="603" w:name="_Toc435080431"/>
      <w:bookmarkStart w:id="604" w:name="_Toc434092404"/>
      <w:bookmarkStart w:id="605" w:name="_Toc434093414"/>
      <w:bookmarkStart w:id="606" w:name="_Toc434093556"/>
      <w:bookmarkStart w:id="607" w:name="_Toc434225278"/>
      <w:bookmarkStart w:id="608" w:name="_Toc434228401"/>
      <w:bookmarkStart w:id="609" w:name="_Toc434841092"/>
      <w:bookmarkStart w:id="610" w:name="_Toc435080432"/>
      <w:bookmarkStart w:id="611" w:name="_Toc386620978"/>
      <w:bookmarkStart w:id="612" w:name="_Toc386620979"/>
      <w:bookmarkStart w:id="613" w:name="_Toc386635503"/>
      <w:bookmarkStart w:id="614" w:name="_Toc393908591"/>
      <w:bookmarkStart w:id="615" w:name="_Toc405380456"/>
      <w:bookmarkStart w:id="616" w:name="_Toc441049717"/>
      <w:bookmarkStart w:id="617" w:name="_Toc497901458"/>
      <w:bookmarkStart w:id="618" w:name="_Toc156213075"/>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t xml:space="preserve">13.5 </w:t>
      </w:r>
      <w:r w:rsidR="0064434C" w:rsidRPr="00E04541">
        <w:t xml:space="preserve">Stage </w:t>
      </w:r>
      <w:r w:rsidR="0064434C">
        <w:t>5</w:t>
      </w:r>
      <w:r w:rsidR="0064434C" w:rsidRPr="00E04541">
        <w:t xml:space="preserve"> – Assessment of Applications</w:t>
      </w:r>
      <w:bookmarkEnd w:id="613"/>
      <w:bookmarkEnd w:id="614"/>
      <w:bookmarkEnd w:id="615"/>
      <w:bookmarkEnd w:id="616"/>
      <w:bookmarkEnd w:id="617"/>
      <w:bookmarkEnd w:id="618"/>
    </w:p>
    <w:p w14:paraId="08CFFFC8" w14:textId="77777777" w:rsidR="0064434C" w:rsidRPr="00F76CAF" w:rsidRDefault="0064434C" w:rsidP="00934ED2">
      <w:pPr>
        <w:pStyle w:val="Heading5"/>
      </w:pPr>
      <w:r w:rsidRPr="00F76CAF">
        <w:t xml:space="preserve">Timing: </w:t>
      </w:r>
      <w:r>
        <w:t>December</w:t>
      </w:r>
      <w:r w:rsidRPr="00F76CAF">
        <w:t xml:space="preserve"> 201</w:t>
      </w:r>
      <w:r>
        <w:t>7 – January 2018</w:t>
      </w:r>
    </w:p>
    <w:p w14:paraId="2E94465E" w14:textId="77777777" w:rsidR="0064434C" w:rsidRDefault="0064434C" w:rsidP="0064434C">
      <w:pPr>
        <w:pStyle w:val="Bodynumbered-Level1"/>
      </w:pPr>
      <w:r>
        <w:t>13.5.1</w:t>
      </w:r>
      <w:r>
        <w:tab/>
      </w:r>
      <w:r w:rsidRPr="004A2BFF">
        <w:t xml:space="preserve">The </w:t>
      </w:r>
      <w:r>
        <w:t>Department</w:t>
      </w:r>
      <w:r w:rsidRPr="004A2BFF">
        <w:t xml:space="preserve"> will </w:t>
      </w:r>
      <w:r>
        <w:t xml:space="preserve">assess all eligible applications received by the closing date and time </w:t>
      </w:r>
      <w:r w:rsidRPr="004A2BFF">
        <w:t>to determine</w:t>
      </w:r>
      <w:r>
        <w:t xml:space="preserve"> </w:t>
      </w:r>
      <w:r w:rsidRPr="00A3591F">
        <w:t xml:space="preserve">which </w:t>
      </w:r>
      <w:r>
        <w:t>Proposed Solution</w:t>
      </w:r>
      <w:r w:rsidRPr="00A3591F">
        <w:t>s are to be recommended for Program funding</w:t>
      </w:r>
      <w:r>
        <w:t xml:space="preserve"> using the processes outlined </w:t>
      </w:r>
      <w:r w:rsidRPr="001E261D">
        <w:t>in section 9.</w:t>
      </w:r>
      <w:r w:rsidRPr="0047769C">
        <w:t xml:space="preserve"> </w:t>
      </w:r>
    </w:p>
    <w:p w14:paraId="095C4C28" w14:textId="77777777" w:rsidR="0064434C" w:rsidRPr="001B1C92" w:rsidRDefault="0064434C" w:rsidP="0064434C">
      <w:pPr>
        <w:pStyle w:val="Bodynumbered-Level1"/>
      </w:pPr>
      <w:r>
        <w:t>13.5.2</w:t>
      </w:r>
      <w:r>
        <w:tab/>
      </w:r>
      <w:r w:rsidRPr="001B1C92">
        <w:t xml:space="preserve">An expert engineering </w:t>
      </w:r>
      <w:r>
        <w:t>firm in the mobile telecommunications industry, as appointed by the Department, will test coverage claims.</w:t>
      </w:r>
    </w:p>
    <w:p w14:paraId="34E2635D" w14:textId="77777777" w:rsidR="0064434C" w:rsidRPr="001B1C92" w:rsidRDefault="0064434C" w:rsidP="0064434C">
      <w:pPr>
        <w:pStyle w:val="Bodynumbered-Level1"/>
      </w:pPr>
      <w:bookmarkStart w:id="619" w:name="_Toc434092406"/>
      <w:bookmarkStart w:id="620" w:name="_Toc434093416"/>
      <w:bookmarkStart w:id="621" w:name="_Toc434093558"/>
      <w:bookmarkStart w:id="622" w:name="_Toc434225280"/>
      <w:bookmarkStart w:id="623" w:name="_Toc434228403"/>
      <w:bookmarkStart w:id="624" w:name="_Toc434841094"/>
      <w:bookmarkStart w:id="625" w:name="_Toc435080434"/>
      <w:bookmarkStart w:id="626" w:name="_Toc386635504"/>
      <w:bookmarkStart w:id="627" w:name="_Toc393908592"/>
      <w:bookmarkStart w:id="628" w:name="_Toc405380457"/>
      <w:bookmarkEnd w:id="619"/>
      <w:bookmarkEnd w:id="620"/>
      <w:bookmarkEnd w:id="621"/>
      <w:bookmarkEnd w:id="622"/>
      <w:bookmarkEnd w:id="623"/>
      <w:bookmarkEnd w:id="624"/>
      <w:bookmarkEnd w:id="625"/>
      <w:r>
        <w:t>13.5.3</w:t>
      </w:r>
      <w:r>
        <w:tab/>
      </w:r>
      <w:r w:rsidRPr="002966D4">
        <w:t xml:space="preserve">The </w:t>
      </w:r>
      <w:r>
        <w:t>Proposed Solution</w:t>
      </w:r>
      <w:r w:rsidRPr="002966D4">
        <w:t xml:space="preserve">s selected </w:t>
      </w:r>
      <w:r>
        <w:t xml:space="preserve">recommended for funding through the assessment process will be included on the Merit List provided </w:t>
      </w:r>
      <w:r w:rsidRPr="002966D4">
        <w:t xml:space="preserve">to the </w:t>
      </w:r>
      <w:r>
        <w:t>D</w:t>
      </w:r>
      <w:r w:rsidRPr="002966D4">
        <w:t xml:space="preserve">ecision </w:t>
      </w:r>
      <w:r>
        <w:t>M</w:t>
      </w:r>
      <w:r w:rsidRPr="002966D4">
        <w:t>aker.</w:t>
      </w:r>
      <w:r w:rsidRPr="00DB44D4">
        <w:t xml:space="preserve"> </w:t>
      </w:r>
    </w:p>
    <w:p w14:paraId="6C0AAF8A" w14:textId="77777777" w:rsidR="0064434C" w:rsidRPr="005933C5" w:rsidRDefault="00934ED2" w:rsidP="00934ED2">
      <w:pPr>
        <w:pStyle w:val="Heading4"/>
      </w:pPr>
      <w:bookmarkStart w:id="629" w:name="_Toc441049718"/>
      <w:bookmarkStart w:id="630" w:name="_Toc497901459"/>
      <w:bookmarkStart w:id="631" w:name="_Toc156213076"/>
      <w:r>
        <w:t xml:space="preserve">13.6 </w:t>
      </w:r>
      <w:r w:rsidR="0064434C" w:rsidRPr="00E04541">
        <w:t xml:space="preserve">Stage </w:t>
      </w:r>
      <w:r w:rsidR="0064434C">
        <w:t>6</w:t>
      </w:r>
      <w:r w:rsidR="0064434C" w:rsidRPr="00E04541">
        <w:t xml:space="preserve"> – </w:t>
      </w:r>
      <w:r w:rsidR="0064434C">
        <w:t>Negotiation of Grant Agreements</w:t>
      </w:r>
      <w:bookmarkEnd w:id="629"/>
      <w:bookmarkEnd w:id="630"/>
      <w:bookmarkEnd w:id="631"/>
      <w:r w:rsidR="0064434C">
        <w:t xml:space="preserve"> </w:t>
      </w:r>
    </w:p>
    <w:p w14:paraId="70FD2948" w14:textId="77777777" w:rsidR="0064434C" w:rsidRPr="00F76CAF" w:rsidRDefault="0064434C" w:rsidP="00934ED2">
      <w:pPr>
        <w:pStyle w:val="Heading5"/>
      </w:pPr>
      <w:r w:rsidRPr="00F76CAF">
        <w:t xml:space="preserve">Timing: </w:t>
      </w:r>
      <w:r>
        <w:t xml:space="preserve">November 2017 </w:t>
      </w:r>
      <w:r w:rsidRPr="00F76CAF">
        <w:t>-</w:t>
      </w:r>
      <w:r>
        <w:t xml:space="preserve"> January 2018</w:t>
      </w:r>
    </w:p>
    <w:p w14:paraId="3B259B94" w14:textId="77777777" w:rsidR="0064434C" w:rsidRDefault="0064434C" w:rsidP="0064434C">
      <w:pPr>
        <w:pStyle w:val="Bodynumbered-Level1"/>
      </w:pPr>
      <w:r>
        <w:t>13.6.1</w:t>
      </w:r>
      <w:r>
        <w:tab/>
        <w:t xml:space="preserve">Where an applicant requests an amendment to the draft Grant Agreement which is not acceptable to the Commonwealth, the Department will seek to negotiate with the applicant in parallel with the Assessment of Applications period at </w:t>
      </w:r>
      <w:r w:rsidRPr="001E261D">
        <w:t>section 13.5.</w:t>
      </w:r>
    </w:p>
    <w:p w14:paraId="2CCE5050" w14:textId="77777777" w:rsidR="0064434C" w:rsidRDefault="0064434C" w:rsidP="0064434C">
      <w:pPr>
        <w:pStyle w:val="Bodynumbered-Level1"/>
      </w:pPr>
      <w:r>
        <w:t>13.6.2</w:t>
      </w:r>
      <w:r>
        <w:tab/>
        <w:t>Any of the Proposed Solutions contained within an application will not be recommended for funding unless the applicant has reached agreement with the Commonwealth on the terms of the Grant Agreement.</w:t>
      </w:r>
      <w:r w:rsidRPr="002966D4" w:rsidDel="006A17D6">
        <w:t xml:space="preserve"> </w:t>
      </w:r>
    </w:p>
    <w:p w14:paraId="01EBD4D9" w14:textId="77777777" w:rsidR="0064434C" w:rsidRPr="005933C5" w:rsidRDefault="00934ED2" w:rsidP="00934ED2">
      <w:pPr>
        <w:pStyle w:val="Heading4"/>
      </w:pPr>
      <w:bookmarkStart w:id="632" w:name="_Toc441049719"/>
      <w:bookmarkStart w:id="633" w:name="_Toc497901460"/>
      <w:bookmarkStart w:id="634" w:name="_Toc156213077"/>
      <w:r>
        <w:t xml:space="preserve">13.7 </w:t>
      </w:r>
      <w:r w:rsidR="0064434C" w:rsidRPr="00E04541">
        <w:t xml:space="preserve">Stage </w:t>
      </w:r>
      <w:r w:rsidR="0064434C">
        <w:t>7</w:t>
      </w:r>
      <w:r w:rsidR="0064434C" w:rsidRPr="00E04541">
        <w:t xml:space="preserve"> – </w:t>
      </w:r>
      <w:r w:rsidR="0064434C">
        <w:t>Grantee</w:t>
      </w:r>
      <w:r w:rsidR="0064434C" w:rsidRPr="005933C5">
        <w:t xml:space="preserve">s </w:t>
      </w:r>
      <w:r w:rsidR="0064434C">
        <w:t>advised of outcomes</w:t>
      </w:r>
      <w:r w:rsidR="0064434C" w:rsidRPr="005933C5">
        <w:t xml:space="preserve"> and </w:t>
      </w:r>
      <w:r w:rsidR="0064434C">
        <w:t>funding arrangements finalised</w:t>
      </w:r>
      <w:bookmarkEnd w:id="626"/>
      <w:bookmarkEnd w:id="627"/>
      <w:bookmarkEnd w:id="628"/>
      <w:bookmarkEnd w:id="632"/>
      <w:bookmarkEnd w:id="633"/>
      <w:bookmarkEnd w:id="634"/>
    </w:p>
    <w:p w14:paraId="4F513CC2" w14:textId="77777777" w:rsidR="0064434C" w:rsidRPr="00F76CAF" w:rsidRDefault="0064434C" w:rsidP="00934ED2">
      <w:pPr>
        <w:pStyle w:val="Heading5"/>
      </w:pPr>
      <w:r w:rsidRPr="00F76CAF">
        <w:t>Timing:</w:t>
      </w:r>
      <w:r>
        <w:t xml:space="preserve"> January 2018</w:t>
      </w:r>
    </w:p>
    <w:p w14:paraId="7A94B398" w14:textId="77777777" w:rsidR="0064434C" w:rsidRPr="00B4284B" w:rsidRDefault="0064434C" w:rsidP="0064434C">
      <w:pPr>
        <w:pStyle w:val="Bodynumbered-Level1"/>
      </w:pPr>
      <w:r>
        <w:t>13.7.1</w:t>
      </w:r>
      <w:r>
        <w:tab/>
      </w:r>
      <w:r w:rsidRPr="002966D4">
        <w:t xml:space="preserve">The </w:t>
      </w:r>
      <w:r>
        <w:t>Department will notify each applicant of the Proposed Solution</w:t>
      </w:r>
      <w:r w:rsidRPr="002966D4">
        <w:t xml:space="preserve">s </w:t>
      </w:r>
      <w:r>
        <w:t>included in their application which are included on</w:t>
      </w:r>
      <w:r w:rsidRPr="002966D4">
        <w:t xml:space="preserve"> the </w:t>
      </w:r>
      <w:r>
        <w:t>D</w:t>
      </w:r>
      <w:r w:rsidRPr="002966D4">
        <w:t xml:space="preserve">ecision </w:t>
      </w:r>
      <w:r>
        <w:t>Maker’s List. Extracts of the</w:t>
      </w:r>
      <w:bookmarkStart w:id="635" w:name="_Ref389787122"/>
      <w:r w:rsidRPr="002966D4">
        <w:t xml:space="preserve"> </w:t>
      </w:r>
      <w:r w:rsidRPr="00595CFC">
        <w:t>Decision Maker’s List</w:t>
      </w:r>
      <w:r w:rsidRPr="002966D4">
        <w:t xml:space="preserve"> will </w:t>
      </w:r>
      <w:r>
        <w:t xml:space="preserve">also </w:t>
      </w:r>
      <w:r w:rsidRPr="002966D4">
        <w:t xml:space="preserve">be </w:t>
      </w:r>
      <w:r>
        <w:t>provided</w:t>
      </w:r>
      <w:r w:rsidRPr="002966D4">
        <w:t xml:space="preserve"> to other relevant stakeholders.</w:t>
      </w:r>
      <w:bookmarkEnd w:id="635"/>
    </w:p>
    <w:p w14:paraId="35BACC40" w14:textId="77777777" w:rsidR="0064434C" w:rsidRPr="002966D4" w:rsidRDefault="0064434C" w:rsidP="0064434C">
      <w:pPr>
        <w:pStyle w:val="Bodynumbered-Level1"/>
      </w:pPr>
      <w:bookmarkStart w:id="636" w:name="_Toc386635506"/>
      <w:bookmarkStart w:id="637" w:name="_Toc393908594"/>
      <w:bookmarkStart w:id="638" w:name="_Toc405380459"/>
      <w:r>
        <w:t>13.7.2</w:t>
      </w:r>
      <w:r>
        <w:tab/>
        <w:t>Each successful Applicant</w:t>
      </w:r>
      <w:bookmarkEnd w:id="636"/>
      <w:bookmarkEnd w:id="637"/>
      <w:bookmarkEnd w:id="638"/>
      <w:r w:rsidRPr="002966D4">
        <w:t xml:space="preserve"> must enter into a legally binding </w:t>
      </w:r>
      <w:r>
        <w:t xml:space="preserve">Grant Agreement with the Commonwealth prior to the Government’s announcement of successful locations and Grantees. </w:t>
      </w:r>
    </w:p>
    <w:p w14:paraId="5A3A7ACE" w14:textId="77777777" w:rsidR="0064434C" w:rsidRPr="002966D4" w:rsidRDefault="0064434C" w:rsidP="0064434C">
      <w:pPr>
        <w:pStyle w:val="Bodynumbered-Level1"/>
      </w:pPr>
      <w:r>
        <w:lastRenderedPageBreak/>
        <w:t>13.7.3</w:t>
      </w:r>
      <w:r>
        <w:tab/>
      </w:r>
      <w:r w:rsidRPr="002966D4">
        <w:t xml:space="preserve">The </w:t>
      </w:r>
      <w:r>
        <w:t xml:space="preserve">Grantee’s </w:t>
      </w:r>
      <w:r w:rsidRPr="002966D4">
        <w:t xml:space="preserve">participation in the Program becomes effective from the date of </w:t>
      </w:r>
      <w:r>
        <w:t>execution of</w:t>
      </w:r>
      <w:r w:rsidRPr="002966D4">
        <w:t xml:space="preserve"> the </w:t>
      </w:r>
      <w:r>
        <w:t>Grant Agreement by the Commonwealth</w:t>
      </w:r>
      <w:r w:rsidRPr="002966D4">
        <w:t xml:space="preserve">. Shortly after execution of the </w:t>
      </w:r>
      <w:r>
        <w:t>Grant Agreement</w:t>
      </w:r>
      <w:r w:rsidRPr="002966D4">
        <w:t xml:space="preserve">, the </w:t>
      </w:r>
      <w:r>
        <w:t>Grantee</w:t>
      </w:r>
      <w:r w:rsidRPr="002966D4">
        <w:t xml:space="preserve">’s details </w:t>
      </w:r>
      <w:r>
        <w:t xml:space="preserve">and amount of funding awarded </w:t>
      </w:r>
      <w:r w:rsidRPr="002966D4">
        <w:t>will be</w:t>
      </w:r>
      <w:r>
        <w:t xml:space="preserve"> made</w:t>
      </w:r>
      <w:r w:rsidRPr="002966D4">
        <w:t xml:space="preserve"> available on </w:t>
      </w:r>
      <w:proofErr w:type="spellStart"/>
      <w:r w:rsidRPr="003D40F7">
        <w:t>GrantConnect</w:t>
      </w:r>
      <w:proofErr w:type="spellEnd"/>
      <w:r w:rsidRPr="002966D4">
        <w:t xml:space="preserve"> in accordance with the Commonwealth’</w:t>
      </w:r>
      <w:r>
        <w:t>s grant reporting requirements.</w:t>
      </w:r>
    </w:p>
    <w:p w14:paraId="10861C96" w14:textId="77777777" w:rsidR="0064434C" w:rsidRPr="002966D4" w:rsidRDefault="0064434C" w:rsidP="0064434C">
      <w:pPr>
        <w:pStyle w:val="Bodynumbered-Level1"/>
      </w:pPr>
      <w:r>
        <w:t>13.7.4</w:t>
      </w:r>
      <w:r>
        <w:tab/>
        <w:t>Where a Proposed Solution includes a financial co-contribution from a State or Territory government, the Grantee must finalise the commercial agreement governing the terms and conditions of the State/Territory’s financial contribution directly with the relevant jurisdiction.</w:t>
      </w:r>
    </w:p>
    <w:p w14:paraId="0403619D" w14:textId="77777777" w:rsidR="0064434C" w:rsidRPr="005933C5" w:rsidRDefault="00934ED2" w:rsidP="00934ED2">
      <w:pPr>
        <w:pStyle w:val="Heading4"/>
      </w:pPr>
      <w:bookmarkStart w:id="639" w:name="_Toc441049721"/>
      <w:bookmarkStart w:id="640" w:name="_Toc497901461"/>
      <w:bookmarkStart w:id="641" w:name="_Toc156213078"/>
      <w:r>
        <w:t xml:space="preserve">13.8 </w:t>
      </w:r>
      <w:r w:rsidR="0064434C" w:rsidRPr="00E04541">
        <w:t xml:space="preserve">Stage </w:t>
      </w:r>
      <w:r w:rsidR="0064434C">
        <w:t>8</w:t>
      </w:r>
      <w:r w:rsidR="0064434C" w:rsidRPr="00E04541">
        <w:t xml:space="preserve"> – </w:t>
      </w:r>
      <w:r w:rsidR="0064434C">
        <w:t>Grantee</w:t>
      </w:r>
      <w:r w:rsidR="0064434C" w:rsidRPr="005933C5">
        <w:t>s and locations announced</w:t>
      </w:r>
      <w:bookmarkEnd w:id="639"/>
      <w:bookmarkEnd w:id="640"/>
      <w:bookmarkEnd w:id="641"/>
    </w:p>
    <w:p w14:paraId="10C48394" w14:textId="77777777" w:rsidR="0064434C" w:rsidRPr="00F76CAF" w:rsidRDefault="0064434C" w:rsidP="00934ED2">
      <w:pPr>
        <w:pStyle w:val="Heading5"/>
      </w:pPr>
      <w:r w:rsidRPr="00F76CAF">
        <w:t xml:space="preserve">Timing: </w:t>
      </w:r>
      <w:r>
        <w:t>January</w:t>
      </w:r>
      <w:r w:rsidRPr="00F76CAF">
        <w:t xml:space="preserve"> 201</w:t>
      </w:r>
      <w:r>
        <w:t>8</w:t>
      </w:r>
    </w:p>
    <w:p w14:paraId="5DF87970" w14:textId="77777777" w:rsidR="0064434C" w:rsidRPr="002966D4" w:rsidRDefault="0064434C" w:rsidP="0064434C">
      <w:pPr>
        <w:pStyle w:val="Bodynumbered-Level1"/>
      </w:pPr>
      <w:r>
        <w:t>13.8.1</w:t>
      </w:r>
      <w:r>
        <w:tab/>
        <w:t xml:space="preserve">The locations of Funded Solutions and Grantees are expected to be announced by the Government in January 2018. The outcomes of this process and grant outcomes will be published on </w:t>
      </w:r>
      <w:proofErr w:type="spellStart"/>
      <w:r w:rsidRPr="003D40F7">
        <w:t>GrantConnect</w:t>
      </w:r>
      <w:proofErr w:type="spellEnd"/>
      <w:r w:rsidRPr="00090ECC">
        <w:t>.</w:t>
      </w:r>
    </w:p>
    <w:p w14:paraId="2057B221" w14:textId="77777777" w:rsidR="0064434C" w:rsidRPr="00E04541" w:rsidRDefault="00934ED2" w:rsidP="00934ED2">
      <w:pPr>
        <w:pStyle w:val="Heading4"/>
      </w:pPr>
      <w:bookmarkStart w:id="642" w:name="_Toc441049722"/>
      <w:bookmarkStart w:id="643" w:name="_Toc497901462"/>
      <w:bookmarkStart w:id="644" w:name="_Toc156213079"/>
      <w:r>
        <w:t xml:space="preserve">13.9 </w:t>
      </w:r>
      <w:r w:rsidR="0064434C" w:rsidRPr="00E04541">
        <w:t xml:space="preserve">Stage </w:t>
      </w:r>
      <w:r w:rsidR="0064434C">
        <w:t>9</w:t>
      </w:r>
      <w:r w:rsidR="0064434C" w:rsidRPr="00E04541">
        <w:t xml:space="preserve"> – Co-</w:t>
      </w:r>
      <w:r w:rsidR="0064434C">
        <w:t>location</w:t>
      </w:r>
      <w:r w:rsidR="0064434C" w:rsidRPr="00E04541">
        <w:t xml:space="preserve"> negotiation</w:t>
      </w:r>
      <w:r w:rsidR="0064434C">
        <w:t>s</w:t>
      </w:r>
      <w:bookmarkEnd w:id="642"/>
      <w:bookmarkEnd w:id="643"/>
      <w:bookmarkEnd w:id="644"/>
    </w:p>
    <w:p w14:paraId="5F5959CD" w14:textId="77777777" w:rsidR="0064434C" w:rsidRPr="00F76CAF" w:rsidRDefault="0064434C" w:rsidP="00934ED2">
      <w:pPr>
        <w:pStyle w:val="Heading5"/>
      </w:pPr>
      <w:r>
        <w:t xml:space="preserve">Timing: </w:t>
      </w:r>
      <w:r w:rsidRPr="00F76CAF">
        <w:t xml:space="preserve">from </w:t>
      </w:r>
      <w:r>
        <w:t xml:space="preserve">January </w:t>
      </w:r>
      <w:r w:rsidRPr="00F76CAF">
        <w:t>201</w:t>
      </w:r>
      <w:r>
        <w:t>8</w:t>
      </w:r>
    </w:p>
    <w:p w14:paraId="01D7080F" w14:textId="77777777" w:rsidR="0064434C" w:rsidRPr="00B4284B" w:rsidRDefault="0064434C" w:rsidP="0064434C">
      <w:pPr>
        <w:pStyle w:val="Bodynumbered-Level1"/>
      </w:pPr>
      <w:r>
        <w:t>13.9.1</w:t>
      </w:r>
      <w:r>
        <w:tab/>
        <w:t xml:space="preserve">Grantees will notify other MNOs of the opportunity to co-locate on Funded Solutions, and to participate in the detailed design phase using the process set out in </w:t>
      </w:r>
      <w:r w:rsidRPr="001E261D">
        <w:t>section 5.3.</w:t>
      </w:r>
    </w:p>
    <w:p w14:paraId="315CE138" w14:textId="77777777" w:rsidR="0064434C" w:rsidRPr="00E04541" w:rsidRDefault="00934ED2" w:rsidP="00934ED2">
      <w:pPr>
        <w:pStyle w:val="Heading4"/>
      </w:pPr>
      <w:bookmarkStart w:id="645" w:name="_Toc497901463"/>
      <w:bookmarkStart w:id="646" w:name="_Toc156213080"/>
      <w:r>
        <w:t xml:space="preserve">13.10 </w:t>
      </w:r>
      <w:r w:rsidR="0064434C" w:rsidRPr="00E04541">
        <w:t xml:space="preserve">Stage </w:t>
      </w:r>
      <w:r w:rsidR="0064434C">
        <w:t>10</w:t>
      </w:r>
      <w:r w:rsidR="0064434C" w:rsidRPr="00E04541">
        <w:t xml:space="preserve"> – </w:t>
      </w:r>
      <w:r w:rsidR="0064434C">
        <w:t>Date of Rollout Completion</w:t>
      </w:r>
      <w:bookmarkEnd w:id="645"/>
      <w:bookmarkEnd w:id="646"/>
    </w:p>
    <w:p w14:paraId="5338FCE8" w14:textId="77777777" w:rsidR="0064434C" w:rsidRPr="00F76CAF" w:rsidRDefault="0064434C" w:rsidP="00934ED2">
      <w:pPr>
        <w:pStyle w:val="Heading5"/>
      </w:pPr>
      <w:r>
        <w:t>Timing: 31</w:t>
      </w:r>
      <w:r w:rsidRPr="00F76CAF">
        <w:t xml:space="preserve"> </w:t>
      </w:r>
      <w:r>
        <w:t xml:space="preserve">December </w:t>
      </w:r>
      <w:r w:rsidRPr="00F76CAF">
        <w:t>201</w:t>
      </w:r>
      <w:r>
        <w:t>8</w:t>
      </w:r>
    </w:p>
    <w:p w14:paraId="4C4B3FC6" w14:textId="77777777" w:rsidR="0064434C" w:rsidRPr="00420CA8" w:rsidRDefault="0064434C" w:rsidP="0064434C">
      <w:pPr>
        <w:pStyle w:val="Bodynumbered-Level1"/>
      </w:pPr>
      <w:r>
        <w:t>13.10.1</w:t>
      </w:r>
      <w:r>
        <w:tab/>
        <w:t>Grantees will be expected to complete the rollout of all Funded Solutions by 31 December 2018 (</w:t>
      </w:r>
      <w:r w:rsidRPr="00C13147">
        <w:rPr>
          <w:b/>
        </w:rPr>
        <w:t>Date of Rollout Completion</w:t>
      </w:r>
      <w:r>
        <w:t>). The Date of Rollout Completion will be agreed in the Grant Agreement.</w:t>
      </w:r>
    </w:p>
    <w:p w14:paraId="7DDA738E" w14:textId="77777777" w:rsidR="0064434C" w:rsidRPr="00150CF3" w:rsidRDefault="0064434C" w:rsidP="00226B4F">
      <w:pPr>
        <w:pStyle w:val="Heading2"/>
      </w:pPr>
      <w:r>
        <w:br w:type="page"/>
      </w:r>
      <w:bookmarkStart w:id="647" w:name="_Toc393908596"/>
      <w:bookmarkStart w:id="648" w:name="_Toc405380461"/>
      <w:bookmarkStart w:id="649" w:name="_Toc441049723"/>
      <w:bookmarkStart w:id="650" w:name="_Toc497901464"/>
      <w:bookmarkStart w:id="651" w:name="_Toc156213081"/>
      <w:r w:rsidRPr="00150CF3">
        <w:lastRenderedPageBreak/>
        <w:t>Part E – Additional information</w:t>
      </w:r>
      <w:bookmarkEnd w:id="647"/>
      <w:bookmarkEnd w:id="648"/>
      <w:bookmarkEnd w:id="649"/>
      <w:bookmarkEnd w:id="650"/>
      <w:bookmarkEnd w:id="651"/>
    </w:p>
    <w:p w14:paraId="40900C9E" w14:textId="77777777" w:rsidR="0064434C" w:rsidRPr="00346DFC" w:rsidRDefault="00470D54" w:rsidP="00470D54">
      <w:pPr>
        <w:pStyle w:val="Heading3"/>
      </w:pPr>
      <w:bookmarkStart w:id="652" w:name="_Ref390200704"/>
      <w:bookmarkStart w:id="653" w:name="_Toc393908597"/>
      <w:bookmarkStart w:id="654" w:name="_Toc405380462"/>
      <w:bookmarkStart w:id="655" w:name="_Toc441049724"/>
      <w:bookmarkStart w:id="656" w:name="_Toc497901465"/>
      <w:bookmarkStart w:id="657" w:name="_Toc156213082"/>
      <w:r>
        <w:t xml:space="preserve">14. </w:t>
      </w:r>
      <w:r w:rsidR="0064434C" w:rsidRPr="00346DFC">
        <w:t>Process Terms</w:t>
      </w:r>
      <w:bookmarkEnd w:id="652"/>
      <w:bookmarkEnd w:id="653"/>
      <w:bookmarkEnd w:id="654"/>
      <w:bookmarkEnd w:id="655"/>
      <w:bookmarkEnd w:id="656"/>
      <w:bookmarkEnd w:id="657"/>
    </w:p>
    <w:p w14:paraId="7140D0F4" w14:textId="77777777" w:rsidR="0064434C" w:rsidRPr="005933C5" w:rsidRDefault="00470D54" w:rsidP="00470D54">
      <w:pPr>
        <w:pStyle w:val="Heading4"/>
      </w:pPr>
      <w:bookmarkStart w:id="658" w:name="_Toc387316350"/>
      <w:bookmarkStart w:id="659" w:name="_Toc387315998"/>
      <w:bookmarkStart w:id="660" w:name="_Toc387315999"/>
      <w:bookmarkStart w:id="661" w:name="_Toc390632815"/>
      <w:bookmarkStart w:id="662" w:name="_Toc390637660"/>
      <w:bookmarkStart w:id="663" w:name="_Toc390637761"/>
      <w:bookmarkStart w:id="664" w:name="_Toc390637840"/>
      <w:bookmarkStart w:id="665" w:name="_Toc390637922"/>
      <w:bookmarkStart w:id="666" w:name="_Toc390639107"/>
      <w:bookmarkStart w:id="667" w:name="_Toc390640662"/>
      <w:bookmarkStart w:id="668" w:name="_Toc390632816"/>
      <w:bookmarkStart w:id="669" w:name="_Toc390637661"/>
      <w:bookmarkStart w:id="670" w:name="_Toc390637762"/>
      <w:bookmarkStart w:id="671" w:name="_Toc390637841"/>
      <w:bookmarkStart w:id="672" w:name="_Toc390637923"/>
      <w:bookmarkStart w:id="673" w:name="_Toc390639108"/>
      <w:bookmarkStart w:id="674" w:name="_Toc390640663"/>
      <w:bookmarkStart w:id="675" w:name="_Toc393908598"/>
      <w:bookmarkStart w:id="676" w:name="_Toc405380463"/>
      <w:bookmarkStart w:id="677" w:name="_Toc441049725"/>
      <w:bookmarkStart w:id="678" w:name="_Toc497901466"/>
      <w:bookmarkStart w:id="679" w:name="_Toc156213083"/>
      <w:bookmarkStart w:id="680" w:name="_Toc386635511"/>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t xml:space="preserve">14.1 </w:t>
      </w:r>
      <w:r w:rsidR="0064434C" w:rsidRPr="005933C5">
        <w:t>Accountability and probity</w:t>
      </w:r>
      <w:bookmarkEnd w:id="675"/>
      <w:bookmarkEnd w:id="676"/>
      <w:bookmarkEnd w:id="677"/>
      <w:bookmarkEnd w:id="678"/>
      <w:bookmarkEnd w:id="679"/>
    </w:p>
    <w:p w14:paraId="5E9D0C63" w14:textId="77777777" w:rsidR="0064434C" w:rsidRPr="001B1C92" w:rsidRDefault="0064434C" w:rsidP="0064434C">
      <w:pPr>
        <w:pStyle w:val="Bodynumbered-Level1"/>
      </w:pPr>
      <w:r>
        <w:t>14.1.1</w:t>
      </w:r>
      <w:r>
        <w:tab/>
      </w:r>
      <w:r w:rsidRPr="001B1C92">
        <w:t xml:space="preserve">The Department is committed to ensuring that the process for selecting and approving </w:t>
      </w:r>
      <w:r>
        <w:t>Funded Solution</w:t>
      </w:r>
      <w:r w:rsidRPr="001B1C92">
        <w:t>s under the Program is fair and in accordance with the</w:t>
      </w:r>
      <w:r>
        <w:t>se</w:t>
      </w:r>
      <w:r w:rsidRPr="001B1C92">
        <w:t xml:space="preserve"> Guidelines.</w:t>
      </w:r>
    </w:p>
    <w:p w14:paraId="49F11399" w14:textId="77777777" w:rsidR="0064434C" w:rsidRPr="005E58DA" w:rsidRDefault="0064434C" w:rsidP="0064434C">
      <w:pPr>
        <w:pStyle w:val="Bodynumbered-Level1"/>
        <w:spacing w:after="120"/>
      </w:pPr>
      <w:r>
        <w:t>14.1.2</w:t>
      </w:r>
      <w:r>
        <w:tab/>
      </w:r>
      <w:r w:rsidRPr="001B1C92">
        <w:t xml:space="preserve">The Department, as a non-corporate Commonwealth entity under </w:t>
      </w:r>
      <w:r w:rsidRPr="000C16EC">
        <w:rPr>
          <w:i/>
        </w:rPr>
        <w:t>the Public</w:t>
      </w:r>
      <w:r w:rsidRPr="007C3CE9">
        <w:rPr>
          <w:i/>
        </w:rPr>
        <w:t xml:space="preserve"> Governance, Performance and Accountability Act 2013</w:t>
      </w:r>
      <w:r w:rsidRPr="00B835BA">
        <w:rPr>
          <w:i/>
        </w:rPr>
        <w:t xml:space="preserve"> </w:t>
      </w:r>
      <w:r w:rsidRPr="001B1C92">
        <w:t>(</w:t>
      </w:r>
      <w:proofErr w:type="spellStart"/>
      <w:r w:rsidRPr="001B1C92">
        <w:t>Cth</w:t>
      </w:r>
      <w:proofErr w:type="spellEnd"/>
      <w:r w:rsidRPr="001B1C92">
        <w:t>) (the PGPA</w:t>
      </w:r>
      <w:r>
        <w:t xml:space="preserve"> Act</w:t>
      </w:r>
      <w:r w:rsidRPr="001B1C92">
        <w:t>), in relation to its investment in the Program, must comply with:</w:t>
      </w:r>
    </w:p>
    <w:p w14:paraId="4089A20F" w14:textId="77777777" w:rsidR="0064434C" w:rsidRPr="005E58DA" w:rsidRDefault="0064434C" w:rsidP="00470D54">
      <w:pPr>
        <w:pStyle w:val="Bodynumbered-Level3"/>
        <w:spacing w:before="120" w:after="120"/>
        <w:ind w:left="1494" w:hanging="644"/>
      </w:pPr>
      <w:r>
        <w:t>(a)</w:t>
      </w:r>
      <w:r>
        <w:tab/>
      </w:r>
      <w:r w:rsidRPr="005E58DA">
        <w:t>the various duties set out in section 15 of the PGPA Act including: to promote the proper use and management of public resources for which the Department is responsible; promote the achievement of the purposes of the Department; and promote the financial s</w:t>
      </w:r>
      <w:r>
        <w:t>ustainability of the Department;</w:t>
      </w:r>
    </w:p>
    <w:p w14:paraId="7B1AEC3E" w14:textId="77777777" w:rsidR="0064434C" w:rsidRPr="005E58DA" w:rsidRDefault="0064434C" w:rsidP="00470D54">
      <w:pPr>
        <w:pStyle w:val="Bodynumbered-Level3"/>
        <w:spacing w:before="120" w:after="120"/>
        <w:ind w:left="1494" w:hanging="644"/>
      </w:pPr>
      <w:r>
        <w:t>(b)</w:t>
      </w:r>
      <w:r>
        <w:tab/>
      </w:r>
      <w:r w:rsidRPr="005E58DA">
        <w:t>section 16 of the PGPA Act which requires the Department to establish and maintain appropriate systems of risk oversight and management and an appropriate system of in</w:t>
      </w:r>
      <w:r>
        <w:t>ternal controls;</w:t>
      </w:r>
    </w:p>
    <w:p w14:paraId="52E5FBB6" w14:textId="77777777" w:rsidR="0064434C" w:rsidRPr="00A95D7D" w:rsidRDefault="0064434C" w:rsidP="00470D54">
      <w:pPr>
        <w:pStyle w:val="Bodynumbered-Level3"/>
        <w:spacing w:before="120"/>
        <w:ind w:left="1494" w:hanging="644"/>
      </w:pPr>
      <w:r>
        <w:t>(c)</w:t>
      </w:r>
      <w:r>
        <w:tab/>
      </w:r>
      <w:r w:rsidRPr="005E58DA">
        <w:t xml:space="preserve">the </w:t>
      </w:r>
      <w:r w:rsidRPr="001E46EE">
        <w:rPr>
          <w:i/>
        </w:rPr>
        <w:t xml:space="preserve">Commonwealth </w:t>
      </w:r>
      <w:r w:rsidRPr="002A69D0">
        <w:rPr>
          <w:i/>
        </w:rPr>
        <w:t>Grants Rules and</w:t>
      </w:r>
      <w:r w:rsidRPr="001E46EE">
        <w:rPr>
          <w:i/>
        </w:rPr>
        <w:t xml:space="preserve"> Guidelines</w:t>
      </w:r>
      <w:r w:rsidRPr="005E58DA">
        <w:t>, which establish the overarching Commonwealth grant policy framework and articulate the expectations for the Department (including but not limited to a range of probity and reporting requirements).</w:t>
      </w:r>
    </w:p>
    <w:p w14:paraId="5BF65240" w14:textId="77777777" w:rsidR="0064434C" w:rsidRPr="00E04541" w:rsidRDefault="00470D54" w:rsidP="00470D54">
      <w:pPr>
        <w:pStyle w:val="Heading4"/>
      </w:pPr>
      <w:bookmarkStart w:id="681" w:name="_Toc393908599"/>
      <w:bookmarkStart w:id="682" w:name="_Toc405380464"/>
      <w:bookmarkStart w:id="683" w:name="_Toc441049726"/>
      <w:bookmarkStart w:id="684" w:name="_Toc497901467"/>
      <w:bookmarkStart w:id="685" w:name="_Toc156213084"/>
      <w:r>
        <w:t xml:space="preserve">14.2 </w:t>
      </w:r>
      <w:r w:rsidR="0064434C" w:rsidRPr="00E04541">
        <w:t>Costs</w:t>
      </w:r>
      <w:bookmarkEnd w:id="681"/>
      <w:bookmarkEnd w:id="682"/>
      <w:bookmarkEnd w:id="683"/>
      <w:bookmarkEnd w:id="684"/>
      <w:bookmarkEnd w:id="685"/>
    </w:p>
    <w:p w14:paraId="13BE58FD" w14:textId="77777777" w:rsidR="0064434C" w:rsidRPr="00A95D7D" w:rsidRDefault="0064434C" w:rsidP="0064434C">
      <w:pPr>
        <w:pStyle w:val="Bodynumbered-Level1"/>
      </w:pPr>
      <w:r>
        <w:t>14.2.1</w:t>
      </w:r>
      <w:r>
        <w:tab/>
      </w:r>
      <w:r w:rsidRPr="00E62176">
        <w:t xml:space="preserve">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w:t>
      </w:r>
      <w:r>
        <w:t>Grant Agreement</w:t>
      </w:r>
      <w:r w:rsidRPr="00E62176">
        <w:t xml:space="preserve"> and of </w:t>
      </w:r>
      <w:r>
        <w:t>other documentation.</w:t>
      </w:r>
    </w:p>
    <w:p w14:paraId="08689F6E" w14:textId="77777777" w:rsidR="0064434C" w:rsidRPr="00E04541" w:rsidRDefault="00470D54" w:rsidP="00470D54">
      <w:pPr>
        <w:pStyle w:val="Heading4"/>
      </w:pPr>
      <w:bookmarkStart w:id="686" w:name="_Toc393908600"/>
      <w:bookmarkStart w:id="687" w:name="_Toc405380465"/>
      <w:bookmarkStart w:id="688" w:name="_Toc441049727"/>
      <w:bookmarkStart w:id="689" w:name="_Toc497901468"/>
      <w:bookmarkStart w:id="690" w:name="_Toc156213085"/>
      <w:r>
        <w:t xml:space="preserve">14.3 </w:t>
      </w:r>
      <w:r w:rsidR="0064434C" w:rsidRPr="00E04541">
        <w:t xml:space="preserve">Right to vary the </w:t>
      </w:r>
      <w:bookmarkEnd w:id="680"/>
      <w:r w:rsidR="0064434C" w:rsidRPr="00E04541">
        <w:t>Program</w:t>
      </w:r>
      <w:bookmarkEnd w:id="686"/>
      <w:bookmarkEnd w:id="687"/>
      <w:bookmarkEnd w:id="688"/>
      <w:bookmarkEnd w:id="689"/>
      <w:bookmarkEnd w:id="690"/>
    </w:p>
    <w:p w14:paraId="30B8F74F" w14:textId="77777777" w:rsidR="0064434C" w:rsidRPr="00E62176" w:rsidRDefault="0064434C" w:rsidP="0064434C">
      <w:pPr>
        <w:pStyle w:val="Bodynumbered-Level1"/>
      </w:pPr>
      <w:r>
        <w:t>14.3.1</w:t>
      </w:r>
      <w:r>
        <w:tab/>
      </w:r>
      <w:r w:rsidRPr="00E62176">
        <w:t xml:space="preserve">The Government reserves the right to abort or vary the Program (including via variation of these Guidelines) at its discretion, at any time, for any reason, including without limitation, in </w:t>
      </w:r>
      <w:r>
        <w:t xml:space="preserve">the </w:t>
      </w:r>
      <w:r w:rsidRPr="00E62176">
        <w:t>light of</w:t>
      </w:r>
      <w:r>
        <w:t xml:space="preserve"> changes to Government policy.</w:t>
      </w:r>
    </w:p>
    <w:p w14:paraId="42F45BF4" w14:textId="77777777" w:rsidR="0064434C" w:rsidRPr="00E62176" w:rsidRDefault="0064434C" w:rsidP="0064434C">
      <w:pPr>
        <w:pStyle w:val="Bodynumbered-Level1"/>
      </w:pPr>
      <w:r>
        <w:t>14.3.2</w:t>
      </w:r>
      <w:r>
        <w:tab/>
        <w:t>If</w:t>
      </w:r>
      <w:r w:rsidRPr="00E62176">
        <w:t xml:space="preserve">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w:t>
      </w:r>
      <w:r>
        <w:t>ied to the application period.</w:t>
      </w:r>
      <w:r w:rsidRPr="002A69D0">
        <w:t xml:space="preserve"> </w:t>
      </w:r>
      <w:r>
        <w:t xml:space="preserve">Any amendments and resultant extensions will be published on </w:t>
      </w:r>
      <w:proofErr w:type="spellStart"/>
      <w:r w:rsidRPr="003D40F7">
        <w:t>GrantConnect</w:t>
      </w:r>
      <w:proofErr w:type="spellEnd"/>
      <w:r>
        <w:t>.</w:t>
      </w:r>
    </w:p>
    <w:p w14:paraId="337879B5" w14:textId="77777777" w:rsidR="0064434C" w:rsidRPr="00A95D7D" w:rsidRDefault="0064434C" w:rsidP="0064434C">
      <w:pPr>
        <w:pStyle w:val="Bodynumbered-Level1"/>
      </w:pPr>
      <w:r>
        <w:t>14.3.3</w:t>
      </w:r>
      <w:r>
        <w:tab/>
        <w:t>If</w:t>
      </w:r>
      <w:r w:rsidRPr="00E62176">
        <w:t xml:space="preserve"> the Government determines that these Guidelines require amendment following the date for which funding applications are due to be submitted to the Department (for example</w:t>
      </w:r>
      <w:r>
        <w:t>,</w:t>
      </w:r>
      <w:r w:rsidRPr="00E62176">
        <w:t xml:space="preserve"> if the applications received do not achieve the Program objectives), the revised or new Guidelines will clearly identify the extent, if any, to which the amended criteria will be applied to existing applications, and/or whether applicants will have the opportunity to re-submit an application based upon the revised criteria, and/or whether any new applicants will be considered.</w:t>
      </w:r>
      <w:r w:rsidRPr="00D92F39">
        <w:t xml:space="preserve"> </w:t>
      </w:r>
      <w:r>
        <w:t xml:space="preserve">In this event, existing applicants will be notified in writing and via </w:t>
      </w:r>
      <w:proofErr w:type="spellStart"/>
      <w:r w:rsidRPr="003D40F7">
        <w:t>GrantConnect</w:t>
      </w:r>
      <w:proofErr w:type="spellEnd"/>
      <w:r>
        <w:t xml:space="preserve">, and the </w:t>
      </w:r>
      <w:r w:rsidRPr="001E261D">
        <w:t xml:space="preserve">revised Guidelines will be published on </w:t>
      </w:r>
      <w:proofErr w:type="spellStart"/>
      <w:r w:rsidRPr="003D40F7">
        <w:t>GrantConnect</w:t>
      </w:r>
      <w:proofErr w:type="spellEnd"/>
      <w:r>
        <w:t>.</w:t>
      </w:r>
    </w:p>
    <w:p w14:paraId="2FE1D4F8" w14:textId="77777777" w:rsidR="0064434C" w:rsidRPr="00A95D7D" w:rsidRDefault="0064434C" w:rsidP="0064434C">
      <w:pPr>
        <w:pStyle w:val="Bodynumbered-Level1"/>
      </w:pPr>
      <w:r>
        <w:lastRenderedPageBreak/>
        <w:t>14.3.4</w:t>
      </w:r>
      <w:r>
        <w:tab/>
      </w:r>
      <w:r w:rsidRPr="00E62176">
        <w:t xml:space="preserve">Except to the extent to give effect to this </w:t>
      </w:r>
      <w:r>
        <w:t xml:space="preserve">in </w:t>
      </w:r>
      <w:r w:rsidRPr="001E261D">
        <w:t>Part E</w:t>
      </w:r>
      <w:r w:rsidRPr="00E62176">
        <w:t xml:space="preserve"> of the</w:t>
      </w:r>
      <w:r>
        <w:t>se</w:t>
      </w:r>
      <w:r w:rsidRPr="00E62176">
        <w:t xml:space="preserve"> Guidelines, an organisation submitting an application acknowledges that neither the</w:t>
      </w:r>
      <w:r>
        <w:t>se</w:t>
      </w:r>
      <w:r w:rsidRPr="00E62176">
        <w:t xml:space="preserve"> Guidelines, nor any application, give rise to a binding agreement or any other</w:t>
      </w:r>
      <w:r>
        <w:t xml:space="preserve"> binding </w:t>
      </w:r>
      <w:proofErr w:type="gramStart"/>
      <w:r>
        <w:t xml:space="preserve">legal </w:t>
      </w:r>
      <w:r w:rsidRPr="00E62176">
        <w:t> arrangement</w:t>
      </w:r>
      <w:proofErr w:type="gramEnd"/>
      <w:r w:rsidRPr="00E62176">
        <w:t xml:space="preserve"> or legal relationship between the applicant and the Commonwealth. There is no binding agreement on any party until a </w:t>
      </w:r>
      <w:r>
        <w:t>Grant Agreement</w:t>
      </w:r>
      <w:r w:rsidRPr="00E62176">
        <w:t xml:space="preserve"> is executed by the Commonwealth and the </w:t>
      </w:r>
      <w:r>
        <w:t>Grantee(</w:t>
      </w:r>
      <w:r w:rsidRPr="00E62176">
        <w:t>s</w:t>
      </w:r>
      <w:r>
        <w:t>).</w:t>
      </w:r>
    </w:p>
    <w:p w14:paraId="05B3FB20" w14:textId="77777777" w:rsidR="0064434C" w:rsidRPr="00E04541" w:rsidRDefault="00470D54" w:rsidP="00470D54">
      <w:pPr>
        <w:pStyle w:val="Heading4"/>
      </w:pPr>
      <w:bookmarkStart w:id="691" w:name="_Toc393908601"/>
      <w:bookmarkStart w:id="692" w:name="_Toc405380466"/>
      <w:bookmarkStart w:id="693" w:name="_Toc441049728"/>
      <w:bookmarkStart w:id="694" w:name="_Toc497901469"/>
      <w:bookmarkStart w:id="695" w:name="_Toc156213086"/>
      <w:bookmarkStart w:id="696" w:name="_Toc386635512"/>
      <w:r>
        <w:t xml:space="preserve">14.4 </w:t>
      </w:r>
      <w:r w:rsidR="0064434C" w:rsidRPr="00E04541">
        <w:t>Clarifications</w:t>
      </w:r>
      <w:bookmarkEnd w:id="691"/>
      <w:bookmarkEnd w:id="692"/>
      <w:bookmarkEnd w:id="693"/>
      <w:bookmarkEnd w:id="694"/>
      <w:bookmarkEnd w:id="695"/>
    </w:p>
    <w:p w14:paraId="64B5A39C" w14:textId="77777777" w:rsidR="0064434C" w:rsidRPr="00E62176" w:rsidRDefault="0064434C" w:rsidP="0064434C">
      <w:pPr>
        <w:pStyle w:val="Bodynumbered-Level1"/>
      </w:pPr>
      <w:r>
        <w:t>14.4.1</w:t>
      </w:r>
      <w:r>
        <w:tab/>
      </w:r>
      <w:r w:rsidRPr="00E62176">
        <w:t>All requests for clarification or determination of the meaning of provisions in these Guidelines should be referred to the Department</w:t>
      </w:r>
      <w:r w:rsidRPr="00512B71">
        <w:t xml:space="preserve"> </w:t>
      </w:r>
      <w:hyperlink r:id="rId19" w:history="1">
        <w:r w:rsidRPr="006065B4">
          <w:t>by email</w:t>
        </w:r>
      </w:hyperlink>
      <w:r>
        <w:t xml:space="preserve"> at </w:t>
      </w:r>
      <w:hyperlink r:id="rId20" w:history="1">
        <w:r w:rsidRPr="002E64F6">
          <w:rPr>
            <w:rStyle w:val="Hyperlink"/>
          </w:rPr>
          <w:t>mobilecoverage@communications.gov.au</w:t>
        </w:r>
      </w:hyperlink>
      <w:r w:rsidRPr="006065B4">
        <w:t>.</w:t>
      </w:r>
      <w:r w:rsidRPr="00E62176">
        <w:t xml:space="preserve"> If an applicant requests clarification of a provision in these Guidelines or a determination on a particular issue, the Department’s written decision on the matter is final. Written decisions may be made publicly available via </w:t>
      </w:r>
      <w:proofErr w:type="spellStart"/>
      <w:r w:rsidRPr="003D40F7">
        <w:t>GrantConnect</w:t>
      </w:r>
      <w:proofErr w:type="spellEnd"/>
      <w:r w:rsidRPr="00E62176">
        <w:t>, where appropriate.</w:t>
      </w:r>
    </w:p>
    <w:p w14:paraId="27527F39" w14:textId="77777777" w:rsidR="0064434C" w:rsidRPr="00E04541" w:rsidRDefault="00470D54" w:rsidP="00470D54">
      <w:pPr>
        <w:pStyle w:val="Heading4"/>
      </w:pPr>
      <w:bookmarkStart w:id="697" w:name="_Toc393908602"/>
      <w:bookmarkStart w:id="698" w:name="_Toc405380467"/>
      <w:bookmarkStart w:id="699" w:name="_Toc441049729"/>
      <w:bookmarkStart w:id="700" w:name="_Toc497901470"/>
      <w:bookmarkStart w:id="701" w:name="_Toc156213087"/>
      <w:r>
        <w:t xml:space="preserve">14.5 </w:t>
      </w:r>
      <w:r w:rsidR="0064434C" w:rsidRPr="00E04541">
        <w:t>Background checks</w:t>
      </w:r>
      <w:bookmarkEnd w:id="696"/>
      <w:bookmarkEnd w:id="697"/>
      <w:bookmarkEnd w:id="698"/>
      <w:bookmarkEnd w:id="699"/>
      <w:bookmarkEnd w:id="700"/>
      <w:bookmarkEnd w:id="701"/>
    </w:p>
    <w:p w14:paraId="22E78899" w14:textId="77777777" w:rsidR="0064434C" w:rsidRPr="00DE24F1" w:rsidRDefault="0064434C" w:rsidP="0064434C">
      <w:pPr>
        <w:pStyle w:val="Bodynumbered-Level1"/>
      </w:pPr>
      <w:r>
        <w:t>14.5.1</w:t>
      </w:r>
      <w:r>
        <w:tab/>
      </w:r>
      <w:r w:rsidRPr="00DE24F1">
        <w:t>Applicants should ensure that, where appropriate, personnel involved in the Program have undergone background checks – including checks of financial viability or criminal records – to determine the good character and business reputation of the pr</w:t>
      </w:r>
      <w:r>
        <w:t>oject leader and its personnel.</w:t>
      </w:r>
    </w:p>
    <w:p w14:paraId="277015B9" w14:textId="77777777" w:rsidR="0064434C" w:rsidRPr="00DE24F1" w:rsidRDefault="0064434C" w:rsidP="0064434C">
      <w:pPr>
        <w:pStyle w:val="Bodynumbered-Level1"/>
      </w:pPr>
      <w:r>
        <w:t>14.5.2</w:t>
      </w:r>
      <w:r>
        <w:tab/>
      </w:r>
      <w:r w:rsidRPr="00DE24F1">
        <w:t xml:space="preserve">The Department may undertake checks on organisations </w:t>
      </w:r>
      <w:proofErr w:type="gramStart"/>
      <w:r w:rsidRPr="00DE24F1">
        <w:t>submitting an application</w:t>
      </w:r>
      <w:proofErr w:type="gramEnd"/>
      <w:r w:rsidRPr="00DE24F1">
        <w:t xml:space="preserve"> for the Program (including the applicant’s personnel). It may also undertake consultations with other relevant third parties regarding any application. The Department may also conduct checks to obtain any relevant information n</w:t>
      </w:r>
      <w:r>
        <w:t>ot disclosed in an application.</w:t>
      </w:r>
    </w:p>
    <w:p w14:paraId="11FE2045" w14:textId="77777777" w:rsidR="0064434C" w:rsidRPr="00A95D7D" w:rsidRDefault="0064434C" w:rsidP="0064434C">
      <w:pPr>
        <w:pStyle w:val="Bodynumbered-Level1"/>
        <w:spacing w:after="120"/>
      </w:pPr>
      <w:r>
        <w:t>14.5.3</w:t>
      </w:r>
      <w:r>
        <w:tab/>
      </w:r>
      <w:r w:rsidRPr="00DE24F1">
        <w:t>The Department reserves the right to use information from:</w:t>
      </w:r>
    </w:p>
    <w:p w14:paraId="5D28A42C" w14:textId="77777777" w:rsidR="0064434C" w:rsidRPr="008E3258" w:rsidRDefault="0064434C" w:rsidP="00470D54">
      <w:pPr>
        <w:pStyle w:val="Bodynumbered-Level3"/>
        <w:spacing w:before="120" w:after="120"/>
        <w:ind w:left="1417" w:hanging="567"/>
      </w:pPr>
      <w:r>
        <w:t>(a)</w:t>
      </w:r>
      <w:r>
        <w:tab/>
      </w:r>
      <w:r w:rsidRPr="008E3258">
        <w:t>the Department’s databases</w:t>
      </w:r>
      <w:r>
        <w:t>;</w:t>
      </w:r>
    </w:p>
    <w:p w14:paraId="7B2F1328" w14:textId="77777777" w:rsidR="0064434C" w:rsidRPr="008E3258" w:rsidRDefault="0064434C" w:rsidP="00470D54">
      <w:pPr>
        <w:pStyle w:val="Bodynumbered-Level3"/>
        <w:spacing w:before="120" w:after="120"/>
        <w:ind w:left="1417" w:hanging="567"/>
      </w:pPr>
      <w:r>
        <w:t>(b)</w:t>
      </w:r>
      <w:r>
        <w:tab/>
      </w:r>
      <w:r w:rsidRPr="008E3258">
        <w:t>other Government agencies, such as the Australian Taxation Office and Australian Securities and Investments Co</w:t>
      </w:r>
      <w:r>
        <w:t>mmission;</w:t>
      </w:r>
    </w:p>
    <w:p w14:paraId="57FEEA4E" w14:textId="77777777" w:rsidR="0064434C" w:rsidRPr="008E3258" w:rsidRDefault="0064434C" w:rsidP="00470D54">
      <w:pPr>
        <w:pStyle w:val="Bodynumbered-Level3"/>
        <w:spacing w:before="120" w:after="120"/>
        <w:ind w:left="1417" w:hanging="567"/>
      </w:pPr>
      <w:r>
        <w:t>(c)</w:t>
      </w:r>
      <w:r>
        <w:tab/>
        <w:t>S</w:t>
      </w:r>
      <w:r w:rsidRPr="008E3258">
        <w:t xml:space="preserve">tate or </w:t>
      </w:r>
      <w:r>
        <w:t>T</w:t>
      </w:r>
      <w:r w:rsidRPr="008E3258">
        <w:t>erritory agencies</w:t>
      </w:r>
      <w:r>
        <w:t>;</w:t>
      </w:r>
    </w:p>
    <w:p w14:paraId="696F8714" w14:textId="77777777" w:rsidR="0064434C" w:rsidRPr="008E3258" w:rsidRDefault="0064434C" w:rsidP="00470D54">
      <w:pPr>
        <w:pStyle w:val="Bodynumbered-Level3"/>
        <w:spacing w:before="120" w:after="120"/>
        <w:ind w:left="1417" w:hanging="567"/>
      </w:pPr>
      <w:r>
        <w:t>(d)</w:t>
      </w:r>
      <w:r>
        <w:tab/>
      </w:r>
      <w:r w:rsidRPr="008E3258">
        <w:t>law enforcement</w:t>
      </w:r>
      <w:r>
        <w:t xml:space="preserve"> </w:t>
      </w:r>
      <w:r w:rsidRPr="008E3258">
        <w:t>agencies</w:t>
      </w:r>
      <w:r>
        <w:t>;</w:t>
      </w:r>
    </w:p>
    <w:p w14:paraId="769DF4D0" w14:textId="77777777" w:rsidR="0064434C" w:rsidRPr="008E3258" w:rsidRDefault="0064434C" w:rsidP="00470D54">
      <w:pPr>
        <w:pStyle w:val="Bodynumbered-Level3"/>
        <w:spacing w:before="120" w:after="120"/>
        <w:ind w:left="1417" w:hanging="567"/>
      </w:pPr>
      <w:r>
        <w:t>(e)</w:t>
      </w:r>
      <w:r>
        <w:tab/>
      </w:r>
      <w:r w:rsidRPr="008E3258">
        <w:t>credit reference agencies</w:t>
      </w:r>
      <w:r>
        <w:t>;</w:t>
      </w:r>
    </w:p>
    <w:p w14:paraId="24C5B4A5" w14:textId="77777777" w:rsidR="0064434C" w:rsidRPr="008E3258" w:rsidRDefault="0064434C" w:rsidP="00470D54">
      <w:pPr>
        <w:pStyle w:val="Bodynumbered-Level3"/>
        <w:spacing w:before="120" w:after="120"/>
        <w:ind w:left="1417" w:hanging="567"/>
      </w:pPr>
      <w:r>
        <w:t>(f)</w:t>
      </w:r>
      <w:r>
        <w:tab/>
      </w:r>
      <w:r w:rsidRPr="008E3258">
        <w:t>courts or tribunals</w:t>
      </w:r>
      <w:r>
        <w:t>; and</w:t>
      </w:r>
    </w:p>
    <w:p w14:paraId="4FAFD2C4" w14:textId="77777777" w:rsidR="0064434C" w:rsidRPr="008E3258" w:rsidRDefault="0064434C" w:rsidP="00470D54">
      <w:pPr>
        <w:pStyle w:val="Bodynumbered-Level3"/>
        <w:spacing w:before="120"/>
        <w:ind w:left="1417" w:hanging="567"/>
      </w:pPr>
      <w:r>
        <w:t>(g)</w:t>
      </w:r>
      <w:r>
        <w:tab/>
      </w:r>
      <w:r w:rsidRPr="008E3258">
        <w:t>any other appropriate organisation or person reasonably required as part of these checks.</w:t>
      </w:r>
    </w:p>
    <w:p w14:paraId="27358538" w14:textId="77777777" w:rsidR="0064434C" w:rsidRPr="00E04541" w:rsidRDefault="00470D54" w:rsidP="00470D54">
      <w:pPr>
        <w:pStyle w:val="Heading4"/>
      </w:pPr>
      <w:bookmarkStart w:id="702" w:name="_Toc386635513"/>
      <w:bookmarkStart w:id="703" w:name="_Ref389783867"/>
      <w:bookmarkStart w:id="704" w:name="_Toc393908603"/>
      <w:bookmarkStart w:id="705" w:name="_Toc405380468"/>
      <w:bookmarkStart w:id="706" w:name="_Toc441049730"/>
      <w:bookmarkStart w:id="707" w:name="_Toc497901471"/>
      <w:bookmarkStart w:id="708" w:name="_Toc156213088"/>
      <w:r>
        <w:t xml:space="preserve">14.6 </w:t>
      </w:r>
      <w:r w:rsidR="0064434C" w:rsidRPr="00E04541">
        <w:t>Confidentiality</w:t>
      </w:r>
      <w:bookmarkEnd w:id="702"/>
      <w:bookmarkEnd w:id="703"/>
      <w:bookmarkEnd w:id="704"/>
      <w:bookmarkEnd w:id="705"/>
      <w:bookmarkEnd w:id="706"/>
      <w:bookmarkEnd w:id="707"/>
      <w:bookmarkEnd w:id="708"/>
    </w:p>
    <w:p w14:paraId="4B446AEB" w14:textId="77777777" w:rsidR="0064434C" w:rsidRDefault="0064434C" w:rsidP="0064434C">
      <w:pPr>
        <w:pStyle w:val="Bodynumbered-Level1"/>
      </w:pPr>
      <w:r>
        <w:t>14.6.1</w:t>
      </w:r>
      <w:r>
        <w:tab/>
      </w:r>
      <w:r w:rsidRPr="00DE24F1">
        <w:t xml:space="preserve">The Department will treat any </w:t>
      </w:r>
      <w:r>
        <w:t xml:space="preserve">of the applicant’s commercially sensitive </w:t>
      </w:r>
      <w:r w:rsidRPr="00DE24F1">
        <w:t xml:space="preserve">information provided in the applicant’s application as </w:t>
      </w:r>
      <w:r w:rsidRPr="004D1954">
        <w:rPr>
          <w:b/>
        </w:rPr>
        <w:t>confidential information</w:t>
      </w:r>
      <w:r w:rsidRPr="00DE24F1">
        <w:t xml:space="preserve"> provided that information is designated as confidential information (</w:t>
      </w:r>
      <w:r w:rsidRPr="007C3CE9">
        <w:t>Applicant Confidential Information</w:t>
      </w:r>
      <w:r w:rsidRPr="00DE24F1">
        <w:t>).</w:t>
      </w:r>
    </w:p>
    <w:p w14:paraId="1AC68E58" w14:textId="77777777" w:rsidR="0064434C" w:rsidRPr="00DE24F1" w:rsidRDefault="0064434C" w:rsidP="0064434C">
      <w:pPr>
        <w:pStyle w:val="Bodynumbered-Level1"/>
        <w:spacing w:after="120"/>
      </w:pPr>
      <w:r>
        <w:t>14.6.2</w:t>
      </w:r>
      <w:r>
        <w:tab/>
      </w:r>
      <w:r w:rsidRPr="00DE24F1">
        <w:t xml:space="preserve">The Department’s confidentiality obligation does not apply to the extent </w:t>
      </w:r>
      <w:r>
        <w:t xml:space="preserve">any Applicant </w:t>
      </w:r>
      <w:r w:rsidRPr="00DE24F1">
        <w:t>Confidential Information is:</w:t>
      </w:r>
    </w:p>
    <w:p w14:paraId="4E4F78B2" w14:textId="77777777" w:rsidR="0064434C" w:rsidRPr="008E3258" w:rsidRDefault="0064434C" w:rsidP="00470D54">
      <w:pPr>
        <w:pStyle w:val="Bodynumbered-Level3"/>
        <w:spacing w:before="120" w:after="120"/>
        <w:ind w:left="1494" w:hanging="644"/>
      </w:pPr>
      <w:r>
        <w:t>(a)</w:t>
      </w:r>
      <w:r>
        <w:tab/>
      </w:r>
      <w:r w:rsidRPr="008E3258">
        <w:t xml:space="preserve">authorised or </w:t>
      </w:r>
      <w:r>
        <w:t>required by law to be disclosed;</w:t>
      </w:r>
    </w:p>
    <w:p w14:paraId="59D61D61" w14:textId="77777777" w:rsidR="0064434C" w:rsidRPr="008E3258" w:rsidRDefault="0064434C" w:rsidP="00470D54">
      <w:pPr>
        <w:pStyle w:val="Bodynumbered-Level3"/>
        <w:spacing w:before="120" w:after="120"/>
        <w:ind w:left="1494" w:hanging="644"/>
      </w:pPr>
      <w:r>
        <w:t>(b)</w:t>
      </w:r>
      <w:r>
        <w:tab/>
      </w:r>
      <w:r w:rsidRPr="008E3258">
        <w:t>disclosed by the Department to its advisers</w:t>
      </w:r>
      <w:r>
        <w:t>,</w:t>
      </w:r>
      <w:r w:rsidRPr="008E3258">
        <w:t xml:space="preserve"> </w:t>
      </w:r>
      <w:r>
        <w:t xml:space="preserve">officers, </w:t>
      </w:r>
      <w:r w:rsidRPr="008E3258">
        <w:t>employees</w:t>
      </w:r>
      <w:r>
        <w:t>, or other agencies’ officers or employees,</w:t>
      </w:r>
      <w:r w:rsidRPr="008E3258">
        <w:t xml:space="preserve"> </w:t>
      </w:r>
      <w:r>
        <w:t>for the purpose of</w:t>
      </w:r>
      <w:r w:rsidRPr="008E3258">
        <w:t xml:space="preserve"> evaluat</w:t>
      </w:r>
      <w:r>
        <w:t>ing</w:t>
      </w:r>
      <w:r w:rsidRPr="008E3258">
        <w:t xml:space="preserve"> the applicant’s application and during any </w:t>
      </w:r>
      <w:r>
        <w:t>Grant Agreement negotiations;</w:t>
      </w:r>
    </w:p>
    <w:p w14:paraId="0631EE7B" w14:textId="77777777" w:rsidR="0064434C" w:rsidRPr="008E3258" w:rsidRDefault="0064434C" w:rsidP="00470D54">
      <w:pPr>
        <w:pStyle w:val="Bodynumbered-Level3"/>
        <w:spacing w:before="120" w:after="120"/>
        <w:ind w:left="1494" w:hanging="644"/>
      </w:pPr>
      <w:r>
        <w:t>(c)</w:t>
      </w:r>
      <w:r>
        <w:tab/>
      </w:r>
      <w:r w:rsidRPr="008E3258">
        <w:t>disclosed by the Department in response to a request by a house or a committee of the Parliament of Australia, or a house or a co</w:t>
      </w:r>
      <w:r>
        <w:t>mmittee of the Parliament of a s</w:t>
      </w:r>
      <w:r w:rsidRPr="008E3258">
        <w:t>t</w:t>
      </w:r>
      <w:r>
        <w:t>ate or territory;</w:t>
      </w:r>
    </w:p>
    <w:p w14:paraId="449688CD" w14:textId="77777777" w:rsidR="0064434C" w:rsidRDefault="0064434C" w:rsidP="00470D54">
      <w:pPr>
        <w:pStyle w:val="Bodynumbered-Level3"/>
        <w:spacing w:before="120" w:after="120"/>
        <w:ind w:left="1494" w:hanging="644"/>
      </w:pPr>
      <w:r>
        <w:lastRenderedPageBreak/>
        <w:t>(d)</w:t>
      </w:r>
      <w:r>
        <w:tab/>
      </w:r>
      <w:r w:rsidRPr="008E3258">
        <w:t xml:space="preserve">disclosed by the Department to </w:t>
      </w:r>
      <w:r w:rsidRPr="00B61E7B">
        <w:t xml:space="preserve">its </w:t>
      </w:r>
      <w:r>
        <w:t xml:space="preserve">responsible Minister </w:t>
      </w:r>
      <w:r w:rsidRPr="00B61E7B">
        <w:t>or the</w:t>
      </w:r>
      <w:r>
        <w:t xml:space="preserve"> Aud</w:t>
      </w:r>
      <w:r w:rsidRPr="00B61E7B">
        <w:t>itor-General</w:t>
      </w:r>
      <w:r>
        <w:t>;</w:t>
      </w:r>
    </w:p>
    <w:p w14:paraId="5E0AE914" w14:textId="77777777" w:rsidR="0064434C" w:rsidRPr="008E3258" w:rsidRDefault="0064434C" w:rsidP="00470D54">
      <w:pPr>
        <w:pStyle w:val="Bodynumbered-Level3"/>
        <w:spacing w:before="120" w:after="120"/>
        <w:ind w:left="1494" w:hanging="644"/>
      </w:pPr>
      <w:r>
        <w:t>(e)</w:t>
      </w:r>
      <w:r>
        <w:tab/>
      </w:r>
      <w:r w:rsidRPr="008E3258">
        <w:t>shared by the Commonwealth within the Commonwealth’s entity (for example, another Commonwealth agency), where this serves the Commonw</w:t>
      </w:r>
      <w:r>
        <w:t>ealth’s legitimate interests;</w:t>
      </w:r>
    </w:p>
    <w:p w14:paraId="639C7E7A" w14:textId="77777777" w:rsidR="0064434C" w:rsidRPr="008E3258" w:rsidRDefault="0064434C" w:rsidP="00470D54">
      <w:pPr>
        <w:pStyle w:val="Bodynumbered-Level3"/>
        <w:spacing w:before="120" w:after="120"/>
        <w:ind w:left="1494" w:hanging="644"/>
      </w:pPr>
      <w:r>
        <w:t>(f)</w:t>
      </w:r>
      <w:r>
        <w:tab/>
      </w:r>
      <w:r w:rsidRPr="008E3258">
        <w:t>disclosed to the Department’s officers to enable the effective managemen</w:t>
      </w:r>
      <w:r>
        <w:t xml:space="preserve">t or auditing of the Program; </w:t>
      </w:r>
      <w:r w:rsidRPr="008E3258">
        <w:t>and</w:t>
      </w:r>
    </w:p>
    <w:p w14:paraId="05AD02D6" w14:textId="77777777" w:rsidR="0064434C" w:rsidRDefault="0064434C" w:rsidP="00470D54">
      <w:pPr>
        <w:pStyle w:val="Bodynumbered-Level3"/>
        <w:spacing w:before="120"/>
        <w:ind w:left="1494" w:hanging="644"/>
      </w:pPr>
      <w:r>
        <w:t>(g)</w:t>
      </w:r>
      <w:r>
        <w:tab/>
      </w:r>
      <w:r w:rsidRPr="008E3258">
        <w:t>in the public domain otherwise than due to a breach of the Department’s confidentiality obligation.</w:t>
      </w:r>
    </w:p>
    <w:p w14:paraId="59529086" w14:textId="77777777" w:rsidR="0064434C" w:rsidRDefault="0064434C" w:rsidP="0064434C">
      <w:pPr>
        <w:pStyle w:val="Bodynumbered-Level1"/>
      </w:pPr>
      <w:r>
        <w:t>14.6.3</w:t>
      </w:r>
      <w:r>
        <w:tab/>
      </w:r>
      <w:r w:rsidRPr="00DE24F1">
        <w:t xml:space="preserve">The </w:t>
      </w:r>
      <w:r>
        <w:t>applicant</w:t>
      </w:r>
      <w:r w:rsidRPr="00DE24F1">
        <w:t xml:space="preserve"> will treat any information provided </w:t>
      </w:r>
      <w:r>
        <w:t>by the Department</w:t>
      </w:r>
      <w:r w:rsidRPr="00DE24F1">
        <w:t xml:space="preserve"> as confidential information provided that information is designated as confidential information</w:t>
      </w:r>
      <w:r>
        <w:t>.</w:t>
      </w:r>
      <w:r w:rsidRPr="00DE24F1">
        <w:t xml:space="preserve"> (</w:t>
      </w:r>
      <w:r w:rsidRPr="00D37290">
        <w:rPr>
          <w:b/>
        </w:rPr>
        <w:t>Commonwealth Confidential Information</w:t>
      </w:r>
      <w:r w:rsidRPr="00DE24F1">
        <w:t>).</w:t>
      </w:r>
    </w:p>
    <w:p w14:paraId="4F7F5B24" w14:textId="77777777" w:rsidR="0064434C" w:rsidRPr="00DE24F1" w:rsidRDefault="0064434C" w:rsidP="0064434C">
      <w:pPr>
        <w:pStyle w:val="Bodynumbered-Level1"/>
        <w:spacing w:after="120"/>
      </w:pPr>
      <w:r>
        <w:t>14.6.4</w:t>
      </w:r>
      <w:r>
        <w:tab/>
        <w:t xml:space="preserve">The applicant’s </w:t>
      </w:r>
      <w:r w:rsidRPr="00DE24F1">
        <w:t xml:space="preserve">confidentiality obligation does not apply to the extent </w:t>
      </w:r>
      <w:r>
        <w:t>any</w:t>
      </w:r>
      <w:r w:rsidRPr="00DE24F1">
        <w:t xml:space="preserve"> </w:t>
      </w:r>
      <w:r>
        <w:t xml:space="preserve">Commonwealth </w:t>
      </w:r>
      <w:r w:rsidRPr="00DE24F1">
        <w:t>Confidential Information is:</w:t>
      </w:r>
    </w:p>
    <w:p w14:paraId="63D85495" w14:textId="77777777" w:rsidR="0064434C" w:rsidRDefault="0064434C" w:rsidP="00470D54">
      <w:pPr>
        <w:pStyle w:val="Bodynumbered-Level3"/>
        <w:spacing w:before="120" w:after="120"/>
        <w:ind w:left="1494" w:hanging="644"/>
      </w:pPr>
      <w:r>
        <w:t>(a)</w:t>
      </w:r>
      <w:r>
        <w:tab/>
      </w:r>
      <w:r w:rsidRPr="008E3258">
        <w:t xml:space="preserve">authorised or </w:t>
      </w:r>
      <w:r>
        <w:t>required by law to be disclosed; or</w:t>
      </w:r>
    </w:p>
    <w:p w14:paraId="7D31D688" w14:textId="77777777" w:rsidR="0064434C" w:rsidRPr="001E46EE" w:rsidRDefault="0064434C" w:rsidP="00470D54">
      <w:pPr>
        <w:pStyle w:val="Bodynumbered-Level3"/>
        <w:spacing w:before="120"/>
        <w:ind w:left="1494" w:hanging="644"/>
      </w:pPr>
      <w:r>
        <w:t>(b)</w:t>
      </w:r>
      <w:r>
        <w:tab/>
      </w:r>
      <w:r w:rsidRPr="008E3258">
        <w:t xml:space="preserve">in the public domain otherwise than due to a breach of the </w:t>
      </w:r>
      <w:r>
        <w:t>applicant</w:t>
      </w:r>
      <w:r w:rsidRPr="008E3258">
        <w:t>’s confidentiality obligation</w:t>
      </w:r>
      <w:r>
        <w:t>.</w:t>
      </w:r>
    </w:p>
    <w:p w14:paraId="7C0009A7" w14:textId="77777777" w:rsidR="0064434C" w:rsidRPr="004D38D2" w:rsidRDefault="0064434C" w:rsidP="0064434C">
      <w:pPr>
        <w:pStyle w:val="Bodynumbered-Level1"/>
      </w:pPr>
      <w:r>
        <w:t>14.6.5</w:t>
      </w:r>
      <w:r>
        <w:tab/>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 subject to agreement on confidentiality</w:t>
      </w:r>
      <w:r w:rsidRPr="00C210AC">
        <w:t xml:space="preserve"> </w:t>
      </w:r>
      <w:r>
        <w:t>with applicants.</w:t>
      </w:r>
    </w:p>
    <w:p w14:paraId="287F3B63" w14:textId="77777777" w:rsidR="0064434C" w:rsidRPr="0031276D" w:rsidRDefault="00470D54" w:rsidP="00470D54">
      <w:pPr>
        <w:pStyle w:val="Heading4"/>
      </w:pPr>
      <w:bookmarkStart w:id="709" w:name="_Toc393908604"/>
      <w:bookmarkStart w:id="710" w:name="_Toc405380469"/>
      <w:bookmarkStart w:id="711" w:name="_Toc441049731"/>
      <w:bookmarkStart w:id="712" w:name="_Toc497901472"/>
      <w:bookmarkStart w:id="713" w:name="_Toc156213089"/>
      <w:r>
        <w:t xml:space="preserve">14.7 </w:t>
      </w:r>
      <w:r w:rsidR="0064434C" w:rsidRPr="00E04541">
        <w:t>Intellectual Property rights</w:t>
      </w:r>
      <w:bookmarkEnd w:id="709"/>
      <w:bookmarkEnd w:id="710"/>
      <w:bookmarkEnd w:id="711"/>
      <w:bookmarkEnd w:id="712"/>
      <w:bookmarkEnd w:id="713"/>
    </w:p>
    <w:p w14:paraId="34161836" w14:textId="77777777" w:rsidR="0064434C" w:rsidRPr="00DE24F1" w:rsidRDefault="0064434C" w:rsidP="0064434C">
      <w:pPr>
        <w:pStyle w:val="Bodynumbered-Level1"/>
        <w:spacing w:after="120"/>
      </w:pPr>
      <w:r>
        <w:t>14.7.1</w:t>
      </w:r>
      <w:r>
        <w:tab/>
      </w:r>
      <w:r w:rsidRPr="00DE24F1">
        <w:t xml:space="preserve">By </w:t>
      </w:r>
      <w:proofErr w:type="gramStart"/>
      <w:r w:rsidRPr="00DE24F1">
        <w:t>submitting an application</w:t>
      </w:r>
      <w:proofErr w:type="gramEnd"/>
      <w:r w:rsidRPr="00DE24F1">
        <w:t xml:space="preserve"> under </w:t>
      </w:r>
      <w:r>
        <w:t>the Program</w:t>
      </w:r>
      <w:r w:rsidRPr="00DE24F1">
        <w:t>, to the extent the ap</w:t>
      </w:r>
      <w:r>
        <w:t>plicant’s application contains:</w:t>
      </w:r>
    </w:p>
    <w:p w14:paraId="4EABA1E3" w14:textId="77777777" w:rsidR="0064434C" w:rsidRPr="008E3258" w:rsidRDefault="0064434C" w:rsidP="00470D54">
      <w:pPr>
        <w:pStyle w:val="Bodynumbered-Level3"/>
        <w:spacing w:before="120" w:after="120"/>
        <w:ind w:left="1494" w:hanging="644"/>
      </w:pPr>
      <w:r>
        <w:t>(a)</w:t>
      </w:r>
      <w:r>
        <w:tab/>
      </w:r>
      <w:r w:rsidRPr="008E3258">
        <w:t xml:space="preserve">its </w:t>
      </w:r>
      <w:r w:rsidRPr="00691272">
        <w:rPr>
          <w:b/>
        </w:rPr>
        <w:t>Intellectual Property</w:t>
      </w:r>
      <w:r>
        <w:t xml:space="preserve">; </w:t>
      </w:r>
      <w:r w:rsidRPr="008E3258">
        <w:t>or</w:t>
      </w:r>
    </w:p>
    <w:p w14:paraId="296E6C3D" w14:textId="77777777" w:rsidR="0064434C" w:rsidRPr="008E3258" w:rsidRDefault="0064434C" w:rsidP="00470D54">
      <w:pPr>
        <w:pStyle w:val="Bodynumbered-Level3"/>
        <w:spacing w:before="120" w:after="120"/>
        <w:ind w:left="1494" w:hanging="644"/>
      </w:pPr>
      <w:r>
        <w:t>(b)</w:t>
      </w:r>
      <w:r>
        <w:tab/>
        <w:t xml:space="preserve">a </w:t>
      </w:r>
      <w:r w:rsidRPr="008E3258">
        <w:t>third</w:t>
      </w:r>
      <w:r>
        <w:t xml:space="preserve"> party’s Intellectual Property,</w:t>
      </w:r>
    </w:p>
    <w:p w14:paraId="0C3B33C9" w14:textId="77777777" w:rsidR="0064434C" w:rsidRPr="00DE24F1" w:rsidRDefault="0064434C" w:rsidP="0064434C">
      <w:pPr>
        <w:pStyle w:val="Bodynumbered-Level1"/>
        <w:spacing w:before="120"/>
        <w:ind w:hanging="11"/>
      </w:pPr>
      <w:r w:rsidRPr="00DE24F1">
        <w:t>the applicant grants (or will procure for) the Commonwealth a permanent, irrevocable, royalty-free, worldwide, non-exclusive licence (including a right of sublicen</w:t>
      </w:r>
      <w:r>
        <w:t>s</w:t>
      </w:r>
      <w:r w:rsidRPr="00DE24F1">
        <w:t xml:space="preserve">e) to use, reproduce, adapt, </w:t>
      </w:r>
      <w:r>
        <w:t xml:space="preserve">and </w:t>
      </w:r>
      <w:r w:rsidRPr="00DE24F1">
        <w:t xml:space="preserve">communicate the applicant’s Intellectual Property contained in its application under the </w:t>
      </w:r>
      <w:r>
        <w:t>Program</w:t>
      </w:r>
      <w:r w:rsidRPr="00DE24F1">
        <w:t xml:space="preserve"> provided </w:t>
      </w:r>
      <w:r>
        <w:t>the use, reproduction, adaptation, or communication</w:t>
      </w:r>
      <w:r w:rsidRPr="00DE24F1">
        <w:t xml:space="preserve"> is in connection with any assessment processes under, or th</w:t>
      </w:r>
      <w:r>
        <w:t>e evaluation of, the Program.</w:t>
      </w:r>
    </w:p>
    <w:p w14:paraId="563E4E68" w14:textId="77777777" w:rsidR="0064434C" w:rsidRPr="00DE24F1" w:rsidRDefault="0064434C" w:rsidP="0064434C">
      <w:pPr>
        <w:pStyle w:val="Bodynumbered-Level1"/>
      </w:pPr>
      <w:r>
        <w:t>14.7.2</w:t>
      </w:r>
      <w:r>
        <w:tab/>
      </w:r>
      <w:r w:rsidRPr="00DE24F1">
        <w:t xml:space="preserve">Any licence granted to the Commonwealth in relation to Intellectual Property rights does not include a right to exploit </w:t>
      </w:r>
      <w:r>
        <w:t>the</w:t>
      </w:r>
      <w:r w:rsidRPr="00DE24F1">
        <w:t xml:space="preserve"> Intellectual Property for commercial purposes.</w:t>
      </w:r>
    </w:p>
    <w:p w14:paraId="2F52C1F3" w14:textId="77777777" w:rsidR="0064434C" w:rsidRPr="00E04541" w:rsidRDefault="00470D54" w:rsidP="00470D54">
      <w:pPr>
        <w:pStyle w:val="Heading4"/>
      </w:pPr>
      <w:bookmarkStart w:id="714" w:name="_Ref389786612"/>
      <w:bookmarkStart w:id="715" w:name="_Toc393908605"/>
      <w:bookmarkStart w:id="716" w:name="_Toc405380470"/>
      <w:bookmarkStart w:id="717" w:name="_Toc441049732"/>
      <w:bookmarkStart w:id="718" w:name="_Toc497901473"/>
      <w:bookmarkStart w:id="719" w:name="_Toc156213090"/>
      <w:r>
        <w:t xml:space="preserve">14.8 </w:t>
      </w:r>
      <w:r w:rsidR="0064434C" w:rsidRPr="00E04541">
        <w:t>Privacy of individuals</w:t>
      </w:r>
      <w:bookmarkEnd w:id="714"/>
      <w:bookmarkEnd w:id="715"/>
      <w:bookmarkEnd w:id="716"/>
      <w:bookmarkEnd w:id="717"/>
      <w:bookmarkEnd w:id="718"/>
      <w:bookmarkEnd w:id="719"/>
    </w:p>
    <w:p w14:paraId="14E75CC6" w14:textId="77777777" w:rsidR="0064434C" w:rsidRPr="00DE24F1" w:rsidRDefault="0064434C" w:rsidP="0064434C">
      <w:pPr>
        <w:pStyle w:val="Bodynumbered-Level1"/>
      </w:pPr>
      <w:r>
        <w:t>14.8.1</w:t>
      </w:r>
      <w:r>
        <w:tab/>
      </w:r>
      <w:r w:rsidRPr="00DE24F1">
        <w:t xml:space="preserve">The Department is covered by </w:t>
      </w:r>
      <w:r w:rsidRPr="000C16EC">
        <w:rPr>
          <w:i/>
        </w:rPr>
        <w:t>the Privacy Act 1988</w:t>
      </w:r>
      <w:r w:rsidRPr="00DE24F1">
        <w:t xml:space="preserve"> (the Privacy Act). The Privacy Act contains 13 Australian Privacy Principles (the </w:t>
      </w:r>
      <w:r w:rsidRPr="007C3CE9">
        <w:t>APPs</w:t>
      </w:r>
      <w:r w:rsidRPr="00DE24F1">
        <w:t>) which governs how the Department collects, uses and discloses personal and sensitive information, and how individuals can access and correct records containing their personal or sensitive information.</w:t>
      </w:r>
    </w:p>
    <w:p w14:paraId="0ADED513" w14:textId="77777777" w:rsidR="0064434C" w:rsidRPr="00A95D7D" w:rsidRDefault="0064434C" w:rsidP="0064434C">
      <w:pPr>
        <w:pStyle w:val="Bodynumbered-Level1"/>
      </w:pPr>
      <w:r>
        <w:t>14.8.2</w:t>
      </w:r>
      <w:r>
        <w:tab/>
      </w:r>
      <w:r w:rsidRPr="00DE24F1">
        <w:t>The Department is committed to protecting personal information appropriately. If</w:t>
      </w:r>
      <w:r>
        <w:t xml:space="preserve"> individuals within the applying organisation </w:t>
      </w:r>
      <w:r w:rsidRPr="00DE24F1">
        <w:t xml:space="preserve">wish to deal with the Department anonymously or by using a pseudonym, </w:t>
      </w:r>
      <w:r>
        <w:t>it should</w:t>
      </w:r>
      <w:r w:rsidRPr="00DE24F1">
        <w:t xml:space="preserve"> advise the Departmental contact officer for the </w:t>
      </w:r>
      <w:r>
        <w:t>Program</w:t>
      </w:r>
      <w:r w:rsidRPr="00DE24F1">
        <w:t xml:space="preserve"> or contact the Department’s </w:t>
      </w:r>
      <w:r>
        <w:t>Privacy Officer</w:t>
      </w:r>
      <w:r w:rsidRPr="00DE24F1">
        <w:t xml:space="preserve"> (see details below).</w:t>
      </w:r>
    </w:p>
    <w:p w14:paraId="21A0F5C6" w14:textId="77777777" w:rsidR="0064434C" w:rsidRPr="00E04541" w:rsidRDefault="00470D54" w:rsidP="00470D54">
      <w:pPr>
        <w:pStyle w:val="Heading4"/>
      </w:pPr>
      <w:bookmarkStart w:id="720" w:name="_Toc393908606"/>
      <w:bookmarkStart w:id="721" w:name="_Toc405380471"/>
      <w:bookmarkStart w:id="722" w:name="_Toc441049733"/>
      <w:bookmarkStart w:id="723" w:name="_Toc497901474"/>
      <w:bookmarkStart w:id="724" w:name="_Toc156213091"/>
      <w:r>
        <w:lastRenderedPageBreak/>
        <w:t xml:space="preserve">14.9 </w:t>
      </w:r>
      <w:r w:rsidR="0064434C" w:rsidRPr="00E04541">
        <w:t>Personal information to be collected by the Department</w:t>
      </w:r>
      <w:bookmarkEnd w:id="720"/>
      <w:bookmarkEnd w:id="721"/>
      <w:bookmarkEnd w:id="722"/>
      <w:bookmarkEnd w:id="723"/>
      <w:bookmarkEnd w:id="724"/>
    </w:p>
    <w:p w14:paraId="3701656D" w14:textId="77777777" w:rsidR="0064434C" w:rsidRPr="00DE24F1" w:rsidRDefault="0064434C" w:rsidP="0064434C">
      <w:pPr>
        <w:pStyle w:val="Bodynumbered-Level1"/>
      </w:pPr>
      <w:r>
        <w:t>14.9.1</w:t>
      </w:r>
      <w:r>
        <w:tab/>
      </w:r>
      <w:r w:rsidRPr="00DE24F1">
        <w:t xml:space="preserve">The Department may collect personal information in the applicant’s application and this may include names, </w:t>
      </w:r>
      <w:r>
        <w:t xml:space="preserve">and </w:t>
      </w:r>
      <w:r w:rsidRPr="00DE24F1">
        <w:t>cont</w:t>
      </w:r>
      <w:r>
        <w:t>ain</w:t>
      </w:r>
      <w:r w:rsidRPr="00DE24F1">
        <w:t xml:space="preserve"> details and other personal information, which the applicant</w:t>
      </w:r>
      <w:r>
        <w:t xml:space="preserve"> (or its personnel)</w:t>
      </w:r>
      <w:r w:rsidRPr="00DE24F1">
        <w:t xml:space="preserve"> has supplied to the Department in its ap</w:t>
      </w:r>
      <w:r>
        <w:t>plication under the Program.</w:t>
      </w:r>
    </w:p>
    <w:p w14:paraId="4B9CDECA" w14:textId="77777777" w:rsidR="0064434C" w:rsidRPr="00DE24F1" w:rsidRDefault="0064434C" w:rsidP="0064434C">
      <w:pPr>
        <w:pStyle w:val="Bodynumbered-Level1"/>
      </w:pPr>
      <w:r>
        <w:t>14.9.2</w:t>
      </w:r>
      <w:r>
        <w:tab/>
      </w:r>
      <w:r w:rsidRPr="00DE24F1">
        <w:t xml:space="preserve">By providing the Department with personal information in the applicant’s application under the </w:t>
      </w:r>
      <w:r>
        <w:t>Program</w:t>
      </w:r>
      <w:r w:rsidRPr="00DE24F1">
        <w:t xml:space="preserve">, the applicant </w:t>
      </w:r>
      <w:r>
        <w:t xml:space="preserve">(and its named personnel) </w:t>
      </w:r>
      <w:r w:rsidRPr="00DE24F1">
        <w:t>consent</w:t>
      </w:r>
      <w:r>
        <w:t>s</w:t>
      </w:r>
      <w:r w:rsidRPr="00DE24F1">
        <w:t xml:space="preserve"> to the Department collecting, using and disclosing that personal information in accordance with </w:t>
      </w:r>
      <w:r>
        <w:t>these Guidelines and for the purposes of the Program.</w:t>
      </w:r>
    </w:p>
    <w:p w14:paraId="5C1BBD34" w14:textId="77777777" w:rsidR="0064434C" w:rsidRDefault="0064434C" w:rsidP="0064434C">
      <w:pPr>
        <w:pStyle w:val="Bodynumbered-Level1"/>
      </w:pPr>
      <w:r>
        <w:t>14.9.3</w:t>
      </w:r>
      <w:r>
        <w:tab/>
      </w:r>
      <w:r w:rsidRPr="00DE24F1">
        <w:t xml:space="preserve">If the applicant </w:t>
      </w:r>
      <w:r>
        <w:t xml:space="preserve">(or its personnel) </w:t>
      </w:r>
      <w:r w:rsidRPr="00DE24F1">
        <w:t>does not cons</w:t>
      </w:r>
      <w:r>
        <w:t>e</w:t>
      </w:r>
      <w:r w:rsidRPr="00DE24F1">
        <w:t xml:space="preserve">nt to the Department's collection, use and disclosure of the personal information contained in its application under the </w:t>
      </w:r>
      <w:r>
        <w:t>Program</w:t>
      </w:r>
      <w:r w:rsidRPr="00DE24F1">
        <w:t xml:space="preserve">, in accordance with </w:t>
      </w:r>
      <w:r>
        <w:t>these</w:t>
      </w:r>
      <w:r w:rsidRPr="00DE24F1">
        <w:t xml:space="preserve"> Guidelines, </w:t>
      </w:r>
      <w:r>
        <w:t xml:space="preserve">the applicant acknowledges that </w:t>
      </w:r>
      <w:r w:rsidRPr="00DE24F1">
        <w:t xml:space="preserve">this may mean that the Department may not be able to progress or assess the application further for funding under the </w:t>
      </w:r>
      <w:r>
        <w:t>Program and that the application may be set aside under the assessment process</w:t>
      </w:r>
      <w:r w:rsidRPr="00DE24F1">
        <w:t>.</w:t>
      </w:r>
    </w:p>
    <w:p w14:paraId="2F365B38" w14:textId="77777777" w:rsidR="0064434C" w:rsidRPr="0031276D" w:rsidRDefault="00470D54" w:rsidP="00470D54">
      <w:pPr>
        <w:pStyle w:val="Heading4"/>
      </w:pPr>
      <w:bookmarkStart w:id="725" w:name="_Toc393908607"/>
      <w:bookmarkStart w:id="726" w:name="_Toc405380472"/>
      <w:bookmarkStart w:id="727" w:name="_Toc441049734"/>
      <w:bookmarkStart w:id="728" w:name="_Toc497901475"/>
      <w:bookmarkStart w:id="729" w:name="_Toc156213092"/>
      <w:r>
        <w:t xml:space="preserve">14.10 </w:t>
      </w:r>
      <w:r w:rsidR="0064434C" w:rsidRPr="00E04541">
        <w:t>Pu</w:t>
      </w:r>
      <w:r w:rsidR="0064434C" w:rsidRPr="0031276D">
        <w:t>rpose for which the Department</w:t>
      </w:r>
      <w:r w:rsidR="0064434C">
        <w:t xml:space="preserve"> will use and disclose personal </w:t>
      </w:r>
      <w:r w:rsidR="0064434C" w:rsidRPr="0031276D">
        <w:t>information</w:t>
      </w:r>
      <w:bookmarkEnd w:id="725"/>
      <w:bookmarkEnd w:id="726"/>
      <w:bookmarkEnd w:id="727"/>
      <w:bookmarkEnd w:id="728"/>
      <w:bookmarkEnd w:id="729"/>
    </w:p>
    <w:p w14:paraId="53563953" w14:textId="77777777" w:rsidR="0064434C" w:rsidRPr="00DE24F1" w:rsidRDefault="0064434C" w:rsidP="0064434C">
      <w:pPr>
        <w:pStyle w:val="Bodynumbered-Level1"/>
      </w:pPr>
      <w:r>
        <w:t>14.10.1</w:t>
      </w:r>
      <w:r>
        <w:tab/>
        <w:t xml:space="preserve">By </w:t>
      </w:r>
      <w:proofErr w:type="gramStart"/>
      <w:r>
        <w:t>submitting an application</w:t>
      </w:r>
      <w:proofErr w:type="gramEnd"/>
      <w:r>
        <w:t>, the applicant acknowledges that t</w:t>
      </w:r>
      <w:r w:rsidRPr="00DE24F1">
        <w:t xml:space="preserve">he Department may collect personal information from the applicant </w:t>
      </w:r>
      <w:r>
        <w:t xml:space="preserve">(and its personnel) </w:t>
      </w:r>
      <w:r w:rsidRPr="00DE24F1">
        <w:t xml:space="preserve">contained in its application for the purpose of carrying out the activities and functions of the Department related to the Program. In order to carry out its functions and activities connected to the </w:t>
      </w:r>
      <w:r>
        <w:t>Program</w:t>
      </w:r>
      <w:r w:rsidRPr="00DE24F1">
        <w:t xml:space="preserve">, the Department may use the collected personal information for the purpose of any assessment processes under, or the evaluation of, the </w:t>
      </w:r>
      <w:r>
        <w:t>Program</w:t>
      </w:r>
      <w:r w:rsidRPr="00DE24F1">
        <w:t>.</w:t>
      </w:r>
    </w:p>
    <w:p w14:paraId="2DE21805" w14:textId="77777777" w:rsidR="0064434C" w:rsidRPr="00DE24F1" w:rsidRDefault="0064434C" w:rsidP="0064434C">
      <w:pPr>
        <w:pStyle w:val="Bodynumbered-Level1"/>
      </w:pPr>
      <w:r>
        <w:t>14.10.2</w:t>
      </w:r>
      <w:r>
        <w:tab/>
      </w:r>
      <w:r w:rsidRPr="00DE24F1">
        <w:t xml:space="preserve">Further, in order to carry out its functions and activities connected to the Program, </w:t>
      </w:r>
      <w:r>
        <w:t>including (without limitation) assessment and evaluation functions,</w:t>
      </w:r>
      <w:r w:rsidRPr="00DE24F1">
        <w:t xml:space="preserve"> the Department may also disclose the collected personal information to other Commonwealth,</w:t>
      </w:r>
      <w:r>
        <w:t xml:space="preserve"> State or Territory agencies.</w:t>
      </w:r>
    </w:p>
    <w:p w14:paraId="55C03CC0" w14:textId="77777777" w:rsidR="0064434C" w:rsidRPr="00DE24F1" w:rsidRDefault="0064434C" w:rsidP="0064434C">
      <w:pPr>
        <w:pStyle w:val="Bodynumbered-Level1"/>
        <w:spacing w:after="120"/>
      </w:pPr>
      <w:r>
        <w:t>14.10.3</w:t>
      </w:r>
      <w:r>
        <w:tab/>
      </w:r>
      <w:r w:rsidRPr="00DE24F1">
        <w:t xml:space="preserve">The Department will use the personal information collected from the applicant for the primary purpose </w:t>
      </w:r>
      <w:r>
        <w:t xml:space="preserve">for which </w:t>
      </w:r>
      <w:r w:rsidRPr="00DE24F1">
        <w:t>it was collected. The Department may use or disclose this personal information for another purpose (i.e. secondary purpose) if:</w:t>
      </w:r>
    </w:p>
    <w:p w14:paraId="4AE76FC9" w14:textId="77777777" w:rsidR="0064434C" w:rsidRPr="008E3258" w:rsidRDefault="0064434C" w:rsidP="00470D54">
      <w:pPr>
        <w:pStyle w:val="Bodynumbered-Level3"/>
        <w:spacing w:before="120" w:after="120"/>
        <w:ind w:left="1494" w:hanging="644"/>
      </w:pPr>
      <w:r>
        <w:t>(a)</w:t>
      </w:r>
      <w:r>
        <w:tab/>
      </w:r>
      <w:r w:rsidRPr="008E3258">
        <w:t>the applicant reasonably expect</w:t>
      </w:r>
      <w:r w:rsidR="004F28B1">
        <w:t>s</w:t>
      </w:r>
      <w:r w:rsidRPr="008E3258">
        <w:t xml:space="preserve"> the information to be</w:t>
      </w:r>
      <w:r>
        <w:t xml:space="preserve"> used for the secondary purpose;</w:t>
      </w:r>
    </w:p>
    <w:p w14:paraId="2BB84A49" w14:textId="77777777" w:rsidR="0064434C" w:rsidRPr="008E3258" w:rsidRDefault="0064434C" w:rsidP="00470D54">
      <w:pPr>
        <w:pStyle w:val="Bodynumbered-Level3"/>
        <w:spacing w:before="120" w:after="120"/>
        <w:ind w:left="1494" w:hanging="644"/>
      </w:pPr>
      <w:r>
        <w:t>(b)</w:t>
      </w:r>
      <w:r>
        <w:tab/>
      </w:r>
      <w:r w:rsidRPr="008E3258">
        <w:t>it is required or authorised by law or a permitted general situation exist</w:t>
      </w:r>
      <w:r>
        <w:t>s under the Privacy Act;</w:t>
      </w:r>
    </w:p>
    <w:p w14:paraId="5806AB4F" w14:textId="77777777" w:rsidR="0064434C" w:rsidRPr="008E3258" w:rsidRDefault="0064434C" w:rsidP="00470D54">
      <w:pPr>
        <w:pStyle w:val="Bodynumbered-Level3"/>
        <w:spacing w:before="120" w:after="120"/>
        <w:ind w:left="1494" w:hanging="644"/>
      </w:pPr>
      <w:r>
        <w:t>(c)</w:t>
      </w:r>
      <w:r>
        <w:tab/>
      </w:r>
      <w:r w:rsidRPr="008E3258">
        <w:t>the applicant give</w:t>
      </w:r>
      <w:r>
        <w:t xml:space="preserve">s the Department permission; </w:t>
      </w:r>
      <w:r w:rsidRPr="008E3258">
        <w:t>or</w:t>
      </w:r>
    </w:p>
    <w:p w14:paraId="12E6D8E8" w14:textId="77777777" w:rsidR="0064434C" w:rsidRPr="008E3258" w:rsidRDefault="0064434C" w:rsidP="00470D54">
      <w:pPr>
        <w:pStyle w:val="Bodynumbered-Level3"/>
        <w:spacing w:before="120"/>
        <w:ind w:left="1494" w:hanging="644"/>
      </w:pPr>
      <w:r>
        <w:t>(d)</w:t>
      </w:r>
      <w:r>
        <w:tab/>
      </w:r>
      <w:r w:rsidRPr="008E3258">
        <w:t>the Department reasonably believes the use or disclosure is reasonably necessary for one or more enforcement related activities conducted by, or on behalf of, an enforcement body.</w:t>
      </w:r>
    </w:p>
    <w:p w14:paraId="3D1C02A4" w14:textId="77777777" w:rsidR="0064434C" w:rsidRPr="005933C5" w:rsidRDefault="00470D54" w:rsidP="00470D54">
      <w:pPr>
        <w:pStyle w:val="Heading4"/>
      </w:pPr>
      <w:bookmarkStart w:id="730" w:name="_Toc390632827"/>
      <w:bookmarkStart w:id="731" w:name="_Toc390637672"/>
      <w:bookmarkStart w:id="732" w:name="_Toc390637773"/>
      <w:bookmarkStart w:id="733" w:name="_Toc390637852"/>
      <w:bookmarkStart w:id="734" w:name="_Toc390637934"/>
      <w:bookmarkStart w:id="735" w:name="_Toc390639119"/>
      <w:bookmarkStart w:id="736" w:name="_Toc390639255"/>
      <w:bookmarkStart w:id="737" w:name="_Toc390640424"/>
      <w:bookmarkStart w:id="738" w:name="_Toc390640674"/>
      <w:bookmarkStart w:id="739" w:name="_Toc390641554"/>
      <w:bookmarkStart w:id="740" w:name="_Toc393908608"/>
      <w:bookmarkStart w:id="741" w:name="_Toc405380473"/>
      <w:bookmarkStart w:id="742" w:name="_Toc441049735"/>
      <w:bookmarkStart w:id="743" w:name="_Toc497901476"/>
      <w:bookmarkStart w:id="744" w:name="_Toc156213093"/>
      <w:bookmarkEnd w:id="730"/>
      <w:bookmarkEnd w:id="731"/>
      <w:bookmarkEnd w:id="732"/>
      <w:bookmarkEnd w:id="733"/>
      <w:bookmarkEnd w:id="734"/>
      <w:bookmarkEnd w:id="735"/>
      <w:bookmarkEnd w:id="736"/>
      <w:bookmarkEnd w:id="737"/>
      <w:bookmarkEnd w:id="738"/>
      <w:bookmarkEnd w:id="739"/>
      <w:r>
        <w:t xml:space="preserve">14.11 </w:t>
      </w:r>
      <w:r w:rsidR="0064434C" w:rsidRPr="00E04541">
        <w:t xml:space="preserve">Department’s </w:t>
      </w:r>
      <w:r w:rsidR="0064434C">
        <w:t>c</w:t>
      </w:r>
      <w:r w:rsidR="0064434C" w:rsidRPr="005933C5">
        <w:t>ontact point for privacy matters</w:t>
      </w:r>
      <w:bookmarkEnd w:id="740"/>
      <w:bookmarkEnd w:id="741"/>
      <w:bookmarkEnd w:id="742"/>
      <w:bookmarkEnd w:id="743"/>
      <w:bookmarkEnd w:id="744"/>
    </w:p>
    <w:p w14:paraId="769E168E" w14:textId="77777777" w:rsidR="0064434C" w:rsidRPr="00DE24F1" w:rsidRDefault="0064434C" w:rsidP="0064434C">
      <w:pPr>
        <w:pStyle w:val="Bodynumbered-Level1"/>
      </w:pPr>
      <w:r>
        <w:t>14.11.1</w:t>
      </w:r>
      <w:r>
        <w:tab/>
        <w:t>F</w:t>
      </w:r>
      <w:r w:rsidRPr="00DE24F1">
        <w:t xml:space="preserve">or </w:t>
      </w:r>
      <w:r>
        <w:t>further</w:t>
      </w:r>
      <w:r w:rsidRPr="00DE24F1">
        <w:t xml:space="preserve"> information about how the Department is committed to protecting personal information appropriately in accordance with t</w:t>
      </w:r>
      <w:r>
        <w:t>he APPs, s</w:t>
      </w:r>
      <w:r w:rsidRPr="00DE24F1">
        <w:t xml:space="preserve">ee the Department’s </w:t>
      </w:r>
      <w:r w:rsidRPr="0086503D">
        <w:t>APP Privacy Policy</w:t>
      </w:r>
      <w:r w:rsidRPr="00DE24F1">
        <w:t xml:space="preserve"> </w:t>
      </w:r>
      <w:r>
        <w:t xml:space="preserve">on its website at </w:t>
      </w:r>
      <w:hyperlink r:id="rId21" w:history="1">
        <w:r w:rsidRPr="006175F1">
          <w:rPr>
            <w:rStyle w:val="Hyperlink"/>
          </w:rPr>
          <w:t>www.communications.gov.au/privacy</w:t>
        </w:r>
      </w:hyperlink>
    </w:p>
    <w:p w14:paraId="29D442A5" w14:textId="77777777" w:rsidR="0064434C" w:rsidRPr="00DE24F1" w:rsidRDefault="0064434C" w:rsidP="00470D54">
      <w:pPr>
        <w:pStyle w:val="Bodynumbered-Level1"/>
        <w:keepNext/>
        <w:spacing w:after="120"/>
      </w:pPr>
      <w:r>
        <w:lastRenderedPageBreak/>
        <w:t>14.11.</w:t>
      </w:r>
      <w:r w:rsidRPr="0086503D">
        <w:t>2</w:t>
      </w:r>
      <w:r w:rsidRPr="0086503D">
        <w:tab/>
      </w:r>
      <w:r>
        <w:t>For</w:t>
      </w:r>
      <w:r w:rsidRPr="00DE24F1">
        <w:t xml:space="preserve"> further informat</w:t>
      </w:r>
      <w:r>
        <w:t>i</w:t>
      </w:r>
      <w:r w:rsidRPr="00DE24F1">
        <w:t>on about the Department's handling of personal information, contact the Department’s</w:t>
      </w:r>
      <w:r w:rsidRPr="00312BE7">
        <w:t xml:space="preserve"> </w:t>
      </w:r>
      <w:hyperlink r:id="rId22" w:history="1">
        <w:r>
          <w:t>Privacy</w:t>
        </w:r>
      </w:hyperlink>
      <w:r>
        <w:t xml:space="preserve"> Officer</w:t>
      </w:r>
      <w:r w:rsidRPr="00DE24F1">
        <w:t xml:space="preserve"> by </w:t>
      </w:r>
      <w:r>
        <w:t xml:space="preserve">sending an email to </w:t>
      </w:r>
      <w:hyperlink r:id="rId23" w:history="1">
        <w:r w:rsidRPr="00D03E0A">
          <w:rPr>
            <w:rStyle w:val="Hyperlink"/>
          </w:rPr>
          <w:t>ogc@communications.gov.au</w:t>
        </w:r>
      </w:hyperlink>
      <w:r w:rsidRPr="00DE24F1">
        <w:t xml:space="preserve"> or by writing to the Department </w:t>
      </w:r>
      <w:r w:rsidRPr="0086503D">
        <w:t>a</w:t>
      </w:r>
      <w:r>
        <w:t>t</w:t>
      </w:r>
      <w:r w:rsidRPr="0086503D">
        <w:t xml:space="preserve"> </w:t>
      </w:r>
      <w:r>
        <w:t>the following address</w:t>
      </w:r>
      <w:r w:rsidRPr="00DE24F1">
        <w:t>:</w:t>
      </w:r>
    </w:p>
    <w:p w14:paraId="4F0D6D90" w14:textId="77777777" w:rsidR="0064434C" w:rsidRPr="00DE24F1" w:rsidRDefault="0064434C" w:rsidP="00470D54">
      <w:pPr>
        <w:pStyle w:val="Bodynumbered-Level1"/>
        <w:keepLines/>
        <w:spacing w:before="120"/>
        <w:ind w:left="861" w:hanging="11"/>
      </w:pPr>
      <w:r>
        <w:t>Privacy Officer</w:t>
      </w:r>
      <w:r>
        <w:br/>
      </w:r>
      <w:r w:rsidRPr="008E3258">
        <w:t>Department of Communications</w:t>
      </w:r>
      <w:r>
        <w:t xml:space="preserve"> and the Arts</w:t>
      </w:r>
      <w:r>
        <w:br/>
      </w:r>
      <w:r w:rsidRPr="008E3258">
        <w:t>GPO Box 2154</w:t>
      </w:r>
      <w:r>
        <w:br/>
      </w:r>
      <w:proofErr w:type="gramStart"/>
      <w:r>
        <w:t>CANBERRA  ACT</w:t>
      </w:r>
      <w:proofErr w:type="gramEnd"/>
      <w:r>
        <w:t xml:space="preserve">  2601</w:t>
      </w:r>
    </w:p>
    <w:p w14:paraId="5130FAF0" w14:textId="77777777" w:rsidR="0064434C" w:rsidRPr="00D06C1F" w:rsidRDefault="0064434C" w:rsidP="0064434C">
      <w:pPr>
        <w:pStyle w:val="Bodynumbered-Level1"/>
      </w:pPr>
      <w:bookmarkStart w:id="745" w:name="_Toc388963739"/>
      <w:bookmarkStart w:id="746" w:name="_Toc389122777"/>
      <w:bookmarkStart w:id="747" w:name="_Toc388963740"/>
      <w:bookmarkStart w:id="748" w:name="_Toc389122778"/>
      <w:bookmarkStart w:id="749" w:name="_Toc388963741"/>
      <w:bookmarkStart w:id="750" w:name="_Toc389122779"/>
      <w:bookmarkStart w:id="751" w:name="_Toc388963742"/>
      <w:bookmarkStart w:id="752" w:name="_Toc389122780"/>
      <w:bookmarkStart w:id="753" w:name="_Toc388963743"/>
      <w:bookmarkStart w:id="754" w:name="_Toc389122781"/>
      <w:bookmarkStart w:id="755" w:name="_Toc388963744"/>
      <w:bookmarkStart w:id="756" w:name="_Toc389122782"/>
      <w:bookmarkStart w:id="757" w:name="_Toc388963745"/>
      <w:bookmarkStart w:id="758" w:name="_Toc389122783"/>
      <w:bookmarkStart w:id="759" w:name="_Toc388963746"/>
      <w:bookmarkStart w:id="760" w:name="_Toc389122784"/>
      <w:bookmarkStart w:id="761" w:name="_Toc388963747"/>
      <w:bookmarkStart w:id="762" w:name="_Toc389122785"/>
      <w:bookmarkStart w:id="763" w:name="_Toc388963748"/>
      <w:bookmarkStart w:id="764" w:name="_Toc389122786"/>
      <w:bookmarkStart w:id="765" w:name="_Toc388963749"/>
      <w:bookmarkStart w:id="766" w:name="_Toc389122787"/>
      <w:bookmarkStart w:id="767" w:name="_Toc388963750"/>
      <w:bookmarkStart w:id="768" w:name="_Toc389122788"/>
      <w:bookmarkStart w:id="769" w:name="_Toc388963751"/>
      <w:bookmarkStart w:id="770" w:name="_Toc389122789"/>
      <w:bookmarkStart w:id="771" w:name="_Toc388963752"/>
      <w:bookmarkStart w:id="772" w:name="_Toc389122790"/>
      <w:bookmarkStart w:id="773" w:name="_Toc388963753"/>
      <w:bookmarkStart w:id="774" w:name="_Toc389122791"/>
      <w:bookmarkStart w:id="775" w:name="_Toc388963754"/>
      <w:bookmarkStart w:id="776" w:name="_Toc389122792"/>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t>14.11.3</w:t>
      </w:r>
      <w:r>
        <w:tab/>
      </w:r>
      <w:r w:rsidRPr="00DE24F1">
        <w:t>General information about the Privacy Act and the APPs can also be found o</w:t>
      </w:r>
      <w:r>
        <w:t>n</w:t>
      </w:r>
      <w:r w:rsidRPr="00DE24F1">
        <w:t xml:space="preserve"> the </w:t>
      </w:r>
      <w:r w:rsidRPr="00BF670F">
        <w:t>Office of the Australian Information Commissioner's website</w:t>
      </w:r>
      <w:r w:rsidRPr="00DE24F1">
        <w:t xml:space="preserve"> </w:t>
      </w:r>
      <w:r>
        <w:t xml:space="preserve">at </w:t>
      </w:r>
      <w:hyperlink r:id="rId24" w:history="1">
        <w:r w:rsidRPr="006175F1">
          <w:rPr>
            <w:rStyle w:val="Hyperlink"/>
          </w:rPr>
          <w:t>www.oaic.gov.au</w:t>
        </w:r>
      </w:hyperlink>
    </w:p>
    <w:p w14:paraId="5F17A9EB" w14:textId="77777777" w:rsidR="0064434C" w:rsidRPr="00E04541" w:rsidRDefault="00470D54" w:rsidP="00470D54">
      <w:pPr>
        <w:pStyle w:val="Heading4"/>
      </w:pPr>
      <w:bookmarkStart w:id="777" w:name="_Toc434092424"/>
      <w:bookmarkStart w:id="778" w:name="_Toc434093434"/>
      <w:bookmarkStart w:id="779" w:name="_Toc434093576"/>
      <w:bookmarkStart w:id="780" w:name="_Toc434225299"/>
      <w:bookmarkStart w:id="781" w:name="_Toc434228421"/>
      <w:bookmarkStart w:id="782" w:name="_Toc434841112"/>
      <w:bookmarkStart w:id="783" w:name="_Toc435080452"/>
      <w:bookmarkStart w:id="784" w:name="_Toc434092425"/>
      <w:bookmarkStart w:id="785" w:name="_Toc434093435"/>
      <w:bookmarkStart w:id="786" w:name="_Toc434093577"/>
      <w:bookmarkStart w:id="787" w:name="_Toc434225300"/>
      <w:bookmarkStart w:id="788" w:name="_Toc434228422"/>
      <w:bookmarkStart w:id="789" w:name="_Toc434841113"/>
      <w:bookmarkStart w:id="790" w:name="_Toc435080453"/>
      <w:bookmarkStart w:id="791" w:name="_Toc386635516"/>
      <w:bookmarkStart w:id="792" w:name="_Toc393908609"/>
      <w:bookmarkStart w:id="793" w:name="_Toc405380474"/>
      <w:bookmarkStart w:id="794" w:name="_Toc441049736"/>
      <w:bookmarkStart w:id="795" w:name="_Toc156213094"/>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t>14.12</w:t>
      </w:r>
      <w:r w:rsidR="0064434C">
        <w:t xml:space="preserve"> </w:t>
      </w:r>
      <w:bookmarkStart w:id="796" w:name="_Toc497901477"/>
      <w:r w:rsidR="0064434C" w:rsidRPr="00E04541">
        <w:t>Exclusion of liabilities</w:t>
      </w:r>
      <w:bookmarkEnd w:id="791"/>
      <w:bookmarkEnd w:id="792"/>
      <w:bookmarkEnd w:id="793"/>
      <w:bookmarkEnd w:id="794"/>
      <w:bookmarkEnd w:id="796"/>
      <w:bookmarkEnd w:id="795"/>
    </w:p>
    <w:p w14:paraId="29DE8952" w14:textId="77777777" w:rsidR="0064434C" w:rsidRPr="00EC5939" w:rsidRDefault="0064434C" w:rsidP="0064434C">
      <w:pPr>
        <w:pStyle w:val="Bodynumbered-Level1"/>
        <w:spacing w:after="120"/>
      </w:pPr>
      <w:r>
        <w:t>14.12.1</w:t>
      </w:r>
      <w:r>
        <w:tab/>
      </w:r>
      <w:r w:rsidRPr="00DE24F1">
        <w:t>The Department is not liable to applicants on the basis of</w:t>
      </w:r>
      <w:r>
        <w:t xml:space="preserve"> a process contract (express or implied), </w:t>
      </w:r>
      <w:r w:rsidRPr="00DE24F1">
        <w:t xml:space="preserve">promissory estoppel, equitable, </w:t>
      </w:r>
      <w:proofErr w:type="spellStart"/>
      <w:r w:rsidRPr="00DE24F1">
        <w:t>restitutionary</w:t>
      </w:r>
      <w:proofErr w:type="spellEnd"/>
      <w:r w:rsidRPr="00DE24F1">
        <w:t>, contractual or quasi</w:t>
      </w:r>
      <w:r w:rsidRPr="00DE24F1">
        <w:noBreakHyphen/>
        <w:t>contractual grounds, in relation to the selection process, including without limitation, when the Department:</w:t>
      </w:r>
    </w:p>
    <w:p w14:paraId="5946C64F" w14:textId="77777777" w:rsidR="0064434C" w:rsidRPr="008E3258" w:rsidRDefault="0064434C" w:rsidP="00470D54">
      <w:pPr>
        <w:pStyle w:val="Bodynumbered-Level3"/>
        <w:spacing w:before="120" w:after="120"/>
        <w:ind w:left="1494" w:hanging="644"/>
      </w:pPr>
      <w:r>
        <w:t>(a)</w:t>
      </w:r>
      <w:r>
        <w:tab/>
      </w:r>
      <w:r w:rsidRPr="008E3258">
        <w:t>varies or terminates all or any part of the selection process or any negotiations</w:t>
      </w:r>
      <w:r>
        <w:t>;</w:t>
      </w:r>
    </w:p>
    <w:p w14:paraId="0B32B565" w14:textId="77777777" w:rsidR="0064434C" w:rsidRPr="008E3258" w:rsidRDefault="0064434C" w:rsidP="00470D54">
      <w:pPr>
        <w:pStyle w:val="Bodynumbered-Level3"/>
        <w:spacing w:before="120" w:after="120"/>
        <w:ind w:left="1494" w:hanging="644"/>
      </w:pPr>
      <w:r>
        <w:t>(b)</w:t>
      </w:r>
      <w:r>
        <w:tab/>
      </w:r>
      <w:r w:rsidRPr="008E3258">
        <w:t>decides not to fund any or all of the activities sought through</w:t>
      </w:r>
      <w:r>
        <w:t xml:space="preserve"> th</w:t>
      </w:r>
      <w:r w:rsidRPr="008E3258">
        <w:t>e selection process</w:t>
      </w:r>
      <w:r>
        <w:t>;</w:t>
      </w:r>
    </w:p>
    <w:p w14:paraId="33659E5D" w14:textId="77777777" w:rsidR="0064434C" w:rsidRPr="008E3258" w:rsidRDefault="0064434C" w:rsidP="00470D54">
      <w:pPr>
        <w:pStyle w:val="Bodynumbered-Level3"/>
        <w:spacing w:before="120" w:after="120"/>
        <w:ind w:left="1494" w:hanging="644"/>
      </w:pPr>
      <w:r>
        <w:t>(c)</w:t>
      </w:r>
      <w:r>
        <w:tab/>
      </w:r>
      <w:r w:rsidRPr="008E3258">
        <w:t>varies the selection process</w:t>
      </w:r>
      <w:r>
        <w:t>; or</w:t>
      </w:r>
    </w:p>
    <w:p w14:paraId="5C7911E0" w14:textId="77777777" w:rsidR="0064434C" w:rsidRPr="008E3258" w:rsidRDefault="0064434C" w:rsidP="00470D54">
      <w:pPr>
        <w:pStyle w:val="Bodynumbered-Level3"/>
        <w:spacing w:before="120"/>
        <w:ind w:left="1494" w:hanging="644"/>
      </w:pPr>
      <w:r>
        <w:t>(d)</w:t>
      </w:r>
      <w:r>
        <w:tab/>
      </w:r>
      <w:r w:rsidRPr="008E3258">
        <w:t>exercises or fails to exercise any of its other rights under, or in relation to</w:t>
      </w:r>
      <w:r>
        <w:t>,</w:t>
      </w:r>
      <w:r w:rsidRPr="008E3258">
        <w:t xml:space="preserve"> these Guidelines.</w:t>
      </w:r>
    </w:p>
    <w:p w14:paraId="2BAFB224" w14:textId="77777777" w:rsidR="0064434C" w:rsidRPr="00E04541" w:rsidRDefault="00470D54" w:rsidP="00470D54">
      <w:pPr>
        <w:pStyle w:val="Heading4"/>
      </w:pPr>
      <w:bookmarkStart w:id="797" w:name="_Toc386635517"/>
      <w:bookmarkStart w:id="798" w:name="_Toc393908610"/>
      <w:bookmarkStart w:id="799" w:name="_Toc405380475"/>
      <w:bookmarkStart w:id="800" w:name="_Toc441049737"/>
      <w:bookmarkStart w:id="801" w:name="_Toc156213095"/>
      <w:r>
        <w:t>14.13</w:t>
      </w:r>
      <w:r w:rsidR="0064434C">
        <w:t xml:space="preserve"> </w:t>
      </w:r>
      <w:bookmarkStart w:id="802" w:name="_Toc497901478"/>
      <w:r w:rsidR="0064434C" w:rsidRPr="00E04541">
        <w:t>Disclaimer</w:t>
      </w:r>
      <w:bookmarkEnd w:id="797"/>
      <w:bookmarkEnd w:id="798"/>
      <w:bookmarkEnd w:id="799"/>
      <w:bookmarkEnd w:id="800"/>
      <w:bookmarkEnd w:id="802"/>
      <w:bookmarkEnd w:id="801"/>
    </w:p>
    <w:p w14:paraId="0E51DAE9" w14:textId="77777777" w:rsidR="0064434C" w:rsidRPr="00EC5939" w:rsidRDefault="0064434C" w:rsidP="0064434C">
      <w:pPr>
        <w:pStyle w:val="Bodynumbered-Level1"/>
        <w:spacing w:after="120"/>
      </w:pPr>
      <w:r>
        <w:t>14.13.1</w:t>
      </w:r>
      <w:r>
        <w:tab/>
      </w:r>
      <w:r w:rsidRPr="00DE24F1">
        <w:t xml:space="preserve">The </w:t>
      </w:r>
      <w:r>
        <w:t xml:space="preserve">Commonwealth, the </w:t>
      </w:r>
      <w:r w:rsidRPr="00DE24F1">
        <w:t>Department and its officers, employees, agents and advisors:</w:t>
      </w:r>
    </w:p>
    <w:p w14:paraId="7547C939" w14:textId="77777777" w:rsidR="0064434C" w:rsidRPr="008E3258" w:rsidRDefault="0064434C" w:rsidP="00470D54">
      <w:pPr>
        <w:pStyle w:val="Bodynumbered-Level3"/>
        <w:spacing w:before="120" w:after="120"/>
        <w:ind w:left="1494" w:hanging="644"/>
      </w:pPr>
      <w:r>
        <w:t>(a)</w:t>
      </w:r>
      <w:r>
        <w:tab/>
      </w:r>
      <w:r w:rsidRPr="00DE24F1">
        <w:t>are not, and will not be, responsible or liable for the accuracy or completeness of</w:t>
      </w:r>
      <w:r w:rsidRPr="008E3258">
        <w:t xml:space="preserve"> any information in or provided in connection with these Guidelines and associated forms</w:t>
      </w:r>
      <w:r>
        <w:t>;</w:t>
      </w:r>
    </w:p>
    <w:p w14:paraId="5DFF92D4" w14:textId="77777777" w:rsidR="0064434C" w:rsidRPr="008E3258" w:rsidRDefault="0064434C" w:rsidP="00470D54">
      <w:pPr>
        <w:pStyle w:val="Bodynumbered-Level3"/>
        <w:spacing w:before="120" w:after="120"/>
        <w:ind w:left="1494" w:hanging="644"/>
      </w:pPr>
      <w:r>
        <w:t>(b)</w:t>
      </w:r>
      <w:r>
        <w:tab/>
      </w:r>
      <w:r w:rsidRPr="008E3258">
        <w:t>make no express or implied representation or warranty that any statement as to future m</w:t>
      </w:r>
      <w:r>
        <w:t>att</w:t>
      </w:r>
      <w:r w:rsidRPr="008E3258">
        <w:t>ers will prove correct</w:t>
      </w:r>
      <w:r>
        <w:t>;</w:t>
      </w:r>
    </w:p>
    <w:p w14:paraId="30B0CA6C" w14:textId="77777777" w:rsidR="0064434C" w:rsidRPr="008E3258" w:rsidRDefault="0064434C" w:rsidP="00470D54">
      <w:pPr>
        <w:pStyle w:val="Bodynumbered-Level3"/>
        <w:spacing w:before="120" w:after="120"/>
        <w:ind w:left="1494" w:hanging="644"/>
      </w:pPr>
      <w:r>
        <w:t>(c)</w:t>
      </w:r>
      <w:r>
        <w:tab/>
      </w:r>
      <w:r w:rsidRPr="008E3258">
        <w:t>disclaim any and all liability arising from any information provided to the applicants, including, without limitation, errors in, or omissions contained in, that information</w:t>
      </w:r>
      <w:r>
        <w:t>;</w:t>
      </w:r>
    </w:p>
    <w:p w14:paraId="0952714C" w14:textId="77777777" w:rsidR="0064434C" w:rsidRPr="008E3258" w:rsidRDefault="0064434C" w:rsidP="00470D54">
      <w:pPr>
        <w:pStyle w:val="Bodynumbered-Level3"/>
        <w:spacing w:before="120" w:after="120"/>
        <w:ind w:left="1494" w:hanging="644"/>
      </w:pPr>
      <w:r>
        <w:t>(d)</w:t>
      </w:r>
      <w:r>
        <w:tab/>
      </w:r>
      <w:r w:rsidRPr="008E3258">
        <w:t>except so far as liability under any statute cannot be excluded, accept no responsibility arising in any way from errors or omissions contained in any information in these Guideli</w:t>
      </w:r>
      <w:r>
        <w:t>nes</w:t>
      </w:r>
      <w:r w:rsidRPr="008E3258">
        <w:t xml:space="preserve"> and associated forms</w:t>
      </w:r>
      <w:r>
        <w:t>; and</w:t>
      </w:r>
    </w:p>
    <w:p w14:paraId="3AD11ED7" w14:textId="77777777" w:rsidR="0064434C" w:rsidRPr="008E3258" w:rsidRDefault="0064434C" w:rsidP="00470D54">
      <w:pPr>
        <w:pStyle w:val="Bodynumbered-Level3"/>
        <w:spacing w:before="120"/>
        <w:ind w:left="1494" w:hanging="644"/>
      </w:pPr>
      <w:r>
        <w:t>(e)</w:t>
      </w:r>
      <w:r>
        <w:tab/>
      </w:r>
      <w:r w:rsidRPr="008E3258">
        <w:t>accept no liability for any loss or damage suffered by any person as a result of that person, or any other person, placing reliance on the contents of these Guidelines and associated forms, or any other information provided by the Department.</w:t>
      </w:r>
    </w:p>
    <w:p w14:paraId="0398FAB9" w14:textId="77777777" w:rsidR="0064434C" w:rsidRPr="0031276D" w:rsidRDefault="00470D54" w:rsidP="00470D54">
      <w:pPr>
        <w:pStyle w:val="Heading4"/>
      </w:pPr>
      <w:bookmarkStart w:id="803" w:name="_Toc386635518"/>
      <w:bookmarkStart w:id="804" w:name="_Toc393908611"/>
      <w:bookmarkStart w:id="805" w:name="_Toc405380476"/>
      <w:bookmarkStart w:id="806" w:name="_Toc441049738"/>
      <w:bookmarkStart w:id="807" w:name="_Toc497901479"/>
      <w:bookmarkStart w:id="808" w:name="_Toc156213096"/>
      <w:r>
        <w:t xml:space="preserve">14.14 </w:t>
      </w:r>
      <w:r w:rsidR="0064434C" w:rsidRPr="00E04541">
        <w:t>Fraud p</w:t>
      </w:r>
      <w:r w:rsidR="0064434C" w:rsidRPr="0031276D">
        <w:t>revention</w:t>
      </w:r>
      <w:bookmarkEnd w:id="803"/>
      <w:bookmarkEnd w:id="804"/>
      <w:bookmarkEnd w:id="805"/>
      <w:bookmarkEnd w:id="806"/>
      <w:bookmarkEnd w:id="807"/>
      <w:bookmarkEnd w:id="808"/>
    </w:p>
    <w:p w14:paraId="1ED72BCE" w14:textId="77777777" w:rsidR="0064434C" w:rsidRPr="00EF3F92" w:rsidRDefault="0064434C" w:rsidP="0064434C">
      <w:pPr>
        <w:pStyle w:val="Bodynumbered-Level1"/>
      </w:pPr>
      <w:r>
        <w:t>14.14.1</w:t>
      </w:r>
      <w:r>
        <w:tab/>
      </w:r>
      <w:r w:rsidRPr="00EF3F92">
        <w:t>The Department is committed to the Commonwealth Fraud Control Guidelines. Applicants should familiarise themselves with the Department’s Fraud Control Policy Statement (which can be provided upon request). This also underpins their respective fraud and risk minimisation responsibilities wh</w:t>
      </w:r>
      <w:r>
        <w:t>en dealing with the Department.</w:t>
      </w:r>
    </w:p>
    <w:p w14:paraId="3FB831D6" w14:textId="77777777" w:rsidR="0064434C" w:rsidRDefault="0064434C" w:rsidP="0064434C">
      <w:pPr>
        <w:pStyle w:val="Bodynumbered-Level1"/>
      </w:pPr>
      <w:r>
        <w:t>14.14.2</w:t>
      </w:r>
      <w:r>
        <w:tab/>
      </w:r>
      <w:r w:rsidRPr="00EF3F92">
        <w:t xml:space="preserve">Giving false or misleading information is a serious offence under </w:t>
      </w:r>
      <w:r w:rsidRPr="000C16EC">
        <w:rPr>
          <w:i/>
        </w:rPr>
        <w:t>the Commonwealth</w:t>
      </w:r>
      <w:r w:rsidRPr="007C3CE9">
        <w:rPr>
          <w:i/>
        </w:rPr>
        <w:t xml:space="preserve"> </w:t>
      </w:r>
      <w:r w:rsidRPr="005E58DA">
        <w:rPr>
          <w:i/>
        </w:rPr>
        <w:t>Criminal Code Act 1995</w:t>
      </w:r>
      <w:r w:rsidRPr="00EF3F92">
        <w:t>.</w:t>
      </w:r>
    </w:p>
    <w:p w14:paraId="185CBAD5" w14:textId="77777777" w:rsidR="0064434C" w:rsidRDefault="0064434C" w:rsidP="00470D54">
      <w:pPr>
        <w:pStyle w:val="Heading2"/>
      </w:pPr>
      <w:r>
        <w:br w:type="page"/>
      </w:r>
      <w:bookmarkStart w:id="809" w:name="_Toc386635525"/>
      <w:bookmarkStart w:id="810" w:name="_Toc393908612"/>
      <w:bookmarkStart w:id="811" w:name="_Toc405380477"/>
      <w:bookmarkStart w:id="812" w:name="_Toc441049739"/>
      <w:bookmarkStart w:id="813" w:name="_Toc497901480"/>
      <w:bookmarkStart w:id="814" w:name="_Toc156213097"/>
      <w:r w:rsidRPr="00150CF3">
        <w:lastRenderedPageBreak/>
        <w:t xml:space="preserve">Part F </w:t>
      </w:r>
      <w:r>
        <w:t>–</w:t>
      </w:r>
      <w:r w:rsidRPr="00150CF3">
        <w:t xml:space="preserve"> </w:t>
      </w:r>
      <w:bookmarkEnd w:id="809"/>
      <w:r w:rsidRPr="00150CF3">
        <w:t>Glossary</w:t>
      </w:r>
      <w:bookmarkEnd w:id="810"/>
      <w:bookmarkEnd w:id="811"/>
      <w:bookmarkEnd w:id="812"/>
      <w:bookmarkEnd w:id="813"/>
      <w:bookmarkEnd w:id="814"/>
    </w:p>
    <w:tbl>
      <w:tblPr>
        <w:tblStyle w:val="DefaultTable11"/>
        <w:tblW w:w="4937" w:type="pct"/>
        <w:tblLook w:val="04A0" w:firstRow="1" w:lastRow="0" w:firstColumn="1" w:lastColumn="0" w:noHBand="0" w:noVBand="1"/>
        <w:tblDescription w:val="Glossary"/>
      </w:tblPr>
      <w:tblGrid>
        <w:gridCol w:w="3157"/>
        <w:gridCol w:w="6199"/>
      </w:tblGrid>
      <w:tr w:rsidR="003B01F3" w:rsidRPr="00654F9E" w14:paraId="41F1A498" w14:textId="77777777" w:rsidTr="003B01F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bookmarkEnd w:id="214"/>
          <w:bookmarkEnd w:id="215"/>
          <w:bookmarkEnd w:id="216"/>
          <w:p w14:paraId="387839EC" w14:textId="77777777" w:rsidR="003B01F3" w:rsidRPr="00684DC5" w:rsidRDefault="003B01F3" w:rsidP="003B01F3">
            <w:pPr>
              <w:pStyle w:val="Tablerowcolumnheading"/>
              <w:rPr>
                <w:sz w:val="22"/>
                <w:szCs w:val="22"/>
              </w:rPr>
            </w:pPr>
            <w:r>
              <w:rPr>
                <w:sz w:val="22"/>
                <w:szCs w:val="22"/>
              </w:rPr>
              <w:t>Term</w:t>
            </w:r>
          </w:p>
        </w:tc>
        <w:tc>
          <w:tcPr>
            <w:tcW w:w="3313" w:type="pct"/>
          </w:tcPr>
          <w:p w14:paraId="7752E394" w14:textId="77777777" w:rsidR="003B01F3" w:rsidRPr="00684DC5" w:rsidRDefault="003B01F3" w:rsidP="003B01F3">
            <w:pPr>
              <w:pStyle w:val="Tablerowcolumnheading"/>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w:t>
            </w:r>
          </w:p>
        </w:tc>
      </w:tr>
      <w:tr w:rsidR="0064434C" w:rsidRPr="00654F9E" w14:paraId="4D3E775C"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6E44308F" w14:textId="77777777" w:rsidR="0064434C" w:rsidRPr="0055435C" w:rsidRDefault="0064434C" w:rsidP="0064434C">
            <w:pPr>
              <w:pStyle w:val="Tabletext"/>
              <w:rPr>
                <w:b w:val="0"/>
                <w:sz w:val="22"/>
              </w:rPr>
            </w:pPr>
            <w:r w:rsidRPr="0055435C">
              <w:rPr>
                <w:b w:val="0"/>
                <w:sz w:val="22"/>
              </w:rPr>
              <w:t>3G HSPA+</w:t>
            </w:r>
          </w:p>
        </w:tc>
        <w:tc>
          <w:tcPr>
            <w:tcW w:w="3313" w:type="pct"/>
          </w:tcPr>
          <w:p w14:paraId="4907D9E1"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 xml:space="preserve">Third generation mobile telecommunications service with the wireless broadband standard protocol known as the Evolved </w:t>
            </w:r>
            <w:proofErr w:type="gramStart"/>
            <w:r w:rsidRPr="0055435C">
              <w:rPr>
                <w:sz w:val="22"/>
              </w:rPr>
              <w:t>High Speed</w:t>
            </w:r>
            <w:proofErr w:type="gramEnd"/>
            <w:r w:rsidRPr="0055435C">
              <w:rPr>
                <w:sz w:val="22"/>
              </w:rPr>
              <w:t xml:space="preserve"> Packet Data Access or HSPA+.</w:t>
            </w:r>
          </w:p>
        </w:tc>
      </w:tr>
      <w:tr w:rsidR="0064434C" w:rsidRPr="00654F9E" w14:paraId="774B09FB"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7075F077" w14:textId="77777777" w:rsidR="0064434C" w:rsidRPr="0055435C" w:rsidRDefault="0064434C" w:rsidP="0064434C">
            <w:pPr>
              <w:pStyle w:val="Tabletext"/>
              <w:rPr>
                <w:b w:val="0"/>
                <w:sz w:val="22"/>
              </w:rPr>
            </w:pPr>
            <w:r w:rsidRPr="0055435C">
              <w:rPr>
                <w:b w:val="0"/>
                <w:sz w:val="22"/>
              </w:rPr>
              <w:t xml:space="preserve">4G </w:t>
            </w:r>
          </w:p>
        </w:tc>
        <w:tc>
          <w:tcPr>
            <w:tcW w:w="3313" w:type="pct"/>
          </w:tcPr>
          <w:p w14:paraId="77970295"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sidRPr="0055435C">
              <w:rPr>
                <w:sz w:val="22"/>
              </w:rPr>
              <w:t>Fourth generation mobile telecommunications service.</w:t>
            </w:r>
          </w:p>
        </w:tc>
      </w:tr>
      <w:tr w:rsidR="0064434C" w:rsidRPr="00654F9E" w14:paraId="48E50943"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14CAEC21" w14:textId="77777777" w:rsidR="0064434C" w:rsidRPr="0055435C" w:rsidRDefault="0064434C" w:rsidP="0064434C">
            <w:pPr>
              <w:pStyle w:val="Tabletext"/>
              <w:rPr>
                <w:b w:val="0"/>
                <w:sz w:val="22"/>
              </w:rPr>
            </w:pPr>
            <w:r w:rsidRPr="0055435C">
              <w:rPr>
                <w:b w:val="0"/>
                <w:sz w:val="22"/>
              </w:rPr>
              <w:t xml:space="preserve">Assessment </w:t>
            </w:r>
            <w:r>
              <w:rPr>
                <w:b w:val="0"/>
                <w:sz w:val="22"/>
              </w:rPr>
              <w:t>Formula</w:t>
            </w:r>
          </w:p>
        </w:tc>
        <w:tc>
          <w:tcPr>
            <w:tcW w:w="3313" w:type="pct"/>
          </w:tcPr>
          <w:p w14:paraId="47D170E6"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 xml:space="preserve">The assessment </w:t>
            </w:r>
            <w:r>
              <w:rPr>
                <w:sz w:val="22"/>
              </w:rPr>
              <w:t>formula</w:t>
            </w:r>
            <w:r w:rsidRPr="0055435C">
              <w:rPr>
                <w:sz w:val="22"/>
              </w:rPr>
              <w:t xml:space="preserve"> the Department will use to assess applications as set out in </w:t>
            </w:r>
            <w:r w:rsidRPr="001E261D">
              <w:rPr>
                <w:sz w:val="22"/>
              </w:rPr>
              <w:t>section 10.</w:t>
            </w:r>
          </w:p>
        </w:tc>
      </w:tr>
      <w:tr w:rsidR="0064434C" w:rsidRPr="00654F9E" w14:paraId="68490FDC"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15A123C9" w14:textId="77777777" w:rsidR="0064434C" w:rsidRPr="0055435C" w:rsidRDefault="0064434C" w:rsidP="0064434C">
            <w:pPr>
              <w:pStyle w:val="Tabletext"/>
              <w:rPr>
                <w:b w:val="0"/>
                <w:sz w:val="22"/>
              </w:rPr>
            </w:pPr>
            <w:r w:rsidRPr="0055435C">
              <w:rPr>
                <w:b w:val="0"/>
                <w:sz w:val="22"/>
              </w:rPr>
              <w:t>Backhaul</w:t>
            </w:r>
          </w:p>
        </w:tc>
        <w:tc>
          <w:tcPr>
            <w:tcW w:w="3313" w:type="pct"/>
          </w:tcPr>
          <w:p w14:paraId="61E6A4B1"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sidRPr="0055435C">
              <w:rPr>
                <w:sz w:val="22"/>
              </w:rPr>
              <w:t>A link between the core or backbone of a network and sub</w:t>
            </w:r>
            <w:r w:rsidRPr="0055435C">
              <w:rPr>
                <w:sz w:val="22"/>
              </w:rPr>
              <w:noBreakHyphen/>
              <w:t>networks, transporting data from a series of disparate locations to a more centralised location.</w:t>
            </w:r>
          </w:p>
        </w:tc>
      </w:tr>
      <w:tr w:rsidR="0064434C" w:rsidRPr="00654F9E" w14:paraId="0C4E0B55"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55F26AE6" w14:textId="77777777" w:rsidR="0064434C" w:rsidRPr="001E261D" w:rsidRDefault="0064434C" w:rsidP="0064434C">
            <w:pPr>
              <w:pStyle w:val="Tabletext"/>
              <w:rPr>
                <w:b w:val="0"/>
                <w:sz w:val="22"/>
              </w:rPr>
            </w:pPr>
            <w:r w:rsidRPr="00440F6E">
              <w:rPr>
                <w:b w:val="0"/>
                <w:sz w:val="22"/>
              </w:rPr>
              <w:t>Baseline Data</w:t>
            </w:r>
          </w:p>
        </w:tc>
        <w:tc>
          <w:tcPr>
            <w:tcW w:w="3313" w:type="pct"/>
          </w:tcPr>
          <w:p w14:paraId="4FFBDCAF" w14:textId="7E3C852C" w:rsidR="0064434C" w:rsidRPr="001E261D"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1E261D">
              <w:rPr>
                <w:sz w:val="22"/>
              </w:rPr>
              <w:t>The applicant</w:t>
            </w:r>
            <w:bookmarkStart w:id="815" w:name="_GoBack"/>
            <w:bookmarkEnd w:id="815"/>
            <w:r w:rsidRPr="001E261D">
              <w:rPr>
                <w:sz w:val="22"/>
              </w:rPr>
              <w:t xml:space="preserve">s existing coverage and the amount of new coverage which each </w:t>
            </w:r>
            <w:r>
              <w:rPr>
                <w:sz w:val="22"/>
              </w:rPr>
              <w:t>Funded Solution</w:t>
            </w:r>
            <w:r w:rsidRPr="001E261D">
              <w:rPr>
                <w:sz w:val="22"/>
              </w:rPr>
              <w:t xml:space="preserve"> would provide will be used as the </w:t>
            </w:r>
            <w:r>
              <w:rPr>
                <w:sz w:val="22"/>
              </w:rPr>
              <w:t xml:space="preserve">mobile coverage </w:t>
            </w:r>
            <w:r w:rsidRPr="001E261D">
              <w:rPr>
                <w:sz w:val="22"/>
              </w:rPr>
              <w:t>baseline data for section 4.2.1.</w:t>
            </w:r>
            <w:r>
              <w:rPr>
                <w:sz w:val="22"/>
              </w:rPr>
              <w:t xml:space="preserve"> </w:t>
            </w:r>
            <w:r w:rsidRPr="001E261D">
              <w:rPr>
                <w:sz w:val="22"/>
              </w:rPr>
              <w:t xml:space="preserve">The applicants existing </w:t>
            </w:r>
            <w:r>
              <w:rPr>
                <w:sz w:val="22"/>
              </w:rPr>
              <w:t>network capacity and configurations</w:t>
            </w:r>
            <w:r w:rsidRPr="001E261D">
              <w:rPr>
                <w:sz w:val="22"/>
              </w:rPr>
              <w:t xml:space="preserve"> and the amount of new</w:t>
            </w:r>
            <w:r>
              <w:rPr>
                <w:sz w:val="22"/>
              </w:rPr>
              <w:t xml:space="preserve"> / upgraded</w:t>
            </w:r>
            <w:r w:rsidRPr="001E261D">
              <w:rPr>
                <w:sz w:val="22"/>
              </w:rPr>
              <w:t xml:space="preserve"> </w:t>
            </w:r>
            <w:r>
              <w:rPr>
                <w:sz w:val="22"/>
              </w:rPr>
              <w:t>capacity and /or improved network configuration/s</w:t>
            </w:r>
            <w:r w:rsidRPr="001E261D">
              <w:rPr>
                <w:sz w:val="22"/>
              </w:rPr>
              <w:t xml:space="preserve"> which each </w:t>
            </w:r>
            <w:r>
              <w:rPr>
                <w:sz w:val="22"/>
              </w:rPr>
              <w:t>Funded Solution</w:t>
            </w:r>
            <w:r w:rsidRPr="001E261D">
              <w:rPr>
                <w:sz w:val="22"/>
              </w:rPr>
              <w:t xml:space="preserve"> would provide will be used as the </w:t>
            </w:r>
            <w:r>
              <w:rPr>
                <w:sz w:val="22"/>
              </w:rPr>
              <w:t xml:space="preserve">quality of service </w:t>
            </w:r>
            <w:r w:rsidRPr="001E261D">
              <w:rPr>
                <w:sz w:val="22"/>
              </w:rPr>
              <w:t>baseline data for section 4.2.1.</w:t>
            </w:r>
          </w:p>
        </w:tc>
      </w:tr>
      <w:tr w:rsidR="0064434C" w:rsidRPr="00654F9E" w14:paraId="0C01D8EA"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2915629E" w14:textId="77777777" w:rsidR="0064434C" w:rsidRPr="0055435C" w:rsidRDefault="0064434C" w:rsidP="0064434C">
            <w:pPr>
              <w:pStyle w:val="Tabletext"/>
              <w:rPr>
                <w:b w:val="0"/>
                <w:sz w:val="22"/>
              </w:rPr>
            </w:pPr>
            <w:r w:rsidRPr="0055435C">
              <w:rPr>
                <w:b w:val="0"/>
                <w:sz w:val="22"/>
              </w:rPr>
              <w:t>Building MNO</w:t>
            </w:r>
          </w:p>
        </w:tc>
        <w:tc>
          <w:tcPr>
            <w:tcW w:w="3313" w:type="pct"/>
          </w:tcPr>
          <w:p w14:paraId="34751DB8" w14:textId="77777777" w:rsidR="0064434C" w:rsidRPr="001E261D"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sidRPr="001E261D">
              <w:rPr>
                <w:sz w:val="22"/>
              </w:rPr>
              <w:t xml:space="preserve">Has the meaning given in </w:t>
            </w:r>
            <w:proofErr w:type="gramStart"/>
            <w:r w:rsidRPr="001E261D">
              <w:rPr>
                <w:sz w:val="22"/>
              </w:rPr>
              <w:t>section 5.4.1.</w:t>
            </w:r>
            <w:proofErr w:type="gramEnd"/>
            <w:r w:rsidRPr="001E261D">
              <w:rPr>
                <w:sz w:val="22"/>
              </w:rPr>
              <w:t xml:space="preserve"> </w:t>
            </w:r>
          </w:p>
        </w:tc>
      </w:tr>
      <w:tr w:rsidR="0064434C" w:rsidRPr="00654F9E" w14:paraId="5AEC7228"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3DEB3DE8" w14:textId="77777777" w:rsidR="0064434C" w:rsidRPr="0055435C" w:rsidRDefault="0064434C" w:rsidP="0064434C">
            <w:pPr>
              <w:pStyle w:val="Tabletext"/>
              <w:rPr>
                <w:b w:val="0"/>
                <w:sz w:val="22"/>
              </w:rPr>
            </w:pPr>
            <w:r w:rsidRPr="0055435C">
              <w:rPr>
                <w:b w:val="0"/>
                <w:sz w:val="22"/>
              </w:rPr>
              <w:t>Co-locating MNO</w:t>
            </w:r>
          </w:p>
        </w:tc>
        <w:tc>
          <w:tcPr>
            <w:tcW w:w="3313" w:type="pct"/>
          </w:tcPr>
          <w:p w14:paraId="04B2D044" w14:textId="77777777" w:rsidR="0064434C" w:rsidRPr="001E261D"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1E261D">
              <w:rPr>
                <w:sz w:val="22"/>
              </w:rPr>
              <w:t xml:space="preserve">Has the meaning given in </w:t>
            </w:r>
            <w:proofErr w:type="gramStart"/>
            <w:r w:rsidRPr="001E261D">
              <w:rPr>
                <w:sz w:val="22"/>
              </w:rPr>
              <w:t>section 5.4.1.</w:t>
            </w:r>
            <w:proofErr w:type="gramEnd"/>
          </w:p>
        </w:tc>
      </w:tr>
      <w:tr w:rsidR="0064434C" w:rsidRPr="00654F9E" w14:paraId="686CFB06"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3BE43DE0" w14:textId="77777777" w:rsidR="0064434C" w:rsidRPr="0055435C" w:rsidRDefault="0064434C" w:rsidP="0064434C">
            <w:pPr>
              <w:pStyle w:val="Tabletext"/>
              <w:rPr>
                <w:b w:val="0"/>
                <w:sz w:val="22"/>
              </w:rPr>
            </w:pPr>
            <w:r w:rsidRPr="0055435C">
              <w:rPr>
                <w:b w:val="0"/>
                <w:sz w:val="22"/>
              </w:rPr>
              <w:t>Confidential Information</w:t>
            </w:r>
          </w:p>
        </w:tc>
        <w:tc>
          <w:tcPr>
            <w:tcW w:w="3313" w:type="pct"/>
          </w:tcPr>
          <w:p w14:paraId="3E268FF2" w14:textId="77777777" w:rsidR="0064434C" w:rsidRPr="001E261D"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sidRPr="001E261D">
              <w:rPr>
                <w:sz w:val="22"/>
              </w:rPr>
              <w:t xml:space="preserve">Has the meaning given in </w:t>
            </w:r>
            <w:proofErr w:type="gramStart"/>
            <w:r w:rsidRPr="001E261D">
              <w:rPr>
                <w:sz w:val="22"/>
              </w:rPr>
              <w:t>section 14.6.1.</w:t>
            </w:r>
            <w:proofErr w:type="gramEnd"/>
          </w:p>
        </w:tc>
      </w:tr>
      <w:tr w:rsidR="0064434C" w:rsidRPr="00654F9E" w14:paraId="34057C92"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37E6F34A" w14:textId="77777777" w:rsidR="0064434C" w:rsidRPr="0055435C" w:rsidRDefault="0064434C" w:rsidP="0064434C">
            <w:pPr>
              <w:pStyle w:val="Tabletext"/>
              <w:rPr>
                <w:b w:val="0"/>
                <w:sz w:val="22"/>
              </w:rPr>
            </w:pPr>
            <w:r>
              <w:rPr>
                <w:b w:val="0"/>
                <w:sz w:val="22"/>
              </w:rPr>
              <w:t>Date of Rollout Completion</w:t>
            </w:r>
          </w:p>
        </w:tc>
        <w:tc>
          <w:tcPr>
            <w:tcW w:w="3313" w:type="pct"/>
          </w:tcPr>
          <w:p w14:paraId="32103D1E" w14:textId="77777777" w:rsidR="0064434C" w:rsidRPr="001E261D"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1E261D">
              <w:rPr>
                <w:sz w:val="22"/>
              </w:rPr>
              <w:t xml:space="preserve">Has the meaning given in </w:t>
            </w:r>
            <w:proofErr w:type="gramStart"/>
            <w:r w:rsidRPr="001E261D">
              <w:rPr>
                <w:sz w:val="22"/>
              </w:rPr>
              <w:t>section 1</w:t>
            </w:r>
            <w:r>
              <w:rPr>
                <w:sz w:val="22"/>
              </w:rPr>
              <w:t>3</w:t>
            </w:r>
            <w:r w:rsidRPr="001E261D">
              <w:rPr>
                <w:sz w:val="22"/>
              </w:rPr>
              <w:t>.</w:t>
            </w:r>
            <w:r>
              <w:rPr>
                <w:sz w:val="22"/>
              </w:rPr>
              <w:t>10</w:t>
            </w:r>
            <w:r w:rsidRPr="001E261D">
              <w:rPr>
                <w:sz w:val="22"/>
              </w:rPr>
              <w:t>.1.</w:t>
            </w:r>
            <w:proofErr w:type="gramEnd"/>
          </w:p>
        </w:tc>
      </w:tr>
      <w:tr w:rsidR="0064434C" w:rsidRPr="00654F9E" w14:paraId="0ED9CE4E"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5188AA41" w14:textId="77777777" w:rsidR="0064434C" w:rsidRPr="0055435C" w:rsidRDefault="0064434C" w:rsidP="0064434C">
            <w:pPr>
              <w:pStyle w:val="Tabletext"/>
              <w:rPr>
                <w:b w:val="0"/>
                <w:sz w:val="22"/>
              </w:rPr>
            </w:pPr>
            <w:r w:rsidRPr="0055435C">
              <w:rPr>
                <w:b w:val="0"/>
                <w:sz w:val="22"/>
              </w:rPr>
              <w:t>Decision Maker</w:t>
            </w:r>
          </w:p>
        </w:tc>
        <w:tc>
          <w:tcPr>
            <w:tcW w:w="3313" w:type="pct"/>
          </w:tcPr>
          <w:p w14:paraId="02F868D1"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sidRPr="0055435C">
              <w:rPr>
                <w:sz w:val="22"/>
              </w:rPr>
              <w:t xml:space="preserve">The Minister for </w:t>
            </w:r>
            <w:r>
              <w:rPr>
                <w:sz w:val="22"/>
              </w:rPr>
              <w:t>R</w:t>
            </w:r>
            <w:r w:rsidRPr="00B50689">
              <w:rPr>
                <w:sz w:val="22"/>
              </w:rPr>
              <w:t xml:space="preserve">egional </w:t>
            </w:r>
            <w:r w:rsidRPr="0055435C">
              <w:rPr>
                <w:sz w:val="22"/>
              </w:rPr>
              <w:t>Communications.</w:t>
            </w:r>
          </w:p>
        </w:tc>
      </w:tr>
      <w:tr w:rsidR="0064434C" w:rsidRPr="00654F9E" w14:paraId="13D1F158"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54CC388A" w14:textId="77777777" w:rsidR="0064434C" w:rsidRPr="0055435C" w:rsidRDefault="0064434C" w:rsidP="0064434C">
            <w:pPr>
              <w:pStyle w:val="Tabletext"/>
              <w:rPr>
                <w:b w:val="0"/>
                <w:sz w:val="22"/>
              </w:rPr>
            </w:pPr>
            <w:r w:rsidRPr="0055435C">
              <w:rPr>
                <w:b w:val="0"/>
                <w:sz w:val="22"/>
              </w:rPr>
              <w:t>Decision Maker’s List</w:t>
            </w:r>
          </w:p>
        </w:tc>
        <w:tc>
          <w:tcPr>
            <w:tcW w:w="3313" w:type="pct"/>
          </w:tcPr>
          <w:p w14:paraId="39A1EB70"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1E261D">
              <w:rPr>
                <w:sz w:val="22"/>
              </w:rPr>
              <w:t xml:space="preserve">Has the meaning given in section </w:t>
            </w:r>
            <w:proofErr w:type="gramStart"/>
            <w:r w:rsidRPr="001E261D">
              <w:rPr>
                <w:sz w:val="22"/>
              </w:rPr>
              <w:t>11.2.</w:t>
            </w:r>
            <w:proofErr w:type="gramEnd"/>
          </w:p>
        </w:tc>
      </w:tr>
      <w:tr w:rsidR="0064434C" w:rsidRPr="00654F9E" w14:paraId="185A0F84"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782485A5" w14:textId="77777777" w:rsidR="0064434C" w:rsidRPr="0055435C" w:rsidRDefault="0064434C" w:rsidP="0064434C">
            <w:pPr>
              <w:pStyle w:val="Tabletext"/>
              <w:rPr>
                <w:b w:val="0"/>
                <w:sz w:val="22"/>
              </w:rPr>
            </w:pPr>
            <w:r w:rsidRPr="0055435C">
              <w:rPr>
                <w:b w:val="0"/>
                <w:sz w:val="22"/>
              </w:rPr>
              <w:t>Department</w:t>
            </w:r>
          </w:p>
        </w:tc>
        <w:tc>
          <w:tcPr>
            <w:tcW w:w="3313" w:type="pct"/>
          </w:tcPr>
          <w:p w14:paraId="2C28127D" w14:textId="77777777" w:rsidR="0064434C" w:rsidRPr="001E261D"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sidRPr="001E261D">
              <w:rPr>
                <w:sz w:val="22"/>
              </w:rPr>
              <w:t xml:space="preserve">Has the meaning given in </w:t>
            </w:r>
            <w:proofErr w:type="gramStart"/>
            <w:r w:rsidRPr="001E261D">
              <w:rPr>
                <w:sz w:val="22"/>
              </w:rPr>
              <w:t>section 1.1.2.</w:t>
            </w:r>
            <w:proofErr w:type="gramEnd"/>
          </w:p>
        </w:tc>
      </w:tr>
      <w:tr w:rsidR="0064434C" w:rsidRPr="00654F9E" w14:paraId="45800D45"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52120714" w14:textId="77777777" w:rsidR="0064434C" w:rsidRPr="0055435C" w:rsidRDefault="0064434C" w:rsidP="0064434C">
            <w:pPr>
              <w:pStyle w:val="Tabletext"/>
              <w:rPr>
                <w:b w:val="0"/>
                <w:sz w:val="22"/>
              </w:rPr>
            </w:pPr>
            <w:r w:rsidRPr="0055435C">
              <w:rPr>
                <w:b w:val="0"/>
                <w:sz w:val="22"/>
              </w:rPr>
              <w:t>External Antenna Coverage</w:t>
            </w:r>
          </w:p>
        </w:tc>
        <w:tc>
          <w:tcPr>
            <w:tcW w:w="3313" w:type="pct"/>
          </w:tcPr>
          <w:p w14:paraId="18A67916" w14:textId="77777777" w:rsidR="0064434C" w:rsidRPr="001E261D"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Pr>
                <w:sz w:val="22"/>
              </w:rPr>
              <w:t xml:space="preserve">3G HSPA+ </w:t>
            </w:r>
            <w:r w:rsidRPr="0055435C">
              <w:rPr>
                <w:sz w:val="22"/>
              </w:rPr>
              <w:t xml:space="preserve">coverage which can be obtained using an external antenna attached to a handheld mobile device, as determined in accordance with the </w:t>
            </w:r>
            <w:proofErr w:type="spellStart"/>
            <w:r w:rsidRPr="0055435C">
              <w:rPr>
                <w:sz w:val="22"/>
              </w:rPr>
              <w:t>publically</w:t>
            </w:r>
            <w:proofErr w:type="spellEnd"/>
            <w:r w:rsidRPr="0055435C">
              <w:rPr>
                <w:sz w:val="22"/>
              </w:rPr>
              <w:t xml:space="preserve"> available mobile coverage maps from all MNOs, and the external antenna coverage which will be delivered under </w:t>
            </w:r>
            <w:r>
              <w:rPr>
                <w:sz w:val="22"/>
              </w:rPr>
              <w:t>r</w:t>
            </w:r>
            <w:r w:rsidRPr="0055435C">
              <w:rPr>
                <w:sz w:val="22"/>
              </w:rPr>
              <w:t>ound</w:t>
            </w:r>
            <w:r>
              <w:rPr>
                <w:sz w:val="22"/>
              </w:rPr>
              <w:t>s</w:t>
            </w:r>
            <w:r w:rsidRPr="0055435C">
              <w:rPr>
                <w:sz w:val="22"/>
              </w:rPr>
              <w:t xml:space="preserve"> 1 </w:t>
            </w:r>
            <w:r>
              <w:rPr>
                <w:sz w:val="22"/>
              </w:rPr>
              <w:t xml:space="preserve">and 2 </w:t>
            </w:r>
            <w:r w:rsidRPr="0055435C">
              <w:rPr>
                <w:sz w:val="22"/>
              </w:rPr>
              <w:t xml:space="preserve">of the </w:t>
            </w:r>
            <w:r>
              <w:rPr>
                <w:sz w:val="22"/>
              </w:rPr>
              <w:t>Program</w:t>
            </w:r>
            <w:r w:rsidRPr="0055435C">
              <w:rPr>
                <w:sz w:val="22"/>
              </w:rPr>
              <w:t>.</w:t>
            </w:r>
          </w:p>
        </w:tc>
      </w:tr>
      <w:tr w:rsidR="0064434C" w:rsidRPr="00654F9E" w14:paraId="0B3E7510"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5C89E675" w14:textId="77777777" w:rsidR="0064434C" w:rsidRPr="0055435C" w:rsidRDefault="0064434C" w:rsidP="0064434C">
            <w:pPr>
              <w:pStyle w:val="Tabletext"/>
              <w:rPr>
                <w:b w:val="0"/>
                <w:sz w:val="22"/>
              </w:rPr>
            </w:pPr>
            <w:r>
              <w:rPr>
                <w:b w:val="0"/>
                <w:sz w:val="22"/>
              </w:rPr>
              <w:t>Funded Solution</w:t>
            </w:r>
          </w:p>
        </w:tc>
        <w:tc>
          <w:tcPr>
            <w:tcW w:w="3313" w:type="pct"/>
          </w:tcPr>
          <w:p w14:paraId="315B00E7"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Pr>
                <w:sz w:val="22"/>
              </w:rPr>
              <w:t>Mobile network infrastructure</w:t>
            </w:r>
            <w:r w:rsidRPr="0055435C">
              <w:rPr>
                <w:sz w:val="22"/>
              </w:rPr>
              <w:t xml:space="preserve"> selected for funding under the </w:t>
            </w:r>
            <w:r>
              <w:rPr>
                <w:sz w:val="22"/>
              </w:rPr>
              <w:t>Program</w:t>
            </w:r>
            <w:r w:rsidRPr="0055435C">
              <w:rPr>
                <w:sz w:val="22"/>
              </w:rPr>
              <w:t>.</w:t>
            </w:r>
          </w:p>
        </w:tc>
      </w:tr>
      <w:tr w:rsidR="0064434C" w:rsidRPr="00654F9E" w14:paraId="321FDB2A"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761DA3CD" w14:textId="77777777" w:rsidR="0064434C" w:rsidRPr="0055435C" w:rsidRDefault="0064434C" w:rsidP="0064434C">
            <w:pPr>
              <w:pStyle w:val="Tabletext"/>
              <w:rPr>
                <w:b w:val="0"/>
                <w:sz w:val="22"/>
              </w:rPr>
            </w:pPr>
            <w:r>
              <w:rPr>
                <w:b w:val="0"/>
                <w:sz w:val="22"/>
              </w:rPr>
              <w:t>Grant Agreement</w:t>
            </w:r>
          </w:p>
        </w:tc>
        <w:tc>
          <w:tcPr>
            <w:tcW w:w="3313" w:type="pct"/>
          </w:tcPr>
          <w:p w14:paraId="6A21EA21"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 xml:space="preserve">A document with contractual effect specifying the responsibilities of </w:t>
            </w:r>
            <w:r>
              <w:rPr>
                <w:sz w:val="22"/>
              </w:rPr>
              <w:t>Grantee</w:t>
            </w:r>
            <w:r w:rsidRPr="0055435C">
              <w:rPr>
                <w:sz w:val="22"/>
              </w:rPr>
              <w:t>s</w:t>
            </w:r>
            <w:r>
              <w:rPr>
                <w:sz w:val="22"/>
              </w:rPr>
              <w:t xml:space="preserve"> and</w:t>
            </w:r>
            <w:r w:rsidRPr="0055435C">
              <w:rPr>
                <w:sz w:val="22"/>
              </w:rPr>
              <w:t xml:space="preserve"> the Commonwealth under the </w:t>
            </w:r>
            <w:r>
              <w:rPr>
                <w:sz w:val="22"/>
              </w:rPr>
              <w:t>Program</w:t>
            </w:r>
            <w:r w:rsidRPr="0055435C">
              <w:rPr>
                <w:sz w:val="22"/>
              </w:rPr>
              <w:t>.</w:t>
            </w:r>
          </w:p>
        </w:tc>
      </w:tr>
      <w:tr w:rsidR="0064434C" w:rsidRPr="00654F9E" w14:paraId="0A65A4D6"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0B27B8AC" w14:textId="77777777" w:rsidR="0064434C" w:rsidRPr="0055435C" w:rsidDel="002F37E5" w:rsidRDefault="0064434C" w:rsidP="0064434C">
            <w:pPr>
              <w:pStyle w:val="Tabletext"/>
              <w:rPr>
                <w:b w:val="0"/>
                <w:sz w:val="22"/>
              </w:rPr>
            </w:pPr>
            <w:proofErr w:type="spellStart"/>
            <w:r>
              <w:rPr>
                <w:b w:val="0"/>
                <w:sz w:val="22"/>
              </w:rPr>
              <w:t>GrantConnect</w:t>
            </w:r>
            <w:proofErr w:type="spellEnd"/>
          </w:p>
        </w:tc>
        <w:tc>
          <w:tcPr>
            <w:tcW w:w="3313" w:type="pct"/>
          </w:tcPr>
          <w:p w14:paraId="0DE44CDE"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proofErr w:type="spellStart"/>
            <w:r w:rsidRPr="00085D1F">
              <w:rPr>
                <w:sz w:val="22"/>
              </w:rPr>
              <w:t>GrantConnect</w:t>
            </w:r>
            <w:proofErr w:type="spellEnd"/>
            <w:r w:rsidRPr="00085D1F">
              <w:rPr>
                <w:sz w:val="22"/>
              </w:rPr>
              <w:t xml:space="preserve"> is the Australian Government’s whole-of-government grants information system, which centralises the publication and reporting of Commonwealth grants in accordance with the </w:t>
            </w:r>
            <w:r w:rsidRPr="00085D1F">
              <w:rPr>
                <w:i/>
                <w:sz w:val="22"/>
              </w:rPr>
              <w:t>Commonwealth Grants Rules and Guidelines 2017.</w:t>
            </w:r>
          </w:p>
        </w:tc>
      </w:tr>
      <w:tr w:rsidR="0064434C" w:rsidRPr="00654F9E" w14:paraId="5BBBFD71"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78716474" w14:textId="77777777" w:rsidR="0064434C" w:rsidRPr="0055435C" w:rsidRDefault="0064434C" w:rsidP="0064434C">
            <w:pPr>
              <w:pStyle w:val="Tabletext"/>
              <w:rPr>
                <w:b w:val="0"/>
                <w:sz w:val="22"/>
              </w:rPr>
            </w:pPr>
            <w:r>
              <w:rPr>
                <w:b w:val="0"/>
                <w:sz w:val="22"/>
              </w:rPr>
              <w:t>Grantee</w:t>
            </w:r>
          </w:p>
        </w:tc>
        <w:tc>
          <w:tcPr>
            <w:tcW w:w="3313" w:type="pct"/>
          </w:tcPr>
          <w:p w14:paraId="3127B79E"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 xml:space="preserve">An applicant who has been successful in obtaining funding under the </w:t>
            </w:r>
            <w:r>
              <w:rPr>
                <w:sz w:val="22"/>
              </w:rPr>
              <w:t>Program</w:t>
            </w:r>
            <w:r w:rsidRPr="0055435C">
              <w:rPr>
                <w:sz w:val="22"/>
              </w:rPr>
              <w:t>.</w:t>
            </w:r>
          </w:p>
        </w:tc>
      </w:tr>
      <w:tr w:rsidR="0064434C" w:rsidRPr="00654F9E" w14:paraId="63CBE1D0"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55F6B81C" w14:textId="77777777" w:rsidR="0064434C" w:rsidRPr="0055435C" w:rsidRDefault="0064434C" w:rsidP="0064434C">
            <w:pPr>
              <w:pStyle w:val="Tabletext"/>
              <w:rPr>
                <w:b w:val="0"/>
                <w:sz w:val="22"/>
              </w:rPr>
            </w:pPr>
            <w:r w:rsidRPr="0055435C">
              <w:rPr>
                <w:b w:val="0"/>
                <w:sz w:val="22"/>
              </w:rPr>
              <w:lastRenderedPageBreak/>
              <w:t>Handheld Coverage</w:t>
            </w:r>
          </w:p>
        </w:tc>
        <w:tc>
          <w:tcPr>
            <w:tcW w:w="3313" w:type="pct"/>
          </w:tcPr>
          <w:p w14:paraId="7501DEC3"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Pr>
                <w:sz w:val="22"/>
              </w:rPr>
              <w:t xml:space="preserve">3G HSPA+ </w:t>
            </w:r>
            <w:r w:rsidRPr="0055435C">
              <w:rPr>
                <w:sz w:val="22"/>
              </w:rPr>
              <w:t xml:space="preserve">coverage which can be obtained with a handheld mobile device as determined in accordance with the </w:t>
            </w:r>
            <w:proofErr w:type="spellStart"/>
            <w:r w:rsidRPr="0055435C">
              <w:rPr>
                <w:sz w:val="22"/>
              </w:rPr>
              <w:t>publically</w:t>
            </w:r>
            <w:proofErr w:type="spellEnd"/>
            <w:r w:rsidRPr="0055435C">
              <w:rPr>
                <w:sz w:val="22"/>
              </w:rPr>
              <w:t xml:space="preserve"> available mobile coverage maps from all MNOs, and the handheld coverage which will be delivered under </w:t>
            </w:r>
            <w:r>
              <w:rPr>
                <w:sz w:val="22"/>
              </w:rPr>
              <w:t>r</w:t>
            </w:r>
            <w:r w:rsidRPr="0055435C">
              <w:rPr>
                <w:sz w:val="22"/>
              </w:rPr>
              <w:t>ound</w:t>
            </w:r>
            <w:r>
              <w:rPr>
                <w:sz w:val="22"/>
              </w:rPr>
              <w:t>s</w:t>
            </w:r>
            <w:r w:rsidRPr="0055435C">
              <w:rPr>
                <w:sz w:val="22"/>
              </w:rPr>
              <w:t xml:space="preserve"> 1 </w:t>
            </w:r>
            <w:r>
              <w:rPr>
                <w:sz w:val="22"/>
              </w:rPr>
              <w:t xml:space="preserve">and 2 </w:t>
            </w:r>
            <w:r w:rsidRPr="0055435C">
              <w:rPr>
                <w:sz w:val="22"/>
              </w:rPr>
              <w:t xml:space="preserve">of the </w:t>
            </w:r>
            <w:r>
              <w:rPr>
                <w:sz w:val="22"/>
              </w:rPr>
              <w:t>Program</w:t>
            </w:r>
            <w:r w:rsidRPr="0055435C">
              <w:rPr>
                <w:sz w:val="22"/>
              </w:rPr>
              <w:t>.</w:t>
            </w:r>
          </w:p>
        </w:tc>
      </w:tr>
      <w:tr w:rsidR="0064434C" w:rsidRPr="00654F9E" w14:paraId="7EAB8608"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1FA2D5E3" w14:textId="77777777" w:rsidR="0064434C" w:rsidRPr="0055435C" w:rsidRDefault="0064434C" w:rsidP="0064434C">
            <w:pPr>
              <w:pStyle w:val="Tabletext"/>
              <w:rPr>
                <w:b w:val="0"/>
                <w:sz w:val="22"/>
              </w:rPr>
            </w:pPr>
            <w:r w:rsidRPr="0055435C">
              <w:rPr>
                <w:b w:val="0"/>
                <w:sz w:val="22"/>
              </w:rPr>
              <w:t>Intellectual Property</w:t>
            </w:r>
          </w:p>
        </w:tc>
        <w:tc>
          <w:tcPr>
            <w:tcW w:w="3313" w:type="pct"/>
          </w:tcPr>
          <w:p w14:paraId="44F41977"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Includes:</w:t>
            </w:r>
          </w:p>
          <w:p w14:paraId="6381C651"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(a) all copyright (including rights in relation to phonograms and broadcasts);</w:t>
            </w:r>
          </w:p>
          <w:p w14:paraId="04A1F456"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(b) all rights in relation to inventions, plant varieties, trademarks (including service marks), designs, circuit layouts; and</w:t>
            </w:r>
          </w:p>
          <w:p w14:paraId="542731BA" w14:textId="77777777" w:rsidR="0064434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(c) all other rights resulting from intellectual activity in the industrial, scientific, literary or artistic fields.</w:t>
            </w:r>
          </w:p>
        </w:tc>
      </w:tr>
      <w:tr w:rsidR="0064434C" w:rsidRPr="00654F9E" w14:paraId="74993281"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1541DC77" w14:textId="77777777" w:rsidR="0064434C" w:rsidRPr="0055435C" w:rsidRDefault="0064434C" w:rsidP="0064434C">
            <w:pPr>
              <w:pStyle w:val="Tabletext"/>
              <w:rPr>
                <w:b w:val="0"/>
                <w:sz w:val="22"/>
              </w:rPr>
            </w:pPr>
            <w:proofErr w:type="spellStart"/>
            <w:r w:rsidRPr="0055435C">
              <w:rPr>
                <w:b w:val="0"/>
                <w:sz w:val="22"/>
              </w:rPr>
              <w:t>Macrocell</w:t>
            </w:r>
            <w:proofErr w:type="spellEnd"/>
          </w:p>
        </w:tc>
        <w:tc>
          <w:tcPr>
            <w:tcW w:w="3313" w:type="pct"/>
          </w:tcPr>
          <w:p w14:paraId="1AB388F0"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sidRPr="0055435C">
              <w:rPr>
                <w:sz w:val="22"/>
              </w:rPr>
              <w:t>The widest range of cell sizes used in a mobile phone network served by a mobile base station, often used in rural areas and along highways. Generally providing larger coverage than microcells, with a typical power output of tens of watts.</w:t>
            </w:r>
          </w:p>
        </w:tc>
      </w:tr>
      <w:tr w:rsidR="0064434C" w:rsidRPr="00654F9E" w14:paraId="07916EF8"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34337E78" w14:textId="77777777" w:rsidR="0064434C" w:rsidRPr="0055435C" w:rsidRDefault="0064434C" w:rsidP="0064434C">
            <w:pPr>
              <w:pStyle w:val="Tabletext"/>
              <w:rPr>
                <w:b w:val="0"/>
                <w:sz w:val="22"/>
              </w:rPr>
            </w:pPr>
            <w:r w:rsidRPr="0055435C">
              <w:rPr>
                <w:b w:val="0"/>
                <w:sz w:val="22"/>
              </w:rPr>
              <w:t>Merit List</w:t>
            </w:r>
          </w:p>
        </w:tc>
        <w:tc>
          <w:tcPr>
            <w:tcW w:w="3313" w:type="pct"/>
          </w:tcPr>
          <w:p w14:paraId="368781F5"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 xml:space="preserve">The list of </w:t>
            </w:r>
            <w:r>
              <w:rPr>
                <w:sz w:val="22"/>
              </w:rPr>
              <w:t>Proposed Solution</w:t>
            </w:r>
            <w:r w:rsidRPr="0055435C">
              <w:rPr>
                <w:sz w:val="22"/>
              </w:rPr>
              <w:t>s that the Department will recommend to the Decision Maker when the assessment process is completed.</w:t>
            </w:r>
          </w:p>
        </w:tc>
      </w:tr>
      <w:tr w:rsidR="0064434C" w:rsidRPr="00654F9E" w14:paraId="7455D3DC"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715AE733" w14:textId="77777777" w:rsidR="0064434C" w:rsidRPr="0055435C" w:rsidRDefault="0064434C" w:rsidP="0064434C">
            <w:pPr>
              <w:pStyle w:val="Tabletext"/>
              <w:rPr>
                <w:b w:val="0"/>
                <w:sz w:val="22"/>
              </w:rPr>
            </w:pPr>
            <w:r>
              <w:rPr>
                <w:b w:val="0"/>
                <w:sz w:val="22"/>
              </w:rPr>
              <w:t>Mobile Coverage Draft Merit List</w:t>
            </w:r>
          </w:p>
        </w:tc>
        <w:tc>
          <w:tcPr>
            <w:tcW w:w="3313" w:type="pct"/>
          </w:tcPr>
          <w:p w14:paraId="476477D4"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sidRPr="0055435C">
              <w:rPr>
                <w:sz w:val="22"/>
              </w:rPr>
              <w:t xml:space="preserve">Has the meaning given in </w:t>
            </w:r>
            <w:proofErr w:type="gramStart"/>
            <w:r w:rsidRPr="001E261D">
              <w:rPr>
                <w:sz w:val="22"/>
              </w:rPr>
              <w:t>section 9.3.3.</w:t>
            </w:r>
            <w:proofErr w:type="gramEnd"/>
          </w:p>
        </w:tc>
      </w:tr>
      <w:tr w:rsidR="0064434C" w:rsidRPr="00654F9E" w14:paraId="79BB4465"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1BAD8294" w14:textId="77777777" w:rsidR="0064434C" w:rsidRPr="0055435C" w:rsidRDefault="0064434C" w:rsidP="0064434C">
            <w:pPr>
              <w:pStyle w:val="Tabletext"/>
              <w:rPr>
                <w:b w:val="0"/>
                <w:sz w:val="22"/>
              </w:rPr>
            </w:pPr>
            <w:r w:rsidRPr="0055435C">
              <w:rPr>
                <w:b w:val="0"/>
                <w:sz w:val="22"/>
              </w:rPr>
              <w:t>Mobile Network Infrastructure Provider or MNIP</w:t>
            </w:r>
          </w:p>
        </w:tc>
        <w:tc>
          <w:tcPr>
            <w:tcW w:w="3313" w:type="pct"/>
          </w:tcPr>
          <w:p w14:paraId="6A7731B8"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 xml:space="preserve">Has the meaning given </w:t>
            </w:r>
            <w:r w:rsidRPr="00440F6E">
              <w:rPr>
                <w:sz w:val="22"/>
              </w:rPr>
              <w:t xml:space="preserve">in </w:t>
            </w:r>
            <w:proofErr w:type="gramStart"/>
            <w:r w:rsidRPr="00A741D5">
              <w:rPr>
                <w:sz w:val="22"/>
              </w:rPr>
              <w:t>section 2.1.3</w:t>
            </w:r>
            <w:r w:rsidRPr="00440F6E">
              <w:rPr>
                <w:sz w:val="22"/>
              </w:rPr>
              <w:t>.</w:t>
            </w:r>
            <w:proofErr w:type="gramEnd"/>
          </w:p>
        </w:tc>
      </w:tr>
      <w:tr w:rsidR="0064434C" w:rsidRPr="00654F9E" w14:paraId="12C6C0E3"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203BCDC1" w14:textId="77777777" w:rsidR="0064434C" w:rsidRPr="0055435C" w:rsidRDefault="0064434C" w:rsidP="0064434C">
            <w:pPr>
              <w:pStyle w:val="Tabletext"/>
              <w:rPr>
                <w:b w:val="0"/>
                <w:sz w:val="22"/>
              </w:rPr>
            </w:pPr>
            <w:r w:rsidRPr="0055435C">
              <w:rPr>
                <w:b w:val="0"/>
                <w:sz w:val="22"/>
              </w:rPr>
              <w:t>Mobile Network Operator or MNO</w:t>
            </w:r>
          </w:p>
        </w:tc>
        <w:tc>
          <w:tcPr>
            <w:tcW w:w="3313" w:type="pct"/>
          </w:tcPr>
          <w:p w14:paraId="315130B8"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sidRPr="0055435C">
              <w:rPr>
                <w:sz w:val="22"/>
              </w:rPr>
              <w:t xml:space="preserve">Has the meaning given </w:t>
            </w:r>
            <w:r w:rsidRPr="00440F6E">
              <w:rPr>
                <w:sz w:val="22"/>
              </w:rPr>
              <w:t xml:space="preserve">in </w:t>
            </w:r>
            <w:proofErr w:type="gramStart"/>
            <w:r w:rsidRPr="00A741D5">
              <w:rPr>
                <w:sz w:val="22"/>
              </w:rPr>
              <w:t>section 2.1.2.</w:t>
            </w:r>
            <w:proofErr w:type="gramEnd"/>
          </w:p>
        </w:tc>
      </w:tr>
      <w:tr w:rsidR="0064434C" w:rsidRPr="00654F9E" w14:paraId="611D07F1"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6DE28739" w14:textId="77777777" w:rsidR="0064434C" w:rsidRPr="0055435C" w:rsidRDefault="0064434C" w:rsidP="0064434C">
            <w:pPr>
              <w:pStyle w:val="Tabletext"/>
              <w:rPr>
                <w:b w:val="0"/>
                <w:sz w:val="22"/>
              </w:rPr>
            </w:pPr>
            <w:r w:rsidRPr="0055435C">
              <w:rPr>
                <w:b w:val="0"/>
                <w:sz w:val="22"/>
              </w:rPr>
              <w:t>National Broadband Network or NBN</w:t>
            </w:r>
          </w:p>
        </w:tc>
        <w:tc>
          <w:tcPr>
            <w:tcW w:w="3313" w:type="pct"/>
          </w:tcPr>
          <w:p w14:paraId="266A8FD8"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 xml:space="preserve">The national wholesale-only, open access telecommunications network that is being built by, or in conjunction with, NBN Co (including any existing network incorporated into the NBN). </w:t>
            </w:r>
          </w:p>
        </w:tc>
      </w:tr>
      <w:tr w:rsidR="0064434C" w:rsidRPr="00654F9E" w14:paraId="56FDEC70"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31C6846A" w14:textId="77777777" w:rsidR="0064434C" w:rsidRPr="0055435C" w:rsidRDefault="0064434C" w:rsidP="0064434C">
            <w:pPr>
              <w:pStyle w:val="Tabletext"/>
              <w:rPr>
                <w:b w:val="0"/>
                <w:sz w:val="22"/>
              </w:rPr>
            </w:pPr>
            <w:r w:rsidRPr="0055435C">
              <w:rPr>
                <w:b w:val="0"/>
                <w:sz w:val="22"/>
              </w:rPr>
              <w:t>NBN Co</w:t>
            </w:r>
          </w:p>
        </w:tc>
        <w:tc>
          <w:tcPr>
            <w:tcW w:w="3313" w:type="pct"/>
          </w:tcPr>
          <w:p w14:paraId="27D2A483"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sidRPr="0055435C">
              <w:rPr>
                <w:sz w:val="22"/>
              </w:rPr>
              <w:t>NBN Co Limited.</w:t>
            </w:r>
          </w:p>
        </w:tc>
      </w:tr>
      <w:tr w:rsidR="0064434C" w:rsidRPr="00654F9E" w14:paraId="521CF888"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66645D07" w14:textId="77777777" w:rsidR="0064434C" w:rsidRDefault="0064434C" w:rsidP="0064434C">
            <w:pPr>
              <w:pStyle w:val="Tabletext"/>
              <w:rPr>
                <w:b w:val="0"/>
                <w:sz w:val="22"/>
              </w:rPr>
            </w:pPr>
            <w:r>
              <w:rPr>
                <w:b w:val="0"/>
                <w:sz w:val="22"/>
              </w:rPr>
              <w:t>Priority Location</w:t>
            </w:r>
          </w:p>
          <w:p w14:paraId="3351B54D" w14:textId="77777777" w:rsidR="0064434C" w:rsidRPr="0055435C" w:rsidRDefault="0064434C" w:rsidP="0064434C">
            <w:pPr>
              <w:pStyle w:val="Tabletext"/>
              <w:rPr>
                <w:b w:val="0"/>
                <w:sz w:val="22"/>
              </w:rPr>
            </w:pPr>
            <w:r w:rsidRPr="0055435C">
              <w:rPr>
                <w:b w:val="0"/>
                <w:sz w:val="22"/>
              </w:rPr>
              <w:t>Program</w:t>
            </w:r>
          </w:p>
        </w:tc>
        <w:tc>
          <w:tcPr>
            <w:tcW w:w="3313" w:type="pct"/>
          </w:tcPr>
          <w:p w14:paraId="60A52A0E" w14:textId="77777777" w:rsidR="0064434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Pr>
                <w:sz w:val="22"/>
              </w:rPr>
              <w:t xml:space="preserve">A location listed at </w:t>
            </w:r>
            <w:r w:rsidRPr="001E261D">
              <w:rPr>
                <w:b/>
                <w:sz w:val="22"/>
              </w:rPr>
              <w:t>Attachment A</w:t>
            </w:r>
            <w:r w:rsidRPr="001E261D">
              <w:rPr>
                <w:sz w:val="22"/>
              </w:rPr>
              <w:t>.</w:t>
            </w:r>
          </w:p>
          <w:p w14:paraId="3B4B482F"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 xml:space="preserve">Has the meaning given </w:t>
            </w:r>
            <w:r w:rsidRPr="00440F6E">
              <w:rPr>
                <w:sz w:val="22"/>
              </w:rPr>
              <w:t xml:space="preserve">in </w:t>
            </w:r>
            <w:proofErr w:type="gramStart"/>
            <w:r w:rsidRPr="00A741D5">
              <w:rPr>
                <w:sz w:val="22"/>
              </w:rPr>
              <w:t>section 1.1.1</w:t>
            </w:r>
            <w:r w:rsidRPr="00440F6E">
              <w:rPr>
                <w:sz w:val="22"/>
              </w:rPr>
              <w:t>.</w:t>
            </w:r>
            <w:proofErr w:type="gramEnd"/>
          </w:p>
        </w:tc>
      </w:tr>
      <w:tr w:rsidR="0064434C" w:rsidRPr="00654F9E" w14:paraId="3E9E1505"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3C7761DB" w14:textId="77777777" w:rsidR="0064434C" w:rsidRPr="0055435C" w:rsidRDefault="0064434C" w:rsidP="0064434C">
            <w:pPr>
              <w:pStyle w:val="Tabletext"/>
              <w:rPr>
                <w:b w:val="0"/>
                <w:sz w:val="22"/>
              </w:rPr>
            </w:pPr>
            <w:r>
              <w:rPr>
                <w:b w:val="0"/>
                <w:sz w:val="22"/>
              </w:rPr>
              <w:t>Proposed Solution</w:t>
            </w:r>
          </w:p>
        </w:tc>
        <w:tc>
          <w:tcPr>
            <w:tcW w:w="3313" w:type="pct"/>
          </w:tcPr>
          <w:p w14:paraId="4AF1F057"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Pr>
                <w:sz w:val="22"/>
              </w:rPr>
              <w:t xml:space="preserve">Infrastructure </w:t>
            </w:r>
            <w:r w:rsidRPr="0055435C">
              <w:rPr>
                <w:sz w:val="22"/>
              </w:rPr>
              <w:t xml:space="preserve">for which an applicant has sought funding under the </w:t>
            </w:r>
            <w:r>
              <w:rPr>
                <w:sz w:val="22"/>
              </w:rPr>
              <w:t>Program (Priority Locations round)</w:t>
            </w:r>
            <w:r w:rsidRPr="0055435C">
              <w:rPr>
                <w:sz w:val="22"/>
              </w:rPr>
              <w:t>.</w:t>
            </w:r>
          </w:p>
        </w:tc>
      </w:tr>
      <w:tr w:rsidR="0064434C" w:rsidRPr="00654F9E" w14:paraId="32AD4116"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51992B5F" w14:textId="77777777" w:rsidR="0064434C" w:rsidRDefault="0064434C" w:rsidP="0064434C">
            <w:pPr>
              <w:pStyle w:val="Tabletext"/>
              <w:rPr>
                <w:b w:val="0"/>
                <w:sz w:val="22"/>
              </w:rPr>
            </w:pPr>
            <w:r w:rsidRPr="001E261D">
              <w:rPr>
                <w:b w:val="0"/>
                <w:sz w:val="22"/>
              </w:rPr>
              <w:t>Quality of Service Draft Merit List</w:t>
            </w:r>
          </w:p>
        </w:tc>
        <w:tc>
          <w:tcPr>
            <w:tcW w:w="3313" w:type="pct"/>
          </w:tcPr>
          <w:p w14:paraId="7C21AB15" w14:textId="77777777" w:rsidR="0064434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 xml:space="preserve">Has the meaning given in </w:t>
            </w:r>
            <w:proofErr w:type="gramStart"/>
            <w:r w:rsidRPr="001E261D">
              <w:rPr>
                <w:sz w:val="22"/>
              </w:rPr>
              <w:t>section</w:t>
            </w:r>
            <w:r>
              <w:rPr>
                <w:sz w:val="22"/>
              </w:rPr>
              <w:t xml:space="preserve"> 9.3.4</w:t>
            </w:r>
            <w:r w:rsidRPr="001E261D">
              <w:rPr>
                <w:sz w:val="22"/>
              </w:rPr>
              <w:t>.</w:t>
            </w:r>
            <w:proofErr w:type="gramEnd"/>
          </w:p>
        </w:tc>
      </w:tr>
      <w:tr w:rsidR="0064434C" w:rsidRPr="00654F9E" w14:paraId="3243BB84"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3BA6B798" w14:textId="77777777" w:rsidR="0064434C" w:rsidRPr="0055435C" w:rsidRDefault="0064434C" w:rsidP="0064434C">
            <w:pPr>
              <w:pStyle w:val="Tabletext"/>
              <w:rPr>
                <w:b w:val="0"/>
                <w:sz w:val="22"/>
              </w:rPr>
            </w:pPr>
            <w:r>
              <w:rPr>
                <w:b w:val="0"/>
                <w:sz w:val="22"/>
              </w:rPr>
              <w:t>Remote or Very Remote</w:t>
            </w:r>
          </w:p>
        </w:tc>
        <w:tc>
          <w:tcPr>
            <w:tcW w:w="3313" w:type="pct"/>
          </w:tcPr>
          <w:p w14:paraId="05DE0A74" w14:textId="77777777" w:rsidR="0064434C" w:rsidRPr="0055435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Pr>
                <w:sz w:val="22"/>
              </w:rPr>
              <w:t xml:space="preserve">Has the meaning given in </w:t>
            </w:r>
            <w:proofErr w:type="gramStart"/>
            <w:r w:rsidRPr="00A741D5">
              <w:rPr>
                <w:sz w:val="22"/>
              </w:rPr>
              <w:t>section 5.2.2(b).</w:t>
            </w:r>
            <w:proofErr w:type="gramEnd"/>
          </w:p>
        </w:tc>
      </w:tr>
      <w:tr w:rsidR="0064434C" w:rsidRPr="00654F9E" w14:paraId="23AD8C4F"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6B7D7358" w14:textId="77777777" w:rsidR="0064434C" w:rsidRDefault="0064434C" w:rsidP="0064434C">
            <w:pPr>
              <w:pStyle w:val="Tabletext"/>
              <w:rPr>
                <w:b w:val="0"/>
                <w:sz w:val="22"/>
              </w:rPr>
            </w:pPr>
            <w:r w:rsidRPr="000B2F07">
              <w:rPr>
                <w:b w:val="0"/>
                <w:sz w:val="22"/>
              </w:rPr>
              <w:t>Secondary Mobile Coverage Draft Merit List</w:t>
            </w:r>
          </w:p>
        </w:tc>
        <w:tc>
          <w:tcPr>
            <w:tcW w:w="3313" w:type="pct"/>
          </w:tcPr>
          <w:p w14:paraId="46BEE03E" w14:textId="77777777" w:rsidR="0064434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 xml:space="preserve">Has the meaning given in </w:t>
            </w:r>
            <w:proofErr w:type="gramStart"/>
            <w:r w:rsidRPr="001E261D">
              <w:rPr>
                <w:sz w:val="22"/>
              </w:rPr>
              <w:t>section</w:t>
            </w:r>
            <w:r>
              <w:rPr>
                <w:sz w:val="22"/>
              </w:rPr>
              <w:t xml:space="preserve"> 9.3.5</w:t>
            </w:r>
            <w:r w:rsidRPr="001E261D">
              <w:rPr>
                <w:sz w:val="22"/>
              </w:rPr>
              <w:t>.</w:t>
            </w:r>
            <w:proofErr w:type="gramEnd"/>
          </w:p>
        </w:tc>
      </w:tr>
      <w:tr w:rsidR="0064434C" w:rsidRPr="00654F9E" w14:paraId="6A39AEE8" w14:textId="77777777"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14:paraId="53EC67BF" w14:textId="77777777" w:rsidR="0064434C" w:rsidRPr="000B2F07" w:rsidRDefault="0064434C" w:rsidP="0064434C">
            <w:pPr>
              <w:pStyle w:val="Tabletext"/>
              <w:rPr>
                <w:b w:val="0"/>
                <w:sz w:val="22"/>
              </w:rPr>
            </w:pPr>
            <w:r w:rsidRPr="000B2F07">
              <w:rPr>
                <w:b w:val="0"/>
                <w:sz w:val="22"/>
              </w:rPr>
              <w:t>Secondary</w:t>
            </w:r>
            <w:r w:rsidRPr="001E261D">
              <w:rPr>
                <w:b w:val="0"/>
                <w:sz w:val="22"/>
              </w:rPr>
              <w:t xml:space="preserve"> Quality of Service Draft Merit List</w:t>
            </w:r>
          </w:p>
        </w:tc>
        <w:tc>
          <w:tcPr>
            <w:tcW w:w="3313" w:type="pct"/>
          </w:tcPr>
          <w:p w14:paraId="2F54FB4E" w14:textId="77777777" w:rsidR="0064434C" w:rsidRDefault="0064434C" w:rsidP="0064434C">
            <w:pPr>
              <w:pStyle w:val="Tabletext"/>
              <w:cnfStyle w:val="000000010000" w:firstRow="0" w:lastRow="0" w:firstColumn="0" w:lastColumn="0" w:oddVBand="0" w:evenVBand="0" w:oddHBand="0" w:evenHBand="1" w:firstRowFirstColumn="0" w:firstRowLastColumn="0" w:lastRowFirstColumn="0" w:lastRowLastColumn="0"/>
              <w:rPr>
                <w:sz w:val="22"/>
              </w:rPr>
            </w:pPr>
            <w:r w:rsidRPr="0055435C">
              <w:rPr>
                <w:sz w:val="22"/>
              </w:rPr>
              <w:t xml:space="preserve">Has the meaning given in </w:t>
            </w:r>
            <w:proofErr w:type="gramStart"/>
            <w:r w:rsidRPr="001E261D">
              <w:rPr>
                <w:sz w:val="22"/>
              </w:rPr>
              <w:t>section</w:t>
            </w:r>
            <w:r>
              <w:rPr>
                <w:sz w:val="22"/>
              </w:rPr>
              <w:t xml:space="preserve"> 9.3.5</w:t>
            </w:r>
            <w:r w:rsidRPr="001E261D">
              <w:rPr>
                <w:sz w:val="22"/>
              </w:rPr>
              <w:t>.</w:t>
            </w:r>
            <w:proofErr w:type="gramEnd"/>
          </w:p>
        </w:tc>
      </w:tr>
      <w:tr w:rsidR="0064434C" w:rsidRPr="00654F9E" w14:paraId="7A3915B2" w14:textId="77777777"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14:paraId="41F7F6BD" w14:textId="77777777" w:rsidR="0064434C" w:rsidRPr="0055435C" w:rsidRDefault="0064434C" w:rsidP="0064434C">
            <w:pPr>
              <w:pStyle w:val="Tabletext"/>
              <w:rPr>
                <w:b w:val="0"/>
                <w:sz w:val="22"/>
              </w:rPr>
            </w:pPr>
            <w:r>
              <w:rPr>
                <w:b w:val="0"/>
                <w:sz w:val="22"/>
              </w:rPr>
              <w:t>Small C</w:t>
            </w:r>
            <w:r w:rsidRPr="0055435C">
              <w:rPr>
                <w:b w:val="0"/>
                <w:sz w:val="22"/>
              </w:rPr>
              <w:t>ell</w:t>
            </w:r>
          </w:p>
        </w:tc>
        <w:tc>
          <w:tcPr>
            <w:tcW w:w="3313" w:type="pct"/>
          </w:tcPr>
          <w:p w14:paraId="60C17F2F" w14:textId="77777777" w:rsidR="0064434C" w:rsidRPr="0055435C" w:rsidRDefault="0064434C" w:rsidP="0064434C">
            <w:pPr>
              <w:pStyle w:val="Tabletext"/>
              <w:cnfStyle w:val="000000000000" w:firstRow="0" w:lastRow="0" w:firstColumn="0" w:lastColumn="0" w:oddVBand="0" w:evenVBand="0" w:oddHBand="0" w:evenHBand="0" w:firstRowFirstColumn="0" w:firstRowLastColumn="0" w:lastRowFirstColumn="0" w:lastRowLastColumn="0"/>
              <w:rPr>
                <w:sz w:val="22"/>
              </w:rPr>
            </w:pPr>
            <w:r w:rsidRPr="0055435C">
              <w:rPr>
                <w:sz w:val="22"/>
              </w:rPr>
              <w:t>A ‘small cell’ in a mobile phone network, with a typical range less than two kilometres. Often used to add network capacity in areas of dense population, utilising power control to limit coverage area.</w:t>
            </w:r>
          </w:p>
        </w:tc>
      </w:tr>
    </w:tbl>
    <w:p w14:paraId="7B0255E1" w14:textId="77777777" w:rsidR="0064434C" w:rsidRDefault="0064434C">
      <w:pPr>
        <w:spacing w:line="259" w:lineRule="auto"/>
      </w:pPr>
      <w:r>
        <w:br w:type="page"/>
      </w:r>
    </w:p>
    <w:p w14:paraId="23A5A1A2" w14:textId="77777777" w:rsidR="0064434C" w:rsidRDefault="0064434C" w:rsidP="00226B4F">
      <w:pPr>
        <w:pStyle w:val="Heading2"/>
      </w:pPr>
      <w:bookmarkStart w:id="816" w:name="_Toc497901481"/>
      <w:bookmarkStart w:id="817" w:name="_Toc156213098"/>
      <w:r w:rsidRPr="00150CF3">
        <w:lastRenderedPageBreak/>
        <w:t>Part G – Attachment</w:t>
      </w:r>
      <w:r>
        <w:t>s</w:t>
      </w:r>
      <w:bookmarkEnd w:id="816"/>
      <w:bookmarkEnd w:id="817"/>
    </w:p>
    <w:p w14:paraId="2436984C" w14:textId="77777777" w:rsidR="0064434C" w:rsidRDefault="0064434C" w:rsidP="00470D54">
      <w:pPr>
        <w:pStyle w:val="Heading3"/>
      </w:pPr>
      <w:bookmarkStart w:id="818" w:name="_Toc497901482"/>
      <w:bookmarkStart w:id="819" w:name="_Toc156213099"/>
      <w:r>
        <w:t>Attachment A – Priority Locations &amp; Issue Descriptions</w:t>
      </w:r>
      <w:bookmarkEnd w:id="818"/>
      <w:bookmarkEnd w:id="819"/>
    </w:p>
    <w:p w14:paraId="5D7D6A48" w14:textId="77777777" w:rsidR="0064434C" w:rsidRDefault="0064434C" w:rsidP="00470D54">
      <w:r>
        <w:t xml:space="preserve">The Department of Communications and the Arts will provide the list of Priority Locations, including a description of the relevant issues to organisations that have registered as an eligible applicant for funding under this Priority Locations round of the Program. Information </w:t>
      </w:r>
      <w:r w:rsidRPr="00E46175">
        <w:t>on registering as a potential applicant is available</w:t>
      </w:r>
      <w:r w:rsidRPr="007E272B">
        <w:t xml:space="preserve"> at </w:t>
      </w:r>
      <w:r w:rsidRPr="00A741D5">
        <w:t>section 13.2</w:t>
      </w:r>
      <w:r w:rsidRPr="00D768B2">
        <w:t xml:space="preserve"> of these Guidelines.</w:t>
      </w:r>
    </w:p>
    <w:p w14:paraId="2F6341B8" w14:textId="77777777" w:rsidR="0064434C" w:rsidRDefault="0064434C">
      <w:pPr>
        <w:spacing w:line="259" w:lineRule="auto"/>
      </w:pPr>
      <w:r>
        <w:br w:type="page"/>
      </w:r>
    </w:p>
    <w:p w14:paraId="0DDD0976" w14:textId="77777777" w:rsidR="0064434C" w:rsidRDefault="0064434C" w:rsidP="00470D54">
      <w:pPr>
        <w:pStyle w:val="Heading3"/>
      </w:pPr>
      <w:bookmarkStart w:id="820" w:name="_Toc497901483"/>
      <w:bookmarkStart w:id="821" w:name="_Toc156213100"/>
      <w:r>
        <w:lastRenderedPageBreak/>
        <w:t>Attachment B – Draft Grant Agreement</w:t>
      </w:r>
      <w:bookmarkEnd w:id="820"/>
      <w:bookmarkEnd w:id="821"/>
    </w:p>
    <w:p w14:paraId="73C0B0A2" w14:textId="77777777" w:rsidR="0064434C" w:rsidRPr="00204BA9" w:rsidRDefault="0064434C" w:rsidP="00470D54">
      <w:r w:rsidRPr="00204BA9">
        <w:t xml:space="preserve">The Department will provide a draft </w:t>
      </w:r>
      <w:r>
        <w:t>Grant Agreement</w:t>
      </w:r>
      <w:r w:rsidRPr="00204BA9">
        <w:t xml:space="preserve"> to organisations that have </w:t>
      </w:r>
      <w:r w:rsidRPr="00F437DD">
        <w:t>registered as an eligible applicant</w:t>
      </w:r>
      <w:r w:rsidRPr="00204BA9">
        <w:t xml:space="preserve"> for funding under </w:t>
      </w:r>
      <w:r>
        <w:t xml:space="preserve">this Priority Locations round </w:t>
      </w:r>
      <w:r w:rsidRPr="00204BA9">
        <w:t>of the Program. Information on registering as an eligible applicant is available</w:t>
      </w:r>
      <w:r>
        <w:t xml:space="preserve"> </w:t>
      </w:r>
      <w:r w:rsidRPr="007E272B">
        <w:t xml:space="preserve">at </w:t>
      </w:r>
      <w:r w:rsidRPr="00A741D5">
        <w:t>section 13.2</w:t>
      </w:r>
      <w:r w:rsidRPr="007E272B">
        <w:t xml:space="preserve"> of</w:t>
      </w:r>
      <w:r w:rsidRPr="00D768B2">
        <w:t xml:space="preserve"> these Guidelines.</w:t>
      </w:r>
    </w:p>
    <w:p w14:paraId="42451C9B" w14:textId="77777777" w:rsidR="0064434C" w:rsidRDefault="0064434C" w:rsidP="00CE51A2">
      <w:pPr>
        <w:pStyle w:val="Heading3"/>
      </w:pPr>
      <w:r>
        <w:br w:type="page"/>
      </w:r>
      <w:bookmarkStart w:id="822" w:name="_Toc393908617"/>
      <w:bookmarkStart w:id="823" w:name="_Toc405380481"/>
      <w:bookmarkStart w:id="824" w:name="_Toc441049743"/>
      <w:bookmarkStart w:id="825" w:name="_Toc497901484"/>
      <w:bookmarkStart w:id="826" w:name="_Toc156213101"/>
      <w:r>
        <w:lastRenderedPageBreak/>
        <w:t>Attachment C – Application Pack</w:t>
      </w:r>
      <w:bookmarkEnd w:id="822"/>
      <w:bookmarkEnd w:id="823"/>
      <w:bookmarkEnd w:id="824"/>
      <w:bookmarkEnd w:id="825"/>
      <w:bookmarkEnd w:id="826"/>
    </w:p>
    <w:p w14:paraId="7067338F" w14:textId="77777777" w:rsidR="0064434C" w:rsidRDefault="0064434C" w:rsidP="00CE51A2">
      <w:bookmarkStart w:id="827" w:name="OLE_LINK3"/>
      <w:bookmarkStart w:id="828" w:name="OLE_LINK4"/>
      <w:r>
        <w:t xml:space="preserve">The Department of Communications and the Arts will provide an Application Pack to organisations that have registered as an eligible applicant for funding under this Priority Locations round of the Program. Information on </w:t>
      </w:r>
      <w:r w:rsidRPr="00F437DD">
        <w:t>registering as a potential applicant</w:t>
      </w:r>
      <w:r>
        <w:t xml:space="preserve"> is available</w:t>
      </w:r>
      <w:r w:rsidRPr="00631A60">
        <w:t xml:space="preserve"> </w:t>
      </w:r>
      <w:r w:rsidRPr="007E272B">
        <w:t xml:space="preserve">at </w:t>
      </w:r>
      <w:r w:rsidRPr="00A741D5">
        <w:t>section 13.2</w:t>
      </w:r>
      <w:r w:rsidRPr="007E272B">
        <w:t xml:space="preserve"> of</w:t>
      </w:r>
      <w:r w:rsidRPr="00D768B2">
        <w:t xml:space="preserve"> these Guidelines.</w:t>
      </w:r>
    </w:p>
    <w:bookmarkEnd w:id="827"/>
    <w:bookmarkEnd w:id="828"/>
    <w:p w14:paraId="4231D934" w14:textId="77777777" w:rsidR="0064434C" w:rsidRDefault="0064434C" w:rsidP="00CE51A2">
      <w:pPr>
        <w:pStyle w:val="Heading3"/>
      </w:pPr>
      <w:r>
        <w:br w:type="page"/>
      </w:r>
      <w:bookmarkStart w:id="829" w:name="_Toc405380482"/>
      <w:bookmarkStart w:id="830" w:name="_Toc441049744"/>
      <w:bookmarkStart w:id="831" w:name="_Toc497901485"/>
      <w:bookmarkStart w:id="832" w:name="_Toc156213102"/>
      <w:bookmarkStart w:id="833" w:name="_Toc393908619"/>
      <w:r>
        <w:lastRenderedPageBreak/>
        <w:t>Attachment D – State, Territory, Local Government and NBN Co contacts</w:t>
      </w:r>
      <w:bookmarkEnd w:id="829"/>
      <w:bookmarkEnd w:id="830"/>
      <w:bookmarkEnd w:id="831"/>
      <w:bookmarkEnd w:id="832"/>
    </w:p>
    <w:p w14:paraId="0D667B3B" w14:textId="77777777" w:rsidR="0064434C" w:rsidRPr="004C6986" w:rsidRDefault="0064434C" w:rsidP="00CE51A2">
      <w:r>
        <w:t>On request, t</w:t>
      </w:r>
      <w:r w:rsidRPr="004C6986">
        <w:t>he Department</w:t>
      </w:r>
      <w:r w:rsidRPr="00204BA9">
        <w:t xml:space="preserve"> </w:t>
      </w:r>
      <w:r w:rsidRPr="004C6986">
        <w:t>will provide State, Territory</w:t>
      </w:r>
      <w:r>
        <w:t>, Local Government</w:t>
      </w:r>
      <w:r w:rsidRPr="004C6986">
        <w:t xml:space="preserve"> and </w:t>
      </w:r>
      <w:r w:rsidRPr="00E92068">
        <w:t>NBN Co</w:t>
      </w:r>
      <w:r w:rsidRPr="004C6986">
        <w:t xml:space="preserve"> contact details to organisations that </w:t>
      </w:r>
      <w:r w:rsidRPr="00454C66">
        <w:t>have registered as an eligible applicant for</w:t>
      </w:r>
      <w:r w:rsidRPr="004C6986">
        <w:t xml:space="preserve"> funding under</w:t>
      </w:r>
      <w:r w:rsidRPr="00204BA9">
        <w:t xml:space="preserve"> </w:t>
      </w:r>
      <w:r>
        <w:t>this Priority Locations round</w:t>
      </w:r>
      <w:r w:rsidRPr="00204BA9">
        <w:t xml:space="preserve"> of</w:t>
      </w:r>
      <w:r w:rsidRPr="004C6986">
        <w:t xml:space="preserve"> the </w:t>
      </w:r>
      <w:r w:rsidRPr="00204BA9">
        <w:t>Program</w:t>
      </w:r>
      <w:r w:rsidRPr="004C6986">
        <w:t xml:space="preserve">. </w:t>
      </w:r>
      <w:bookmarkEnd w:id="833"/>
      <w:r w:rsidRPr="004C6986">
        <w:t xml:space="preserve">Information on registering as </w:t>
      </w:r>
      <w:r>
        <w:t>a potential</w:t>
      </w:r>
      <w:r w:rsidRPr="004C6986">
        <w:t xml:space="preserve"> applicant is available</w:t>
      </w:r>
      <w:r w:rsidRPr="00631A60">
        <w:t xml:space="preserve"> at section </w:t>
      </w:r>
      <w:r w:rsidRPr="00A741D5">
        <w:t>13.2</w:t>
      </w:r>
      <w:r>
        <w:t xml:space="preserve"> of these Guidelines.</w:t>
      </w:r>
    </w:p>
    <w:p w14:paraId="2F924A05" w14:textId="77777777" w:rsidR="007A793F" w:rsidRPr="00117E70" w:rsidRDefault="007A793F" w:rsidP="00CE51A2"/>
    <w:sectPr w:rsidR="007A793F" w:rsidRPr="00117E70" w:rsidSect="00796AB4">
      <w:headerReference w:type="default" r:id="rId25"/>
      <w:headerReference w:type="first" r:id="rId26"/>
      <w:footerReference w:type="first" r:id="rId27"/>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62C65" w14:textId="77777777" w:rsidR="0064434C" w:rsidRDefault="0064434C" w:rsidP="00FC413F">
      <w:pPr>
        <w:spacing w:after="0"/>
      </w:pPr>
      <w:r>
        <w:separator/>
      </w:r>
    </w:p>
  </w:endnote>
  <w:endnote w:type="continuationSeparator" w:id="0">
    <w:p w14:paraId="787D62ED" w14:textId="77777777" w:rsidR="0064434C" w:rsidRDefault="0064434C"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adeGothicLTStd">
    <w:altName w:val="Trade Gothic LT Std"/>
    <w:panose1 w:val="00000000000000000000"/>
    <w:charset w:val="4D"/>
    <w:family w:val="auto"/>
    <w:notTrueType/>
    <w:pitch w:val="default"/>
    <w:sig w:usb0="00000003" w:usb1="00000000" w:usb2="00000000" w:usb3="00000000" w:csb0="00000001" w:csb1="00000000"/>
  </w:font>
  <w:font w:name="TradeGothicLTStd-Bd2">
    <w:altName w:val="Trade Gothic LT Std Bold 2"/>
    <w:panose1 w:val="00000000000000000000"/>
    <w:charset w:val="4D"/>
    <w:family w:val="auto"/>
    <w:notTrueType/>
    <w:pitch w:val="default"/>
    <w:sig w:usb0="00000003" w:usb1="00000000" w:usb2="00000000" w:usb3="00000000" w:csb0="00000001" w:csb1="00000000"/>
  </w:font>
  <w:font w:name="Geogrotesque-Light">
    <w:altName w:val="Geogrotesque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D08D" w14:textId="77777777" w:rsidR="0064434C" w:rsidRDefault="0064434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0F4E9568" w14:textId="77777777" w:rsidR="0064434C" w:rsidRPr="00FC413F" w:rsidRDefault="0064434C" w:rsidP="00953CCD">
    <w:pPr>
      <w:pStyle w:val="Footer"/>
      <w:tabs>
        <w:tab w:val="clear" w:pos="4513"/>
        <w:tab w:val="clear" w:pos="9026"/>
      </w:tabs>
      <w:ind w:left="-1418"/>
      <w:rPr>
        <w:rFonts w:cs="Segoe UI"/>
        <w:szCs w:val="18"/>
      </w:rPr>
    </w:pPr>
    <w:r>
      <w:rPr>
        <w:noProof/>
        <w:lang w:eastAsia="en-AU"/>
      </w:rPr>
      <w:drawing>
        <wp:inline distT="0" distB="0" distL="0" distR="0" wp14:anchorId="566CE94B" wp14:editId="2B3ECEBE">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A159" w14:textId="77777777" w:rsidR="0064434C" w:rsidRPr="00FC413F" w:rsidRDefault="0064434C" w:rsidP="00113A03">
    <w:pPr>
      <w:pStyle w:val="Footer"/>
      <w:tabs>
        <w:tab w:val="clear" w:pos="4513"/>
        <w:tab w:val="clear" w:pos="9026"/>
      </w:tabs>
      <w:ind w:left="-1418"/>
      <w:rPr>
        <w:rFonts w:cs="Segoe UI"/>
        <w:szCs w:val="18"/>
      </w:rPr>
    </w:pPr>
    <w:r>
      <w:rPr>
        <w:noProof/>
        <w:lang w:eastAsia="en-AU"/>
      </w:rPr>
      <w:drawing>
        <wp:inline distT="0" distB="0" distL="0" distR="0" wp14:anchorId="238E2977" wp14:editId="1FD976E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5FAF" w14:textId="3ADFE249" w:rsidR="0064434C" w:rsidRDefault="0064434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228FE" w:rsidRPr="00E228FE">
      <w:rPr>
        <w:rFonts w:cs="Segoe UI"/>
        <w:b/>
        <w:bCs/>
        <w:noProof/>
        <w:szCs w:val="18"/>
        <w:lang w:val="en-US"/>
      </w:rPr>
      <w:t>Mobile Black Spot Program—Priority Locations Grant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533283E8" w14:textId="77777777" w:rsidR="0064434C" w:rsidRPr="00FC413F" w:rsidRDefault="00A5464C" w:rsidP="00953CCD">
    <w:pPr>
      <w:pStyle w:val="Footer"/>
      <w:tabs>
        <w:tab w:val="clear" w:pos="4513"/>
        <w:tab w:val="clear" w:pos="9026"/>
      </w:tabs>
      <w:ind w:left="-1418"/>
      <w:rPr>
        <w:rFonts w:cs="Segoe UI"/>
        <w:szCs w:val="18"/>
      </w:rPr>
    </w:pPr>
    <w:r>
      <w:rPr>
        <w:noProof/>
        <w:lang w:eastAsia="en-AU"/>
      </w:rPr>
      <w:drawing>
        <wp:inline distT="0" distB="0" distL="0" distR="0" wp14:anchorId="74B41A84" wp14:editId="3C6A318A">
          <wp:extent cx="7559040" cy="724916"/>
          <wp:effectExtent l="0" t="0" r="3810" b="0"/>
          <wp:docPr id="6" name="Picture 6" descr="Blank blue bar" title="Department of Communication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lank blue bar" title="Department of Communications footer"/>
                  <pic:cNvPicPr/>
                </pic:nvPicPr>
                <pic:blipFill>
                  <a:blip r:embed="rId1">
                    <a:extLst>
                      <a:ext uri="{28A0092B-C50C-407E-A947-70E740481C1C}">
                        <a14:useLocalDpi xmlns:a14="http://schemas.microsoft.com/office/drawing/2010/main" val="0"/>
                      </a:ext>
                    </a:extLst>
                  </a:blip>
                  <a:stretch>
                    <a:fillRect/>
                  </a:stretch>
                </pic:blipFill>
                <pic:spPr>
                  <a:xfrm>
                    <a:off x="0" y="0"/>
                    <a:ext cx="7559040" cy="724916"/>
                  </a:xfrm>
                  <a:prstGeom prst="rect">
                    <a:avLst/>
                  </a:prstGeom>
                  <a:extLst>
                    <a:ext uri="{FAA26D3D-D897-4be2-8F04-BA451C77F1D7}"/>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67285" w14:textId="4123C981" w:rsidR="0064434C" w:rsidRDefault="0064434C"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228FE" w:rsidRPr="00E228FE">
      <w:rPr>
        <w:rFonts w:cs="Segoe UI"/>
        <w:b/>
        <w:bCs/>
        <w:noProof/>
        <w:szCs w:val="18"/>
        <w:lang w:val="en-US"/>
      </w:rPr>
      <w:t>Mobile Black Spot Program—Priority Locations Grant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0C6441F8" w14:textId="77777777" w:rsidR="0064434C" w:rsidRPr="00FC413F" w:rsidRDefault="00A5464C" w:rsidP="00796AB4">
    <w:pPr>
      <w:pStyle w:val="Footer"/>
      <w:tabs>
        <w:tab w:val="clear" w:pos="4513"/>
        <w:tab w:val="clear" w:pos="9026"/>
      </w:tabs>
      <w:ind w:left="-1418"/>
      <w:rPr>
        <w:rFonts w:cs="Segoe UI"/>
        <w:szCs w:val="18"/>
      </w:rPr>
    </w:pPr>
    <w:r>
      <w:rPr>
        <w:noProof/>
        <w:lang w:eastAsia="en-AU"/>
      </w:rPr>
      <w:drawing>
        <wp:inline distT="0" distB="0" distL="0" distR="0" wp14:anchorId="50FB5113" wp14:editId="54622CDA">
          <wp:extent cx="7559040" cy="724916"/>
          <wp:effectExtent l="0" t="0" r="3810" b="0"/>
          <wp:docPr id="8" name="Picture 8" descr="Blank blue bar" title="Department of Communication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lank blue bar" title="Department of Communications footer"/>
                  <pic:cNvPicPr/>
                </pic:nvPicPr>
                <pic:blipFill>
                  <a:blip r:embed="rId1">
                    <a:extLst>
                      <a:ext uri="{28A0092B-C50C-407E-A947-70E740481C1C}">
                        <a14:useLocalDpi xmlns:a14="http://schemas.microsoft.com/office/drawing/2010/main" val="0"/>
                      </a:ext>
                    </a:extLst>
                  </a:blip>
                  <a:stretch>
                    <a:fillRect/>
                  </a:stretch>
                </pic:blipFill>
                <pic:spPr>
                  <a:xfrm>
                    <a:off x="0" y="0"/>
                    <a:ext cx="7559040" cy="724916"/>
                  </a:xfrm>
                  <a:prstGeom prst="rect">
                    <a:avLst/>
                  </a:prstGeom>
                  <a:extLst>
                    <a:ext uri="{FAA26D3D-D897-4be2-8F04-BA451C77F1D7}"/>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45C66" w14:textId="77777777" w:rsidR="0064434C" w:rsidRDefault="0064434C" w:rsidP="00FC413F">
      <w:pPr>
        <w:spacing w:after="0"/>
      </w:pPr>
      <w:r>
        <w:separator/>
      </w:r>
    </w:p>
  </w:footnote>
  <w:footnote w:type="continuationSeparator" w:id="0">
    <w:p w14:paraId="248B788D" w14:textId="77777777" w:rsidR="0064434C" w:rsidRDefault="0064434C"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1307" w14:textId="77777777" w:rsidR="0064434C" w:rsidRDefault="0064434C" w:rsidP="0064434C">
    <w:pPr>
      <w:pStyle w:val="Header"/>
      <w:tabs>
        <w:tab w:val="clear" w:pos="4678"/>
      </w:tabs>
      <w:ind w:left="-1418"/>
      <w:jc w:val="right"/>
      <w:rPr>
        <w:rFonts w:cs="Segoe UI Light"/>
        <w:color w:val="001C40"/>
        <w:sz w:val="20"/>
        <w:szCs w:val="20"/>
      </w:rPr>
    </w:pPr>
    <w:r w:rsidRPr="00204BA9">
      <w:rPr>
        <w:noProof/>
        <w:color w:val="0072C3"/>
        <w:lang w:eastAsia="en-AU"/>
      </w:rPr>
      <w:drawing>
        <wp:inline distT="0" distB="0" distL="0" distR="0" wp14:anchorId="4A2F912A" wp14:editId="1DE0DC37">
          <wp:extent cx="7634605" cy="406273"/>
          <wp:effectExtent l="0" t="0" r="4445" b="0"/>
          <wp:docPr id="9"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image" title="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7634605" cy="405765"/>
                  </a:xfrm>
                  <a:prstGeom prst="rect">
                    <a:avLst/>
                  </a:prstGeom>
                  <a:extLst>
                    <a:ext uri="{FAA26D3D-D897-4be2-8F04-BA451C77F1D7}"/>
                  </a:extLst>
                </pic:spPr>
              </pic:pic>
            </a:graphicData>
          </a:graphic>
        </wp:inline>
      </w:drawing>
    </w:r>
  </w:p>
  <w:p w14:paraId="7923EE0C" w14:textId="77777777" w:rsidR="0064434C" w:rsidRPr="00204BA9" w:rsidRDefault="0064434C" w:rsidP="0064434C">
    <w:pPr>
      <w:pStyle w:val="Header"/>
      <w:spacing w:before="120"/>
      <w:rPr>
        <w:color w:val="0072C3"/>
      </w:rPr>
    </w:pPr>
    <w:r w:rsidRPr="00204BA9">
      <w:rPr>
        <w:color w:val="0072C3"/>
      </w:rPr>
      <w:t>Department of Communications and the Arts</w:t>
    </w:r>
    <w:r>
      <w:tab/>
    </w:r>
    <w:r w:rsidRPr="00AA2566">
      <w:tab/>
    </w:r>
    <w:r>
      <w:rPr>
        <w:color w:val="0072C3"/>
      </w:rPr>
      <w:t>November</w:t>
    </w:r>
    <w:r w:rsidRPr="00204BA9">
      <w:rPr>
        <w:color w:val="0072C3"/>
      </w:rPr>
      <w:t xml:space="preserve"> 201</w:t>
    </w:r>
    <w:r>
      <w:rPr>
        <w:color w:val="0072C3"/>
      </w:rPr>
      <w:t>7</w:t>
    </w:r>
  </w:p>
  <w:p w14:paraId="727041F6" w14:textId="77777777" w:rsidR="0064434C" w:rsidRDefault="0064434C" w:rsidP="0064434C">
    <w:pPr>
      <w:pStyle w:val="Header"/>
      <w:tabs>
        <w:tab w:val="clear" w:pos="4678"/>
      </w:tabs>
      <w:ind w:left="-1418"/>
      <w:jc w:val="right"/>
      <w:rPr>
        <w:rFonts w:cs="Segoe UI Light"/>
        <w:color w:val="001C40"/>
        <w:sz w:val="20"/>
        <w:szCs w:val="20"/>
      </w:rPr>
    </w:pPr>
  </w:p>
  <w:p w14:paraId="579F6118" w14:textId="5FC37F15" w:rsidR="0064434C" w:rsidRPr="00D56936" w:rsidRDefault="0064434C"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E228FE">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BD1B" w14:textId="680967C4" w:rsidR="0064434C" w:rsidRPr="00D56936" w:rsidRDefault="0064434C"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E228FE" w:rsidRPr="00E228FE">
      <w:rPr>
        <w:rFonts w:cs="Segoe UI Light"/>
        <w:b/>
        <w:bCs/>
        <w:noProof/>
        <w:color w:val="001C40"/>
        <w:sz w:val="20"/>
        <w:szCs w:val="20"/>
        <w:lang w:val="en-US"/>
      </w:rPr>
      <w:t>Part</w:t>
    </w:r>
    <w:r w:rsidR="00E228FE">
      <w:rPr>
        <w:rFonts w:cs="Segoe UI Light"/>
        <w:noProof/>
        <w:color w:val="001C40"/>
        <w:sz w:val="20"/>
        <w:szCs w:val="20"/>
      </w:rPr>
      <w:t xml:space="preserve"> F – Glossary</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5F518" w14:textId="2886755B" w:rsidR="0064434C" w:rsidRPr="00D56936" w:rsidRDefault="0064434C"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E228FE" w:rsidRPr="00E228FE">
      <w:rPr>
        <w:rFonts w:cs="Segoe UI Light"/>
        <w:b/>
        <w:bCs/>
        <w:noProof/>
        <w:color w:val="001C40"/>
        <w:sz w:val="20"/>
        <w:szCs w:val="20"/>
        <w:lang w:val="en-US"/>
      </w:rPr>
      <w:t>1.</w:t>
    </w:r>
    <w:r w:rsidR="00E228FE">
      <w:rPr>
        <w:rFonts w:cs="Segoe UI Light"/>
        <w:noProof/>
        <w:color w:val="001C40"/>
        <w:sz w:val="20"/>
        <w:szCs w:val="20"/>
      </w:rPr>
      <w:t xml:space="preserve"> Introduction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3C4B8A8"/>
    <w:lvl w:ilvl="0">
      <w:start w:val="1"/>
      <w:numFmt w:val="decimal"/>
      <w:pStyle w:val="FCHeader"/>
      <w:lvlText w:val="%1."/>
      <w:lvlJc w:val="left"/>
      <w:pPr>
        <w:tabs>
          <w:tab w:val="num" w:pos="360"/>
        </w:tabs>
        <w:ind w:left="360" w:hanging="360"/>
      </w:pPr>
    </w:lvl>
  </w:abstractNum>
  <w:abstractNum w:abstractNumId="1"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5240EE"/>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EF3350C"/>
    <w:multiLevelType w:val="hybridMultilevel"/>
    <w:tmpl w:val="D1D67ED2"/>
    <w:lvl w:ilvl="0" w:tplc="C09EDDA0">
      <w:start w:val="1"/>
      <w:numFmt w:val="lowerLetter"/>
      <w:lvlText w:val="(%1)"/>
      <w:lvlJc w:val="left"/>
      <w:pPr>
        <w:ind w:left="1272" w:hanging="555"/>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8558F6"/>
    <w:multiLevelType w:val="hybridMultilevel"/>
    <w:tmpl w:val="288A9D6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206901B6"/>
    <w:multiLevelType w:val="multilevel"/>
    <w:tmpl w:val="BBB0F2FC"/>
    <w:lvl w:ilvl="0">
      <w:start w:val="9"/>
      <w:numFmt w:val="decimal"/>
      <w:lvlText w:val="%1"/>
      <w:lvlJc w:val="left"/>
      <w:pPr>
        <w:ind w:left="435" w:hanging="435"/>
      </w:pPr>
      <w:rPr>
        <w:rFonts w:hint="default"/>
      </w:rPr>
    </w:lvl>
    <w:lvl w:ilvl="1">
      <w:start w:val="4"/>
      <w:numFmt w:val="decimal"/>
      <w:lvlText w:val="%1.%2"/>
      <w:lvlJc w:val="left"/>
      <w:pPr>
        <w:ind w:left="1003" w:hanging="43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3" w15:restartNumberingAfterBreak="0">
    <w:nsid w:val="25C643D8"/>
    <w:multiLevelType w:val="hybridMultilevel"/>
    <w:tmpl w:val="6810924E"/>
    <w:lvl w:ilvl="0" w:tplc="62D29B34">
      <w:start w:val="1"/>
      <w:numFmt w:val="decimal"/>
      <w:pStyle w:val="Bodynumbered-Level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4B7A66"/>
    <w:multiLevelType w:val="hybridMultilevel"/>
    <w:tmpl w:val="5686B88A"/>
    <w:lvl w:ilvl="0" w:tplc="0B9CC156">
      <w:start w:val="1"/>
      <w:numFmt w:val="lowerLetter"/>
      <w:lvlText w:val="(%1)"/>
      <w:lvlJc w:val="left"/>
      <w:pPr>
        <w:ind w:left="1353" w:hanging="360"/>
      </w:pPr>
      <w:rPr>
        <w:rFonts w:hint="default"/>
        <w:sz w:val="22"/>
        <w:szCs w:val="22"/>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9C21532"/>
    <w:multiLevelType w:val="multilevel"/>
    <w:tmpl w:val="A70277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F13C5D"/>
    <w:multiLevelType w:val="multilevel"/>
    <w:tmpl w:val="F63264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77995"/>
    <w:multiLevelType w:val="multilevel"/>
    <w:tmpl w:val="A7C81342"/>
    <w:lvl w:ilvl="0">
      <w:start w:val="1"/>
      <w:numFmt w:val="bullet"/>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246055"/>
    <w:multiLevelType w:val="hybridMultilevel"/>
    <w:tmpl w:val="721C147C"/>
    <w:lvl w:ilvl="0" w:tplc="491E902E">
      <w:start w:val="1"/>
      <w:numFmt w:val="lowerLetter"/>
      <w:pStyle w:val="Bodybullet-Level1"/>
      <w:lvlText w:val="(%1)"/>
      <w:lvlJc w:val="left"/>
      <w:pPr>
        <w:ind w:left="2138" w:hanging="360"/>
      </w:pPr>
      <w:rPr>
        <w:rFonts w:ascii="Calibri" w:eastAsia="Calibri" w:hAnsi="Calibri" w:cs="Times New Roman"/>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8" w15:restartNumberingAfterBreak="0">
    <w:nsid w:val="53FD5DEE"/>
    <w:multiLevelType w:val="multilevel"/>
    <w:tmpl w:val="C1D0DAB4"/>
    <w:lvl w:ilvl="0">
      <w:start w:val="1"/>
      <w:numFmt w:val="decimal"/>
      <w:lvlText w:val="%1"/>
      <w:lvlJc w:val="left"/>
      <w:pPr>
        <w:ind w:left="1000" w:hanging="432"/>
      </w:pPr>
      <w:rPr>
        <w:rFonts w:ascii="Cambria" w:hAnsi="Cambria" w:hint="default"/>
        <w:b w:val="0"/>
        <w:sz w:val="40"/>
        <w:szCs w:val="40"/>
      </w:rPr>
    </w:lvl>
    <w:lvl w:ilvl="1">
      <w:start w:val="1"/>
      <w:numFmt w:val="decimal"/>
      <w:lvlText w:val="%1.%2"/>
      <w:lvlJc w:val="left"/>
      <w:pPr>
        <w:ind w:left="1144" w:hanging="576"/>
      </w:pPr>
      <w:rPr>
        <w:rFonts w:hint="default"/>
        <w:b w:val="0"/>
        <w:sz w:val="28"/>
        <w:szCs w:val="28"/>
      </w:rPr>
    </w:lvl>
    <w:lvl w:ilvl="2">
      <w:start w:val="1"/>
      <w:numFmt w:val="decimal"/>
      <w:lvlText w:val="%1.%2.%3"/>
      <w:lvlJc w:val="left"/>
      <w:pPr>
        <w:ind w:left="1856" w:hanging="720"/>
      </w:pPr>
      <w:rPr>
        <w:rFonts w:hint="default"/>
        <w:b w:val="0"/>
        <w:sz w:val="24"/>
        <w:szCs w:val="24"/>
      </w:rPr>
    </w:lvl>
    <w:lvl w:ilvl="3">
      <w:start w:val="1"/>
      <w:numFmt w:val="decimal"/>
      <w:lvlText w:val="%1.%2.%3.%4"/>
      <w:lvlJc w:val="left"/>
      <w:pPr>
        <w:ind w:left="1432" w:hanging="864"/>
      </w:pPr>
      <w:rPr>
        <w:rFonts w:hint="default"/>
      </w:rPr>
    </w:lvl>
    <w:lvl w:ilvl="4">
      <w:start w:val="1"/>
      <w:numFmt w:val="decimal"/>
      <w:lvlText w:val="%1.%2.%3.%4.%5"/>
      <w:lvlJc w:val="left"/>
      <w:pPr>
        <w:ind w:left="1576" w:hanging="1008"/>
      </w:pPr>
      <w:rPr>
        <w:rFonts w:hint="default"/>
      </w:rPr>
    </w:lvl>
    <w:lvl w:ilvl="5">
      <w:start w:val="1"/>
      <w:numFmt w:val="decimal"/>
      <w:lvlText w:val="%1.%2.%3.%4.%5.%6"/>
      <w:lvlJc w:val="left"/>
      <w:pPr>
        <w:ind w:left="1720" w:hanging="1152"/>
      </w:pPr>
      <w:rPr>
        <w:rFonts w:hint="default"/>
      </w:rPr>
    </w:lvl>
    <w:lvl w:ilvl="6">
      <w:start w:val="1"/>
      <w:numFmt w:val="decimal"/>
      <w:lvlText w:val="%1.%2.%3.%4.%5.%6.%7"/>
      <w:lvlJc w:val="left"/>
      <w:pPr>
        <w:ind w:left="1864" w:hanging="1296"/>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152" w:hanging="1584"/>
      </w:pPr>
      <w:rPr>
        <w:rFonts w:hint="default"/>
      </w:rPr>
    </w:lvl>
  </w:abstractNum>
  <w:abstractNum w:abstractNumId="29" w15:restartNumberingAfterBreak="0">
    <w:nsid w:val="552C3B66"/>
    <w:multiLevelType w:val="hybridMultilevel"/>
    <w:tmpl w:val="68D2CCC0"/>
    <w:lvl w:ilvl="0" w:tplc="0C090015">
      <w:start w:val="1"/>
      <w:numFmt w:val="upperLetter"/>
      <w:lvlText w:val="%1."/>
      <w:lvlJc w:val="left"/>
      <w:pPr>
        <w:ind w:left="720" w:hanging="360"/>
      </w:pPr>
    </w:lvl>
    <w:lvl w:ilvl="1" w:tplc="0C090015">
      <w:start w:val="1"/>
      <w:numFmt w:val="upp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EDC7142"/>
    <w:multiLevelType w:val="multilevel"/>
    <w:tmpl w:val="A7981C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E15E51"/>
    <w:multiLevelType w:val="multilevel"/>
    <w:tmpl w:val="AD7E390E"/>
    <w:lvl w:ilvl="0">
      <w:start w:val="1"/>
      <w:numFmt w:val="bullet"/>
      <w:pStyle w:val="Tablebullet-Level1"/>
      <w:lvlText w:val=""/>
      <w:lvlJc w:val="left"/>
      <w:pPr>
        <w:ind w:left="340" w:hanging="340"/>
      </w:pPr>
      <w:rPr>
        <w:rFonts w:ascii="Symbol" w:hAnsi="Symbol" w:hint="default"/>
        <w:color w:val="00728F"/>
        <w:sz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4" w15:restartNumberingAfterBreak="0">
    <w:nsid w:val="687A596A"/>
    <w:multiLevelType w:val="hybridMultilevel"/>
    <w:tmpl w:val="A86243C0"/>
    <w:lvl w:ilvl="0" w:tplc="8B5476C4">
      <w:start w:val="1"/>
      <w:numFmt w:val="decimal"/>
      <w:pStyle w:val="Boxlist-Numbered"/>
      <w:lvlText w:val="%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35" w15:restartNumberingAfterBreak="0">
    <w:nsid w:val="68827E7D"/>
    <w:multiLevelType w:val="hybridMultilevel"/>
    <w:tmpl w:val="23060274"/>
    <w:lvl w:ilvl="0" w:tplc="83583C4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CC5C75"/>
    <w:multiLevelType w:val="multilevel"/>
    <w:tmpl w:val="8F2855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050778"/>
    <w:multiLevelType w:val="multilevel"/>
    <w:tmpl w:val="DAB27858"/>
    <w:lvl w:ilvl="0">
      <w:start w:val="1"/>
      <w:numFmt w:val="upperLetter"/>
      <w:pStyle w:val="Endmatter-Heading1"/>
      <w:lvlText w:val="%1."/>
      <w:lvlJc w:val="left"/>
      <w:pPr>
        <w:ind w:left="907" w:hanging="907"/>
      </w:pPr>
      <w:rPr>
        <w:rFonts w:hint="default"/>
      </w:rPr>
    </w:lvl>
    <w:lvl w:ilvl="1">
      <w:start w:val="1"/>
      <w:numFmt w:val="decimal"/>
      <w:pStyle w:val="Endmatter-Heading2"/>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5F219EE"/>
    <w:multiLevelType w:val="multilevel"/>
    <w:tmpl w:val="05943EEE"/>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7" w15:restartNumberingAfterBreak="0">
    <w:nsid w:val="7FCD2695"/>
    <w:multiLevelType w:val="multilevel"/>
    <w:tmpl w:val="A6BA9B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11"/>
  </w:num>
  <w:num w:numId="3">
    <w:abstractNumId w:val="24"/>
  </w:num>
  <w:num w:numId="4">
    <w:abstractNumId w:val="46"/>
  </w:num>
  <w:num w:numId="5">
    <w:abstractNumId w:val="36"/>
  </w:num>
  <w:num w:numId="6">
    <w:abstractNumId w:val="19"/>
  </w:num>
  <w:num w:numId="7">
    <w:abstractNumId w:val="22"/>
  </w:num>
  <w:num w:numId="8">
    <w:abstractNumId w:val="45"/>
  </w:num>
  <w:num w:numId="9">
    <w:abstractNumId w:val="43"/>
  </w:num>
  <w:num w:numId="10">
    <w:abstractNumId w:val="4"/>
  </w:num>
  <w:num w:numId="11">
    <w:abstractNumId w:val="7"/>
  </w:num>
  <w:num w:numId="12">
    <w:abstractNumId w:val="2"/>
  </w:num>
  <w:num w:numId="13">
    <w:abstractNumId w:val="40"/>
  </w:num>
  <w:num w:numId="14">
    <w:abstractNumId w:val="30"/>
  </w:num>
  <w:num w:numId="15">
    <w:abstractNumId w:val="5"/>
  </w:num>
  <w:num w:numId="16">
    <w:abstractNumId w:val="17"/>
    <w:lvlOverride w:ilvl="0">
      <w:lvl w:ilvl="0">
        <w:start w:val="1"/>
        <w:numFmt w:val="decimal"/>
        <w:pStyle w:val="Heading1Numbered"/>
        <w:lvlText w:val="%1."/>
        <w:lvlJc w:val="left"/>
        <w:pPr>
          <w:ind w:left="567" w:hanging="567"/>
        </w:pPr>
        <w:rPr>
          <w:rFonts w:hint="default"/>
        </w:rPr>
      </w:lvl>
    </w:lvlOverride>
  </w:num>
  <w:num w:numId="17">
    <w:abstractNumId w:val="31"/>
  </w:num>
  <w:num w:numId="18">
    <w:abstractNumId w:val="15"/>
  </w:num>
  <w:num w:numId="19">
    <w:abstractNumId w:val="26"/>
  </w:num>
  <w:num w:numId="20">
    <w:abstractNumId w:val="2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21">
    <w:abstractNumId w:val="16"/>
  </w:num>
  <w:num w:numId="22">
    <w:abstractNumId w:val="6"/>
  </w:num>
  <w:num w:numId="23">
    <w:abstractNumId w:val="3"/>
  </w:num>
  <w:num w:numId="24">
    <w:abstractNumId w:val="9"/>
  </w:num>
  <w:num w:numId="25">
    <w:abstractNumId w:val="25"/>
  </w:num>
  <w:num w:numId="26">
    <w:abstractNumId w:val="17"/>
  </w:num>
  <w:num w:numId="27">
    <w:abstractNumId w:val="14"/>
  </w:num>
  <w:num w:numId="28">
    <w:abstractNumId w:val="0"/>
  </w:num>
  <w:num w:numId="29">
    <w:abstractNumId w:val="23"/>
  </w:num>
  <w:num w:numId="30">
    <w:abstractNumId w:val="33"/>
  </w:num>
  <w:num w:numId="31">
    <w:abstractNumId w:val="41"/>
  </w:num>
  <w:num w:numId="32">
    <w:abstractNumId w:val="34"/>
  </w:num>
  <w:num w:numId="33">
    <w:abstractNumId w:val="12"/>
  </w:num>
  <w:num w:numId="34">
    <w:abstractNumId w:val="37"/>
  </w:num>
  <w:num w:numId="35">
    <w:abstractNumId w:val="38"/>
  </w:num>
  <w:num w:numId="36">
    <w:abstractNumId w:val="1"/>
  </w:num>
  <w:num w:numId="37">
    <w:abstractNumId w:val="1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8"/>
  </w:num>
  <w:num w:numId="41">
    <w:abstractNumId w:val="27"/>
  </w:num>
  <w:num w:numId="42">
    <w:abstractNumId w:val="13"/>
  </w:num>
  <w:num w:numId="43">
    <w:abstractNumId w:val="29"/>
  </w:num>
  <w:num w:numId="44">
    <w:abstractNumId w:val="10"/>
  </w:num>
  <w:num w:numId="45">
    <w:abstractNumId w:val="21"/>
  </w:num>
  <w:num w:numId="46">
    <w:abstractNumId w:val="39"/>
  </w:num>
  <w:num w:numId="47">
    <w:abstractNumId w:val="47"/>
  </w:num>
  <w:num w:numId="48">
    <w:abstractNumId w:val="32"/>
  </w:num>
  <w:num w:numId="49">
    <w:abstractNumId w:val="47"/>
    <w:lvlOverride w:ilvl="0">
      <w:startOverride w:val="4"/>
    </w:lvlOverride>
    <w:lvlOverride w:ilvl="1">
      <w:startOverride w:val="1"/>
    </w:lvlOverride>
  </w:num>
  <w:num w:numId="50">
    <w:abstractNumId w:val="47"/>
    <w:lvlOverride w:ilvl="0">
      <w:startOverride w:val="4"/>
    </w:lvlOverride>
    <w:lvlOverride w:ilvl="1">
      <w:startOverride w:val="1"/>
    </w:lvlOverride>
    <w:lvlOverride w:ilvl="2">
      <w:startOverride w:val="2"/>
    </w:lvlOverride>
  </w:num>
  <w:num w:numId="51">
    <w:abstractNumId w:val="47"/>
    <w:lvlOverride w:ilvl="0">
      <w:startOverride w:val="4"/>
    </w:lvlOverride>
    <w:lvlOverride w:ilvl="1">
      <w:startOverride w:val="3"/>
    </w:lvlOverride>
  </w:num>
  <w:num w:numId="52">
    <w:abstractNumId w:val="20"/>
  </w:num>
  <w:num w:numId="53">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8AD"/>
    <w:rsid w:val="0000270B"/>
    <w:rsid w:val="00012D3A"/>
    <w:rsid w:val="0003502E"/>
    <w:rsid w:val="000522EB"/>
    <w:rsid w:val="000532A8"/>
    <w:rsid w:val="000712DE"/>
    <w:rsid w:val="00072195"/>
    <w:rsid w:val="000740FB"/>
    <w:rsid w:val="00090E62"/>
    <w:rsid w:val="00097A63"/>
    <w:rsid w:val="000A634F"/>
    <w:rsid w:val="000B1E86"/>
    <w:rsid w:val="000C0244"/>
    <w:rsid w:val="000C7638"/>
    <w:rsid w:val="000D4B3B"/>
    <w:rsid w:val="000D6FE4"/>
    <w:rsid w:val="000E29BE"/>
    <w:rsid w:val="000E60B7"/>
    <w:rsid w:val="00103C02"/>
    <w:rsid w:val="00105DA4"/>
    <w:rsid w:val="00113A03"/>
    <w:rsid w:val="00115985"/>
    <w:rsid w:val="001310C5"/>
    <w:rsid w:val="00132AD1"/>
    <w:rsid w:val="00133645"/>
    <w:rsid w:val="00133A45"/>
    <w:rsid w:val="00143894"/>
    <w:rsid w:val="00190A0C"/>
    <w:rsid w:val="001D583B"/>
    <w:rsid w:val="001E4471"/>
    <w:rsid w:val="001E7AC4"/>
    <w:rsid w:val="00204A64"/>
    <w:rsid w:val="0020546C"/>
    <w:rsid w:val="00217C11"/>
    <w:rsid w:val="00226B4F"/>
    <w:rsid w:val="00236F1B"/>
    <w:rsid w:val="00261FFA"/>
    <w:rsid w:val="00272982"/>
    <w:rsid w:val="00286965"/>
    <w:rsid w:val="00287C7E"/>
    <w:rsid w:val="002A5AB5"/>
    <w:rsid w:val="002C5975"/>
    <w:rsid w:val="002C5C9E"/>
    <w:rsid w:val="002D0BC7"/>
    <w:rsid w:val="002F1A23"/>
    <w:rsid w:val="00300077"/>
    <w:rsid w:val="00310148"/>
    <w:rsid w:val="00323710"/>
    <w:rsid w:val="003269B4"/>
    <w:rsid w:val="00335BA0"/>
    <w:rsid w:val="00342348"/>
    <w:rsid w:val="003466A3"/>
    <w:rsid w:val="003508A8"/>
    <w:rsid w:val="00381BDA"/>
    <w:rsid w:val="003B01F3"/>
    <w:rsid w:val="003B4139"/>
    <w:rsid w:val="003B6D01"/>
    <w:rsid w:val="003C575A"/>
    <w:rsid w:val="003D71C5"/>
    <w:rsid w:val="003F3CB7"/>
    <w:rsid w:val="00401128"/>
    <w:rsid w:val="00416734"/>
    <w:rsid w:val="00436898"/>
    <w:rsid w:val="00445017"/>
    <w:rsid w:val="00447731"/>
    <w:rsid w:val="0045012F"/>
    <w:rsid w:val="00470D54"/>
    <w:rsid w:val="004729CA"/>
    <w:rsid w:val="0049008B"/>
    <w:rsid w:val="00496F2D"/>
    <w:rsid w:val="004A3207"/>
    <w:rsid w:val="004D1F66"/>
    <w:rsid w:val="004D32D9"/>
    <w:rsid w:val="004D4F26"/>
    <w:rsid w:val="004F28B1"/>
    <w:rsid w:val="005067FD"/>
    <w:rsid w:val="00521544"/>
    <w:rsid w:val="005413E7"/>
    <w:rsid w:val="005667A0"/>
    <w:rsid w:val="00572DB8"/>
    <w:rsid w:val="00575523"/>
    <w:rsid w:val="005941FC"/>
    <w:rsid w:val="005B52D6"/>
    <w:rsid w:val="005C0459"/>
    <w:rsid w:val="005C37D2"/>
    <w:rsid w:val="005D038B"/>
    <w:rsid w:val="005D5221"/>
    <w:rsid w:val="005E55BD"/>
    <w:rsid w:val="005E7929"/>
    <w:rsid w:val="005E7EFA"/>
    <w:rsid w:val="005F56E0"/>
    <w:rsid w:val="005F7FC0"/>
    <w:rsid w:val="00610225"/>
    <w:rsid w:val="006230AA"/>
    <w:rsid w:val="00630D43"/>
    <w:rsid w:val="0064434C"/>
    <w:rsid w:val="006452B1"/>
    <w:rsid w:val="006542FA"/>
    <w:rsid w:val="00654F9E"/>
    <w:rsid w:val="00670726"/>
    <w:rsid w:val="00684DC5"/>
    <w:rsid w:val="00691FA2"/>
    <w:rsid w:val="00692754"/>
    <w:rsid w:val="00696040"/>
    <w:rsid w:val="006A1CAB"/>
    <w:rsid w:val="006D43C7"/>
    <w:rsid w:val="006E139E"/>
    <w:rsid w:val="006E5952"/>
    <w:rsid w:val="007173D6"/>
    <w:rsid w:val="00731351"/>
    <w:rsid w:val="007367BB"/>
    <w:rsid w:val="00744CD2"/>
    <w:rsid w:val="00772C27"/>
    <w:rsid w:val="00790F25"/>
    <w:rsid w:val="00793843"/>
    <w:rsid w:val="00796AB4"/>
    <w:rsid w:val="0079788A"/>
    <w:rsid w:val="007A793F"/>
    <w:rsid w:val="007B68AB"/>
    <w:rsid w:val="00822DBF"/>
    <w:rsid w:val="008401F9"/>
    <w:rsid w:val="00871936"/>
    <w:rsid w:val="008A7B93"/>
    <w:rsid w:val="008B35BF"/>
    <w:rsid w:val="008B7158"/>
    <w:rsid w:val="008D1CA0"/>
    <w:rsid w:val="008D4156"/>
    <w:rsid w:val="008E534F"/>
    <w:rsid w:val="008F24DE"/>
    <w:rsid w:val="00912D17"/>
    <w:rsid w:val="009276A3"/>
    <w:rsid w:val="009279AE"/>
    <w:rsid w:val="00934ED2"/>
    <w:rsid w:val="00935A30"/>
    <w:rsid w:val="00944067"/>
    <w:rsid w:val="00953CCD"/>
    <w:rsid w:val="009612FB"/>
    <w:rsid w:val="00985DD5"/>
    <w:rsid w:val="00996A6D"/>
    <w:rsid w:val="009A0F17"/>
    <w:rsid w:val="009A32E2"/>
    <w:rsid w:val="009A6C0D"/>
    <w:rsid w:val="009C1ECD"/>
    <w:rsid w:val="009D568A"/>
    <w:rsid w:val="009E5B72"/>
    <w:rsid w:val="00A24200"/>
    <w:rsid w:val="00A32D82"/>
    <w:rsid w:val="00A44E4B"/>
    <w:rsid w:val="00A4759C"/>
    <w:rsid w:val="00A5464C"/>
    <w:rsid w:val="00A5600C"/>
    <w:rsid w:val="00A63390"/>
    <w:rsid w:val="00A82DAF"/>
    <w:rsid w:val="00A86AF3"/>
    <w:rsid w:val="00AC6195"/>
    <w:rsid w:val="00AE61A6"/>
    <w:rsid w:val="00B01684"/>
    <w:rsid w:val="00B01F24"/>
    <w:rsid w:val="00B041CB"/>
    <w:rsid w:val="00B10015"/>
    <w:rsid w:val="00B12FC1"/>
    <w:rsid w:val="00B27863"/>
    <w:rsid w:val="00B359FC"/>
    <w:rsid w:val="00B36380"/>
    <w:rsid w:val="00B3785F"/>
    <w:rsid w:val="00B43F55"/>
    <w:rsid w:val="00B50D85"/>
    <w:rsid w:val="00B5393D"/>
    <w:rsid w:val="00B74715"/>
    <w:rsid w:val="00B75995"/>
    <w:rsid w:val="00B76D03"/>
    <w:rsid w:val="00B84B0D"/>
    <w:rsid w:val="00B96339"/>
    <w:rsid w:val="00BB2D3D"/>
    <w:rsid w:val="00BB3D46"/>
    <w:rsid w:val="00BB516B"/>
    <w:rsid w:val="00BC0598"/>
    <w:rsid w:val="00BD5D54"/>
    <w:rsid w:val="00BE3428"/>
    <w:rsid w:val="00BF5FA4"/>
    <w:rsid w:val="00C02452"/>
    <w:rsid w:val="00C32353"/>
    <w:rsid w:val="00C36E40"/>
    <w:rsid w:val="00C41877"/>
    <w:rsid w:val="00C62177"/>
    <w:rsid w:val="00C76811"/>
    <w:rsid w:val="00C817A5"/>
    <w:rsid w:val="00CA5147"/>
    <w:rsid w:val="00CC6E31"/>
    <w:rsid w:val="00CD0046"/>
    <w:rsid w:val="00CE51A2"/>
    <w:rsid w:val="00CF334C"/>
    <w:rsid w:val="00D36B96"/>
    <w:rsid w:val="00D47BFD"/>
    <w:rsid w:val="00D50970"/>
    <w:rsid w:val="00D56936"/>
    <w:rsid w:val="00D64922"/>
    <w:rsid w:val="00D67E56"/>
    <w:rsid w:val="00D749B2"/>
    <w:rsid w:val="00D85DEB"/>
    <w:rsid w:val="00D91FBE"/>
    <w:rsid w:val="00DB4E0F"/>
    <w:rsid w:val="00DC5DC8"/>
    <w:rsid w:val="00DD4A07"/>
    <w:rsid w:val="00E03A42"/>
    <w:rsid w:val="00E228FE"/>
    <w:rsid w:val="00E3744D"/>
    <w:rsid w:val="00E4540B"/>
    <w:rsid w:val="00E7227D"/>
    <w:rsid w:val="00E76BC6"/>
    <w:rsid w:val="00E80E04"/>
    <w:rsid w:val="00E81FF6"/>
    <w:rsid w:val="00EA415A"/>
    <w:rsid w:val="00ED761D"/>
    <w:rsid w:val="00EE6EE8"/>
    <w:rsid w:val="00EF5B98"/>
    <w:rsid w:val="00F058DC"/>
    <w:rsid w:val="00F06220"/>
    <w:rsid w:val="00F41576"/>
    <w:rsid w:val="00F60041"/>
    <w:rsid w:val="00F61FA1"/>
    <w:rsid w:val="00F76F3D"/>
    <w:rsid w:val="00F814AD"/>
    <w:rsid w:val="00FA1F70"/>
    <w:rsid w:val="00FA64C7"/>
    <w:rsid w:val="00FB4C26"/>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3321EB"/>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lsdException w:name="Dark List Accent 1"/>
    <w:lsdException w:name="Colorful Shading Accent 1"/>
    <w:lsdException w:name="Colorful List Accent 1"/>
    <w:lsdException w:name="Colorful Grid Accent 1"/>
    <w:lsdException w:name="Light Shading Accent 2" w:uiPriority="60"/>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638"/>
    <w:pPr>
      <w:spacing w:line="240" w:lineRule="auto"/>
    </w:pPr>
    <w:rPr>
      <w:rFonts w:ascii="Calibri" w:hAnsi="Calibri"/>
    </w:rPr>
  </w:style>
  <w:style w:type="paragraph" w:styleId="Heading1">
    <w:name w:val="heading 1"/>
    <w:basedOn w:val="Normal"/>
    <w:next w:val="Normal"/>
    <w:link w:val="Heading1Char"/>
    <w:uiPriority w:val="9"/>
    <w:qFormat/>
    <w:rsid w:val="00226B4F"/>
    <w:pPr>
      <w:suppressAutoHyphens/>
      <w:spacing w:before="240"/>
      <w:outlineLvl w:val="0"/>
    </w:pPr>
    <w:rPr>
      <w:rFonts w:eastAsia="SimSun" w:cs="Times New Roman"/>
      <w:b/>
      <w:kern w:val="12"/>
      <w:sz w:val="52"/>
      <w:szCs w:val="52"/>
    </w:rPr>
  </w:style>
  <w:style w:type="paragraph" w:styleId="Heading2">
    <w:name w:val="heading 2"/>
    <w:basedOn w:val="Normal"/>
    <w:next w:val="Normal"/>
    <w:link w:val="Heading2Char"/>
    <w:uiPriority w:val="9"/>
    <w:unhideWhenUsed/>
    <w:qFormat/>
    <w:rsid w:val="00132AD1"/>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226B4F"/>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B84B0D"/>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0C7638"/>
    <w:pPr>
      <w:keepNext/>
      <w:spacing w:before="120" w:after="120"/>
      <w:ind w:left="360" w:hanging="36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numPr>
        <w:ilvl w:val="5"/>
        <w:numId w:val="28"/>
      </w:numPr>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numPr>
        <w:ilvl w:val="6"/>
        <w:numId w:val="28"/>
      </w:numPr>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numPr>
        <w:ilvl w:val="7"/>
        <w:numId w:val="28"/>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qFormat/>
    <w:rsid w:val="00692754"/>
    <w:pPr>
      <w:numPr>
        <w:ilvl w:val="8"/>
        <w:numId w:val="28"/>
      </w:numPr>
      <w:spacing w:before="240" w:after="60" w:line="280" w:lineRule="atLeast"/>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DB4E0F"/>
    <w:pPr>
      <w:numPr>
        <w:numId w:val="1"/>
      </w:numPr>
      <w:ind w:left="1418" w:hanging="567"/>
    </w:pPr>
    <w:rPr>
      <w:szCs w:val="20"/>
    </w:r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226B4F"/>
    <w:rPr>
      <w:rFonts w:ascii="Calibri" w:eastAsia="SimSun" w:hAnsi="Calibri" w:cs="Times New Roman"/>
      <w:b/>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5F56E0"/>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B84B0D"/>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0C7638"/>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List,Bullet list,Bulletr List Paragraph,FooterText,List Paragraph1,List Paragraph11,List Paragraph2,List Paragraph21,Listeafsnit1,Listenabsatz,Paragraphe de liste1,Parágrafo da Lista1,Recommendation,bullet point list,numbered,リスト段落"/>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uiPriority w:val="12"/>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qFormat/>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qFormat/>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qFormat/>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1"/>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1"/>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5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8"/>
    <w:unhideWhenUsed/>
    <w:qFormat/>
    <w:rsid w:val="00BF5FA4"/>
    <w:pPr>
      <w:keepNext/>
      <w:keepLines/>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character" w:customStyle="1" w:styleId="Heading9Char">
    <w:name w:val="Heading 9 Char"/>
    <w:basedOn w:val="DefaultParagraphFont"/>
    <w:link w:val="Heading9"/>
    <w:uiPriority w:val="9"/>
    <w:rsid w:val="00692754"/>
    <w:rPr>
      <w:rFonts w:ascii="Arial" w:eastAsia="Times New Roman" w:hAnsi="Arial" w:cs="Arial"/>
      <w:sz w:val="20"/>
    </w:rPr>
  </w:style>
  <w:style w:type="paragraph" w:styleId="ListNumber">
    <w:name w:val="List Number"/>
    <w:basedOn w:val="Normal"/>
    <w:uiPriority w:val="99"/>
    <w:qFormat/>
    <w:rsid w:val="00692754"/>
    <w:pPr>
      <w:numPr>
        <w:numId w:val="5"/>
      </w:numPr>
      <w:spacing w:before="40" w:after="120" w:line="280" w:lineRule="atLeast"/>
    </w:pPr>
    <w:rPr>
      <w:rFonts w:ascii="Arial" w:eastAsia="Times New Roman" w:hAnsi="Arial" w:cs="Times New Roman"/>
      <w:sz w:val="20"/>
      <w:szCs w:val="20"/>
    </w:rPr>
  </w:style>
  <w:style w:type="character" w:customStyle="1" w:styleId="FootnoteTextChar1">
    <w:name w:val="Footnote Text Char1"/>
    <w:basedOn w:val="DefaultParagraphFont"/>
    <w:uiPriority w:val="99"/>
    <w:rsid w:val="00692754"/>
    <w:rPr>
      <w:sz w:val="16"/>
    </w:rPr>
  </w:style>
  <w:style w:type="paragraph" w:styleId="ListBullet2">
    <w:name w:val="List Bullet 2"/>
    <w:aliases w:val="Dot-dash bullet"/>
    <w:basedOn w:val="ListBullet"/>
    <w:uiPriority w:val="99"/>
    <w:rsid w:val="00692754"/>
    <w:pPr>
      <w:numPr>
        <w:numId w:val="6"/>
      </w:numPr>
      <w:spacing w:line="240" w:lineRule="auto"/>
    </w:pPr>
  </w:style>
  <w:style w:type="paragraph" w:styleId="ListBullet3">
    <w:name w:val="List Bullet 3"/>
    <w:aliases w:val="Indent Quote Bullet"/>
    <w:uiPriority w:val="99"/>
    <w:rsid w:val="00692754"/>
    <w:pPr>
      <w:numPr>
        <w:numId w:val="7"/>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qFormat/>
    <w:rsid w:val="00692754"/>
    <w:pPr>
      <w:numPr>
        <w:numId w:val="11"/>
      </w:numPr>
      <w:spacing w:before="40" w:after="80" w:line="280" w:lineRule="atLeast"/>
    </w:pPr>
    <w:rPr>
      <w:rFonts w:ascii="Arial" w:eastAsia="Times New Roman" w:hAnsi="Arial" w:cs="Times New Roman"/>
      <w:iCs/>
      <w:sz w:val="20"/>
      <w:szCs w:val="20"/>
    </w:rPr>
  </w:style>
  <w:style w:type="paragraph" w:styleId="DocumentMap">
    <w:name w:val="Document Map"/>
    <w:basedOn w:val="Normal"/>
    <w:link w:val="DocumentMapChar"/>
    <w:uiPriority w:val="99"/>
    <w:semiHidden/>
    <w:rsid w:val="00692754"/>
    <w:pPr>
      <w:shd w:val="clear" w:color="auto" w:fill="000080"/>
      <w:spacing w:before="40" w:after="120" w:line="280" w:lineRule="atLeast"/>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692754"/>
    <w:rPr>
      <w:rFonts w:ascii="Tahoma" w:eastAsia="Times New Roman" w:hAnsi="Tahoma" w:cs="Tahoma"/>
      <w:sz w:val="20"/>
      <w:szCs w:val="20"/>
      <w:shd w:val="clear" w:color="auto" w:fill="000080"/>
    </w:rPr>
  </w:style>
  <w:style w:type="paragraph" w:styleId="ListNumber2">
    <w:name w:val="List Number 2"/>
    <w:basedOn w:val="ListNumber"/>
    <w:uiPriority w:val="99"/>
    <w:rsid w:val="00692754"/>
    <w:pPr>
      <w:numPr>
        <w:numId w:val="10"/>
      </w:numPr>
    </w:pPr>
  </w:style>
  <w:style w:type="paragraph" w:styleId="ListNumber3">
    <w:name w:val="List Number 3"/>
    <w:basedOn w:val="ListNumber2"/>
    <w:uiPriority w:val="99"/>
    <w:rsid w:val="00692754"/>
    <w:pPr>
      <w:numPr>
        <w:numId w:val="0"/>
      </w:numPr>
      <w:spacing w:before="60" w:after="60"/>
      <w:ind w:left="1080" w:hanging="360"/>
    </w:pPr>
  </w:style>
  <w:style w:type="paragraph" w:customStyle="1" w:styleId="Default">
    <w:name w:val="Default"/>
    <w:uiPriority w:val="99"/>
    <w:rsid w:val="00692754"/>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rsid w:val="00692754"/>
    <w:pPr>
      <w:spacing w:before="40" w:after="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92754"/>
    <w:rPr>
      <w:rFonts w:ascii="Tahoma" w:eastAsia="Times New Roman" w:hAnsi="Tahoma" w:cs="Tahoma"/>
      <w:sz w:val="16"/>
      <w:szCs w:val="16"/>
    </w:rPr>
  </w:style>
  <w:style w:type="numbering" w:customStyle="1" w:styleId="StyleBulleted">
    <w:name w:val="Style Bulleted"/>
    <w:basedOn w:val="NoList"/>
    <w:rsid w:val="00692754"/>
    <w:pPr>
      <w:numPr>
        <w:numId w:val="8"/>
      </w:numPr>
    </w:pPr>
  </w:style>
  <w:style w:type="paragraph" w:customStyle="1" w:styleId="ReferencesText">
    <w:name w:val="References Text"/>
    <w:basedOn w:val="Normal"/>
    <w:rsid w:val="00692754"/>
    <w:pPr>
      <w:spacing w:before="40" w:after="120" w:line="320" w:lineRule="atLeast"/>
      <w:ind w:left="567" w:hanging="567"/>
    </w:pPr>
    <w:rPr>
      <w:rFonts w:ascii="Times New Roman" w:eastAsia="Times New Roman" w:hAnsi="Times New Roman" w:cs="Times New Roman"/>
      <w:sz w:val="24"/>
      <w:szCs w:val="20"/>
    </w:rPr>
  </w:style>
  <w:style w:type="paragraph" w:customStyle="1" w:styleId="OtherHeadings">
    <w:name w:val="Other Headings"/>
    <w:basedOn w:val="Heading2"/>
    <w:next w:val="Normal"/>
    <w:rsid w:val="00692754"/>
    <w:pPr>
      <w:keepLines w:val="0"/>
      <w:tabs>
        <w:tab w:val="left" w:pos="1134"/>
      </w:tabs>
      <w:suppressAutoHyphens w:val="0"/>
      <w:spacing w:before="240" w:after="120" w:line="280" w:lineRule="atLeast"/>
      <w:ind w:left="1134" w:hanging="1134"/>
    </w:pPr>
    <w:rPr>
      <w:rFonts w:ascii="Verdana" w:eastAsia="Times New Roman" w:hAnsi="Verdana"/>
      <w:b/>
      <w:color w:val="auto"/>
      <w:kern w:val="0"/>
      <w:sz w:val="32"/>
      <w:szCs w:val="20"/>
    </w:rPr>
  </w:style>
  <w:style w:type="numbering" w:customStyle="1" w:styleId="StyleNumbered">
    <w:name w:val="Style Numbered"/>
    <w:basedOn w:val="NoList"/>
    <w:rsid w:val="00692754"/>
    <w:pPr>
      <w:numPr>
        <w:numId w:val="9"/>
      </w:numPr>
    </w:pPr>
  </w:style>
  <w:style w:type="table" w:customStyle="1" w:styleId="AusIndustryTable">
    <w:name w:val="AusIndustry Table"/>
    <w:basedOn w:val="TableNormal"/>
    <w:rsid w:val="00692754"/>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0"/>
    <w:next w:val="Normal"/>
    <w:rsid w:val="00692754"/>
    <w:rPr>
      <w:color w:val="FFFFFF" w:themeColor="background1"/>
    </w:rPr>
  </w:style>
  <w:style w:type="paragraph" w:customStyle="1" w:styleId="DefaultTableText">
    <w:name w:val="Default Table Text"/>
    <w:basedOn w:val="Normal"/>
    <w:rsid w:val="00692754"/>
    <w:pPr>
      <w:spacing w:before="80" w:after="80" w:line="280" w:lineRule="atLeast"/>
    </w:pPr>
    <w:rPr>
      <w:rFonts w:ascii="Times New Roman" w:eastAsia="Times New Roman" w:hAnsi="Times New Roman" w:cs="Times New Roman"/>
      <w:sz w:val="20"/>
      <w:szCs w:val="20"/>
    </w:rPr>
  </w:style>
  <w:style w:type="paragraph" w:customStyle="1" w:styleId="IndentQuote">
    <w:name w:val="Indent Quote"/>
    <w:basedOn w:val="Normal"/>
    <w:next w:val="Normal"/>
    <w:rsid w:val="00692754"/>
    <w:pPr>
      <w:spacing w:before="40" w:after="120" w:line="320" w:lineRule="atLeast"/>
      <w:ind w:left="567"/>
    </w:pPr>
    <w:rPr>
      <w:rFonts w:ascii="Times New Roman" w:eastAsia="Times New Roman" w:hAnsi="Times New Roman" w:cs="Times New Roman"/>
      <w:sz w:val="20"/>
      <w:szCs w:val="20"/>
    </w:rPr>
  </w:style>
  <w:style w:type="paragraph" w:customStyle="1" w:styleId="NumberedParas">
    <w:name w:val="Numbered Paras"/>
    <w:basedOn w:val="Normal"/>
    <w:rsid w:val="00692754"/>
    <w:pPr>
      <w:spacing w:before="40" w:after="0" w:line="280" w:lineRule="atLeast"/>
    </w:pPr>
    <w:rPr>
      <w:rFonts w:ascii="Arial" w:eastAsia="Times New Roman" w:hAnsi="Arial" w:cs="Arial"/>
      <w:b/>
      <w:bCs/>
      <w:sz w:val="20"/>
      <w:szCs w:val="20"/>
    </w:rPr>
  </w:style>
  <w:style w:type="paragraph" w:styleId="BodyText">
    <w:name w:val="Body Text"/>
    <w:basedOn w:val="Default"/>
    <w:next w:val="Default"/>
    <w:link w:val="BodyTextChar"/>
    <w:rsid w:val="00692754"/>
    <w:pPr>
      <w:spacing w:before="120" w:after="120"/>
    </w:pPr>
    <w:rPr>
      <w:rFonts w:cs="Times New Roman"/>
      <w:color w:val="auto"/>
      <w:lang w:eastAsia="en-AU"/>
    </w:rPr>
  </w:style>
  <w:style w:type="character" w:customStyle="1" w:styleId="BodyTextChar">
    <w:name w:val="Body Text Char"/>
    <w:basedOn w:val="DefaultParagraphFont"/>
    <w:link w:val="BodyText"/>
    <w:rsid w:val="00692754"/>
    <w:rPr>
      <w:rFonts w:ascii="Arial" w:eastAsia="Times New Roman" w:hAnsi="Arial" w:cs="Times New Roman"/>
      <w:sz w:val="24"/>
      <w:szCs w:val="24"/>
      <w:lang w:eastAsia="en-AU"/>
    </w:rPr>
  </w:style>
  <w:style w:type="character" w:styleId="CommentReference">
    <w:name w:val="annotation reference"/>
    <w:uiPriority w:val="99"/>
    <w:rsid w:val="00692754"/>
    <w:rPr>
      <w:sz w:val="16"/>
      <w:szCs w:val="16"/>
    </w:rPr>
  </w:style>
  <w:style w:type="paragraph" w:styleId="CommentText">
    <w:name w:val="annotation text"/>
    <w:basedOn w:val="Normal"/>
    <w:link w:val="CommentTextChar"/>
    <w:uiPriority w:val="99"/>
    <w:rsid w:val="00692754"/>
    <w:pPr>
      <w:spacing w:before="40" w:after="120" w:line="32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927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92754"/>
    <w:rPr>
      <w:b/>
      <w:bCs/>
    </w:rPr>
  </w:style>
  <w:style w:type="character" w:customStyle="1" w:styleId="CommentSubjectChar">
    <w:name w:val="Comment Subject Char"/>
    <w:basedOn w:val="CommentTextChar"/>
    <w:link w:val="CommentSubject"/>
    <w:uiPriority w:val="99"/>
    <w:rsid w:val="00692754"/>
    <w:rPr>
      <w:rFonts w:ascii="Times New Roman" w:eastAsia="Times New Roman" w:hAnsi="Times New Roman" w:cs="Times New Roman"/>
      <w:b/>
      <w:bCs/>
      <w:sz w:val="20"/>
      <w:szCs w:val="20"/>
    </w:rPr>
  </w:style>
  <w:style w:type="character" w:styleId="Emphasis">
    <w:name w:val="Emphasis"/>
    <w:basedOn w:val="DefaultParagraphFont"/>
    <w:uiPriority w:val="20"/>
    <w:qFormat/>
    <w:rsid w:val="00692754"/>
    <w:rPr>
      <w:i/>
      <w:iCs/>
    </w:rPr>
  </w:style>
  <w:style w:type="paragraph" w:customStyle="1" w:styleId="StyleBefore6pt">
    <w:name w:val="Style Before:  6 pt"/>
    <w:basedOn w:val="Normal"/>
    <w:rsid w:val="00692754"/>
    <w:pPr>
      <w:suppressAutoHyphens/>
      <w:spacing w:before="40" w:after="60" w:line="320" w:lineRule="atLeast"/>
    </w:pPr>
    <w:rPr>
      <w:rFonts w:ascii="Arial" w:eastAsia="Times New Roman" w:hAnsi="Arial" w:cs="Times New Roman"/>
      <w:sz w:val="20"/>
      <w:szCs w:val="20"/>
      <w:lang w:eastAsia="ar-SA"/>
    </w:rPr>
  </w:style>
  <w:style w:type="paragraph" w:customStyle="1" w:styleId="StyleBoldGreenBefore6pt">
    <w:name w:val="Style Bold Green Before:  6 pt"/>
    <w:basedOn w:val="Normal"/>
    <w:rsid w:val="00692754"/>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PageNumber">
    <w:name w:val="page number"/>
    <w:uiPriority w:val="49"/>
    <w:rsid w:val="00692754"/>
    <w:rPr>
      <w:rFonts w:cs="Times New Roman"/>
    </w:rPr>
  </w:style>
  <w:style w:type="paragraph" w:customStyle="1" w:styleId="Normal-Style2">
    <w:name w:val="Normal - Style2"/>
    <w:basedOn w:val="Normal"/>
    <w:qFormat/>
    <w:rsid w:val="00692754"/>
    <w:pPr>
      <w:spacing w:before="240" w:after="120" w:line="280" w:lineRule="atLeast"/>
    </w:pPr>
    <w:rPr>
      <w:rFonts w:asciiTheme="minorHAnsi" w:eastAsia="Times New Roman" w:hAnsiTheme="minorHAnsi" w:cs="Calibri"/>
      <w:color w:val="000000"/>
      <w:sz w:val="24"/>
      <w:szCs w:val="20"/>
    </w:rPr>
  </w:style>
  <w:style w:type="paragraph" w:customStyle="1" w:styleId="Normal-Style3bulletpoints">
    <w:name w:val="Normal - Style3 bullet points"/>
    <w:basedOn w:val="Normal-Style2"/>
    <w:qFormat/>
    <w:rsid w:val="00692754"/>
    <w:pPr>
      <w:spacing w:before="0"/>
    </w:pPr>
  </w:style>
  <w:style w:type="paragraph" w:customStyle="1" w:styleId="NormalStyle4subbulletpoint">
    <w:name w:val="Normal Style4 sub bullet point"/>
    <w:basedOn w:val="Normal-Style2"/>
    <w:qFormat/>
    <w:rsid w:val="00692754"/>
    <w:pPr>
      <w:spacing w:before="0" w:after="0"/>
    </w:pPr>
  </w:style>
  <w:style w:type="paragraph" w:customStyle="1" w:styleId="Pa5">
    <w:name w:val="Pa5"/>
    <w:basedOn w:val="Default"/>
    <w:next w:val="Default"/>
    <w:uiPriority w:val="99"/>
    <w:rsid w:val="00692754"/>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692754"/>
    <w:rPr>
      <w:b/>
      <w:bCs/>
    </w:rPr>
  </w:style>
  <w:style w:type="paragraph" w:styleId="Revision">
    <w:name w:val="Revision"/>
    <w:hidden/>
    <w:uiPriority w:val="99"/>
    <w:semiHidden/>
    <w:rsid w:val="00692754"/>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692754"/>
    <w:pPr>
      <w:keepNext/>
      <w:spacing w:before="40" w:after="120" w:line="280" w:lineRule="atLeast"/>
    </w:pPr>
    <w:rPr>
      <w:rFonts w:ascii="Arial" w:eastAsia="Times New Roman" w:hAnsi="Arial" w:cs="Times New Roman"/>
      <w:b/>
      <w:sz w:val="20"/>
      <w:szCs w:val="20"/>
    </w:rPr>
  </w:style>
  <w:style w:type="paragraph" w:customStyle="1" w:styleId="Heading2Appendix">
    <w:name w:val="Heading 2 Appendix"/>
    <w:basedOn w:val="Heading2"/>
    <w:next w:val="Normal"/>
    <w:qFormat/>
    <w:rsid w:val="00692754"/>
    <w:pPr>
      <w:keepLines w:val="0"/>
      <w:suppressAutoHyphens w:val="0"/>
      <w:spacing w:before="240" w:after="120" w:line="280" w:lineRule="atLeast"/>
    </w:pPr>
    <w:rPr>
      <w:rFonts w:ascii="Arial" w:eastAsia="Times New Roman" w:hAnsi="Arial" w:cstheme="minorHAnsi"/>
      <w:bCs/>
      <w:iCs/>
      <w:color w:val="264F90"/>
      <w:kern w:val="0"/>
      <w:sz w:val="32"/>
      <w:szCs w:val="32"/>
    </w:rPr>
  </w:style>
  <w:style w:type="paragraph" w:customStyle="1" w:styleId="Heading3Appendix">
    <w:name w:val="Heading 3 Appendix"/>
    <w:basedOn w:val="Heading3"/>
    <w:qFormat/>
    <w:rsid w:val="00692754"/>
    <w:pPr>
      <w:keepLines w:val="0"/>
      <w:suppressAutoHyphens w:val="0"/>
      <w:spacing w:after="120" w:line="280" w:lineRule="atLeast"/>
    </w:pPr>
    <w:rPr>
      <w:rFonts w:ascii="Arial" w:eastAsia="Times New Roman" w:hAnsi="Arial" w:cs="Arial"/>
      <w:bCs/>
      <w:iCs/>
      <w:color w:val="264F90"/>
      <w:kern w:val="0"/>
      <w:sz w:val="24"/>
      <w:szCs w:val="32"/>
    </w:rPr>
  </w:style>
  <w:style w:type="paragraph" w:styleId="TOC5">
    <w:name w:val="toc 5"/>
    <w:basedOn w:val="Normal"/>
    <w:next w:val="Normal"/>
    <w:autoRedefine/>
    <w:uiPriority w:val="39"/>
    <w:rsid w:val="00692754"/>
    <w:pPr>
      <w:tabs>
        <w:tab w:val="left" w:pos="1985"/>
        <w:tab w:val="right" w:leader="dot" w:pos="8778"/>
      </w:tabs>
      <w:spacing w:before="40" w:after="120" w:line="280" w:lineRule="atLeast"/>
      <w:ind w:left="1418" w:hanging="284"/>
    </w:pPr>
    <w:rPr>
      <w:rFonts w:ascii="Arial" w:eastAsia="Times New Roman" w:hAnsi="Arial" w:cs="Times New Roman"/>
      <w:sz w:val="20"/>
      <w:szCs w:val="20"/>
    </w:rPr>
  </w:style>
  <w:style w:type="character" w:styleId="PlaceholderText">
    <w:name w:val="Placeholder Text"/>
    <w:basedOn w:val="DefaultParagraphFont"/>
    <w:uiPriority w:val="99"/>
    <w:semiHidden/>
    <w:rsid w:val="00692754"/>
    <w:rPr>
      <w:color w:val="808080"/>
    </w:rPr>
  </w:style>
  <w:style w:type="paragraph" w:customStyle="1" w:styleId="Normalheaderrow">
    <w:name w:val="Normal + header row"/>
    <w:basedOn w:val="Normal"/>
    <w:qFormat/>
    <w:rsid w:val="00692754"/>
    <w:pPr>
      <w:spacing w:before="40" w:after="120" w:line="280" w:lineRule="atLeast"/>
    </w:pPr>
    <w:rPr>
      <w:rFonts w:ascii="Arial" w:eastAsia="Times New Roman" w:hAnsi="Arial" w:cs="Times New Roman"/>
      <w:color w:val="FFFFFF" w:themeColor="background1"/>
      <w:sz w:val="20"/>
      <w:szCs w:val="20"/>
    </w:rPr>
  </w:style>
  <w:style w:type="paragraph" w:customStyle="1" w:styleId="Heading5appendix">
    <w:name w:val="Heading 5 + appendix"/>
    <w:basedOn w:val="Heading5"/>
    <w:qFormat/>
    <w:rsid w:val="00692754"/>
    <w:pPr>
      <w:tabs>
        <w:tab w:val="left" w:pos="1985"/>
      </w:tabs>
      <w:spacing w:before="240" w:line="280" w:lineRule="atLeast"/>
    </w:pPr>
    <w:rPr>
      <w:rFonts w:ascii="Arial" w:eastAsia="MS Mincho" w:hAnsi="Arial" w:cs="TimesNewRoman"/>
      <w:color w:val="auto"/>
      <w:sz w:val="22"/>
      <w:szCs w:val="26"/>
    </w:rPr>
  </w:style>
  <w:style w:type="character" w:customStyle="1" w:styleId="hvr">
    <w:name w:val="hvr"/>
    <w:basedOn w:val="DefaultParagraphFont"/>
    <w:rsid w:val="00692754"/>
  </w:style>
  <w:style w:type="paragraph" w:customStyle="1" w:styleId="Heading4appendix">
    <w:name w:val="Heading 4 + appendix"/>
    <w:basedOn w:val="Heading4"/>
    <w:qFormat/>
    <w:rsid w:val="00692754"/>
    <w:pPr>
      <w:keepLines w:val="0"/>
      <w:suppressAutoHyphens w:val="0"/>
      <w:spacing w:after="120" w:line="280" w:lineRule="atLeast"/>
    </w:pPr>
    <w:rPr>
      <w:rFonts w:ascii="Arial" w:eastAsia="MS Mincho" w:hAnsi="Arial" w:cs="TimesNewRoman"/>
      <w:b w:val="0"/>
      <w:bCs/>
      <w:color w:val="auto"/>
      <w:kern w:val="0"/>
      <w:sz w:val="20"/>
    </w:rPr>
  </w:style>
  <w:style w:type="paragraph" w:customStyle="1" w:styleId="inputcomment">
    <w:name w:val="input comment"/>
    <w:basedOn w:val="Normal"/>
    <w:qFormat/>
    <w:rsid w:val="00692754"/>
    <w:pPr>
      <w:suppressAutoHyphens/>
      <w:spacing w:before="180" w:after="60"/>
    </w:pPr>
    <w:rPr>
      <w:rFonts w:asciiTheme="minorHAnsi" w:hAnsiTheme="minorHAnsi"/>
      <w:b/>
      <w:iCs/>
      <w:color w:val="7B7B7B" w:themeColor="accent3" w:themeShade="BF"/>
    </w:rPr>
  </w:style>
  <w:style w:type="paragraph" w:customStyle="1" w:styleId="Boxed2Text">
    <w:name w:val="Boxed 2 Text"/>
    <w:basedOn w:val="Normal"/>
    <w:qFormat/>
    <w:rsid w:val="00692754"/>
    <w:pPr>
      <w:numPr>
        <w:numId w:val="12"/>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line="280" w:lineRule="atLeast"/>
      <w:ind w:right="284"/>
    </w:pPr>
    <w:rPr>
      <w:rFonts w:ascii="Arial" w:hAnsi="Arial"/>
      <w:iCs/>
      <w:sz w:val="20"/>
    </w:rPr>
  </w:style>
  <w:style w:type="paragraph" w:customStyle="1" w:styleId="BodyText1">
    <w:name w:val="Body Text1"/>
    <w:basedOn w:val="Normal"/>
    <w:qFormat/>
    <w:rsid w:val="00692754"/>
    <w:pPr>
      <w:spacing w:after="120"/>
    </w:pPr>
    <w:rPr>
      <w:rFonts w:ascii="Cambria" w:eastAsia="Times New Roman" w:hAnsi="Cambria" w:cs="Times New Roman"/>
      <w:iCs/>
      <w:szCs w:val="20"/>
    </w:rPr>
  </w:style>
  <w:style w:type="paragraph" w:styleId="ListBullet4">
    <w:name w:val="List Bullet 4"/>
    <w:basedOn w:val="ListBullet"/>
    <w:uiPriority w:val="99"/>
    <w:unhideWhenUsed/>
    <w:rsid w:val="00692754"/>
    <w:pPr>
      <w:shd w:val="clear" w:color="auto" w:fill="DEEAF6" w:themeFill="accent1" w:themeFillTint="33"/>
      <w:ind w:left="641" w:hanging="357"/>
    </w:pPr>
    <w:rPr>
      <w:rFonts w:cstheme="minorHAnsi"/>
    </w:rPr>
  </w:style>
  <w:style w:type="paragraph" w:customStyle="1" w:styleId="highlightedtext">
    <w:name w:val="highlighted text"/>
    <w:basedOn w:val="Normal"/>
    <w:link w:val="highlightedtextChar"/>
    <w:qFormat/>
    <w:rsid w:val="00692754"/>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rPr>
  </w:style>
  <w:style w:type="character" w:customStyle="1" w:styleId="highlightedtextChar">
    <w:name w:val="highlighted text Char"/>
    <w:basedOn w:val="DefaultParagraphFont"/>
    <w:link w:val="highlightedtext"/>
    <w:rsid w:val="00692754"/>
    <w:rPr>
      <w:b/>
      <w:iCs/>
      <w:color w:val="525252" w:themeColor="accent3" w:themeShade="80"/>
    </w:rPr>
  </w:style>
  <w:style w:type="paragraph" w:customStyle="1" w:styleId="Bullet1">
    <w:name w:val="Bullet 1"/>
    <w:basedOn w:val="Normal"/>
    <w:qFormat/>
    <w:rsid w:val="00692754"/>
    <w:pPr>
      <w:numPr>
        <w:numId w:val="13"/>
      </w:numPr>
      <w:suppressAutoHyphens/>
      <w:spacing w:before="120" w:after="60" w:line="280" w:lineRule="atLeast"/>
    </w:pPr>
    <w:rPr>
      <w:rFonts w:asciiTheme="minorHAnsi" w:hAnsiTheme="minorHAnsi"/>
      <w:iCs/>
    </w:rPr>
  </w:style>
  <w:style w:type="paragraph" w:customStyle="1" w:styleId="Bullet2">
    <w:name w:val="Bullet 2"/>
    <w:basedOn w:val="Bullet1"/>
    <w:qFormat/>
    <w:rsid w:val="00692754"/>
    <w:pPr>
      <w:numPr>
        <w:ilvl w:val="1"/>
      </w:numPr>
    </w:pPr>
  </w:style>
  <w:style w:type="paragraph" w:customStyle="1" w:styleId="Bullet3">
    <w:name w:val="Bullet 3"/>
    <w:basedOn w:val="Bullet2"/>
    <w:qFormat/>
    <w:rsid w:val="00692754"/>
    <w:pPr>
      <w:numPr>
        <w:ilvl w:val="2"/>
      </w:numPr>
    </w:pPr>
  </w:style>
  <w:style w:type="numbering" w:customStyle="1" w:styleId="BulletsList">
    <w:name w:val="Bullets List"/>
    <w:uiPriority w:val="99"/>
    <w:rsid w:val="00692754"/>
    <w:pPr>
      <w:numPr>
        <w:numId w:val="13"/>
      </w:numPr>
    </w:pPr>
  </w:style>
  <w:style w:type="numbering" w:customStyle="1" w:styleId="TableHeadingNumbers">
    <w:name w:val="Table Heading Numbers"/>
    <w:uiPriority w:val="99"/>
    <w:rsid w:val="00692754"/>
    <w:pPr>
      <w:numPr>
        <w:numId w:val="14"/>
      </w:numPr>
    </w:pPr>
  </w:style>
  <w:style w:type="character" w:customStyle="1" w:styleId="NoSpacingChar">
    <w:name w:val="No Spacing Char"/>
    <w:basedOn w:val="DefaultParagraphFont"/>
    <w:link w:val="NoSpacing"/>
    <w:uiPriority w:val="1"/>
    <w:rsid w:val="00692754"/>
    <w:rPr>
      <w:rFonts w:ascii="Segoe UI" w:hAnsi="Segoe UI"/>
      <w:sz w:val="21"/>
    </w:rPr>
  </w:style>
  <w:style w:type="paragraph" w:customStyle="1" w:styleId="Guidelinesbodytext">
    <w:name w:val="Guidelines body text"/>
    <w:basedOn w:val="NoSpacing"/>
    <w:qFormat/>
    <w:rsid w:val="00692754"/>
    <w:rPr>
      <w:rFonts w:ascii="Calibri" w:eastAsia="Times New Roman" w:hAnsi="Calibri" w:cs="Times New Roman"/>
      <w:color w:val="000000"/>
      <w:sz w:val="22"/>
      <w:szCs w:val="20"/>
      <w:lang w:val="en-US" w:bidi="en-US"/>
    </w:rPr>
  </w:style>
  <w:style w:type="table" w:customStyle="1" w:styleId="Finance1">
    <w:name w:val="Finance 1"/>
    <w:basedOn w:val="TableNormal"/>
    <w:uiPriority w:val="99"/>
    <w:rsid w:val="00692754"/>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692754"/>
    <w:pPr>
      <w:suppressAutoHyphens/>
      <w:spacing w:before="60" w:after="60" w:line="280" w:lineRule="atLeast"/>
    </w:pPr>
    <w:rPr>
      <w:rFonts w:ascii="Arial" w:hAnsi="Arial"/>
      <w:iCs/>
      <w:sz w:val="20"/>
    </w:rPr>
  </w:style>
  <w:style w:type="table" w:styleId="TableGridLight">
    <w:name w:val="Grid Table Light"/>
    <w:basedOn w:val="TableNormal"/>
    <w:uiPriority w:val="40"/>
    <w:rsid w:val="00692754"/>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692754"/>
    <w:pPr>
      <w:numPr>
        <w:numId w:val="15"/>
      </w:numPr>
      <w:suppressAutoHyphens/>
      <w:spacing w:before="180" w:after="60" w:line="280" w:lineRule="atLeast"/>
    </w:pPr>
    <w:rPr>
      <w:rFonts w:asciiTheme="minorHAnsi" w:hAnsiTheme="minorHAnsi"/>
    </w:rPr>
  </w:style>
  <w:style w:type="paragraph" w:customStyle="1" w:styleId="NumberedList2">
    <w:name w:val="Numbered List 2"/>
    <w:basedOn w:val="NumberedList1"/>
    <w:qFormat/>
    <w:rsid w:val="00692754"/>
    <w:pPr>
      <w:numPr>
        <w:ilvl w:val="1"/>
      </w:numPr>
      <w:spacing w:before="120"/>
    </w:pPr>
  </w:style>
  <w:style w:type="paragraph" w:customStyle="1" w:styleId="NumberedList3">
    <w:name w:val="Numbered List 3"/>
    <w:basedOn w:val="NumberedList2"/>
    <w:qFormat/>
    <w:rsid w:val="00692754"/>
    <w:pPr>
      <w:numPr>
        <w:ilvl w:val="2"/>
      </w:numPr>
      <w:ind w:left="851"/>
    </w:pPr>
  </w:style>
  <w:style w:type="numbering" w:customStyle="1" w:styleId="Numberedlist">
    <w:name w:val="Numbered list"/>
    <w:uiPriority w:val="99"/>
    <w:rsid w:val="00692754"/>
    <w:pPr>
      <w:numPr>
        <w:numId w:val="15"/>
      </w:numPr>
    </w:pPr>
  </w:style>
  <w:style w:type="table" w:styleId="GridTable1Light">
    <w:name w:val="Grid Table 1 Light"/>
    <w:basedOn w:val="TableNormal"/>
    <w:uiPriority w:val="46"/>
    <w:rsid w:val="00692754"/>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swellMediaHeader">
    <w:name w:val="BoswellMediaHeader"/>
    <w:rsid w:val="00692754"/>
    <w:pPr>
      <w:spacing w:after="0" w:line="240" w:lineRule="auto"/>
      <w:jc w:val="right"/>
    </w:pPr>
    <w:rPr>
      <w:rFonts w:ascii="Arial" w:eastAsia="Times New Roman" w:hAnsi="Arial" w:cs="Times New Roman"/>
      <w:noProof/>
      <w:sz w:val="23"/>
      <w:szCs w:val="20"/>
      <w:lang w:eastAsia="en-AU"/>
    </w:rPr>
  </w:style>
  <w:style w:type="character" w:customStyle="1" w:styleId="ListParagraphChar">
    <w:name w:val="List Paragraph Char"/>
    <w:aliases w:val="Bullet List Char,Bullet list Char,Bulletr List Paragraph Char,FooterText Char,List Paragraph1 Char,List Paragraph11 Char,List Paragraph2 Char,List Paragraph21 Char,Listeafsnit1 Char,Listenabsatz Char,Paragraphe de liste1 Char"/>
    <w:basedOn w:val="DefaultParagraphFont"/>
    <w:link w:val="ListParagraph"/>
    <w:uiPriority w:val="34"/>
    <w:qFormat/>
    <w:locked/>
    <w:rsid w:val="00692754"/>
    <w:rPr>
      <w:rFonts w:ascii="Calibri" w:hAnsi="Calibri"/>
    </w:rPr>
  </w:style>
  <w:style w:type="paragraph" w:customStyle="1" w:styleId="NormalIndented">
    <w:name w:val="Normal Indented"/>
    <w:basedOn w:val="Normal"/>
    <w:qFormat/>
    <w:rsid w:val="007A793F"/>
    <w:pPr>
      <w:suppressAutoHyphens/>
      <w:spacing w:before="180" w:after="60" w:line="280" w:lineRule="atLeast"/>
      <w:ind w:left="284"/>
    </w:pPr>
    <w:rPr>
      <w:rFonts w:asciiTheme="minorHAnsi" w:hAnsiTheme="minorHAnsi"/>
    </w:rPr>
  </w:style>
  <w:style w:type="paragraph" w:styleId="Title">
    <w:name w:val="Title"/>
    <w:basedOn w:val="Heading1"/>
    <w:next w:val="Normal"/>
    <w:link w:val="TitleChar"/>
    <w:uiPriority w:val="10"/>
    <w:qFormat/>
    <w:rsid w:val="007A793F"/>
    <w:pPr>
      <w:keepLines/>
      <w:spacing w:before="8400" w:after="120" w:line="480" w:lineRule="atLeast"/>
      <w:ind w:left="1134"/>
      <w:contextualSpacing/>
      <w:jc w:val="right"/>
    </w:pPr>
    <w:rPr>
      <w:rFonts w:asciiTheme="majorHAnsi" w:eastAsiaTheme="majorEastAsia" w:hAnsiTheme="majorHAnsi" w:cstheme="majorBidi"/>
      <w:b w:val="0"/>
      <w:bCs/>
      <w:color w:val="44546A" w:themeColor="text2"/>
      <w:kern w:val="28"/>
      <w:sz w:val="40"/>
    </w:rPr>
  </w:style>
  <w:style w:type="character" w:customStyle="1" w:styleId="TitleChar">
    <w:name w:val="Title Char"/>
    <w:basedOn w:val="DefaultParagraphFont"/>
    <w:link w:val="Title"/>
    <w:uiPriority w:val="10"/>
    <w:rsid w:val="007A793F"/>
    <w:rPr>
      <w:rFonts w:asciiTheme="majorHAnsi" w:eastAsiaTheme="majorEastAsia" w:hAnsiTheme="majorHAnsi" w:cstheme="majorBidi"/>
      <w:bCs/>
      <w:color w:val="44546A" w:themeColor="text2"/>
      <w:kern w:val="28"/>
      <w:sz w:val="40"/>
      <w:szCs w:val="52"/>
    </w:rPr>
  </w:style>
  <w:style w:type="paragraph" w:customStyle="1" w:styleId="Heading1Numbered">
    <w:name w:val="Heading 1 Numbered"/>
    <w:basedOn w:val="Heading1"/>
    <w:next w:val="Normal"/>
    <w:qFormat/>
    <w:rsid w:val="007A793F"/>
    <w:pPr>
      <w:keepNext/>
      <w:keepLines/>
      <w:numPr>
        <w:numId w:val="16"/>
      </w:numPr>
      <w:spacing w:before="360" w:after="120" w:line="460" w:lineRule="atLeast"/>
      <w:contextualSpacing/>
    </w:pPr>
    <w:rPr>
      <w:rFonts w:asciiTheme="majorHAnsi" w:eastAsiaTheme="majorEastAsia" w:hAnsiTheme="majorHAnsi" w:cstheme="majorBidi"/>
      <w:b w:val="0"/>
      <w:bCs/>
      <w:color w:val="44546A" w:themeColor="text2"/>
      <w:kern w:val="0"/>
      <w:sz w:val="40"/>
      <w:szCs w:val="28"/>
    </w:rPr>
  </w:style>
  <w:style w:type="paragraph" w:customStyle="1" w:styleId="Heading2Numbered">
    <w:name w:val="Heading 2 Numbered"/>
    <w:basedOn w:val="Heading2"/>
    <w:next w:val="Normal"/>
    <w:qFormat/>
    <w:rsid w:val="007A793F"/>
    <w:pPr>
      <w:numPr>
        <w:ilvl w:val="1"/>
        <w:numId w:val="16"/>
      </w:numPr>
      <w:spacing w:before="360" w:after="120" w:line="400" w:lineRule="atLeast"/>
      <w:contextualSpacing/>
    </w:pPr>
    <w:rPr>
      <w:rFonts w:asciiTheme="majorHAnsi" w:eastAsiaTheme="majorEastAsia" w:hAnsiTheme="majorHAnsi" w:cstheme="majorBidi"/>
      <w:bCs/>
      <w:color w:val="44546A" w:themeColor="text2"/>
      <w:kern w:val="0"/>
      <w:sz w:val="34"/>
    </w:rPr>
  </w:style>
  <w:style w:type="paragraph" w:customStyle="1" w:styleId="Heading3Numbered">
    <w:name w:val="Heading 3 Numbered"/>
    <w:basedOn w:val="Heading3"/>
    <w:next w:val="Normal"/>
    <w:qFormat/>
    <w:rsid w:val="007A793F"/>
    <w:pPr>
      <w:numPr>
        <w:ilvl w:val="2"/>
        <w:numId w:val="16"/>
      </w:numPr>
      <w:spacing w:before="360" w:after="120" w:line="340" w:lineRule="atLeast"/>
      <w:contextualSpacing/>
    </w:pPr>
    <w:rPr>
      <w:rFonts w:asciiTheme="majorHAnsi" w:eastAsiaTheme="majorEastAsia" w:hAnsiTheme="majorHAnsi" w:cstheme="majorBidi"/>
      <w:b w:val="0"/>
      <w:bCs/>
      <w:color w:val="44546A" w:themeColor="text2"/>
      <w:kern w:val="0"/>
      <w:sz w:val="30"/>
      <w:szCs w:val="22"/>
    </w:rPr>
  </w:style>
  <w:style w:type="numbering" w:customStyle="1" w:styleId="HeadingsList">
    <w:name w:val="Headings List"/>
    <w:uiPriority w:val="99"/>
    <w:rsid w:val="007A793F"/>
    <w:pPr>
      <w:numPr>
        <w:numId w:val="26"/>
      </w:numPr>
    </w:pPr>
  </w:style>
  <w:style w:type="table" w:styleId="PlainTable2">
    <w:name w:val="Plain Table 2"/>
    <w:basedOn w:val="TableNormal"/>
    <w:uiPriority w:val="42"/>
    <w:rsid w:val="007A79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6">
    <w:name w:val="toc 6"/>
    <w:basedOn w:val="Normal"/>
    <w:next w:val="Normal"/>
    <w:autoRedefine/>
    <w:uiPriority w:val="39"/>
    <w:unhideWhenUsed/>
    <w:rsid w:val="007A793F"/>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7A793F"/>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7A793F"/>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7A793F"/>
    <w:pPr>
      <w:spacing w:after="100" w:line="259" w:lineRule="auto"/>
      <w:ind w:left="1760"/>
    </w:pPr>
    <w:rPr>
      <w:rFonts w:asciiTheme="minorHAnsi" w:eastAsiaTheme="minorEastAsia" w:hAnsiTheme="minorHAnsi"/>
      <w:lang w:eastAsia="en-AU"/>
    </w:rPr>
  </w:style>
  <w:style w:type="paragraph" w:customStyle="1" w:styleId="IntroPara">
    <w:name w:val="Intro Para"/>
    <w:basedOn w:val="Normal"/>
    <w:qFormat/>
    <w:rsid w:val="007A793F"/>
    <w:pPr>
      <w:pBdr>
        <w:bottom w:val="single" w:sz="4" w:space="6" w:color="5B9BD5" w:themeColor="accent1"/>
      </w:pBdr>
      <w:suppressAutoHyphens/>
      <w:spacing w:before="180" w:after="60" w:line="280" w:lineRule="atLeast"/>
    </w:pPr>
    <w:rPr>
      <w:rFonts w:asciiTheme="minorHAnsi" w:hAnsiTheme="minorHAnsi"/>
      <w:sz w:val="24"/>
    </w:rPr>
  </w:style>
  <w:style w:type="numbering" w:customStyle="1" w:styleId="FigureTitles">
    <w:name w:val="Figure Titles"/>
    <w:uiPriority w:val="99"/>
    <w:rsid w:val="007A793F"/>
    <w:pPr>
      <w:numPr>
        <w:numId w:val="17"/>
      </w:numPr>
    </w:pPr>
  </w:style>
  <w:style w:type="character" w:styleId="IntenseEmphasis">
    <w:name w:val="Intense Emphasis"/>
    <w:basedOn w:val="DefaultParagraphFont"/>
    <w:uiPriority w:val="21"/>
    <w:qFormat/>
    <w:rsid w:val="007A793F"/>
    <w:rPr>
      <w:b/>
      <w:i/>
      <w:iCs/>
      <w:color w:val="auto"/>
    </w:rPr>
  </w:style>
  <w:style w:type="paragraph" w:customStyle="1" w:styleId="Boxed1Text">
    <w:name w:val="Boxed 1 Text"/>
    <w:basedOn w:val="Normal"/>
    <w:qFormat/>
    <w:rsid w:val="007A793F"/>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suppressAutoHyphens/>
      <w:spacing w:before="180" w:after="60" w:line="280" w:lineRule="atLeast"/>
      <w:ind w:left="284" w:right="284"/>
    </w:pPr>
    <w:rPr>
      <w:rFonts w:asciiTheme="minorHAnsi" w:hAnsiTheme="minorHAnsi"/>
    </w:rPr>
  </w:style>
  <w:style w:type="paragraph" w:customStyle="1" w:styleId="Boxed1Heading">
    <w:name w:val="Boxed 1 Heading"/>
    <w:basedOn w:val="Boxed1Text"/>
    <w:qFormat/>
    <w:rsid w:val="007A793F"/>
    <w:rPr>
      <w:b/>
      <w:sz w:val="24"/>
    </w:rPr>
  </w:style>
  <w:style w:type="paragraph" w:customStyle="1" w:styleId="Boxed2Heading">
    <w:name w:val="Boxed 2 Heading"/>
    <w:basedOn w:val="Boxed2Text"/>
    <w:qFormat/>
    <w:rsid w:val="007A793F"/>
    <w:pPr>
      <w:numPr>
        <w:numId w:val="0"/>
      </w:num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5B9BD5" w:themeFill="accent1"/>
      <w:spacing w:before="180" w:after="60"/>
      <w:ind w:left="284"/>
    </w:pPr>
    <w:rPr>
      <w:rFonts w:asciiTheme="minorHAnsi" w:hAnsiTheme="minorHAnsi"/>
      <w:b/>
      <w:iCs w:val="0"/>
      <w:sz w:val="24"/>
    </w:rPr>
  </w:style>
  <w:style w:type="paragraph" w:customStyle="1" w:styleId="TableSourceNotes">
    <w:name w:val="Table Source Notes"/>
    <w:basedOn w:val="TableText0"/>
    <w:qFormat/>
    <w:rsid w:val="007A793F"/>
    <w:pPr>
      <w:spacing w:before="120" w:line="240" w:lineRule="atLeast"/>
      <w:ind w:left="284" w:hanging="284"/>
      <w:contextualSpacing/>
    </w:pPr>
    <w:rPr>
      <w:rFonts w:asciiTheme="minorHAnsi" w:hAnsiTheme="minorHAnsi"/>
      <w:iCs w:val="0"/>
      <w:sz w:val="18"/>
    </w:rPr>
  </w:style>
  <w:style w:type="paragraph" w:customStyle="1" w:styleId="FootnoteSeparator">
    <w:name w:val="Footnote Separator"/>
    <w:basedOn w:val="Normal"/>
    <w:qFormat/>
    <w:rsid w:val="007A793F"/>
    <w:pPr>
      <w:pBdr>
        <w:top w:val="single" w:sz="2" w:space="1" w:color="auto"/>
      </w:pBdr>
      <w:suppressAutoHyphens/>
      <w:spacing w:after="0"/>
    </w:pPr>
    <w:rPr>
      <w:rFonts w:asciiTheme="minorHAnsi" w:hAnsiTheme="minorHAnsi"/>
    </w:rPr>
  </w:style>
  <w:style w:type="character" w:customStyle="1" w:styleId="Classification">
    <w:name w:val="Classification"/>
    <w:basedOn w:val="DefaultParagraphFont"/>
    <w:uiPriority w:val="1"/>
    <w:qFormat/>
    <w:rsid w:val="007A793F"/>
    <w:rPr>
      <w:b/>
      <w:caps/>
      <w:smallCaps w:val="0"/>
      <w:sz w:val="24"/>
    </w:rPr>
  </w:style>
  <w:style w:type="paragraph" w:customStyle="1" w:styleId="FCHeader">
    <w:name w:val="FC_Header"/>
    <w:basedOn w:val="Heading8"/>
    <w:uiPriority w:val="99"/>
    <w:rsid w:val="007A793F"/>
    <w:pPr>
      <w:keepLines w:val="0"/>
      <w:tabs>
        <w:tab w:val="num" w:pos="1440"/>
      </w:tabs>
      <w:spacing w:before="240" w:after="360"/>
      <w:ind w:left="1440" w:hanging="432"/>
    </w:pPr>
    <w:rPr>
      <w:rFonts w:ascii="Arial" w:eastAsia="Times New Roman" w:hAnsi="Arial" w:cs="Times New Roman"/>
      <w:b/>
      <w:bCs/>
      <w:color w:val="auto"/>
      <w:spacing w:val="-5"/>
      <w:sz w:val="36"/>
      <w:szCs w:val="20"/>
      <w:lang w:val="en-US"/>
    </w:rPr>
  </w:style>
  <w:style w:type="paragraph" w:customStyle="1" w:styleId="notetext">
    <w:name w:val="notetext"/>
    <w:basedOn w:val="Normal"/>
    <w:uiPriority w:val="99"/>
    <w:rsid w:val="007A793F"/>
    <w:pPr>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7A793F"/>
    <w:pPr>
      <w:spacing w:before="180" w:after="0"/>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7A793F"/>
    <w:pPr>
      <w:spacing w:before="180" w:after="0"/>
      <w:ind w:left="1134"/>
    </w:pPr>
    <w:rPr>
      <w:rFonts w:ascii="Times New Roman" w:eastAsia="Times New Roman" w:hAnsi="Times New Roman" w:cs="Times New Roman"/>
      <w:lang w:eastAsia="en-AU"/>
    </w:rPr>
  </w:style>
  <w:style w:type="paragraph" w:customStyle="1" w:styleId="FCList">
    <w:name w:val="FC_List"/>
    <w:basedOn w:val="Header"/>
    <w:uiPriority w:val="99"/>
    <w:rsid w:val="007A793F"/>
    <w:pPr>
      <w:tabs>
        <w:tab w:val="clear" w:pos="4678"/>
        <w:tab w:val="clear" w:pos="9356"/>
      </w:tabs>
      <w:spacing w:before="60" w:after="60"/>
    </w:pPr>
    <w:rPr>
      <w:rFonts w:ascii="Times New Roman" w:eastAsia="Times New Roman" w:hAnsi="Times New Roman" w:cs="Times New Roman"/>
      <w:sz w:val="24"/>
      <w:szCs w:val="24"/>
    </w:rPr>
  </w:style>
  <w:style w:type="paragraph" w:customStyle="1" w:styleId="FCTitle">
    <w:name w:val="FC_Title"/>
    <w:basedOn w:val="Normal"/>
    <w:uiPriority w:val="99"/>
    <w:rsid w:val="007A793F"/>
    <w:pPr>
      <w:spacing w:before="240" w:after="360"/>
    </w:pPr>
    <w:rPr>
      <w:rFonts w:ascii="Arial" w:eastAsia="Times New Roman" w:hAnsi="Arial" w:cs="Arial"/>
      <w:b/>
      <w:bCs/>
      <w:sz w:val="32"/>
      <w:szCs w:val="24"/>
    </w:rPr>
  </w:style>
  <w:style w:type="paragraph" w:styleId="BodyTextIndent2">
    <w:name w:val="Body Text Indent 2"/>
    <w:basedOn w:val="Normal"/>
    <w:link w:val="BodyTextIndent2Char"/>
    <w:uiPriority w:val="99"/>
    <w:rsid w:val="007A793F"/>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7A793F"/>
    <w:rPr>
      <w:rFonts w:ascii="Times New Roman" w:eastAsia="Times New Roman" w:hAnsi="Times New Roman" w:cs="Times New Roman"/>
      <w:sz w:val="24"/>
      <w:szCs w:val="24"/>
      <w:lang w:eastAsia="en-AU"/>
    </w:rPr>
  </w:style>
  <w:style w:type="paragraph" w:customStyle="1" w:styleId="bodybodytext">
    <w:name w:val="body: body text"/>
    <w:basedOn w:val="Normal"/>
    <w:uiPriority w:val="99"/>
    <w:rsid w:val="007A793F"/>
    <w:pPr>
      <w:widowControl w:val="0"/>
      <w:suppressAutoHyphens/>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7A793F"/>
    <w:rPr>
      <w:rFonts w:ascii="Symbol" w:hAnsi="Symbol"/>
      <w:w w:val="100"/>
    </w:rPr>
  </w:style>
  <w:style w:type="paragraph" w:customStyle="1" w:styleId="GuidelinesInstructions">
    <w:name w:val="Guidelines Instructions"/>
    <w:basedOn w:val="NoSpacing"/>
    <w:autoRedefine/>
    <w:qFormat/>
    <w:rsid w:val="007A793F"/>
    <w:rPr>
      <w:rFonts w:ascii="Calibri" w:eastAsia="Times New Roman" w:hAnsi="Calibri" w:cs="Times New Roman"/>
      <w:i/>
      <w:color w:val="FF0000"/>
      <w:sz w:val="20"/>
      <w:szCs w:val="20"/>
      <w:lang w:val="en-US" w:bidi="en-US"/>
    </w:rPr>
  </w:style>
  <w:style w:type="paragraph" w:customStyle="1" w:styleId="Bullet">
    <w:name w:val="Bullet"/>
    <w:aliases w:val="b"/>
    <w:basedOn w:val="Normal"/>
    <w:qFormat/>
    <w:rsid w:val="007A793F"/>
    <w:pPr>
      <w:tabs>
        <w:tab w:val="num" w:pos="284"/>
      </w:tabs>
      <w:spacing w:before="240" w:after="120"/>
      <w:ind w:left="284" w:hanging="284"/>
      <w:jc w:val="both"/>
    </w:pPr>
    <w:rPr>
      <w:rFonts w:ascii="Arial" w:eastAsia="Calibri" w:hAnsi="Arial" w:cs="Arial"/>
    </w:rPr>
  </w:style>
  <w:style w:type="paragraph" w:customStyle="1" w:styleId="GuidelinesSubheading">
    <w:name w:val="Guidelines Subheading"/>
    <w:basedOn w:val="NoSpacing"/>
    <w:autoRedefine/>
    <w:qFormat/>
    <w:rsid w:val="007A793F"/>
    <w:pPr>
      <w:pBdr>
        <w:bottom w:val="single" w:sz="8" w:space="1" w:color="000000"/>
      </w:pBdr>
      <w:spacing w:before="107"/>
      <w:ind w:right="-74"/>
      <w:textboxTightWrap w:val="allLines"/>
      <w:outlineLvl w:val="1"/>
    </w:pPr>
    <w:rPr>
      <w:rFonts w:ascii="Arial" w:eastAsia="Times New Roman" w:hAnsi="Arial" w:cs="Arial"/>
      <w:b/>
      <w:color w:val="000000"/>
      <w:sz w:val="22"/>
      <w:szCs w:val="24"/>
      <w:u w:color="000000"/>
      <w:lang w:val="en-US" w:bidi="en-US"/>
    </w:rPr>
  </w:style>
  <w:style w:type="paragraph" w:customStyle="1" w:styleId="footnote">
    <w:name w:val="footnote"/>
    <w:basedOn w:val="Normal"/>
    <w:uiPriority w:val="99"/>
    <w:rsid w:val="007A793F"/>
    <w:pPr>
      <w:widowControl w:val="0"/>
      <w:tabs>
        <w:tab w:val="left" w:pos="283"/>
      </w:tabs>
      <w:suppressAutoHyphen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7A793F"/>
  </w:style>
  <w:style w:type="paragraph" w:customStyle="1" w:styleId="Heading2flowchart">
    <w:name w:val="Heading 2 flowchart"/>
    <w:basedOn w:val="Normal"/>
    <w:qFormat/>
    <w:rsid w:val="007A793F"/>
    <w:pPr>
      <w:keepNext/>
      <w:pBdr>
        <w:top w:val="single" w:sz="2" w:space="1" w:color="auto"/>
        <w:left w:val="single" w:sz="2" w:space="4" w:color="auto"/>
        <w:bottom w:val="single" w:sz="2" w:space="1" w:color="auto"/>
        <w:right w:val="single" w:sz="2" w:space="4" w:color="auto"/>
      </w:pBdr>
      <w:spacing w:before="60" w:after="60"/>
      <w:jc w:val="center"/>
      <w:outlineLvl w:val="1"/>
    </w:pPr>
    <w:rPr>
      <w:rFonts w:ascii="Arial" w:eastAsia="Times New Roman" w:hAnsi="Arial" w:cstheme="minorHAnsi"/>
      <w:b/>
      <w:bCs/>
      <w:sz w:val="20"/>
      <w:szCs w:val="32"/>
    </w:rPr>
  </w:style>
  <w:style w:type="numbering" w:customStyle="1" w:styleId="Headings">
    <w:name w:val="Headings"/>
    <w:uiPriority w:val="99"/>
    <w:rsid w:val="007A793F"/>
    <w:pPr>
      <w:numPr>
        <w:numId w:val="18"/>
      </w:numPr>
    </w:pPr>
  </w:style>
  <w:style w:type="paragraph" w:customStyle="1" w:styleId="Tabletext1">
    <w:name w:val="Tabletext"/>
    <w:aliases w:val="tt"/>
    <w:basedOn w:val="Normal"/>
    <w:uiPriority w:val="99"/>
    <w:rsid w:val="007A793F"/>
    <w:pPr>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7A793F"/>
    <w:pPr>
      <w:numPr>
        <w:numId w:val="19"/>
      </w:numPr>
      <w:spacing w:after="0"/>
      <w:ind w:left="567" w:hanging="357"/>
    </w:pPr>
    <w:rPr>
      <w:rFonts w:ascii="Arial" w:eastAsia="Calibri" w:hAnsi="Arial" w:cs="Arial"/>
      <w:sz w:val="20"/>
    </w:rPr>
  </w:style>
  <w:style w:type="character" w:customStyle="1" w:styleId="Chrissie1Char">
    <w:name w:val="Chrissie1 Char"/>
    <w:basedOn w:val="DefaultParagraphFont"/>
    <w:link w:val="Chrissie1"/>
    <w:rsid w:val="007A793F"/>
    <w:rPr>
      <w:rFonts w:ascii="Arial" w:eastAsia="Calibri" w:hAnsi="Arial" w:cs="Arial"/>
      <w:sz w:val="20"/>
    </w:rPr>
  </w:style>
  <w:style w:type="paragraph" w:customStyle="1" w:styleId="Bullets1stindent">
    <w:name w:val="Bullets (1st indent)"/>
    <w:basedOn w:val="BodyText1"/>
    <w:rsid w:val="007A793F"/>
    <w:pPr>
      <w:numPr>
        <w:numId w:val="21"/>
      </w:numPr>
    </w:pPr>
    <w:rPr>
      <w:iCs w:val="0"/>
      <w:szCs w:val="24"/>
    </w:rPr>
  </w:style>
  <w:style w:type="paragraph" w:customStyle="1" w:styleId="Bullets2ndindent">
    <w:name w:val="Bullets (2nd indent)"/>
    <w:basedOn w:val="BodyText1"/>
    <w:rsid w:val="007A793F"/>
    <w:pPr>
      <w:numPr>
        <w:ilvl w:val="1"/>
        <w:numId w:val="21"/>
      </w:numPr>
    </w:pPr>
    <w:rPr>
      <w:iCs w:val="0"/>
      <w:szCs w:val="24"/>
    </w:rPr>
  </w:style>
  <w:style w:type="numbering" w:customStyle="1" w:styleId="Bullets">
    <w:name w:val="Bullets"/>
    <w:basedOn w:val="NoList"/>
    <w:uiPriority w:val="99"/>
    <w:rsid w:val="007A793F"/>
    <w:pPr>
      <w:numPr>
        <w:numId w:val="21"/>
      </w:numPr>
    </w:pPr>
  </w:style>
  <w:style w:type="paragraph" w:customStyle="1" w:styleId="Figuretitle">
    <w:name w:val="Figure title"/>
    <w:basedOn w:val="Heading2"/>
    <w:next w:val="BodyText1"/>
    <w:rsid w:val="007A793F"/>
    <w:pPr>
      <w:keepNext w:val="0"/>
      <w:keepLines w:val="0"/>
      <w:numPr>
        <w:ilvl w:val="6"/>
        <w:numId w:val="20"/>
      </w:numPr>
      <w:suppressAutoHyphens w:val="0"/>
      <w:spacing w:before="0" w:after="120"/>
    </w:pPr>
    <w:rPr>
      <w:rFonts w:ascii="Arial" w:eastAsia="Times New Roman" w:hAnsi="Arial"/>
      <w:b/>
      <w:color w:val="auto"/>
      <w:spacing w:val="-6"/>
      <w:kern w:val="0"/>
      <w:sz w:val="26"/>
      <w:szCs w:val="24"/>
    </w:rPr>
  </w:style>
  <w:style w:type="paragraph" w:customStyle="1" w:styleId="Bulletslast1stindent">
    <w:name w:val="Bullets last (1st indent)"/>
    <w:basedOn w:val="BodyText1"/>
    <w:rsid w:val="007A793F"/>
    <w:pPr>
      <w:numPr>
        <w:ilvl w:val="2"/>
        <w:numId w:val="21"/>
      </w:numPr>
    </w:pPr>
    <w:rPr>
      <w:iCs w:val="0"/>
      <w:szCs w:val="24"/>
    </w:rPr>
  </w:style>
  <w:style w:type="numbering" w:customStyle="1" w:styleId="Numbers">
    <w:name w:val="Numbers"/>
    <w:basedOn w:val="NoList"/>
    <w:rsid w:val="007A793F"/>
    <w:pPr>
      <w:numPr>
        <w:numId w:val="25"/>
      </w:numPr>
    </w:pPr>
  </w:style>
  <w:style w:type="paragraph" w:customStyle="1" w:styleId="Bulletslast2ndindent">
    <w:name w:val="Bullets last (2nd indent)"/>
    <w:basedOn w:val="BodyText1"/>
    <w:rsid w:val="007A793F"/>
    <w:pPr>
      <w:numPr>
        <w:ilvl w:val="3"/>
        <w:numId w:val="21"/>
      </w:numPr>
      <w:spacing w:after="57"/>
    </w:pPr>
    <w:rPr>
      <w:iCs w:val="0"/>
      <w:szCs w:val="24"/>
    </w:rPr>
  </w:style>
  <w:style w:type="paragraph" w:customStyle="1" w:styleId="Tablebodytext">
    <w:name w:val="Table body text"/>
    <w:qFormat/>
    <w:rsid w:val="007A793F"/>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7A793F"/>
    <w:pPr>
      <w:numPr>
        <w:ilvl w:val="6"/>
        <w:numId w:val="21"/>
      </w:numPr>
    </w:pPr>
  </w:style>
  <w:style w:type="paragraph" w:customStyle="1" w:styleId="Tablebullets1stindent">
    <w:name w:val="Table bullets (1st indent)"/>
    <w:basedOn w:val="Tablebodytext"/>
    <w:qFormat/>
    <w:rsid w:val="007A793F"/>
    <w:pPr>
      <w:numPr>
        <w:ilvl w:val="5"/>
        <w:numId w:val="21"/>
      </w:numPr>
    </w:pPr>
  </w:style>
  <w:style w:type="paragraph" w:customStyle="1" w:styleId="Tablecolumnheading">
    <w:name w:val="Table column heading"/>
    <w:basedOn w:val="Tablebodytext"/>
    <w:qFormat/>
    <w:rsid w:val="007A793F"/>
    <w:pPr>
      <w:keepNext/>
    </w:pPr>
    <w:rPr>
      <w:b/>
    </w:rPr>
  </w:style>
  <w:style w:type="paragraph" w:customStyle="1" w:styleId="Tabletitle">
    <w:name w:val="Table title"/>
    <w:basedOn w:val="Heading2"/>
    <w:next w:val="BodyText1"/>
    <w:rsid w:val="007A793F"/>
    <w:pPr>
      <w:keepNext w:val="0"/>
      <w:keepLines w:val="0"/>
      <w:numPr>
        <w:ilvl w:val="8"/>
        <w:numId w:val="20"/>
      </w:numPr>
      <w:suppressAutoHyphens w:val="0"/>
      <w:spacing w:before="0" w:after="120"/>
    </w:pPr>
    <w:rPr>
      <w:rFonts w:ascii="Arial" w:eastAsia="Times New Roman" w:hAnsi="Arial"/>
      <w:b/>
      <w:color w:val="auto"/>
      <w:spacing w:val="-6"/>
      <w:kern w:val="0"/>
      <w:sz w:val="26"/>
      <w:szCs w:val="24"/>
    </w:rPr>
  </w:style>
  <w:style w:type="paragraph" w:customStyle="1" w:styleId="Notetitle">
    <w:name w:val="Note title"/>
    <w:basedOn w:val="Heading2"/>
    <w:rsid w:val="007A793F"/>
    <w:pPr>
      <w:keepNext w:val="0"/>
      <w:keepLines w:val="0"/>
      <w:numPr>
        <w:ilvl w:val="7"/>
        <w:numId w:val="20"/>
      </w:numPr>
      <w:suppressAutoHyphens w:val="0"/>
      <w:spacing w:before="0" w:after="120"/>
    </w:pPr>
    <w:rPr>
      <w:rFonts w:ascii="Arial" w:eastAsia="Times New Roman" w:hAnsi="Arial"/>
      <w:b/>
      <w:color w:val="auto"/>
      <w:spacing w:val="-6"/>
      <w:kern w:val="0"/>
      <w:sz w:val="26"/>
    </w:rPr>
  </w:style>
  <w:style w:type="paragraph" w:customStyle="1" w:styleId="Numberedpara1stindent">
    <w:name w:val="Numbered para (1st indent)"/>
    <w:basedOn w:val="BodyText1"/>
    <w:rsid w:val="007A793F"/>
    <w:pPr>
      <w:numPr>
        <w:ilvl w:val="3"/>
        <w:numId w:val="20"/>
      </w:numPr>
    </w:pPr>
    <w:rPr>
      <w:iCs w:val="0"/>
      <w:szCs w:val="24"/>
    </w:rPr>
  </w:style>
  <w:style w:type="paragraph" w:customStyle="1" w:styleId="Numberedpara2ndindent">
    <w:name w:val="Numbered para (2nd indent)"/>
    <w:basedOn w:val="BodyText1"/>
    <w:rsid w:val="007A793F"/>
    <w:pPr>
      <w:numPr>
        <w:ilvl w:val="4"/>
        <w:numId w:val="20"/>
      </w:numPr>
    </w:pPr>
    <w:rPr>
      <w:iCs w:val="0"/>
      <w:szCs w:val="24"/>
    </w:rPr>
  </w:style>
  <w:style w:type="paragraph" w:customStyle="1" w:styleId="Numberedpara3rdindent">
    <w:name w:val="Numbered para (3rd indent)"/>
    <w:basedOn w:val="BodyText1"/>
    <w:rsid w:val="007A793F"/>
    <w:pPr>
      <w:numPr>
        <w:ilvl w:val="5"/>
        <w:numId w:val="20"/>
      </w:numPr>
    </w:pPr>
    <w:rPr>
      <w:iCs w:val="0"/>
      <w:szCs w:val="24"/>
    </w:rPr>
  </w:style>
  <w:style w:type="paragraph" w:customStyle="1" w:styleId="Sourcenotetext">
    <w:name w:val="Source/note text"/>
    <w:qFormat/>
    <w:rsid w:val="007A793F"/>
    <w:pPr>
      <w:spacing w:before="85" w:after="85" w:line="240" w:lineRule="auto"/>
    </w:pPr>
    <w:rPr>
      <w:rFonts w:ascii="Arial" w:eastAsia="Times New Roman" w:hAnsi="Arial" w:cs="Arial"/>
      <w:i/>
      <w:sz w:val="12"/>
      <w:szCs w:val="12"/>
    </w:rPr>
  </w:style>
  <w:style w:type="paragraph" w:customStyle="1" w:styleId="Bodynumbered-Level1">
    <w:name w:val="Body numbered - Level 1"/>
    <w:basedOn w:val="BodyText"/>
    <w:uiPriority w:val="1"/>
    <w:qFormat/>
    <w:rsid w:val="005667A0"/>
    <w:pPr>
      <w:autoSpaceDE/>
      <w:autoSpaceDN/>
      <w:adjustRightInd/>
      <w:spacing w:before="0" w:after="160"/>
      <w:ind w:left="851" w:hanging="851"/>
    </w:pPr>
    <w:rPr>
      <w:rFonts w:ascii="Calibri" w:eastAsia="Calibri" w:hAnsi="Calibri"/>
      <w:sz w:val="22"/>
      <w:szCs w:val="22"/>
      <w:lang w:eastAsia="en-US"/>
    </w:rPr>
  </w:style>
  <w:style w:type="paragraph" w:customStyle="1" w:styleId="Bodynumbered-Level3">
    <w:name w:val="Body numbered - Level 3"/>
    <w:basedOn w:val="Bodynumbered-Level1"/>
    <w:uiPriority w:val="1"/>
    <w:qFormat/>
    <w:rsid w:val="007A793F"/>
    <w:pPr>
      <w:ind w:left="1353" w:hanging="360"/>
    </w:pPr>
  </w:style>
  <w:style w:type="table" w:customStyle="1" w:styleId="TableGrid1">
    <w:name w:val="Table Grid1"/>
    <w:basedOn w:val="TableNormal"/>
    <w:next w:val="TableGrid"/>
    <w:uiPriority w:val="99"/>
    <w:rsid w:val="007A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
    <w:name w:val="Body text - Indent"/>
    <w:basedOn w:val="Normal"/>
    <w:next w:val="BodyText"/>
    <w:qFormat/>
    <w:rsid w:val="0064434C"/>
    <w:pPr>
      <w:spacing w:before="240" w:after="0"/>
    </w:pPr>
    <w:rPr>
      <w:rFonts w:eastAsia="Calibri" w:cs="Calibri"/>
      <w:bCs/>
      <w:color w:val="000000"/>
      <w:sz w:val="24"/>
      <w:szCs w:val="24"/>
    </w:rPr>
  </w:style>
  <w:style w:type="paragraph" w:customStyle="1" w:styleId="copyrighttextStyles">
    <w:name w:val="copyright text (Styles)"/>
    <w:basedOn w:val="Normal"/>
    <w:next w:val="Normal"/>
    <w:uiPriority w:val="99"/>
    <w:rsid w:val="0064434C"/>
    <w:pPr>
      <w:widowControl w:val="0"/>
      <w:suppressAutoHyphens/>
      <w:autoSpaceDE w:val="0"/>
      <w:autoSpaceDN w:val="0"/>
      <w:adjustRightInd w:val="0"/>
      <w:spacing w:before="170" w:after="0" w:line="270" w:lineRule="atLeast"/>
      <w:textAlignment w:val="center"/>
    </w:pPr>
    <w:rPr>
      <w:rFonts w:ascii="Arial" w:eastAsia="Times New Roman" w:hAnsi="Arial" w:cs="TradeGothicLTStd-Light"/>
      <w:color w:val="000000"/>
      <w:sz w:val="16"/>
      <w:szCs w:val="16"/>
    </w:rPr>
  </w:style>
  <w:style w:type="paragraph" w:customStyle="1" w:styleId="Titleheading">
    <w:name w:val="Title heading"/>
    <w:basedOn w:val="Normal"/>
    <w:next w:val="BodyText"/>
    <w:uiPriority w:val="15"/>
    <w:qFormat/>
    <w:rsid w:val="0064434C"/>
    <w:pPr>
      <w:spacing w:before="480" w:after="360" w:line="440" w:lineRule="atLeast"/>
    </w:pPr>
    <w:rPr>
      <w:rFonts w:ascii="Cambria" w:eastAsia="Calibri" w:hAnsi="Cambria" w:cs="Times New Roman"/>
      <w:b/>
      <w:color w:val="00728F"/>
      <w:sz w:val="44"/>
    </w:rPr>
  </w:style>
  <w:style w:type="paragraph" w:customStyle="1" w:styleId="Tablecellheading">
    <w:name w:val="Table cell heading"/>
    <w:basedOn w:val="Normal"/>
    <w:uiPriority w:val="12"/>
    <w:qFormat/>
    <w:rsid w:val="0064434C"/>
    <w:pPr>
      <w:spacing w:before="120" w:after="120"/>
    </w:pPr>
    <w:rPr>
      <w:rFonts w:eastAsia="Calibri" w:cs="Times New Roman"/>
      <w:b/>
      <w:sz w:val="24"/>
      <w:szCs w:val="24"/>
      <w:lang w:val="en-US"/>
    </w:rPr>
  </w:style>
  <w:style w:type="paragraph" w:customStyle="1" w:styleId="Tablecaption">
    <w:name w:val="Table caption"/>
    <w:basedOn w:val="Caption"/>
    <w:next w:val="Tabledescription"/>
    <w:uiPriority w:val="11"/>
    <w:qFormat/>
    <w:rsid w:val="0064434C"/>
    <w:pPr>
      <w:keepNext/>
      <w:tabs>
        <w:tab w:val="left" w:pos="1021"/>
      </w:tabs>
      <w:spacing w:before="240" w:after="120"/>
      <w:ind w:left="1021" w:hanging="1021"/>
    </w:pPr>
    <w:rPr>
      <w:rFonts w:eastAsia="Calibri" w:cs="Times New Roman"/>
      <w:b/>
      <w:bCs/>
      <w:i w:val="0"/>
      <w:iCs w:val="0"/>
      <w:color w:val="00728F"/>
    </w:rPr>
  </w:style>
  <w:style w:type="paragraph" w:customStyle="1" w:styleId="Tablebullet-Level1">
    <w:name w:val="Table bullet - Level 1"/>
    <w:basedOn w:val="Tabletext"/>
    <w:uiPriority w:val="13"/>
    <w:qFormat/>
    <w:rsid w:val="0064434C"/>
    <w:pPr>
      <w:numPr>
        <w:numId w:val="30"/>
      </w:numPr>
      <w:spacing w:before="60" w:after="60"/>
    </w:pPr>
    <w:rPr>
      <w:rFonts w:eastAsia="Calibri" w:cs="Calibri"/>
      <w:sz w:val="24"/>
      <w:szCs w:val="24"/>
      <w:lang w:eastAsia="en-AU"/>
    </w:rPr>
  </w:style>
  <w:style w:type="paragraph" w:customStyle="1" w:styleId="Tabledescription">
    <w:name w:val="Table description"/>
    <w:basedOn w:val="Tablecaption"/>
    <w:uiPriority w:val="11"/>
    <w:qFormat/>
    <w:rsid w:val="0064434C"/>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64434C"/>
    <w:pPr>
      <w:keepNext/>
      <w:keepLines/>
      <w:pageBreakBefore/>
      <w:numPr>
        <w:numId w:val="39"/>
      </w:numPr>
      <w:suppressAutoHyphens w:val="0"/>
      <w:spacing w:after="120" w:line="400" w:lineRule="atLeast"/>
    </w:pPr>
    <w:rPr>
      <w:rFonts w:ascii="Cambria" w:eastAsia="Times New Roman" w:hAnsi="Cambria"/>
      <w:b w:val="0"/>
      <w:bCs/>
      <w:color w:val="0072B9"/>
      <w:kern w:val="0"/>
      <w:sz w:val="36"/>
      <w:szCs w:val="28"/>
    </w:rPr>
  </w:style>
  <w:style w:type="paragraph" w:customStyle="1" w:styleId="Titlesub-heading">
    <w:name w:val="Title sub-heading"/>
    <w:basedOn w:val="Normal"/>
    <w:next w:val="BodyText"/>
    <w:uiPriority w:val="15"/>
    <w:qFormat/>
    <w:rsid w:val="0064434C"/>
    <w:pPr>
      <w:spacing w:before="240" w:after="120" w:line="440" w:lineRule="atLeast"/>
      <w:contextualSpacing/>
    </w:pPr>
    <w:rPr>
      <w:rFonts w:ascii="Cambria" w:eastAsia="Times New Roman" w:hAnsi="Cambria" w:cs="Times New Roman"/>
      <w:color w:val="00728F"/>
      <w:kern w:val="28"/>
      <w:sz w:val="36"/>
      <w:szCs w:val="52"/>
    </w:rPr>
  </w:style>
  <w:style w:type="paragraph" w:customStyle="1" w:styleId="Endmatter-Heading2">
    <w:name w:val="End matter - Heading 2"/>
    <w:basedOn w:val="Heading2"/>
    <w:next w:val="BodyText"/>
    <w:uiPriority w:val="19"/>
    <w:qFormat/>
    <w:rsid w:val="0064434C"/>
    <w:pPr>
      <w:numPr>
        <w:ilvl w:val="1"/>
        <w:numId w:val="39"/>
      </w:numPr>
      <w:suppressAutoHyphens w:val="0"/>
      <w:spacing w:before="240" w:after="200" w:line="280" w:lineRule="atLeast"/>
    </w:pPr>
    <w:rPr>
      <w:rFonts w:ascii="Cambria" w:eastAsia="Times New Roman" w:hAnsi="Cambria"/>
      <w:bCs/>
      <w:color w:val="0072B9"/>
      <w:kern w:val="0"/>
      <w:sz w:val="26"/>
    </w:rPr>
  </w:style>
  <w:style w:type="paragraph" w:customStyle="1" w:styleId="Bodybullet-Level1">
    <w:name w:val="Body bullet - Level 1"/>
    <w:basedOn w:val="ListParagraph"/>
    <w:uiPriority w:val="1"/>
    <w:qFormat/>
    <w:rsid w:val="0064434C"/>
    <w:pPr>
      <w:numPr>
        <w:numId w:val="41"/>
      </w:numPr>
      <w:spacing w:before="60" w:after="60"/>
      <w:contextualSpacing w:val="0"/>
    </w:pPr>
    <w:rPr>
      <w:rFonts w:eastAsia="Calibri" w:cs="Times New Roman"/>
      <w:sz w:val="24"/>
      <w:szCs w:val="24"/>
    </w:rPr>
  </w:style>
  <w:style w:type="paragraph" w:customStyle="1" w:styleId="Bodybullet-Level2">
    <w:name w:val="Body bullet - Level 2"/>
    <w:basedOn w:val="Bodybullet-Level1"/>
    <w:uiPriority w:val="1"/>
    <w:qFormat/>
    <w:rsid w:val="0064434C"/>
    <w:pPr>
      <w:numPr>
        <w:ilvl w:val="1"/>
        <w:numId w:val="29"/>
      </w:numPr>
    </w:pPr>
  </w:style>
  <w:style w:type="paragraph" w:customStyle="1" w:styleId="Bodybullet-Level3">
    <w:name w:val="Body bullet - Level 3"/>
    <w:basedOn w:val="Bodybullet-Level1"/>
    <w:uiPriority w:val="1"/>
    <w:qFormat/>
    <w:rsid w:val="0064434C"/>
    <w:pPr>
      <w:numPr>
        <w:ilvl w:val="2"/>
        <w:numId w:val="29"/>
      </w:numPr>
    </w:pPr>
  </w:style>
  <w:style w:type="paragraph" w:customStyle="1" w:styleId="Tablebullet-Level2">
    <w:name w:val="Table bullet - Level 2"/>
    <w:basedOn w:val="Tablebullet-Level1"/>
    <w:uiPriority w:val="13"/>
    <w:qFormat/>
    <w:rsid w:val="0064434C"/>
    <w:pPr>
      <w:numPr>
        <w:ilvl w:val="1"/>
      </w:numPr>
    </w:pPr>
  </w:style>
  <w:style w:type="paragraph" w:customStyle="1" w:styleId="Figurecaption">
    <w:name w:val="Figure caption"/>
    <w:basedOn w:val="Caption"/>
    <w:next w:val="Figuredescription"/>
    <w:link w:val="FigurecaptionCharChar"/>
    <w:uiPriority w:val="10"/>
    <w:qFormat/>
    <w:rsid w:val="0064434C"/>
    <w:pPr>
      <w:keepNext/>
      <w:tabs>
        <w:tab w:val="left" w:pos="1021"/>
      </w:tabs>
      <w:spacing w:before="240" w:after="120"/>
      <w:ind w:left="1021" w:hanging="1021"/>
    </w:pPr>
    <w:rPr>
      <w:rFonts w:eastAsia="Calibri" w:cs="Times New Roman"/>
      <w:b/>
      <w:bCs/>
      <w:i w:val="0"/>
      <w:iCs w:val="0"/>
      <w:color w:val="00728F"/>
    </w:rPr>
  </w:style>
  <w:style w:type="paragraph" w:customStyle="1" w:styleId="Figuredescription">
    <w:name w:val="Figure description"/>
    <w:basedOn w:val="Figurecaption"/>
    <w:uiPriority w:val="10"/>
    <w:qFormat/>
    <w:rsid w:val="0064434C"/>
    <w:pPr>
      <w:tabs>
        <w:tab w:val="clear" w:pos="1021"/>
      </w:tabs>
      <w:spacing w:before="120" w:after="240"/>
      <w:ind w:firstLine="0"/>
    </w:pPr>
    <w:rPr>
      <w:b w:val="0"/>
      <w:color w:val="auto"/>
    </w:rPr>
  </w:style>
  <w:style w:type="paragraph" w:customStyle="1" w:styleId="Bodynumbered-Level2">
    <w:name w:val="Body numbered - Level 2"/>
    <w:basedOn w:val="Bodynumbered-Level1"/>
    <w:uiPriority w:val="1"/>
    <w:qFormat/>
    <w:rsid w:val="0064434C"/>
    <w:pPr>
      <w:numPr>
        <w:numId w:val="42"/>
      </w:numPr>
      <w:spacing w:before="240" w:after="240"/>
    </w:pPr>
    <w:rPr>
      <w:rFonts w:cs="Calibri"/>
      <w:b/>
    </w:rPr>
  </w:style>
  <w:style w:type="paragraph" w:customStyle="1" w:styleId="Preliminaries-Heading1">
    <w:name w:val="Preliminaries - Heading 1"/>
    <w:basedOn w:val="Heading1"/>
    <w:next w:val="BodyText"/>
    <w:uiPriority w:val="18"/>
    <w:qFormat/>
    <w:rsid w:val="0064434C"/>
    <w:pPr>
      <w:keepNext/>
      <w:keepLines/>
      <w:suppressAutoHyphens w:val="0"/>
      <w:spacing w:after="120" w:line="400" w:lineRule="atLeast"/>
    </w:pPr>
    <w:rPr>
      <w:rFonts w:ascii="Cambria" w:eastAsia="Times New Roman" w:hAnsi="Cambria"/>
      <w:b w:val="0"/>
      <w:bCs/>
      <w:color w:val="0072B9"/>
      <w:kern w:val="0"/>
      <w:sz w:val="36"/>
      <w:szCs w:val="28"/>
    </w:rPr>
  </w:style>
  <w:style w:type="paragraph" w:customStyle="1" w:styleId="Preliminaries-Heading2">
    <w:name w:val="Preliminaries - Heading 2"/>
    <w:basedOn w:val="Heading2"/>
    <w:next w:val="BodyText"/>
    <w:uiPriority w:val="18"/>
    <w:qFormat/>
    <w:rsid w:val="0064434C"/>
    <w:pPr>
      <w:suppressAutoHyphens w:val="0"/>
      <w:spacing w:before="240" w:after="200" w:line="280" w:lineRule="atLeast"/>
    </w:pPr>
    <w:rPr>
      <w:rFonts w:ascii="Cambria" w:eastAsia="Times New Roman" w:hAnsi="Cambria"/>
      <w:bCs/>
      <w:color w:val="0072B9"/>
      <w:kern w:val="0"/>
      <w:sz w:val="26"/>
    </w:rPr>
  </w:style>
  <w:style w:type="paragraph" w:customStyle="1" w:styleId="Preliminaries-Heading3">
    <w:name w:val="Preliminaries - Heading 3"/>
    <w:basedOn w:val="Heading3"/>
    <w:next w:val="BodyText"/>
    <w:uiPriority w:val="18"/>
    <w:qFormat/>
    <w:rsid w:val="0064434C"/>
    <w:pPr>
      <w:suppressAutoHyphens w:val="0"/>
      <w:spacing w:before="200" w:after="120"/>
    </w:pPr>
    <w:rPr>
      <w:rFonts w:eastAsia="Times New Roman"/>
      <w:bCs/>
      <w:color w:val="auto"/>
      <w:kern w:val="0"/>
      <w:sz w:val="24"/>
    </w:rPr>
  </w:style>
  <w:style w:type="paragraph" w:customStyle="1" w:styleId="Boxtext">
    <w:name w:val="Box text"/>
    <w:basedOn w:val="BodyText"/>
    <w:uiPriority w:val="14"/>
    <w:qFormat/>
    <w:rsid w:val="0064434C"/>
    <w:pPr>
      <w:pBdr>
        <w:top w:val="single" w:sz="4" w:space="8" w:color="00728F"/>
        <w:left w:val="single" w:sz="4" w:space="8" w:color="00728F"/>
        <w:bottom w:val="single" w:sz="4" w:space="8" w:color="00728F"/>
        <w:right w:val="single" w:sz="4" w:space="0" w:color="00728F"/>
      </w:pBdr>
      <w:shd w:val="clear" w:color="auto" w:fill="DBEEF3"/>
      <w:autoSpaceDE/>
      <w:autoSpaceDN/>
      <w:adjustRightInd/>
      <w:spacing w:before="240" w:after="240"/>
      <w:ind w:left="198"/>
    </w:pPr>
    <w:rPr>
      <w:rFonts w:ascii="Calibri" w:eastAsia="Calibri" w:hAnsi="Calibri"/>
      <w:sz w:val="22"/>
      <w:szCs w:val="22"/>
      <w:lang w:eastAsia="en-US"/>
    </w:rPr>
  </w:style>
  <w:style w:type="paragraph" w:customStyle="1" w:styleId="Boxheading">
    <w:name w:val="Box heading"/>
    <w:basedOn w:val="Boxtext"/>
    <w:next w:val="Boxtext"/>
    <w:uiPriority w:val="14"/>
    <w:qFormat/>
    <w:rsid w:val="0064434C"/>
  </w:style>
  <w:style w:type="paragraph" w:customStyle="1" w:styleId="Boxbullet">
    <w:name w:val="Box bullet"/>
    <w:basedOn w:val="Boxtext"/>
    <w:uiPriority w:val="15"/>
    <w:qFormat/>
    <w:rsid w:val="0064434C"/>
    <w:pPr>
      <w:numPr>
        <w:numId w:val="31"/>
      </w:numPr>
      <w:ind w:left="198" w:firstLine="0"/>
    </w:pPr>
  </w:style>
  <w:style w:type="paragraph" w:customStyle="1" w:styleId="Boxsub-heading">
    <w:name w:val="Box sub-heading"/>
    <w:basedOn w:val="Boxtext"/>
    <w:next w:val="Boxtext"/>
    <w:uiPriority w:val="14"/>
    <w:qFormat/>
    <w:rsid w:val="0064434C"/>
  </w:style>
  <w:style w:type="paragraph" w:customStyle="1" w:styleId="SourceNotes">
    <w:name w:val="Source/Notes"/>
    <w:basedOn w:val="BodyText"/>
    <w:next w:val="BodyText"/>
    <w:uiPriority w:val="10"/>
    <w:qFormat/>
    <w:rsid w:val="0064434C"/>
    <w:pPr>
      <w:autoSpaceDE/>
      <w:autoSpaceDN/>
      <w:adjustRightInd/>
      <w:spacing w:before="0" w:after="240"/>
    </w:pPr>
    <w:rPr>
      <w:rFonts w:ascii="Calibri" w:eastAsia="Calibri" w:hAnsi="Calibri"/>
      <w:sz w:val="20"/>
      <w:szCs w:val="22"/>
      <w:lang w:eastAsia="en-US"/>
    </w:rPr>
  </w:style>
  <w:style w:type="paragraph" w:customStyle="1" w:styleId="Boxcaption">
    <w:name w:val="Box caption"/>
    <w:basedOn w:val="Caption"/>
    <w:uiPriority w:val="14"/>
    <w:qFormat/>
    <w:rsid w:val="0064434C"/>
    <w:pPr>
      <w:tabs>
        <w:tab w:val="left" w:pos="1021"/>
      </w:tabs>
      <w:spacing w:before="240" w:after="120"/>
      <w:ind w:left="1021" w:hanging="1021"/>
    </w:pPr>
    <w:rPr>
      <w:rFonts w:eastAsia="Calibri" w:cs="Times New Roman"/>
      <w:b/>
      <w:bCs/>
      <w:i w:val="0"/>
      <w:iCs w:val="0"/>
      <w:color w:val="00728F"/>
    </w:rPr>
  </w:style>
  <w:style w:type="paragraph" w:customStyle="1" w:styleId="Endmatter-Heading3">
    <w:name w:val="End matter - Heading 3"/>
    <w:basedOn w:val="Heading3"/>
    <w:next w:val="BodyText"/>
    <w:uiPriority w:val="19"/>
    <w:qFormat/>
    <w:rsid w:val="0064434C"/>
    <w:pPr>
      <w:suppressAutoHyphens w:val="0"/>
      <w:spacing w:before="200" w:after="120"/>
      <w:ind w:left="907" w:hanging="907"/>
    </w:pPr>
    <w:rPr>
      <w:rFonts w:eastAsia="Times New Roman"/>
      <w:bCs/>
      <w:color w:val="auto"/>
      <w:kern w:val="0"/>
      <w:sz w:val="24"/>
    </w:rPr>
  </w:style>
  <w:style w:type="paragraph" w:customStyle="1" w:styleId="Titledate">
    <w:name w:val="Title date"/>
    <w:basedOn w:val="Normal"/>
    <w:uiPriority w:val="16"/>
    <w:qFormat/>
    <w:rsid w:val="0064434C"/>
    <w:pPr>
      <w:spacing w:before="80" w:after="120" w:line="460" w:lineRule="atLeast"/>
      <w:contextualSpacing/>
    </w:pPr>
    <w:rPr>
      <w:rFonts w:ascii="Cambria" w:eastAsia="Times New Roman" w:hAnsi="Cambria" w:cs="Times New Roman"/>
      <w:b/>
      <w:color w:val="00728F"/>
      <w:kern w:val="28"/>
      <w:sz w:val="32"/>
      <w:szCs w:val="52"/>
    </w:rPr>
  </w:style>
  <w:style w:type="paragraph" w:customStyle="1" w:styleId="Boxlist-Numbered">
    <w:name w:val="Box list - Numbered"/>
    <w:basedOn w:val="Boxtext"/>
    <w:uiPriority w:val="15"/>
    <w:qFormat/>
    <w:rsid w:val="0064434C"/>
    <w:pPr>
      <w:numPr>
        <w:numId w:val="32"/>
      </w:numPr>
      <w:ind w:left="198" w:firstLine="0"/>
    </w:pPr>
  </w:style>
  <w:style w:type="paragraph" w:customStyle="1" w:styleId="Boxlist-Alpha">
    <w:name w:val="Box list - Alpha"/>
    <w:basedOn w:val="Boxtext"/>
    <w:uiPriority w:val="15"/>
    <w:qFormat/>
    <w:rsid w:val="0064434C"/>
    <w:pPr>
      <w:numPr>
        <w:numId w:val="33"/>
      </w:numPr>
      <w:ind w:left="198" w:firstLine="0"/>
    </w:pPr>
  </w:style>
  <w:style w:type="paragraph" w:customStyle="1" w:styleId="FigureImagewithrule">
    <w:name w:val="Figure/Image with rule"/>
    <w:basedOn w:val="BodyText"/>
    <w:next w:val="SourceNotes"/>
    <w:uiPriority w:val="10"/>
    <w:qFormat/>
    <w:rsid w:val="0064434C"/>
    <w:pPr>
      <w:pBdr>
        <w:bottom w:val="single" w:sz="4" w:space="8" w:color="00728F"/>
      </w:pBdr>
      <w:autoSpaceDE/>
      <w:autoSpaceDN/>
      <w:adjustRightInd/>
      <w:spacing w:before="240" w:after="0"/>
    </w:pPr>
    <w:rPr>
      <w:rFonts w:ascii="Calibri" w:eastAsia="Calibri" w:hAnsi="Calibri"/>
      <w:sz w:val="22"/>
      <w:szCs w:val="22"/>
      <w:lang w:eastAsia="en-US"/>
    </w:rPr>
  </w:style>
  <w:style w:type="paragraph" w:customStyle="1" w:styleId="Tablelist-Numbered">
    <w:name w:val="Table list - Numbered"/>
    <w:basedOn w:val="Tabletext"/>
    <w:uiPriority w:val="13"/>
    <w:qFormat/>
    <w:rsid w:val="0064434C"/>
    <w:pPr>
      <w:numPr>
        <w:numId w:val="34"/>
      </w:numPr>
      <w:spacing w:before="60" w:after="60"/>
    </w:pPr>
    <w:rPr>
      <w:rFonts w:eastAsia="Calibri" w:cs="Calibri"/>
      <w:sz w:val="24"/>
      <w:szCs w:val="24"/>
      <w:lang w:eastAsia="en-AU"/>
    </w:rPr>
  </w:style>
  <w:style w:type="paragraph" w:customStyle="1" w:styleId="Tablecellsub-heading">
    <w:name w:val="Table cell sub-heading"/>
    <w:basedOn w:val="Tablecellheading"/>
    <w:uiPriority w:val="12"/>
    <w:qFormat/>
    <w:rsid w:val="0064434C"/>
  </w:style>
  <w:style w:type="numbering" w:styleId="111111">
    <w:name w:val="Outline List 2"/>
    <w:basedOn w:val="NoList"/>
    <w:uiPriority w:val="99"/>
    <w:semiHidden/>
    <w:unhideWhenUsed/>
    <w:rsid w:val="0064434C"/>
    <w:pPr>
      <w:numPr>
        <w:numId w:val="35"/>
      </w:numPr>
    </w:pPr>
  </w:style>
  <w:style w:type="numbering" w:styleId="1ai">
    <w:name w:val="Outline List 1"/>
    <w:basedOn w:val="NoList"/>
    <w:uiPriority w:val="99"/>
    <w:semiHidden/>
    <w:unhideWhenUsed/>
    <w:rsid w:val="0064434C"/>
    <w:pPr>
      <w:numPr>
        <w:numId w:val="36"/>
      </w:numPr>
    </w:pPr>
  </w:style>
  <w:style w:type="numbering" w:styleId="ArticleSection">
    <w:name w:val="Outline List 3"/>
    <w:basedOn w:val="NoList"/>
    <w:uiPriority w:val="99"/>
    <w:semiHidden/>
    <w:unhideWhenUsed/>
    <w:rsid w:val="0064434C"/>
    <w:pPr>
      <w:numPr>
        <w:numId w:val="37"/>
      </w:numPr>
    </w:pPr>
  </w:style>
  <w:style w:type="paragraph" w:styleId="Bibliography">
    <w:name w:val="Bibliography"/>
    <w:basedOn w:val="Normal"/>
    <w:next w:val="Normal"/>
    <w:uiPriority w:val="37"/>
    <w:semiHidden/>
    <w:unhideWhenUsed/>
    <w:rsid w:val="0064434C"/>
    <w:pPr>
      <w:spacing w:before="240" w:after="0"/>
    </w:pPr>
    <w:rPr>
      <w:rFonts w:eastAsia="Calibri" w:cs="Times New Roman"/>
    </w:rPr>
  </w:style>
  <w:style w:type="paragraph" w:styleId="BlockText">
    <w:name w:val="Block Text"/>
    <w:basedOn w:val="Normal"/>
    <w:uiPriority w:val="99"/>
    <w:semiHidden/>
    <w:rsid w:val="0064434C"/>
    <w:pPr>
      <w:pBdr>
        <w:top w:val="single" w:sz="2" w:space="10" w:color="00728F" w:shadow="1" w:frame="1"/>
        <w:left w:val="single" w:sz="2" w:space="10" w:color="00728F" w:shadow="1" w:frame="1"/>
        <w:bottom w:val="single" w:sz="2" w:space="10" w:color="00728F" w:shadow="1" w:frame="1"/>
        <w:right w:val="single" w:sz="2" w:space="10" w:color="00728F" w:shadow="1" w:frame="1"/>
      </w:pBdr>
      <w:spacing w:before="240" w:after="0"/>
      <w:ind w:left="1152" w:right="1152"/>
    </w:pPr>
    <w:rPr>
      <w:rFonts w:eastAsia="Times New Roman" w:cs="Times New Roman"/>
      <w:i/>
      <w:iCs/>
      <w:color w:val="00728F"/>
    </w:rPr>
  </w:style>
  <w:style w:type="paragraph" w:styleId="BodyText2">
    <w:name w:val="Body Text 2"/>
    <w:basedOn w:val="Normal"/>
    <w:link w:val="BodyText2Char"/>
    <w:uiPriority w:val="99"/>
    <w:semiHidden/>
    <w:rsid w:val="0064434C"/>
    <w:pPr>
      <w:spacing w:before="240" w:after="120" w:line="480" w:lineRule="auto"/>
    </w:pPr>
    <w:rPr>
      <w:rFonts w:eastAsia="Calibri" w:cs="Times New Roman"/>
    </w:rPr>
  </w:style>
  <w:style w:type="character" w:customStyle="1" w:styleId="BodyText2Char">
    <w:name w:val="Body Text 2 Char"/>
    <w:basedOn w:val="DefaultParagraphFont"/>
    <w:link w:val="BodyText2"/>
    <w:uiPriority w:val="99"/>
    <w:semiHidden/>
    <w:rsid w:val="0064434C"/>
    <w:rPr>
      <w:rFonts w:ascii="Calibri" w:eastAsia="Calibri" w:hAnsi="Calibri" w:cs="Times New Roman"/>
    </w:rPr>
  </w:style>
  <w:style w:type="paragraph" w:styleId="BodyText3">
    <w:name w:val="Body Text 3"/>
    <w:basedOn w:val="Normal"/>
    <w:link w:val="BodyText3Char"/>
    <w:uiPriority w:val="99"/>
    <w:semiHidden/>
    <w:rsid w:val="0064434C"/>
    <w:pPr>
      <w:spacing w:before="240" w:after="120"/>
    </w:pPr>
    <w:rPr>
      <w:rFonts w:eastAsia="Calibri" w:cs="Times New Roman"/>
      <w:sz w:val="16"/>
      <w:szCs w:val="16"/>
    </w:rPr>
  </w:style>
  <w:style w:type="character" w:customStyle="1" w:styleId="BodyText3Char">
    <w:name w:val="Body Text 3 Char"/>
    <w:basedOn w:val="DefaultParagraphFont"/>
    <w:link w:val="BodyText3"/>
    <w:uiPriority w:val="99"/>
    <w:semiHidden/>
    <w:rsid w:val="0064434C"/>
    <w:rPr>
      <w:rFonts w:ascii="Calibri" w:eastAsia="Calibri" w:hAnsi="Calibri" w:cs="Times New Roman"/>
      <w:sz w:val="16"/>
      <w:szCs w:val="16"/>
    </w:rPr>
  </w:style>
  <w:style w:type="paragraph" w:styleId="BodyTextFirstIndent">
    <w:name w:val="Body Text First Indent"/>
    <w:basedOn w:val="BodyText"/>
    <w:link w:val="BodyTextFirstIndentChar"/>
    <w:uiPriority w:val="99"/>
    <w:semiHidden/>
    <w:rsid w:val="0064434C"/>
    <w:pPr>
      <w:autoSpaceDE/>
      <w:autoSpaceDN/>
      <w:adjustRightInd/>
      <w:spacing w:before="0" w:after="0"/>
      <w:ind w:firstLine="360"/>
    </w:pPr>
    <w:rPr>
      <w:rFonts w:ascii="Calibri" w:eastAsia="Calibri" w:hAnsi="Calibri"/>
      <w:sz w:val="22"/>
      <w:szCs w:val="22"/>
      <w:lang w:eastAsia="en-US"/>
    </w:rPr>
  </w:style>
  <w:style w:type="character" w:customStyle="1" w:styleId="BodyTextFirstIndentChar">
    <w:name w:val="Body Text First Indent Char"/>
    <w:basedOn w:val="BodyTextChar"/>
    <w:link w:val="BodyTextFirstIndent"/>
    <w:uiPriority w:val="99"/>
    <w:semiHidden/>
    <w:rsid w:val="0064434C"/>
    <w:rPr>
      <w:rFonts w:ascii="Calibri" w:eastAsia="Calibri" w:hAnsi="Calibri" w:cs="Times New Roman"/>
      <w:sz w:val="24"/>
      <w:szCs w:val="24"/>
      <w:lang w:eastAsia="en-AU"/>
    </w:rPr>
  </w:style>
  <w:style w:type="paragraph" w:styleId="BodyTextIndent">
    <w:name w:val="Body Text Indent"/>
    <w:basedOn w:val="Normal"/>
    <w:link w:val="BodyTextIndentChar"/>
    <w:uiPriority w:val="99"/>
    <w:semiHidden/>
    <w:rsid w:val="0064434C"/>
    <w:pPr>
      <w:spacing w:before="240" w:after="120"/>
      <w:ind w:left="283"/>
    </w:pPr>
    <w:rPr>
      <w:rFonts w:eastAsia="Calibri" w:cs="Times New Roman"/>
    </w:rPr>
  </w:style>
  <w:style w:type="character" w:customStyle="1" w:styleId="BodyTextIndentChar">
    <w:name w:val="Body Text Indent Char"/>
    <w:basedOn w:val="DefaultParagraphFont"/>
    <w:link w:val="BodyTextIndent"/>
    <w:uiPriority w:val="99"/>
    <w:semiHidden/>
    <w:rsid w:val="0064434C"/>
    <w:rPr>
      <w:rFonts w:ascii="Calibri" w:eastAsia="Calibri" w:hAnsi="Calibri" w:cs="Times New Roman"/>
    </w:rPr>
  </w:style>
  <w:style w:type="paragraph" w:styleId="BodyTextFirstIndent2">
    <w:name w:val="Body Text First Indent 2"/>
    <w:basedOn w:val="BodyTextIndent"/>
    <w:link w:val="BodyTextFirstIndent2Char"/>
    <w:uiPriority w:val="99"/>
    <w:semiHidden/>
    <w:rsid w:val="0064434C"/>
    <w:pPr>
      <w:spacing w:after="0"/>
      <w:ind w:left="360" w:firstLine="360"/>
    </w:pPr>
  </w:style>
  <w:style w:type="character" w:customStyle="1" w:styleId="BodyTextFirstIndent2Char">
    <w:name w:val="Body Text First Indent 2 Char"/>
    <w:basedOn w:val="BodyTextIndentChar"/>
    <w:link w:val="BodyTextFirstIndent2"/>
    <w:uiPriority w:val="99"/>
    <w:semiHidden/>
    <w:rsid w:val="0064434C"/>
    <w:rPr>
      <w:rFonts w:ascii="Calibri" w:eastAsia="Calibri" w:hAnsi="Calibri" w:cs="Times New Roman"/>
    </w:rPr>
  </w:style>
  <w:style w:type="paragraph" w:styleId="BodyTextIndent3">
    <w:name w:val="Body Text Indent 3"/>
    <w:basedOn w:val="Normal"/>
    <w:link w:val="BodyTextIndent3Char"/>
    <w:uiPriority w:val="99"/>
    <w:semiHidden/>
    <w:rsid w:val="0064434C"/>
    <w:pPr>
      <w:spacing w:before="240" w:after="120"/>
      <w:ind w:left="283"/>
    </w:pPr>
    <w:rPr>
      <w:rFonts w:eastAsia="Calibri" w:cs="Times New Roman"/>
      <w:sz w:val="16"/>
      <w:szCs w:val="16"/>
    </w:rPr>
  </w:style>
  <w:style w:type="character" w:customStyle="1" w:styleId="BodyTextIndent3Char">
    <w:name w:val="Body Text Indent 3 Char"/>
    <w:basedOn w:val="DefaultParagraphFont"/>
    <w:link w:val="BodyTextIndent3"/>
    <w:uiPriority w:val="99"/>
    <w:semiHidden/>
    <w:rsid w:val="0064434C"/>
    <w:rPr>
      <w:rFonts w:ascii="Calibri" w:eastAsia="Calibri" w:hAnsi="Calibri" w:cs="Times New Roman"/>
      <w:sz w:val="16"/>
      <w:szCs w:val="16"/>
    </w:rPr>
  </w:style>
  <w:style w:type="character" w:styleId="BookTitle">
    <w:name w:val="Book Title"/>
    <w:uiPriority w:val="33"/>
    <w:qFormat/>
    <w:rsid w:val="0064434C"/>
    <w:rPr>
      <w:b/>
      <w:bCs/>
      <w:smallCaps/>
      <w:spacing w:val="5"/>
    </w:rPr>
  </w:style>
  <w:style w:type="paragraph" w:styleId="Closing">
    <w:name w:val="Closing"/>
    <w:basedOn w:val="Normal"/>
    <w:link w:val="ClosingChar"/>
    <w:uiPriority w:val="99"/>
    <w:semiHidden/>
    <w:rsid w:val="0064434C"/>
    <w:pPr>
      <w:spacing w:before="240" w:after="0"/>
      <w:ind w:left="4252"/>
    </w:pPr>
    <w:rPr>
      <w:rFonts w:eastAsia="Calibri" w:cs="Times New Roman"/>
    </w:rPr>
  </w:style>
  <w:style w:type="character" w:customStyle="1" w:styleId="ClosingChar">
    <w:name w:val="Closing Char"/>
    <w:basedOn w:val="DefaultParagraphFont"/>
    <w:link w:val="Closing"/>
    <w:uiPriority w:val="99"/>
    <w:semiHidden/>
    <w:rsid w:val="0064434C"/>
    <w:rPr>
      <w:rFonts w:ascii="Calibri" w:eastAsia="Calibri" w:hAnsi="Calibri" w:cs="Times New Roman"/>
    </w:rPr>
  </w:style>
  <w:style w:type="paragraph" w:styleId="Date">
    <w:name w:val="Date"/>
    <w:basedOn w:val="Normal"/>
    <w:next w:val="Normal"/>
    <w:link w:val="DateChar"/>
    <w:uiPriority w:val="99"/>
    <w:semiHidden/>
    <w:rsid w:val="0064434C"/>
    <w:pPr>
      <w:spacing w:before="240" w:after="0"/>
    </w:pPr>
    <w:rPr>
      <w:rFonts w:eastAsia="Calibri" w:cs="Times New Roman"/>
    </w:rPr>
  </w:style>
  <w:style w:type="character" w:customStyle="1" w:styleId="DateChar">
    <w:name w:val="Date Char"/>
    <w:basedOn w:val="DefaultParagraphFont"/>
    <w:link w:val="Date"/>
    <w:uiPriority w:val="99"/>
    <w:semiHidden/>
    <w:rsid w:val="0064434C"/>
    <w:rPr>
      <w:rFonts w:ascii="Calibri" w:eastAsia="Calibri" w:hAnsi="Calibri" w:cs="Times New Roman"/>
    </w:rPr>
  </w:style>
  <w:style w:type="paragraph" w:styleId="E-mailSignature">
    <w:name w:val="E-mail Signature"/>
    <w:basedOn w:val="Normal"/>
    <w:link w:val="E-mailSignatureChar"/>
    <w:uiPriority w:val="99"/>
    <w:semiHidden/>
    <w:rsid w:val="0064434C"/>
    <w:pPr>
      <w:spacing w:before="240" w:after="0"/>
    </w:pPr>
    <w:rPr>
      <w:rFonts w:eastAsia="Calibri" w:cs="Times New Roman"/>
    </w:rPr>
  </w:style>
  <w:style w:type="character" w:customStyle="1" w:styleId="E-mailSignatureChar">
    <w:name w:val="E-mail Signature Char"/>
    <w:basedOn w:val="DefaultParagraphFont"/>
    <w:link w:val="E-mailSignature"/>
    <w:uiPriority w:val="99"/>
    <w:semiHidden/>
    <w:rsid w:val="0064434C"/>
    <w:rPr>
      <w:rFonts w:ascii="Calibri" w:eastAsia="Calibri" w:hAnsi="Calibri" w:cs="Times New Roman"/>
    </w:rPr>
  </w:style>
  <w:style w:type="character" w:styleId="EndnoteReference">
    <w:name w:val="endnote reference"/>
    <w:uiPriority w:val="99"/>
    <w:semiHidden/>
    <w:unhideWhenUsed/>
    <w:rsid w:val="0064434C"/>
    <w:rPr>
      <w:vertAlign w:val="superscript"/>
    </w:rPr>
  </w:style>
  <w:style w:type="paragraph" w:styleId="EndnoteText">
    <w:name w:val="endnote text"/>
    <w:basedOn w:val="Normal"/>
    <w:link w:val="EndnoteTextChar"/>
    <w:uiPriority w:val="99"/>
    <w:semiHidden/>
    <w:unhideWhenUsed/>
    <w:rsid w:val="0064434C"/>
    <w:pPr>
      <w:spacing w:before="240" w:after="0"/>
    </w:pPr>
    <w:rPr>
      <w:rFonts w:eastAsia="Calibri" w:cs="Times New Roman"/>
      <w:sz w:val="20"/>
      <w:szCs w:val="20"/>
    </w:rPr>
  </w:style>
  <w:style w:type="character" w:customStyle="1" w:styleId="EndnoteTextChar">
    <w:name w:val="Endnote Text Char"/>
    <w:basedOn w:val="DefaultParagraphFont"/>
    <w:link w:val="EndnoteText"/>
    <w:uiPriority w:val="99"/>
    <w:semiHidden/>
    <w:rsid w:val="0064434C"/>
    <w:rPr>
      <w:rFonts w:ascii="Calibri" w:eastAsia="Calibri" w:hAnsi="Calibri" w:cs="Times New Roman"/>
      <w:sz w:val="20"/>
      <w:szCs w:val="20"/>
    </w:rPr>
  </w:style>
  <w:style w:type="paragraph" w:styleId="EnvelopeAddress">
    <w:name w:val="envelope address"/>
    <w:basedOn w:val="Normal"/>
    <w:uiPriority w:val="99"/>
    <w:semiHidden/>
    <w:rsid w:val="0064434C"/>
    <w:pPr>
      <w:framePr w:w="7920" w:h="1980" w:hRule="exact" w:hSpace="180" w:wrap="auto" w:hAnchor="page" w:xAlign="center" w:yAlign="bottom"/>
      <w:spacing w:before="240" w:after="0"/>
      <w:ind w:left="2880"/>
    </w:pPr>
    <w:rPr>
      <w:rFonts w:ascii="Cambria" w:eastAsia="Times New Roman" w:hAnsi="Cambria" w:cs="Times New Roman"/>
      <w:sz w:val="24"/>
      <w:szCs w:val="24"/>
    </w:rPr>
  </w:style>
  <w:style w:type="paragraph" w:styleId="EnvelopeReturn">
    <w:name w:val="envelope return"/>
    <w:basedOn w:val="Normal"/>
    <w:uiPriority w:val="99"/>
    <w:semiHidden/>
    <w:rsid w:val="0064434C"/>
    <w:pPr>
      <w:spacing w:before="240" w:after="0"/>
    </w:pPr>
    <w:rPr>
      <w:rFonts w:ascii="Cambria" w:eastAsia="Times New Roman" w:hAnsi="Cambria" w:cs="Times New Roman"/>
      <w:sz w:val="20"/>
      <w:szCs w:val="20"/>
    </w:rPr>
  </w:style>
  <w:style w:type="character" w:styleId="HTMLAcronym">
    <w:name w:val="HTML Acronym"/>
    <w:basedOn w:val="DefaultParagraphFont"/>
    <w:uiPriority w:val="99"/>
    <w:semiHidden/>
    <w:rsid w:val="0064434C"/>
  </w:style>
  <w:style w:type="paragraph" w:styleId="HTMLAddress">
    <w:name w:val="HTML Address"/>
    <w:basedOn w:val="Normal"/>
    <w:link w:val="HTMLAddressChar"/>
    <w:uiPriority w:val="99"/>
    <w:semiHidden/>
    <w:rsid w:val="0064434C"/>
    <w:pPr>
      <w:spacing w:before="240" w:after="0"/>
    </w:pPr>
    <w:rPr>
      <w:rFonts w:eastAsia="Calibri" w:cs="Times New Roman"/>
      <w:i/>
      <w:iCs/>
    </w:rPr>
  </w:style>
  <w:style w:type="character" w:customStyle="1" w:styleId="HTMLAddressChar">
    <w:name w:val="HTML Address Char"/>
    <w:basedOn w:val="DefaultParagraphFont"/>
    <w:link w:val="HTMLAddress"/>
    <w:uiPriority w:val="99"/>
    <w:semiHidden/>
    <w:rsid w:val="0064434C"/>
    <w:rPr>
      <w:rFonts w:ascii="Calibri" w:eastAsia="Calibri" w:hAnsi="Calibri" w:cs="Times New Roman"/>
      <w:i/>
      <w:iCs/>
    </w:rPr>
  </w:style>
  <w:style w:type="character" w:styleId="HTMLCite">
    <w:name w:val="HTML Cite"/>
    <w:uiPriority w:val="99"/>
    <w:semiHidden/>
    <w:rsid w:val="0064434C"/>
    <w:rPr>
      <w:i/>
      <w:iCs/>
    </w:rPr>
  </w:style>
  <w:style w:type="character" w:styleId="HTMLCode">
    <w:name w:val="HTML Code"/>
    <w:uiPriority w:val="99"/>
    <w:semiHidden/>
    <w:rsid w:val="0064434C"/>
    <w:rPr>
      <w:rFonts w:ascii="Consolas" w:hAnsi="Consolas" w:cs="Consolas"/>
      <w:sz w:val="20"/>
      <w:szCs w:val="20"/>
    </w:rPr>
  </w:style>
  <w:style w:type="character" w:styleId="HTMLDefinition">
    <w:name w:val="HTML Definition"/>
    <w:uiPriority w:val="99"/>
    <w:semiHidden/>
    <w:rsid w:val="0064434C"/>
    <w:rPr>
      <w:i/>
      <w:iCs/>
    </w:rPr>
  </w:style>
  <w:style w:type="character" w:styleId="HTMLKeyboard">
    <w:name w:val="HTML Keyboard"/>
    <w:uiPriority w:val="99"/>
    <w:semiHidden/>
    <w:rsid w:val="0064434C"/>
    <w:rPr>
      <w:rFonts w:ascii="Consolas" w:hAnsi="Consolas" w:cs="Consolas"/>
      <w:sz w:val="20"/>
      <w:szCs w:val="20"/>
    </w:rPr>
  </w:style>
  <w:style w:type="paragraph" w:styleId="HTMLPreformatted">
    <w:name w:val="HTML Preformatted"/>
    <w:basedOn w:val="Normal"/>
    <w:link w:val="HTMLPreformattedChar"/>
    <w:uiPriority w:val="99"/>
    <w:semiHidden/>
    <w:rsid w:val="0064434C"/>
    <w:pPr>
      <w:spacing w:before="240" w:after="0"/>
    </w:pPr>
    <w:rPr>
      <w:rFonts w:ascii="Consolas" w:eastAsia="Calibri" w:hAnsi="Consolas" w:cs="Consolas"/>
      <w:sz w:val="20"/>
      <w:szCs w:val="20"/>
    </w:rPr>
  </w:style>
  <w:style w:type="character" w:customStyle="1" w:styleId="HTMLPreformattedChar">
    <w:name w:val="HTML Preformatted Char"/>
    <w:basedOn w:val="DefaultParagraphFont"/>
    <w:link w:val="HTMLPreformatted"/>
    <w:uiPriority w:val="99"/>
    <w:semiHidden/>
    <w:rsid w:val="0064434C"/>
    <w:rPr>
      <w:rFonts w:ascii="Consolas" w:eastAsia="Calibri" w:hAnsi="Consolas" w:cs="Consolas"/>
      <w:sz w:val="20"/>
      <w:szCs w:val="20"/>
    </w:rPr>
  </w:style>
  <w:style w:type="character" w:styleId="HTMLSample">
    <w:name w:val="HTML Sample"/>
    <w:uiPriority w:val="99"/>
    <w:semiHidden/>
    <w:rsid w:val="0064434C"/>
    <w:rPr>
      <w:rFonts w:ascii="Consolas" w:hAnsi="Consolas" w:cs="Consolas"/>
      <w:sz w:val="24"/>
      <w:szCs w:val="24"/>
    </w:rPr>
  </w:style>
  <w:style w:type="character" w:styleId="HTMLTypewriter">
    <w:name w:val="HTML Typewriter"/>
    <w:uiPriority w:val="99"/>
    <w:semiHidden/>
    <w:rsid w:val="0064434C"/>
    <w:rPr>
      <w:rFonts w:ascii="Consolas" w:hAnsi="Consolas" w:cs="Consolas"/>
      <w:sz w:val="20"/>
      <w:szCs w:val="20"/>
    </w:rPr>
  </w:style>
  <w:style w:type="character" w:styleId="HTMLVariable">
    <w:name w:val="HTML Variable"/>
    <w:uiPriority w:val="99"/>
    <w:semiHidden/>
    <w:rsid w:val="0064434C"/>
    <w:rPr>
      <w:i/>
      <w:iCs/>
    </w:rPr>
  </w:style>
  <w:style w:type="paragraph" w:styleId="Index1">
    <w:name w:val="index 1"/>
    <w:basedOn w:val="Normal"/>
    <w:next w:val="Normal"/>
    <w:autoRedefine/>
    <w:uiPriority w:val="99"/>
    <w:semiHidden/>
    <w:rsid w:val="0064434C"/>
    <w:pPr>
      <w:spacing w:before="240" w:after="0"/>
      <w:ind w:left="220" w:hanging="220"/>
    </w:pPr>
    <w:rPr>
      <w:rFonts w:eastAsia="Calibri" w:cs="Times New Roman"/>
    </w:rPr>
  </w:style>
  <w:style w:type="paragraph" w:styleId="Index2">
    <w:name w:val="index 2"/>
    <w:basedOn w:val="Normal"/>
    <w:next w:val="Normal"/>
    <w:autoRedefine/>
    <w:uiPriority w:val="99"/>
    <w:semiHidden/>
    <w:rsid w:val="0064434C"/>
    <w:pPr>
      <w:spacing w:before="240" w:after="0"/>
      <w:ind w:left="440" w:hanging="220"/>
    </w:pPr>
    <w:rPr>
      <w:rFonts w:eastAsia="Calibri" w:cs="Times New Roman"/>
    </w:rPr>
  </w:style>
  <w:style w:type="paragraph" w:styleId="Index3">
    <w:name w:val="index 3"/>
    <w:basedOn w:val="Normal"/>
    <w:next w:val="Normal"/>
    <w:autoRedefine/>
    <w:uiPriority w:val="99"/>
    <w:semiHidden/>
    <w:rsid w:val="0064434C"/>
    <w:pPr>
      <w:spacing w:before="240" w:after="0"/>
      <w:ind w:left="660" w:hanging="220"/>
    </w:pPr>
    <w:rPr>
      <w:rFonts w:eastAsia="Calibri" w:cs="Times New Roman"/>
    </w:rPr>
  </w:style>
  <w:style w:type="paragraph" w:styleId="Index4">
    <w:name w:val="index 4"/>
    <w:basedOn w:val="Normal"/>
    <w:next w:val="Normal"/>
    <w:autoRedefine/>
    <w:uiPriority w:val="99"/>
    <w:semiHidden/>
    <w:rsid w:val="0064434C"/>
    <w:pPr>
      <w:spacing w:before="240" w:after="0"/>
      <w:ind w:left="880" w:hanging="220"/>
    </w:pPr>
    <w:rPr>
      <w:rFonts w:eastAsia="Calibri" w:cs="Times New Roman"/>
    </w:rPr>
  </w:style>
  <w:style w:type="paragraph" w:styleId="Index5">
    <w:name w:val="index 5"/>
    <w:basedOn w:val="Normal"/>
    <w:next w:val="Normal"/>
    <w:autoRedefine/>
    <w:uiPriority w:val="99"/>
    <w:semiHidden/>
    <w:rsid w:val="0064434C"/>
    <w:pPr>
      <w:spacing w:before="240" w:after="0"/>
      <w:ind w:left="1100" w:hanging="220"/>
    </w:pPr>
    <w:rPr>
      <w:rFonts w:eastAsia="Calibri" w:cs="Times New Roman"/>
    </w:rPr>
  </w:style>
  <w:style w:type="paragraph" w:styleId="Index6">
    <w:name w:val="index 6"/>
    <w:basedOn w:val="Normal"/>
    <w:next w:val="Normal"/>
    <w:autoRedefine/>
    <w:uiPriority w:val="99"/>
    <w:semiHidden/>
    <w:rsid w:val="0064434C"/>
    <w:pPr>
      <w:spacing w:before="240" w:after="0"/>
      <w:ind w:left="1320" w:hanging="220"/>
    </w:pPr>
    <w:rPr>
      <w:rFonts w:eastAsia="Calibri" w:cs="Times New Roman"/>
    </w:rPr>
  </w:style>
  <w:style w:type="paragraph" w:styleId="Index7">
    <w:name w:val="index 7"/>
    <w:basedOn w:val="Normal"/>
    <w:next w:val="Normal"/>
    <w:autoRedefine/>
    <w:uiPriority w:val="99"/>
    <w:semiHidden/>
    <w:rsid w:val="0064434C"/>
    <w:pPr>
      <w:spacing w:before="240" w:after="0"/>
      <w:ind w:left="1540" w:hanging="220"/>
    </w:pPr>
    <w:rPr>
      <w:rFonts w:eastAsia="Calibri" w:cs="Times New Roman"/>
    </w:rPr>
  </w:style>
  <w:style w:type="paragraph" w:styleId="Index8">
    <w:name w:val="index 8"/>
    <w:basedOn w:val="Normal"/>
    <w:next w:val="Normal"/>
    <w:autoRedefine/>
    <w:uiPriority w:val="99"/>
    <w:semiHidden/>
    <w:rsid w:val="0064434C"/>
    <w:pPr>
      <w:spacing w:before="240" w:after="0"/>
      <w:ind w:left="1760" w:hanging="220"/>
    </w:pPr>
    <w:rPr>
      <w:rFonts w:eastAsia="Calibri" w:cs="Times New Roman"/>
    </w:rPr>
  </w:style>
  <w:style w:type="paragraph" w:styleId="Index9">
    <w:name w:val="index 9"/>
    <w:basedOn w:val="Normal"/>
    <w:next w:val="Normal"/>
    <w:autoRedefine/>
    <w:uiPriority w:val="99"/>
    <w:semiHidden/>
    <w:rsid w:val="0064434C"/>
    <w:pPr>
      <w:spacing w:before="240" w:after="0"/>
      <w:ind w:left="1980" w:hanging="220"/>
    </w:pPr>
    <w:rPr>
      <w:rFonts w:eastAsia="Calibri" w:cs="Times New Roman"/>
    </w:rPr>
  </w:style>
  <w:style w:type="paragraph" w:styleId="IndexHeading">
    <w:name w:val="index heading"/>
    <w:basedOn w:val="Normal"/>
    <w:next w:val="Index1"/>
    <w:uiPriority w:val="99"/>
    <w:semiHidden/>
    <w:rsid w:val="0064434C"/>
    <w:pPr>
      <w:spacing w:before="240" w:after="0"/>
    </w:pPr>
    <w:rPr>
      <w:rFonts w:ascii="Cambria" w:eastAsia="Times New Roman" w:hAnsi="Cambria" w:cs="Times New Roman"/>
      <w:b/>
      <w:bCs/>
    </w:rPr>
  </w:style>
  <w:style w:type="paragraph" w:styleId="IntenseQuote">
    <w:name w:val="Intense Quote"/>
    <w:basedOn w:val="Normal"/>
    <w:next w:val="Normal"/>
    <w:link w:val="IntenseQuoteChar"/>
    <w:uiPriority w:val="30"/>
    <w:qFormat/>
    <w:rsid w:val="0064434C"/>
    <w:pPr>
      <w:pBdr>
        <w:bottom w:val="single" w:sz="4" w:space="4" w:color="00728F"/>
      </w:pBdr>
      <w:spacing w:before="200" w:after="280"/>
      <w:ind w:left="936" w:right="936"/>
    </w:pPr>
    <w:rPr>
      <w:rFonts w:eastAsia="Calibri" w:cs="Times New Roman"/>
      <w:b/>
      <w:bCs/>
      <w:i/>
      <w:iCs/>
      <w:color w:val="00728F"/>
    </w:rPr>
  </w:style>
  <w:style w:type="character" w:customStyle="1" w:styleId="IntenseQuoteChar">
    <w:name w:val="Intense Quote Char"/>
    <w:basedOn w:val="DefaultParagraphFont"/>
    <w:link w:val="IntenseQuote"/>
    <w:uiPriority w:val="30"/>
    <w:rsid w:val="0064434C"/>
    <w:rPr>
      <w:rFonts w:ascii="Calibri" w:eastAsia="Calibri" w:hAnsi="Calibri" w:cs="Times New Roman"/>
      <w:b/>
      <w:bCs/>
      <w:i/>
      <w:iCs/>
      <w:color w:val="00728F"/>
    </w:rPr>
  </w:style>
  <w:style w:type="character" w:styleId="IntenseReference">
    <w:name w:val="Intense Reference"/>
    <w:uiPriority w:val="32"/>
    <w:qFormat/>
    <w:rsid w:val="0064434C"/>
    <w:rPr>
      <w:b/>
      <w:bCs/>
      <w:smallCaps/>
      <w:color w:val="B7DDE8"/>
      <w:spacing w:val="5"/>
      <w:u w:val="single"/>
    </w:rPr>
  </w:style>
  <w:style w:type="character" w:styleId="LineNumber">
    <w:name w:val="line number"/>
    <w:basedOn w:val="DefaultParagraphFont"/>
    <w:uiPriority w:val="99"/>
    <w:semiHidden/>
    <w:rsid w:val="0064434C"/>
  </w:style>
  <w:style w:type="paragraph" w:styleId="List">
    <w:name w:val="List"/>
    <w:basedOn w:val="Normal"/>
    <w:uiPriority w:val="99"/>
    <w:semiHidden/>
    <w:rsid w:val="0064434C"/>
    <w:pPr>
      <w:spacing w:before="240" w:after="0"/>
      <w:ind w:left="283" w:hanging="283"/>
      <w:contextualSpacing/>
    </w:pPr>
    <w:rPr>
      <w:rFonts w:eastAsia="Calibri" w:cs="Times New Roman"/>
    </w:rPr>
  </w:style>
  <w:style w:type="paragraph" w:styleId="List2">
    <w:name w:val="List 2"/>
    <w:basedOn w:val="Normal"/>
    <w:uiPriority w:val="99"/>
    <w:semiHidden/>
    <w:rsid w:val="0064434C"/>
    <w:pPr>
      <w:spacing w:before="240" w:after="0"/>
      <w:ind w:left="566" w:hanging="283"/>
      <w:contextualSpacing/>
    </w:pPr>
    <w:rPr>
      <w:rFonts w:eastAsia="Calibri" w:cs="Times New Roman"/>
    </w:rPr>
  </w:style>
  <w:style w:type="paragraph" w:styleId="List3">
    <w:name w:val="List 3"/>
    <w:basedOn w:val="Normal"/>
    <w:uiPriority w:val="99"/>
    <w:semiHidden/>
    <w:rsid w:val="0064434C"/>
    <w:pPr>
      <w:spacing w:before="240" w:after="0"/>
      <w:ind w:left="849" w:hanging="283"/>
      <w:contextualSpacing/>
    </w:pPr>
    <w:rPr>
      <w:rFonts w:eastAsia="Calibri" w:cs="Times New Roman"/>
    </w:rPr>
  </w:style>
  <w:style w:type="paragraph" w:styleId="List4">
    <w:name w:val="List 4"/>
    <w:basedOn w:val="Normal"/>
    <w:uiPriority w:val="99"/>
    <w:semiHidden/>
    <w:rsid w:val="0064434C"/>
    <w:pPr>
      <w:spacing w:before="240" w:after="0"/>
      <w:ind w:left="1132" w:hanging="283"/>
      <w:contextualSpacing/>
    </w:pPr>
    <w:rPr>
      <w:rFonts w:eastAsia="Calibri" w:cs="Times New Roman"/>
    </w:rPr>
  </w:style>
  <w:style w:type="paragraph" w:styleId="List5">
    <w:name w:val="List 5"/>
    <w:basedOn w:val="Normal"/>
    <w:uiPriority w:val="99"/>
    <w:semiHidden/>
    <w:rsid w:val="0064434C"/>
    <w:pPr>
      <w:spacing w:before="240" w:after="0"/>
      <w:ind w:left="1415" w:hanging="283"/>
      <w:contextualSpacing/>
    </w:pPr>
    <w:rPr>
      <w:rFonts w:eastAsia="Calibri" w:cs="Times New Roman"/>
    </w:rPr>
  </w:style>
  <w:style w:type="paragraph" w:styleId="ListBullet5">
    <w:name w:val="List Bullet 5"/>
    <w:basedOn w:val="Normal"/>
    <w:uiPriority w:val="99"/>
    <w:semiHidden/>
    <w:rsid w:val="0064434C"/>
    <w:pPr>
      <w:tabs>
        <w:tab w:val="num" w:pos="1492"/>
      </w:tabs>
      <w:spacing w:before="240" w:after="0"/>
      <w:ind w:left="1492" w:hanging="360"/>
      <w:contextualSpacing/>
    </w:pPr>
    <w:rPr>
      <w:rFonts w:eastAsia="Calibri" w:cs="Times New Roman"/>
    </w:rPr>
  </w:style>
  <w:style w:type="paragraph" w:styleId="ListContinue">
    <w:name w:val="List Continue"/>
    <w:basedOn w:val="Normal"/>
    <w:uiPriority w:val="99"/>
    <w:semiHidden/>
    <w:rsid w:val="0064434C"/>
    <w:pPr>
      <w:spacing w:before="240" w:after="120"/>
      <w:ind w:left="283"/>
      <w:contextualSpacing/>
    </w:pPr>
    <w:rPr>
      <w:rFonts w:eastAsia="Calibri" w:cs="Times New Roman"/>
    </w:rPr>
  </w:style>
  <w:style w:type="paragraph" w:styleId="ListContinue2">
    <w:name w:val="List Continue 2"/>
    <w:basedOn w:val="Normal"/>
    <w:uiPriority w:val="99"/>
    <w:semiHidden/>
    <w:rsid w:val="0064434C"/>
    <w:pPr>
      <w:spacing w:before="240" w:after="120"/>
      <w:ind w:left="566"/>
      <w:contextualSpacing/>
    </w:pPr>
    <w:rPr>
      <w:rFonts w:eastAsia="Calibri" w:cs="Times New Roman"/>
    </w:rPr>
  </w:style>
  <w:style w:type="paragraph" w:styleId="ListContinue3">
    <w:name w:val="List Continue 3"/>
    <w:basedOn w:val="Normal"/>
    <w:uiPriority w:val="99"/>
    <w:semiHidden/>
    <w:rsid w:val="0064434C"/>
    <w:pPr>
      <w:spacing w:before="240" w:after="120"/>
      <w:ind w:left="849"/>
      <w:contextualSpacing/>
    </w:pPr>
    <w:rPr>
      <w:rFonts w:eastAsia="Calibri" w:cs="Times New Roman"/>
    </w:rPr>
  </w:style>
  <w:style w:type="paragraph" w:styleId="ListContinue4">
    <w:name w:val="List Continue 4"/>
    <w:basedOn w:val="Normal"/>
    <w:uiPriority w:val="99"/>
    <w:semiHidden/>
    <w:rsid w:val="0064434C"/>
    <w:pPr>
      <w:spacing w:before="240" w:after="120"/>
      <w:ind w:left="1132"/>
      <w:contextualSpacing/>
    </w:pPr>
    <w:rPr>
      <w:rFonts w:eastAsia="Calibri" w:cs="Times New Roman"/>
    </w:rPr>
  </w:style>
  <w:style w:type="paragraph" w:styleId="ListContinue5">
    <w:name w:val="List Continue 5"/>
    <w:basedOn w:val="Normal"/>
    <w:uiPriority w:val="99"/>
    <w:semiHidden/>
    <w:rsid w:val="0064434C"/>
    <w:pPr>
      <w:spacing w:before="240" w:after="120"/>
      <w:ind w:left="1415"/>
      <w:contextualSpacing/>
    </w:pPr>
    <w:rPr>
      <w:rFonts w:eastAsia="Calibri" w:cs="Times New Roman"/>
    </w:rPr>
  </w:style>
  <w:style w:type="paragraph" w:styleId="ListNumber4">
    <w:name w:val="List Number 4"/>
    <w:basedOn w:val="Normal"/>
    <w:uiPriority w:val="99"/>
    <w:semiHidden/>
    <w:rsid w:val="0064434C"/>
    <w:pPr>
      <w:tabs>
        <w:tab w:val="num" w:pos="1209"/>
      </w:tabs>
      <w:spacing w:before="240" w:after="0"/>
      <w:ind w:left="1209" w:hanging="360"/>
      <w:contextualSpacing/>
    </w:pPr>
    <w:rPr>
      <w:rFonts w:eastAsia="Calibri" w:cs="Times New Roman"/>
    </w:rPr>
  </w:style>
  <w:style w:type="paragraph" w:styleId="ListNumber5">
    <w:name w:val="List Number 5"/>
    <w:basedOn w:val="Normal"/>
    <w:uiPriority w:val="99"/>
    <w:semiHidden/>
    <w:rsid w:val="0064434C"/>
    <w:pPr>
      <w:tabs>
        <w:tab w:val="num" w:pos="1492"/>
      </w:tabs>
      <w:spacing w:before="240" w:after="0"/>
      <w:ind w:left="1492" w:hanging="360"/>
      <w:contextualSpacing/>
    </w:pPr>
    <w:rPr>
      <w:rFonts w:eastAsia="Calibri" w:cs="Times New Roman"/>
    </w:rPr>
  </w:style>
  <w:style w:type="paragraph" w:styleId="MacroText">
    <w:name w:val="macro"/>
    <w:link w:val="MacroTextChar"/>
    <w:uiPriority w:val="99"/>
    <w:semiHidden/>
    <w:rsid w:val="0064434C"/>
    <w:pPr>
      <w:tabs>
        <w:tab w:val="left" w:pos="480"/>
        <w:tab w:val="left" w:pos="960"/>
        <w:tab w:val="left" w:pos="1440"/>
        <w:tab w:val="left" w:pos="1920"/>
        <w:tab w:val="left" w:pos="2400"/>
        <w:tab w:val="left" w:pos="2880"/>
        <w:tab w:val="left" w:pos="3360"/>
        <w:tab w:val="left" w:pos="3840"/>
        <w:tab w:val="left" w:pos="4320"/>
      </w:tabs>
      <w:spacing w:before="240" w:after="0" w:line="240" w:lineRule="auto"/>
      <w:ind w:left="1021" w:hanging="1021"/>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64434C"/>
    <w:rPr>
      <w:rFonts w:ascii="Consolas" w:eastAsia="Calibri" w:hAnsi="Consolas" w:cs="Consolas"/>
      <w:sz w:val="20"/>
      <w:szCs w:val="20"/>
    </w:rPr>
  </w:style>
  <w:style w:type="paragraph" w:styleId="MessageHeader">
    <w:name w:val="Message Header"/>
    <w:basedOn w:val="Normal"/>
    <w:link w:val="MessageHeaderChar"/>
    <w:uiPriority w:val="99"/>
    <w:semiHidden/>
    <w:rsid w:val="0064434C"/>
    <w:pPr>
      <w:pBdr>
        <w:top w:val="single" w:sz="6" w:space="1" w:color="auto"/>
        <w:left w:val="single" w:sz="6" w:space="1" w:color="auto"/>
        <w:bottom w:val="single" w:sz="6" w:space="1" w:color="auto"/>
        <w:right w:val="single" w:sz="6" w:space="1" w:color="auto"/>
      </w:pBdr>
      <w:shd w:val="pct20" w:color="auto" w:fill="auto"/>
      <w:spacing w:before="240" w:after="0"/>
      <w:ind w:left="1134" w:hanging="1134"/>
    </w:pPr>
    <w:rPr>
      <w:rFonts w:ascii="Cambria" w:eastAsia="Times New Roman" w:hAnsi="Cambria" w:cs="Times New Roman"/>
      <w:sz w:val="24"/>
      <w:szCs w:val="24"/>
    </w:rPr>
  </w:style>
  <w:style w:type="character" w:customStyle="1" w:styleId="MessageHeaderChar">
    <w:name w:val="Message Header Char"/>
    <w:basedOn w:val="DefaultParagraphFont"/>
    <w:link w:val="MessageHeader"/>
    <w:uiPriority w:val="99"/>
    <w:semiHidden/>
    <w:rsid w:val="0064434C"/>
    <w:rPr>
      <w:rFonts w:ascii="Cambria" w:eastAsia="Times New Roman" w:hAnsi="Cambria" w:cs="Times New Roman"/>
      <w:sz w:val="24"/>
      <w:szCs w:val="24"/>
      <w:shd w:val="pct20" w:color="auto" w:fill="auto"/>
    </w:rPr>
  </w:style>
  <w:style w:type="paragraph" w:styleId="NormalWeb">
    <w:name w:val="Normal (Web)"/>
    <w:basedOn w:val="Normal"/>
    <w:uiPriority w:val="99"/>
    <w:semiHidden/>
    <w:rsid w:val="0064434C"/>
    <w:pPr>
      <w:spacing w:before="240" w:after="0"/>
    </w:pPr>
    <w:rPr>
      <w:rFonts w:ascii="Times New Roman" w:eastAsia="Calibri" w:hAnsi="Times New Roman" w:cs="Times New Roman"/>
      <w:sz w:val="24"/>
      <w:szCs w:val="24"/>
    </w:rPr>
  </w:style>
  <w:style w:type="paragraph" w:styleId="NormalIndent">
    <w:name w:val="Normal Indent"/>
    <w:basedOn w:val="Normal"/>
    <w:uiPriority w:val="99"/>
    <w:semiHidden/>
    <w:rsid w:val="0064434C"/>
    <w:pPr>
      <w:spacing w:before="240" w:after="0"/>
      <w:ind w:left="720"/>
    </w:pPr>
    <w:rPr>
      <w:rFonts w:eastAsia="Calibri" w:cs="Times New Roman"/>
    </w:rPr>
  </w:style>
  <w:style w:type="paragraph" w:styleId="NoteHeading">
    <w:name w:val="Note Heading"/>
    <w:basedOn w:val="Normal"/>
    <w:next w:val="Normal"/>
    <w:link w:val="NoteHeadingChar"/>
    <w:uiPriority w:val="99"/>
    <w:semiHidden/>
    <w:rsid w:val="0064434C"/>
    <w:pPr>
      <w:spacing w:before="240" w:after="0"/>
    </w:pPr>
    <w:rPr>
      <w:rFonts w:eastAsia="Calibri" w:cs="Times New Roman"/>
    </w:rPr>
  </w:style>
  <w:style w:type="character" w:customStyle="1" w:styleId="NoteHeadingChar">
    <w:name w:val="Note Heading Char"/>
    <w:basedOn w:val="DefaultParagraphFont"/>
    <w:link w:val="NoteHeading"/>
    <w:uiPriority w:val="99"/>
    <w:semiHidden/>
    <w:rsid w:val="0064434C"/>
    <w:rPr>
      <w:rFonts w:ascii="Calibri" w:eastAsia="Calibri" w:hAnsi="Calibri" w:cs="Times New Roman"/>
    </w:rPr>
  </w:style>
  <w:style w:type="paragraph" w:styleId="PlainText">
    <w:name w:val="Plain Text"/>
    <w:basedOn w:val="Normal"/>
    <w:link w:val="PlainTextChar"/>
    <w:uiPriority w:val="99"/>
    <w:semiHidden/>
    <w:rsid w:val="0064434C"/>
    <w:pPr>
      <w:spacing w:before="240" w:after="0"/>
    </w:pPr>
    <w:rPr>
      <w:rFonts w:ascii="Consolas" w:eastAsia="Calibri" w:hAnsi="Consolas" w:cs="Consolas"/>
      <w:sz w:val="21"/>
      <w:szCs w:val="21"/>
    </w:rPr>
  </w:style>
  <w:style w:type="character" w:customStyle="1" w:styleId="PlainTextChar">
    <w:name w:val="Plain Text Char"/>
    <w:basedOn w:val="DefaultParagraphFont"/>
    <w:link w:val="PlainText"/>
    <w:uiPriority w:val="99"/>
    <w:semiHidden/>
    <w:rsid w:val="0064434C"/>
    <w:rPr>
      <w:rFonts w:ascii="Consolas" w:eastAsia="Calibri" w:hAnsi="Consolas" w:cs="Consolas"/>
      <w:sz w:val="21"/>
      <w:szCs w:val="21"/>
    </w:rPr>
  </w:style>
  <w:style w:type="paragraph" w:styleId="Salutation">
    <w:name w:val="Salutation"/>
    <w:basedOn w:val="Normal"/>
    <w:next w:val="Normal"/>
    <w:link w:val="SalutationChar"/>
    <w:uiPriority w:val="99"/>
    <w:semiHidden/>
    <w:rsid w:val="0064434C"/>
    <w:pPr>
      <w:spacing w:before="240" w:after="0"/>
    </w:pPr>
    <w:rPr>
      <w:rFonts w:eastAsia="Calibri" w:cs="Times New Roman"/>
    </w:rPr>
  </w:style>
  <w:style w:type="character" w:customStyle="1" w:styleId="SalutationChar">
    <w:name w:val="Salutation Char"/>
    <w:basedOn w:val="DefaultParagraphFont"/>
    <w:link w:val="Salutation"/>
    <w:uiPriority w:val="99"/>
    <w:semiHidden/>
    <w:rsid w:val="0064434C"/>
    <w:rPr>
      <w:rFonts w:ascii="Calibri" w:eastAsia="Calibri" w:hAnsi="Calibri" w:cs="Times New Roman"/>
    </w:rPr>
  </w:style>
  <w:style w:type="paragraph" w:styleId="Signature">
    <w:name w:val="Signature"/>
    <w:basedOn w:val="Normal"/>
    <w:link w:val="SignatureChar"/>
    <w:uiPriority w:val="99"/>
    <w:semiHidden/>
    <w:rsid w:val="0064434C"/>
    <w:pPr>
      <w:spacing w:before="240" w:after="0"/>
      <w:ind w:left="4252"/>
    </w:pPr>
    <w:rPr>
      <w:rFonts w:eastAsia="Calibri" w:cs="Times New Roman"/>
    </w:rPr>
  </w:style>
  <w:style w:type="character" w:customStyle="1" w:styleId="SignatureChar">
    <w:name w:val="Signature Char"/>
    <w:basedOn w:val="DefaultParagraphFont"/>
    <w:link w:val="Signature"/>
    <w:uiPriority w:val="99"/>
    <w:semiHidden/>
    <w:rsid w:val="0064434C"/>
    <w:rPr>
      <w:rFonts w:ascii="Calibri" w:eastAsia="Calibri" w:hAnsi="Calibri" w:cs="Times New Roman"/>
    </w:rPr>
  </w:style>
  <w:style w:type="character" w:styleId="SubtleEmphasis">
    <w:name w:val="Subtle Emphasis"/>
    <w:uiPriority w:val="19"/>
    <w:qFormat/>
    <w:rsid w:val="0064434C"/>
    <w:rPr>
      <w:i/>
      <w:iCs/>
      <w:color w:val="48D9FF"/>
    </w:rPr>
  </w:style>
  <w:style w:type="character" w:styleId="SubtleReference">
    <w:name w:val="Subtle Reference"/>
    <w:uiPriority w:val="31"/>
    <w:qFormat/>
    <w:rsid w:val="0064434C"/>
    <w:rPr>
      <w:smallCaps/>
      <w:color w:val="B7DDE8"/>
      <w:u w:val="single"/>
    </w:rPr>
  </w:style>
  <w:style w:type="table" w:styleId="Table3Deffects1">
    <w:name w:val="Table 3D effects 1"/>
    <w:basedOn w:val="TableNormal"/>
    <w:uiPriority w:val="99"/>
    <w:semiHidden/>
    <w:unhideWhenUsed/>
    <w:rsid w:val="0064434C"/>
    <w:pPr>
      <w:spacing w:after="0" w:line="240" w:lineRule="auto"/>
    </w:pPr>
    <w:rPr>
      <w:rFonts w:ascii="Calibri" w:eastAsia="Calibri" w:hAnsi="Calibri"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4434C"/>
    <w:pPr>
      <w:spacing w:after="0" w:line="240" w:lineRule="auto"/>
    </w:pPr>
    <w:rPr>
      <w:rFonts w:ascii="Calibri" w:eastAsia="Calibri" w:hAnsi="Calibri"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64434C"/>
    <w:pPr>
      <w:spacing w:after="0" w:line="240" w:lineRule="auto"/>
    </w:pPr>
    <w:rPr>
      <w:rFonts w:ascii="Calibri" w:eastAsia="Calibri" w:hAnsi="Calibri"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4434C"/>
    <w:pPr>
      <w:spacing w:after="0" w:line="240" w:lineRule="auto"/>
    </w:pPr>
    <w:rPr>
      <w:rFonts w:ascii="Calibri" w:eastAsia="Calibri" w:hAnsi="Calibri"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4434C"/>
    <w:pPr>
      <w:spacing w:after="0" w:line="240" w:lineRule="auto"/>
    </w:pPr>
    <w:rPr>
      <w:rFonts w:ascii="Calibri" w:eastAsia="Calibri" w:hAnsi="Calibri"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4434C"/>
    <w:pPr>
      <w:spacing w:before="240" w:after="0"/>
      <w:ind w:left="220" w:hanging="220"/>
    </w:pPr>
    <w:rPr>
      <w:rFonts w:eastAsia="Calibri" w:cs="Times New Roman"/>
    </w:rPr>
  </w:style>
  <w:style w:type="table" w:styleId="TableProfessional">
    <w:name w:val="Table Professional"/>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4434C"/>
    <w:pPr>
      <w:spacing w:after="0" w:line="240" w:lineRule="auto"/>
    </w:pPr>
    <w:rPr>
      <w:rFonts w:ascii="Calibri" w:eastAsia="Calibri" w:hAnsi="Calibri"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4434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4434C"/>
    <w:pPr>
      <w:spacing w:after="0" w:line="240" w:lineRule="auto"/>
    </w:pPr>
    <w:rPr>
      <w:rFonts w:ascii="Calibri" w:eastAsia="Calibri" w:hAnsi="Calibri"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4434C"/>
    <w:pPr>
      <w:spacing w:after="0" w:line="240" w:lineRule="auto"/>
    </w:pPr>
    <w:rPr>
      <w:rFonts w:ascii="Calibri" w:eastAsia="Calibri" w:hAnsi="Calibri"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4434C"/>
    <w:pPr>
      <w:spacing w:after="0" w:line="240" w:lineRule="auto"/>
    </w:pPr>
    <w:rPr>
      <w:rFonts w:ascii="Calibri" w:eastAsia="Calibri" w:hAnsi="Calibri"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4434C"/>
    <w:pPr>
      <w:spacing w:before="120" w:after="0"/>
    </w:pPr>
    <w:rPr>
      <w:rFonts w:ascii="Cambria" w:eastAsia="Times New Roman" w:hAnsi="Cambria" w:cs="Times New Roman"/>
      <w:b/>
      <w:bCs/>
      <w:sz w:val="24"/>
      <w:szCs w:val="24"/>
    </w:rPr>
  </w:style>
  <w:style w:type="paragraph" w:customStyle="1" w:styleId="Definitiontext">
    <w:name w:val="Definition text"/>
    <w:basedOn w:val="BodyText"/>
    <w:uiPriority w:val="20"/>
    <w:qFormat/>
    <w:rsid w:val="0064434C"/>
    <w:pPr>
      <w:autoSpaceDE/>
      <w:autoSpaceDN/>
      <w:adjustRightInd/>
      <w:spacing w:after="240"/>
    </w:pPr>
    <w:rPr>
      <w:rFonts w:ascii="Calibri" w:eastAsia="Calibri" w:hAnsi="Calibri"/>
      <w:sz w:val="22"/>
      <w:szCs w:val="22"/>
      <w:lang w:eastAsia="en-US"/>
    </w:rPr>
  </w:style>
  <w:style w:type="paragraph" w:customStyle="1" w:styleId="Definitionterm">
    <w:name w:val="Definition term"/>
    <w:basedOn w:val="Definitiontext"/>
    <w:next w:val="Definitiontext"/>
    <w:uiPriority w:val="20"/>
    <w:qFormat/>
    <w:rsid w:val="0064434C"/>
    <w:pPr>
      <w:spacing w:before="240" w:after="120"/>
    </w:pPr>
    <w:rPr>
      <w:b/>
    </w:rPr>
  </w:style>
  <w:style w:type="table" w:customStyle="1" w:styleId="ColorfulGrid1">
    <w:name w:val="Colorful Grid1"/>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B5EFFF"/>
    </w:tcPr>
    <w:tblStylePr w:type="firstRow">
      <w:rPr>
        <w:b/>
        <w:bCs/>
      </w:rPr>
      <w:tblPr/>
      <w:tcPr>
        <w:shd w:val="clear" w:color="auto" w:fill="6CE1FF"/>
      </w:tcPr>
    </w:tblStylePr>
    <w:tblStylePr w:type="lastRow">
      <w:rPr>
        <w:b/>
        <w:bCs/>
        <w:color w:val="00728F"/>
      </w:rPr>
      <w:tblPr/>
      <w:tcPr>
        <w:shd w:val="clear" w:color="auto" w:fill="6CE1FF"/>
      </w:tcPr>
    </w:tblStylePr>
    <w:tblStylePr w:type="firstCol">
      <w:rPr>
        <w:color w:val="FFFFFF"/>
      </w:rPr>
      <w:tblPr/>
      <w:tcPr>
        <w:shd w:val="clear" w:color="auto" w:fill="00556B"/>
      </w:tcPr>
    </w:tblStylePr>
    <w:tblStylePr w:type="lastCol">
      <w:rPr>
        <w:color w:val="FFFFFF"/>
      </w:rPr>
      <w:tblPr/>
      <w:tcPr>
        <w:shd w:val="clear" w:color="auto" w:fill="00556B"/>
      </w:tcPr>
    </w:tblStylePr>
    <w:tblStylePr w:type="band1Vert">
      <w:tblPr/>
      <w:tcPr>
        <w:shd w:val="clear" w:color="auto" w:fill="48D9FF"/>
      </w:tcPr>
    </w:tblStylePr>
    <w:tblStylePr w:type="band1Horz">
      <w:tblPr/>
      <w:tcPr>
        <w:shd w:val="clear" w:color="auto" w:fill="48D9FF"/>
      </w:tcPr>
    </w:tblStylePr>
  </w:style>
  <w:style w:type="table" w:styleId="ColorfulGrid-Accent1">
    <w:name w:val="Colorful Grid Accent 1"/>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B5EFFF"/>
    </w:tcPr>
    <w:tblStylePr w:type="firstRow">
      <w:rPr>
        <w:b/>
        <w:bCs/>
      </w:rPr>
      <w:tblPr/>
      <w:tcPr>
        <w:shd w:val="clear" w:color="auto" w:fill="6CE1FF"/>
      </w:tcPr>
    </w:tblStylePr>
    <w:tblStylePr w:type="lastRow">
      <w:rPr>
        <w:b/>
        <w:bCs/>
        <w:color w:val="00728F"/>
      </w:rPr>
      <w:tblPr/>
      <w:tcPr>
        <w:shd w:val="clear" w:color="auto" w:fill="6CE1FF"/>
      </w:tcPr>
    </w:tblStylePr>
    <w:tblStylePr w:type="firstCol">
      <w:rPr>
        <w:color w:val="FFFFFF"/>
      </w:rPr>
      <w:tblPr/>
      <w:tcPr>
        <w:shd w:val="clear" w:color="auto" w:fill="00556B"/>
      </w:tcPr>
    </w:tblStylePr>
    <w:tblStylePr w:type="lastCol">
      <w:rPr>
        <w:color w:val="FFFFFF"/>
      </w:rPr>
      <w:tblPr/>
      <w:tcPr>
        <w:shd w:val="clear" w:color="auto" w:fill="00556B"/>
      </w:tcPr>
    </w:tblStylePr>
    <w:tblStylePr w:type="band1Vert">
      <w:tblPr/>
      <w:tcPr>
        <w:shd w:val="clear" w:color="auto" w:fill="48D9FF"/>
      </w:tcPr>
    </w:tblStylePr>
    <w:tblStylePr w:type="band1Horz">
      <w:tblPr/>
      <w:tcPr>
        <w:shd w:val="clear" w:color="auto" w:fill="48D9FF"/>
      </w:tcPr>
    </w:tblStylePr>
  </w:style>
  <w:style w:type="table" w:styleId="ColorfulGrid-Accent2">
    <w:name w:val="Colorful Grid Accent 2"/>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F0F8FA"/>
    </w:tcPr>
    <w:tblStylePr w:type="firstRow">
      <w:rPr>
        <w:b/>
        <w:bCs/>
      </w:rPr>
      <w:tblPr/>
      <w:tcPr>
        <w:shd w:val="clear" w:color="auto" w:fill="E2F1F5"/>
      </w:tcPr>
    </w:tblStylePr>
    <w:tblStylePr w:type="lastRow">
      <w:rPr>
        <w:b/>
        <w:bCs/>
        <w:color w:val="00728F"/>
      </w:rPr>
      <w:tblPr/>
      <w:tcPr>
        <w:shd w:val="clear" w:color="auto" w:fill="E2F1F5"/>
      </w:tcPr>
    </w:tblStylePr>
    <w:tblStylePr w:type="firstCol">
      <w:rPr>
        <w:color w:val="FFFFFF"/>
      </w:rPr>
      <w:tblPr/>
      <w:tcPr>
        <w:shd w:val="clear" w:color="auto" w:fill="67B7CE"/>
      </w:tcPr>
    </w:tblStylePr>
    <w:tblStylePr w:type="lastCol">
      <w:rPr>
        <w:color w:val="FFFFFF"/>
      </w:rPr>
      <w:tblPr/>
      <w:tcPr>
        <w:shd w:val="clear" w:color="auto" w:fill="67B7CE"/>
      </w:tcPr>
    </w:tblStylePr>
    <w:tblStylePr w:type="band1Vert">
      <w:tblPr/>
      <w:tcPr>
        <w:shd w:val="clear" w:color="auto" w:fill="DBEEF3"/>
      </w:tcPr>
    </w:tblStylePr>
    <w:tblStylePr w:type="band1Horz">
      <w:tblPr/>
      <w:tcPr>
        <w:shd w:val="clear" w:color="auto" w:fill="DBEEF3"/>
      </w:tcPr>
    </w:tblStylePr>
  </w:style>
  <w:style w:type="table" w:styleId="ColorfulGrid-Accent3">
    <w:name w:val="Colorful Grid Accent 3"/>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F7FBFC"/>
    </w:tcPr>
    <w:tblStylePr w:type="firstRow">
      <w:rPr>
        <w:b/>
        <w:bCs/>
      </w:rPr>
      <w:tblPr/>
      <w:tcPr>
        <w:shd w:val="clear" w:color="auto" w:fill="F0F8FA"/>
      </w:tcPr>
    </w:tblStylePr>
    <w:tblStylePr w:type="lastRow">
      <w:rPr>
        <w:b/>
        <w:bCs/>
        <w:color w:val="00728F"/>
      </w:rPr>
      <w:tblPr/>
      <w:tcPr>
        <w:shd w:val="clear" w:color="auto" w:fill="F0F8FA"/>
      </w:tcPr>
    </w:tblStylePr>
    <w:tblStylePr w:type="firstCol">
      <w:rPr>
        <w:color w:val="FFFFFF"/>
      </w:rPr>
      <w:tblPr/>
      <w:tcPr>
        <w:shd w:val="clear" w:color="auto" w:fill="84C4D6"/>
      </w:tcPr>
    </w:tblStylePr>
    <w:tblStylePr w:type="lastCol">
      <w:rPr>
        <w:color w:val="FFFFFF"/>
      </w:rPr>
      <w:tblPr/>
      <w:tcPr>
        <w:shd w:val="clear" w:color="auto" w:fill="84C4D6"/>
      </w:tcPr>
    </w:tblStylePr>
    <w:tblStylePr w:type="band1Vert">
      <w:tblPr/>
      <w:tcPr>
        <w:shd w:val="clear" w:color="auto" w:fill="EDF6F9"/>
      </w:tcPr>
    </w:tblStylePr>
    <w:tblStylePr w:type="band1Horz">
      <w:tblPr/>
      <w:tcPr>
        <w:shd w:val="clear" w:color="auto" w:fill="EDF6F9"/>
      </w:tcPr>
    </w:tblStylePr>
  </w:style>
  <w:style w:type="table" w:styleId="ColorfulGrid-Accent4">
    <w:name w:val="Colorful Grid Accent 4"/>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E9F4F8"/>
    </w:tcPr>
    <w:tblStylePr w:type="firstRow">
      <w:rPr>
        <w:b/>
        <w:bCs/>
      </w:rPr>
      <w:tblPr/>
      <w:tcPr>
        <w:shd w:val="clear" w:color="auto" w:fill="D3EAF1"/>
      </w:tcPr>
    </w:tblStylePr>
    <w:tblStylePr w:type="lastRow">
      <w:rPr>
        <w:b/>
        <w:bCs/>
        <w:color w:val="00728F"/>
      </w:rPr>
      <w:tblPr/>
      <w:tcPr>
        <w:shd w:val="clear" w:color="auto" w:fill="D3EAF1"/>
      </w:tcPr>
    </w:tblStylePr>
    <w:tblStylePr w:type="firstCol">
      <w:rPr>
        <w:color w:val="FFFFFF"/>
      </w:rPr>
      <w:tblPr/>
      <w:tcPr>
        <w:shd w:val="clear" w:color="auto" w:fill="4CACC5"/>
      </w:tcPr>
    </w:tblStylePr>
    <w:tblStylePr w:type="lastCol">
      <w:rPr>
        <w:color w:val="FFFFFF"/>
      </w:rPr>
      <w:tblPr/>
      <w:tcPr>
        <w:shd w:val="clear" w:color="auto" w:fill="4CACC5"/>
      </w:tcPr>
    </w:tblStylePr>
    <w:tblStylePr w:type="band1Vert">
      <w:tblPr/>
      <w:tcPr>
        <w:shd w:val="clear" w:color="auto" w:fill="C8E5ED"/>
      </w:tcPr>
    </w:tblStylePr>
    <w:tblStylePr w:type="band1Horz">
      <w:tblPr/>
      <w:tcPr>
        <w:shd w:val="clear" w:color="auto" w:fill="C8E5ED"/>
      </w:tcPr>
    </w:tblStylePr>
  </w:style>
  <w:style w:type="table" w:styleId="ColorfulGrid-Accent5">
    <w:name w:val="Colorful Grid Accent 5"/>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D0E9F0"/>
    </w:tcPr>
    <w:tblStylePr w:type="firstRow">
      <w:rPr>
        <w:b/>
        <w:bCs/>
      </w:rPr>
      <w:tblPr/>
      <w:tcPr>
        <w:shd w:val="clear" w:color="auto" w:fill="A1D4E1"/>
      </w:tcPr>
    </w:tblStylePr>
    <w:tblStylePr w:type="lastRow">
      <w:rPr>
        <w:b/>
        <w:bCs/>
        <w:color w:val="00728F"/>
      </w:rPr>
      <w:tblPr/>
      <w:tcPr>
        <w:shd w:val="clear" w:color="auto" w:fill="A1D4E1"/>
      </w:tcPr>
    </w:tblStylePr>
    <w:tblStylePr w:type="firstCol">
      <w:rPr>
        <w:color w:val="FFFFFF"/>
      </w:rPr>
      <w:tblPr/>
      <w:tcPr>
        <w:shd w:val="clear" w:color="auto" w:fill="246373"/>
      </w:tcPr>
    </w:tblStylePr>
    <w:tblStylePr w:type="lastCol">
      <w:rPr>
        <w:color w:val="FFFFFF"/>
      </w:rPr>
      <w:tblPr/>
      <w:tcPr>
        <w:shd w:val="clear" w:color="auto" w:fill="246373"/>
      </w:tcPr>
    </w:tblStylePr>
    <w:tblStylePr w:type="band1Vert">
      <w:tblPr/>
      <w:tcPr>
        <w:shd w:val="clear" w:color="auto" w:fill="8BC9DA"/>
      </w:tcPr>
    </w:tblStylePr>
    <w:tblStylePr w:type="band1Horz">
      <w:tblPr/>
      <w:tcPr>
        <w:shd w:val="clear" w:color="auto" w:fill="8BC9DA"/>
      </w:tcPr>
    </w:tblStylePr>
  </w:style>
  <w:style w:type="table" w:styleId="ColorfulGrid-Accent6">
    <w:name w:val="Colorful Grid Accent 6"/>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insideH w:val="single" w:sz="4" w:space="0" w:color="FFFFFF"/>
      </w:tblBorders>
    </w:tblPr>
    <w:tcPr>
      <w:shd w:val="clear" w:color="auto" w:fill="DFF0F5"/>
    </w:tcPr>
    <w:tblStylePr w:type="firstRow">
      <w:rPr>
        <w:b/>
        <w:bCs/>
      </w:rPr>
      <w:tblPr/>
      <w:tcPr>
        <w:shd w:val="clear" w:color="auto" w:fill="C0E2EB"/>
      </w:tcPr>
    </w:tblStylePr>
    <w:tblStylePr w:type="lastRow">
      <w:rPr>
        <w:b/>
        <w:bCs/>
        <w:color w:val="00728F"/>
      </w:rPr>
      <w:tblPr/>
      <w:tcPr>
        <w:shd w:val="clear" w:color="auto" w:fill="C0E2EB"/>
      </w:tcPr>
    </w:tblStylePr>
    <w:tblStylePr w:type="firstCol">
      <w:rPr>
        <w:color w:val="FFFFFF"/>
      </w:rPr>
      <w:tblPr/>
      <w:tcPr>
        <w:shd w:val="clear" w:color="auto" w:fill="3795AD"/>
      </w:tcPr>
    </w:tblStylePr>
    <w:tblStylePr w:type="lastCol">
      <w:rPr>
        <w:color w:val="FFFFFF"/>
      </w:rPr>
      <w:tblPr/>
      <w:tcPr>
        <w:shd w:val="clear" w:color="auto" w:fill="3795AD"/>
      </w:tcPr>
    </w:tblStylePr>
    <w:tblStylePr w:type="band1Vert">
      <w:tblPr/>
      <w:tcPr>
        <w:shd w:val="clear" w:color="auto" w:fill="B1DBE6"/>
      </w:tcPr>
    </w:tblStylePr>
    <w:tblStylePr w:type="band1Horz">
      <w:tblPr/>
      <w:tcPr>
        <w:shd w:val="clear" w:color="auto" w:fill="B1DBE6"/>
      </w:tcPr>
    </w:tblStylePr>
  </w:style>
  <w:style w:type="table" w:customStyle="1" w:styleId="ColorfulList1">
    <w:name w:val="Colorful List1"/>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DBF7FF"/>
    </w:tcPr>
    <w:tblStylePr w:type="firstRow">
      <w:rPr>
        <w:b/>
        <w:bCs/>
        <w:color w:val="FFFFFF"/>
      </w:rPr>
      <w:tblPr/>
      <w:tcPr>
        <w:tcBorders>
          <w:bottom w:val="single" w:sz="12" w:space="0" w:color="FFFFFF"/>
        </w:tcBorders>
        <w:shd w:val="clear" w:color="auto" w:fill="78BFD4"/>
      </w:tcPr>
    </w:tblStylePr>
    <w:tblStylePr w:type="lastRow">
      <w:rPr>
        <w:b/>
        <w:bCs/>
        <w:color w:val="78BFD4"/>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cPr>
    </w:tblStylePr>
    <w:tblStylePr w:type="band1Horz">
      <w:tblPr/>
      <w:tcPr>
        <w:shd w:val="clear" w:color="auto" w:fill="B5EFFF"/>
      </w:tcPr>
    </w:tblStylePr>
  </w:style>
  <w:style w:type="table" w:styleId="ColorfulList-Accent1">
    <w:name w:val="Colorful List Accent 1"/>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DBF7FF"/>
    </w:tcPr>
    <w:tblStylePr w:type="firstRow">
      <w:rPr>
        <w:b/>
        <w:bCs/>
        <w:color w:val="FFFFFF"/>
      </w:rPr>
      <w:tblPr/>
      <w:tcPr>
        <w:tcBorders>
          <w:bottom w:val="single" w:sz="12" w:space="0" w:color="FFFFFF"/>
        </w:tcBorders>
        <w:shd w:val="clear" w:color="auto" w:fill="78BFD4"/>
      </w:tcPr>
    </w:tblStylePr>
    <w:tblStylePr w:type="lastRow">
      <w:rPr>
        <w:b/>
        <w:bCs/>
        <w:color w:val="78BFD4"/>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cPr>
    </w:tblStylePr>
    <w:tblStylePr w:type="band1Horz">
      <w:tblPr/>
      <w:tcPr>
        <w:shd w:val="clear" w:color="auto" w:fill="B5EFFF"/>
      </w:tcPr>
    </w:tblStylePr>
  </w:style>
  <w:style w:type="table" w:styleId="ColorfulList-Accent2">
    <w:name w:val="Colorful List Accent 2"/>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F7FBFC"/>
    </w:tcPr>
    <w:tblStylePr w:type="firstRow">
      <w:rPr>
        <w:b/>
        <w:bCs/>
        <w:color w:val="FFFFFF"/>
      </w:rPr>
      <w:tblPr/>
      <w:tcPr>
        <w:tcBorders>
          <w:bottom w:val="single" w:sz="12" w:space="0" w:color="FFFFFF"/>
        </w:tcBorders>
        <w:shd w:val="clear" w:color="auto" w:fill="78BFD4"/>
      </w:tcPr>
    </w:tblStylePr>
    <w:tblStylePr w:type="lastRow">
      <w:rPr>
        <w:b/>
        <w:bCs/>
        <w:color w:val="78BFD4"/>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cPr>
    </w:tblStylePr>
    <w:tblStylePr w:type="band1Horz">
      <w:tblPr/>
      <w:tcPr>
        <w:shd w:val="clear" w:color="auto" w:fill="F0F8FA"/>
      </w:tcPr>
    </w:tblStylePr>
  </w:style>
  <w:style w:type="table" w:styleId="ColorfulList-Accent3">
    <w:name w:val="Colorful List Accent 3"/>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FBFDFD"/>
    </w:tcPr>
    <w:tblStylePr w:type="firstRow">
      <w:rPr>
        <w:b/>
        <w:bCs/>
        <w:color w:val="FFFFFF"/>
      </w:rPr>
      <w:tblPr/>
      <w:tcPr>
        <w:tcBorders>
          <w:bottom w:val="single" w:sz="12" w:space="0" w:color="FFFFFF"/>
        </w:tcBorders>
        <w:shd w:val="clear" w:color="auto" w:fill="5AB3CA"/>
      </w:tcPr>
    </w:tblStylePr>
    <w:tblStylePr w:type="lastRow">
      <w:rPr>
        <w:b/>
        <w:bCs/>
        <w:color w:val="5AB3CA"/>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cPr>
    </w:tblStylePr>
    <w:tblStylePr w:type="band1Horz">
      <w:tblPr/>
      <w:tcPr>
        <w:shd w:val="clear" w:color="auto" w:fill="F7FBFC"/>
      </w:tcPr>
    </w:tblStylePr>
  </w:style>
  <w:style w:type="table" w:styleId="ColorfulList-Accent4">
    <w:name w:val="Colorful List Accent 4"/>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F4FAFB"/>
    </w:tcPr>
    <w:tblStylePr w:type="firstRow">
      <w:rPr>
        <w:b/>
        <w:bCs/>
        <w:color w:val="FFFFFF"/>
      </w:rPr>
      <w:tblPr/>
      <w:tcPr>
        <w:tcBorders>
          <w:bottom w:val="single" w:sz="12" w:space="0" w:color="FFFFFF"/>
        </w:tcBorders>
        <w:shd w:val="clear" w:color="auto" w:fill="95CCDB"/>
      </w:tcPr>
    </w:tblStylePr>
    <w:tblStylePr w:type="lastRow">
      <w:rPr>
        <w:b/>
        <w:bCs/>
        <w:color w:val="95CCDB"/>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cPr>
    </w:tblStylePr>
    <w:tblStylePr w:type="band1Horz">
      <w:tblPr/>
      <w:tcPr>
        <w:shd w:val="clear" w:color="auto" w:fill="E9F4F8"/>
      </w:tcPr>
    </w:tblStylePr>
  </w:style>
  <w:style w:type="table" w:styleId="ColorfulList-Accent5">
    <w:name w:val="Colorful List Accent 5"/>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E8F4F7"/>
    </w:tcPr>
    <w:tblStylePr w:type="firstRow">
      <w:rPr>
        <w:b/>
        <w:bCs/>
        <w:color w:val="FFFFFF"/>
      </w:rPr>
      <w:tblPr/>
      <w:tcPr>
        <w:tcBorders>
          <w:bottom w:val="single" w:sz="12" w:space="0" w:color="FFFFFF"/>
        </w:tcBorders>
        <w:shd w:val="clear" w:color="auto" w:fill="3A9FB9"/>
      </w:tcPr>
    </w:tblStylePr>
    <w:tblStylePr w:type="lastRow">
      <w:rPr>
        <w:b/>
        <w:bCs/>
        <w:color w:val="3A9FB9"/>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cPr>
    </w:tblStylePr>
    <w:tblStylePr w:type="band1Horz">
      <w:tblPr/>
      <w:tcPr>
        <w:shd w:val="clear" w:color="auto" w:fill="D0E9F0"/>
      </w:tcPr>
    </w:tblStylePr>
  </w:style>
  <w:style w:type="table" w:styleId="ColorfulList-Accent6">
    <w:name w:val="Colorful List Accent 6"/>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Pr>
    <w:tcPr>
      <w:shd w:val="clear" w:color="auto" w:fill="EFF8FA"/>
    </w:tcPr>
    <w:tblStylePr w:type="firstRow">
      <w:rPr>
        <w:b/>
        <w:bCs/>
        <w:color w:val="FFFFFF"/>
      </w:rPr>
      <w:tblPr/>
      <w:tcPr>
        <w:tcBorders>
          <w:bottom w:val="single" w:sz="12" w:space="0" w:color="FFFFFF"/>
        </w:tcBorders>
        <w:shd w:val="clear" w:color="auto" w:fill="276A7B"/>
      </w:tcPr>
    </w:tblStylePr>
    <w:tblStylePr w:type="lastRow">
      <w:rPr>
        <w:b/>
        <w:bCs/>
        <w:color w:val="276A7B"/>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cPr>
    </w:tblStylePr>
    <w:tblStylePr w:type="band1Horz">
      <w:tblPr/>
      <w:tcPr>
        <w:shd w:val="clear" w:color="auto" w:fill="DFF0F5"/>
      </w:tcPr>
    </w:tblStylePr>
  </w:style>
  <w:style w:type="table" w:customStyle="1" w:styleId="ColorfulShading1">
    <w:name w:val="Colorful Shading1"/>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B7DDE8"/>
        <w:left w:val="single" w:sz="4" w:space="0" w:color="00728F"/>
        <w:bottom w:val="single" w:sz="4" w:space="0" w:color="00728F"/>
        <w:right w:val="single" w:sz="4" w:space="0" w:color="00728F"/>
        <w:insideH w:val="single" w:sz="4" w:space="0" w:color="FFFFFF"/>
        <w:insideV w:val="single" w:sz="4" w:space="0" w:color="FFFFFF"/>
      </w:tblBorders>
    </w:tblPr>
    <w:tcPr>
      <w:shd w:val="clear" w:color="auto" w:fill="DBF7FF"/>
    </w:tcPr>
    <w:tblStylePr w:type="firstRow">
      <w:rPr>
        <w:b/>
        <w:bCs/>
      </w:rPr>
      <w:tblPr/>
      <w:tcPr>
        <w:tcBorders>
          <w:top w:val="nil"/>
          <w:left w:val="nil"/>
          <w:bottom w:val="single" w:sz="24" w:space="0" w:color="B7DDE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455"/>
      </w:tcPr>
    </w:tblStylePr>
    <w:tblStylePr w:type="firstCol">
      <w:rPr>
        <w:color w:val="FFFFFF"/>
      </w:rPr>
      <w:tblPr/>
      <w:tcPr>
        <w:tcBorders>
          <w:top w:val="nil"/>
          <w:left w:val="nil"/>
          <w:bottom w:val="nil"/>
          <w:right w:val="nil"/>
          <w:insideH w:val="single" w:sz="4" w:space="0" w:color="004455"/>
          <w:insideV w:val="nil"/>
        </w:tcBorders>
        <w:shd w:val="clear" w:color="auto" w:fill="004455"/>
      </w:tcPr>
    </w:tblStylePr>
    <w:tblStylePr w:type="lastCol">
      <w:rPr>
        <w:color w:val="FFFFFF"/>
      </w:rPr>
      <w:tblPr/>
      <w:tcPr>
        <w:tcBorders>
          <w:top w:val="nil"/>
          <w:left w:val="nil"/>
          <w:bottom w:val="nil"/>
          <w:right w:val="nil"/>
          <w:insideH w:val="nil"/>
          <w:insideV w:val="nil"/>
        </w:tcBorders>
        <w:shd w:val="clear" w:color="auto" w:fill="00556B"/>
      </w:tcPr>
    </w:tblStylePr>
    <w:tblStylePr w:type="band1Vert">
      <w:tblPr/>
      <w:tcPr>
        <w:shd w:val="clear" w:color="auto" w:fill="6CE1FF"/>
      </w:tcPr>
    </w:tblStylePr>
    <w:tblStylePr w:type="band1Horz">
      <w:tblPr/>
      <w:tcPr>
        <w:shd w:val="clear" w:color="auto" w:fill="48D9FF"/>
      </w:tcPr>
    </w:tblStylePr>
    <w:tblStylePr w:type="neCell">
      <w:rPr>
        <w:color w:val="00728F"/>
      </w:rPr>
    </w:tblStylePr>
    <w:tblStylePr w:type="nwCell">
      <w:rPr>
        <w:color w:val="00728F"/>
      </w:rPr>
    </w:tblStylePr>
  </w:style>
  <w:style w:type="table" w:styleId="ColorfulShading-Accent1">
    <w:name w:val="Colorful Shading Accent 1"/>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B7DDE8"/>
        <w:left w:val="single" w:sz="4" w:space="0" w:color="00728F"/>
        <w:bottom w:val="single" w:sz="4" w:space="0" w:color="00728F"/>
        <w:right w:val="single" w:sz="4" w:space="0" w:color="00728F"/>
        <w:insideH w:val="single" w:sz="4" w:space="0" w:color="FFFFFF"/>
        <w:insideV w:val="single" w:sz="4" w:space="0" w:color="FFFFFF"/>
      </w:tblBorders>
    </w:tblPr>
    <w:tcPr>
      <w:shd w:val="clear" w:color="auto" w:fill="DBF7FF"/>
    </w:tcPr>
    <w:tblStylePr w:type="firstRow">
      <w:rPr>
        <w:b/>
        <w:bCs/>
      </w:rPr>
      <w:tblPr/>
      <w:tcPr>
        <w:tcBorders>
          <w:top w:val="nil"/>
          <w:left w:val="nil"/>
          <w:bottom w:val="single" w:sz="24" w:space="0" w:color="B7DDE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455"/>
      </w:tcPr>
    </w:tblStylePr>
    <w:tblStylePr w:type="firstCol">
      <w:rPr>
        <w:color w:val="FFFFFF"/>
      </w:rPr>
      <w:tblPr/>
      <w:tcPr>
        <w:tcBorders>
          <w:top w:val="nil"/>
          <w:left w:val="nil"/>
          <w:bottom w:val="nil"/>
          <w:right w:val="nil"/>
          <w:insideH w:val="single" w:sz="4" w:space="0" w:color="004455"/>
          <w:insideV w:val="nil"/>
        </w:tcBorders>
        <w:shd w:val="clear" w:color="auto" w:fill="004455"/>
      </w:tcPr>
    </w:tblStylePr>
    <w:tblStylePr w:type="lastCol">
      <w:rPr>
        <w:color w:val="FFFFFF"/>
      </w:rPr>
      <w:tblPr/>
      <w:tcPr>
        <w:tcBorders>
          <w:top w:val="nil"/>
          <w:left w:val="nil"/>
          <w:bottom w:val="nil"/>
          <w:right w:val="nil"/>
          <w:insideH w:val="nil"/>
          <w:insideV w:val="nil"/>
        </w:tcBorders>
        <w:shd w:val="clear" w:color="auto" w:fill="004455"/>
      </w:tcPr>
    </w:tblStylePr>
    <w:tblStylePr w:type="band1Vert">
      <w:tblPr/>
      <w:tcPr>
        <w:shd w:val="clear" w:color="auto" w:fill="6CE1FF"/>
      </w:tcPr>
    </w:tblStylePr>
    <w:tblStylePr w:type="band1Horz">
      <w:tblPr/>
      <w:tcPr>
        <w:shd w:val="clear" w:color="auto" w:fill="48D9FF"/>
      </w:tcPr>
    </w:tblStylePr>
    <w:tblStylePr w:type="neCell">
      <w:rPr>
        <w:color w:val="00728F"/>
      </w:rPr>
    </w:tblStylePr>
    <w:tblStylePr w:type="nwCell">
      <w:rPr>
        <w:color w:val="00728F"/>
      </w:rPr>
    </w:tblStylePr>
  </w:style>
  <w:style w:type="table" w:styleId="ColorfulShading-Accent2">
    <w:name w:val="Colorful Shading Accent 2"/>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B7DDE8"/>
        <w:left w:val="single" w:sz="4" w:space="0" w:color="B7DDE8"/>
        <w:bottom w:val="single" w:sz="4" w:space="0" w:color="B7DDE8"/>
        <w:right w:val="single" w:sz="4" w:space="0" w:color="B7DDE8"/>
        <w:insideH w:val="single" w:sz="4" w:space="0" w:color="FFFFFF"/>
        <w:insideV w:val="single" w:sz="4" w:space="0" w:color="FFFFFF"/>
      </w:tblBorders>
    </w:tblPr>
    <w:tcPr>
      <w:shd w:val="clear" w:color="auto" w:fill="F7FBFC"/>
    </w:tcPr>
    <w:tblStylePr w:type="firstRow">
      <w:rPr>
        <w:b/>
        <w:bCs/>
      </w:rPr>
      <w:tblPr/>
      <w:tcPr>
        <w:tcBorders>
          <w:top w:val="nil"/>
          <w:left w:val="nil"/>
          <w:bottom w:val="single" w:sz="24" w:space="0" w:color="B7DDE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C9FBC"/>
      </w:tcPr>
    </w:tblStylePr>
    <w:tblStylePr w:type="firstCol">
      <w:rPr>
        <w:color w:val="FFFFFF"/>
      </w:rPr>
      <w:tblPr/>
      <w:tcPr>
        <w:tcBorders>
          <w:top w:val="nil"/>
          <w:left w:val="nil"/>
          <w:bottom w:val="nil"/>
          <w:right w:val="nil"/>
          <w:insideH w:val="single" w:sz="4" w:space="0" w:color="3C9FBC"/>
          <w:insideV w:val="nil"/>
        </w:tcBorders>
        <w:shd w:val="clear" w:color="auto" w:fill="3C9FBC"/>
      </w:tcPr>
    </w:tblStylePr>
    <w:tblStylePr w:type="lastCol">
      <w:rPr>
        <w:color w:val="FFFFFF"/>
      </w:rPr>
      <w:tblPr/>
      <w:tcPr>
        <w:tcBorders>
          <w:top w:val="nil"/>
          <w:left w:val="nil"/>
          <w:bottom w:val="nil"/>
          <w:right w:val="nil"/>
          <w:insideH w:val="nil"/>
          <w:insideV w:val="nil"/>
        </w:tcBorders>
        <w:shd w:val="clear" w:color="auto" w:fill="3C9FBC"/>
      </w:tcPr>
    </w:tblStylePr>
    <w:tblStylePr w:type="band1Vert">
      <w:tblPr/>
      <w:tcPr>
        <w:shd w:val="clear" w:color="auto" w:fill="E2F1F5"/>
      </w:tcPr>
    </w:tblStylePr>
    <w:tblStylePr w:type="band1Horz">
      <w:tblPr/>
      <w:tcPr>
        <w:shd w:val="clear" w:color="auto" w:fill="DBEEF3"/>
      </w:tcPr>
    </w:tblStylePr>
    <w:tblStylePr w:type="neCell">
      <w:rPr>
        <w:color w:val="00728F"/>
      </w:rPr>
    </w:tblStylePr>
    <w:tblStylePr w:type="nwCell">
      <w:rPr>
        <w:color w:val="00728F"/>
      </w:rPr>
    </w:tblStylePr>
  </w:style>
  <w:style w:type="table" w:styleId="ColorfulShading-Accent3">
    <w:name w:val="Colorful Shading Accent 3"/>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92CDDC"/>
        <w:left w:val="single" w:sz="4" w:space="0" w:color="DBEEF3"/>
        <w:bottom w:val="single" w:sz="4" w:space="0" w:color="DBEEF3"/>
        <w:right w:val="single" w:sz="4" w:space="0" w:color="DBEEF3"/>
        <w:insideH w:val="single" w:sz="4" w:space="0" w:color="FFFFFF"/>
        <w:insideV w:val="single" w:sz="4" w:space="0" w:color="FFFFFF"/>
      </w:tblBorders>
    </w:tblPr>
    <w:tcPr>
      <w:shd w:val="clear" w:color="auto" w:fill="FBFDFD"/>
    </w:tcPr>
    <w:tblStylePr w:type="firstRow">
      <w:rPr>
        <w:b/>
        <w:bCs/>
      </w:rPr>
      <w:tblPr/>
      <w:tcPr>
        <w:tcBorders>
          <w:top w:val="nil"/>
          <w:left w:val="nil"/>
          <w:bottom w:val="single" w:sz="24" w:space="0" w:color="92CDD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0ACC4"/>
      </w:tcPr>
    </w:tblStylePr>
    <w:tblStylePr w:type="firstCol">
      <w:rPr>
        <w:color w:val="FFFFFF"/>
      </w:rPr>
      <w:tblPr/>
      <w:tcPr>
        <w:tcBorders>
          <w:top w:val="nil"/>
          <w:left w:val="nil"/>
          <w:bottom w:val="nil"/>
          <w:right w:val="nil"/>
          <w:insideH w:val="single" w:sz="4" w:space="0" w:color="50ACC4"/>
          <w:insideV w:val="nil"/>
        </w:tcBorders>
        <w:shd w:val="clear" w:color="auto" w:fill="50ACC4"/>
      </w:tcPr>
    </w:tblStylePr>
    <w:tblStylePr w:type="lastCol">
      <w:rPr>
        <w:color w:val="FFFFFF"/>
      </w:rPr>
      <w:tblPr/>
      <w:tcPr>
        <w:tcBorders>
          <w:top w:val="nil"/>
          <w:left w:val="nil"/>
          <w:bottom w:val="nil"/>
          <w:right w:val="nil"/>
          <w:insideH w:val="nil"/>
          <w:insideV w:val="nil"/>
        </w:tcBorders>
        <w:shd w:val="clear" w:color="auto" w:fill="50ACC4"/>
      </w:tcPr>
    </w:tblStylePr>
    <w:tblStylePr w:type="band1Vert">
      <w:tblPr/>
      <w:tcPr>
        <w:shd w:val="clear" w:color="auto" w:fill="F0F8FA"/>
      </w:tcPr>
    </w:tblStylePr>
    <w:tblStylePr w:type="band1Horz">
      <w:tblPr/>
      <w:tcPr>
        <w:shd w:val="clear" w:color="auto" w:fill="EDF6F9"/>
      </w:tcPr>
    </w:tblStylePr>
  </w:style>
  <w:style w:type="table" w:styleId="ColorfulShading-Accent4">
    <w:name w:val="Colorful Shading Accent 4"/>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DBEEF3"/>
        <w:left w:val="single" w:sz="4" w:space="0" w:color="92CDDC"/>
        <w:bottom w:val="single" w:sz="4" w:space="0" w:color="92CDDC"/>
        <w:right w:val="single" w:sz="4" w:space="0" w:color="92CDDC"/>
        <w:insideH w:val="single" w:sz="4" w:space="0" w:color="FFFFFF"/>
        <w:insideV w:val="single" w:sz="4" w:space="0" w:color="FFFFFF"/>
      </w:tblBorders>
    </w:tblPr>
    <w:tcPr>
      <w:shd w:val="clear" w:color="auto" w:fill="F4FAFB"/>
    </w:tcPr>
    <w:tblStylePr w:type="firstRow">
      <w:rPr>
        <w:b/>
        <w:bCs/>
      </w:rPr>
      <w:tblPr/>
      <w:tcPr>
        <w:tcBorders>
          <w:top w:val="nil"/>
          <w:left w:val="nil"/>
          <w:bottom w:val="single" w:sz="24" w:space="0" w:color="DBEEF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58FA6"/>
      </w:tcPr>
    </w:tblStylePr>
    <w:tblStylePr w:type="firstCol">
      <w:rPr>
        <w:color w:val="FFFFFF"/>
      </w:rPr>
      <w:tblPr/>
      <w:tcPr>
        <w:tcBorders>
          <w:top w:val="nil"/>
          <w:left w:val="nil"/>
          <w:bottom w:val="nil"/>
          <w:right w:val="nil"/>
          <w:insideH w:val="single" w:sz="4" w:space="0" w:color="358FA6"/>
          <w:insideV w:val="nil"/>
        </w:tcBorders>
        <w:shd w:val="clear" w:color="auto" w:fill="358FA6"/>
      </w:tcPr>
    </w:tblStylePr>
    <w:tblStylePr w:type="lastCol">
      <w:rPr>
        <w:color w:val="FFFFFF"/>
      </w:rPr>
      <w:tblPr/>
      <w:tcPr>
        <w:tcBorders>
          <w:top w:val="nil"/>
          <w:left w:val="nil"/>
          <w:bottom w:val="nil"/>
          <w:right w:val="nil"/>
          <w:insideH w:val="nil"/>
          <w:insideV w:val="nil"/>
        </w:tcBorders>
        <w:shd w:val="clear" w:color="auto" w:fill="358FA6"/>
      </w:tcPr>
    </w:tblStylePr>
    <w:tblStylePr w:type="band1Vert">
      <w:tblPr/>
      <w:tcPr>
        <w:shd w:val="clear" w:color="auto" w:fill="D3EAF1"/>
      </w:tcPr>
    </w:tblStylePr>
    <w:tblStylePr w:type="band1Horz">
      <w:tblPr/>
      <w:tcPr>
        <w:shd w:val="clear" w:color="auto" w:fill="C8E5ED"/>
      </w:tcPr>
    </w:tblStylePr>
    <w:tblStylePr w:type="neCell">
      <w:rPr>
        <w:color w:val="00728F"/>
      </w:rPr>
    </w:tblStylePr>
    <w:tblStylePr w:type="nwCell">
      <w:rPr>
        <w:color w:val="00728F"/>
      </w:rPr>
    </w:tblStylePr>
  </w:style>
  <w:style w:type="table" w:styleId="ColorfulShading-Accent5">
    <w:name w:val="Colorful Shading Accent 5"/>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64B8CE"/>
        <w:left w:val="single" w:sz="4" w:space="0" w:color="31859B"/>
        <w:bottom w:val="single" w:sz="4" w:space="0" w:color="31859B"/>
        <w:right w:val="single" w:sz="4" w:space="0" w:color="31859B"/>
        <w:insideH w:val="single" w:sz="4" w:space="0" w:color="FFFFFF"/>
        <w:insideV w:val="single" w:sz="4" w:space="0" w:color="FFFFFF"/>
      </w:tblBorders>
    </w:tblPr>
    <w:tcPr>
      <w:shd w:val="clear" w:color="auto" w:fill="E8F4F7"/>
    </w:tcPr>
    <w:tblStylePr w:type="firstRow">
      <w:rPr>
        <w:b/>
        <w:bCs/>
      </w:rPr>
      <w:tblPr/>
      <w:tcPr>
        <w:tcBorders>
          <w:top w:val="nil"/>
          <w:left w:val="nil"/>
          <w:bottom w:val="single" w:sz="24" w:space="0" w:color="64B8C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D4F5C"/>
      </w:tcPr>
    </w:tblStylePr>
    <w:tblStylePr w:type="firstCol">
      <w:rPr>
        <w:color w:val="FFFFFF"/>
      </w:rPr>
      <w:tblPr/>
      <w:tcPr>
        <w:tcBorders>
          <w:top w:val="nil"/>
          <w:left w:val="nil"/>
          <w:bottom w:val="nil"/>
          <w:right w:val="nil"/>
          <w:insideH w:val="single" w:sz="4" w:space="0" w:color="1D4F5C"/>
          <w:insideV w:val="nil"/>
        </w:tcBorders>
        <w:shd w:val="clear" w:color="auto" w:fill="1D4F5C"/>
      </w:tcPr>
    </w:tblStylePr>
    <w:tblStylePr w:type="lastCol">
      <w:rPr>
        <w:color w:val="FFFFFF"/>
      </w:rPr>
      <w:tblPr/>
      <w:tcPr>
        <w:tcBorders>
          <w:top w:val="nil"/>
          <w:left w:val="nil"/>
          <w:bottom w:val="nil"/>
          <w:right w:val="nil"/>
          <w:insideH w:val="nil"/>
          <w:insideV w:val="nil"/>
        </w:tcBorders>
        <w:shd w:val="clear" w:color="auto" w:fill="1D4F5C"/>
      </w:tcPr>
    </w:tblStylePr>
    <w:tblStylePr w:type="band1Vert">
      <w:tblPr/>
      <w:tcPr>
        <w:shd w:val="clear" w:color="auto" w:fill="A1D4E1"/>
      </w:tcPr>
    </w:tblStylePr>
    <w:tblStylePr w:type="band1Horz">
      <w:tblPr/>
      <w:tcPr>
        <w:shd w:val="clear" w:color="auto" w:fill="8BC9DA"/>
      </w:tcPr>
    </w:tblStylePr>
    <w:tblStylePr w:type="neCell">
      <w:rPr>
        <w:color w:val="00728F"/>
      </w:rPr>
    </w:tblStylePr>
    <w:tblStylePr w:type="nwCell">
      <w:rPr>
        <w:color w:val="00728F"/>
      </w:rPr>
    </w:tblStylePr>
  </w:style>
  <w:style w:type="table" w:styleId="ColorfulShading-Accent6">
    <w:name w:val="Colorful Shading Accent 6"/>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24" w:space="0" w:color="31859B"/>
        <w:left w:val="single" w:sz="4" w:space="0" w:color="64B8CE"/>
        <w:bottom w:val="single" w:sz="4" w:space="0" w:color="64B8CE"/>
        <w:right w:val="single" w:sz="4" w:space="0" w:color="64B8CE"/>
        <w:insideH w:val="single" w:sz="4" w:space="0" w:color="FFFFFF"/>
        <w:insideV w:val="single" w:sz="4" w:space="0" w:color="FFFFFF"/>
      </w:tblBorders>
    </w:tblPr>
    <w:tcPr>
      <w:shd w:val="clear" w:color="auto" w:fill="EFF8FA"/>
    </w:tcPr>
    <w:tblStylePr w:type="firstRow">
      <w:rPr>
        <w:b/>
        <w:bCs/>
      </w:rPr>
      <w:tblPr/>
      <w:tcPr>
        <w:tcBorders>
          <w:top w:val="nil"/>
          <w:left w:val="nil"/>
          <w:bottom w:val="single" w:sz="24" w:space="0" w:color="31859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778B"/>
      </w:tcPr>
    </w:tblStylePr>
    <w:tblStylePr w:type="firstCol">
      <w:rPr>
        <w:color w:val="FFFFFF"/>
      </w:rPr>
      <w:tblPr/>
      <w:tcPr>
        <w:tcBorders>
          <w:top w:val="nil"/>
          <w:left w:val="nil"/>
          <w:bottom w:val="nil"/>
          <w:right w:val="nil"/>
          <w:insideH w:val="single" w:sz="4" w:space="0" w:color="2C778B"/>
          <w:insideV w:val="nil"/>
        </w:tcBorders>
        <w:shd w:val="clear" w:color="auto" w:fill="2C778B"/>
      </w:tcPr>
    </w:tblStylePr>
    <w:tblStylePr w:type="lastCol">
      <w:rPr>
        <w:color w:val="FFFFFF"/>
      </w:rPr>
      <w:tblPr/>
      <w:tcPr>
        <w:tcBorders>
          <w:top w:val="nil"/>
          <w:left w:val="nil"/>
          <w:bottom w:val="nil"/>
          <w:right w:val="nil"/>
          <w:insideH w:val="nil"/>
          <w:insideV w:val="nil"/>
        </w:tcBorders>
        <w:shd w:val="clear" w:color="auto" w:fill="2C778B"/>
      </w:tcPr>
    </w:tblStylePr>
    <w:tblStylePr w:type="band1Vert">
      <w:tblPr/>
      <w:tcPr>
        <w:shd w:val="clear" w:color="auto" w:fill="C0E2EB"/>
      </w:tcPr>
    </w:tblStylePr>
    <w:tblStylePr w:type="band1Horz">
      <w:tblPr/>
      <w:tcPr>
        <w:shd w:val="clear" w:color="auto" w:fill="B1DBE6"/>
      </w:tcPr>
    </w:tblStylePr>
    <w:tblStylePr w:type="neCell">
      <w:rPr>
        <w:color w:val="00728F"/>
      </w:rPr>
    </w:tblStylePr>
    <w:tblStylePr w:type="nwCell">
      <w:rPr>
        <w:color w:val="00728F"/>
      </w:rPr>
    </w:tblStylePr>
  </w:style>
  <w:style w:type="table" w:customStyle="1" w:styleId="DarkList1">
    <w:name w:val="Dark List1"/>
    <w:basedOn w:val="TableNormal"/>
    <w:uiPriority w:val="99"/>
    <w:semiHidden/>
    <w:rsid w:val="0064434C"/>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00728F"/>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003847"/>
      </w:tcPr>
    </w:tblStylePr>
    <w:tblStylePr w:type="firstCol">
      <w:tblPr/>
      <w:tcPr>
        <w:tcBorders>
          <w:top w:val="nil"/>
          <w:left w:val="nil"/>
          <w:bottom w:val="nil"/>
          <w:right w:val="single" w:sz="18" w:space="0" w:color="FFFFFF"/>
          <w:insideH w:val="nil"/>
          <w:insideV w:val="nil"/>
        </w:tcBorders>
        <w:shd w:val="clear" w:color="auto" w:fill="00556B"/>
      </w:tcPr>
    </w:tblStylePr>
    <w:tblStylePr w:type="lastCol">
      <w:tblPr/>
      <w:tcPr>
        <w:tcBorders>
          <w:top w:val="nil"/>
          <w:left w:val="single" w:sz="18" w:space="0" w:color="FFFFFF"/>
          <w:bottom w:val="nil"/>
          <w:right w:val="nil"/>
          <w:insideH w:val="nil"/>
          <w:insideV w:val="nil"/>
        </w:tcBorders>
        <w:shd w:val="clear" w:color="auto" w:fill="00556B"/>
      </w:tcPr>
    </w:tblStylePr>
    <w:tblStylePr w:type="band1Vert">
      <w:tblPr/>
      <w:tcPr>
        <w:tcBorders>
          <w:top w:val="nil"/>
          <w:left w:val="nil"/>
          <w:bottom w:val="nil"/>
          <w:right w:val="nil"/>
          <w:insideH w:val="nil"/>
          <w:insideV w:val="nil"/>
        </w:tcBorders>
        <w:shd w:val="clear" w:color="auto" w:fill="00556B"/>
      </w:tcPr>
    </w:tblStylePr>
    <w:tblStylePr w:type="band1Horz">
      <w:tblPr/>
      <w:tcPr>
        <w:tcBorders>
          <w:top w:val="nil"/>
          <w:left w:val="nil"/>
          <w:bottom w:val="nil"/>
          <w:right w:val="nil"/>
          <w:insideH w:val="nil"/>
          <w:insideV w:val="nil"/>
        </w:tcBorders>
        <w:shd w:val="clear" w:color="auto" w:fill="00556B"/>
      </w:tcPr>
    </w:tblStylePr>
  </w:style>
  <w:style w:type="table" w:styleId="DarkList-Accent1">
    <w:name w:val="Dark List Accent 1"/>
    <w:basedOn w:val="TableNormal"/>
    <w:uiPriority w:val="99"/>
    <w:semiHidden/>
    <w:rsid w:val="0064434C"/>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00728F"/>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003847"/>
      </w:tcPr>
    </w:tblStylePr>
    <w:tblStylePr w:type="firstCol">
      <w:tblPr/>
      <w:tcPr>
        <w:tcBorders>
          <w:top w:val="nil"/>
          <w:left w:val="nil"/>
          <w:bottom w:val="nil"/>
          <w:right w:val="single" w:sz="18" w:space="0" w:color="FFFFFF"/>
          <w:insideH w:val="nil"/>
          <w:insideV w:val="nil"/>
        </w:tcBorders>
        <w:shd w:val="clear" w:color="auto" w:fill="00556B"/>
      </w:tcPr>
    </w:tblStylePr>
    <w:tblStylePr w:type="lastCol">
      <w:tblPr/>
      <w:tcPr>
        <w:tcBorders>
          <w:top w:val="nil"/>
          <w:left w:val="single" w:sz="18" w:space="0" w:color="FFFFFF"/>
          <w:bottom w:val="nil"/>
          <w:right w:val="nil"/>
          <w:insideH w:val="nil"/>
          <w:insideV w:val="nil"/>
        </w:tcBorders>
        <w:shd w:val="clear" w:color="auto" w:fill="00556B"/>
      </w:tcPr>
    </w:tblStylePr>
    <w:tblStylePr w:type="band1Vert">
      <w:tblPr/>
      <w:tcPr>
        <w:tcBorders>
          <w:top w:val="nil"/>
          <w:left w:val="nil"/>
          <w:bottom w:val="nil"/>
          <w:right w:val="nil"/>
          <w:insideH w:val="nil"/>
          <w:insideV w:val="nil"/>
        </w:tcBorders>
        <w:shd w:val="clear" w:color="auto" w:fill="00556B"/>
      </w:tcPr>
    </w:tblStylePr>
    <w:tblStylePr w:type="band1Horz">
      <w:tblPr/>
      <w:tcPr>
        <w:tcBorders>
          <w:top w:val="nil"/>
          <w:left w:val="nil"/>
          <w:bottom w:val="nil"/>
          <w:right w:val="nil"/>
          <w:insideH w:val="nil"/>
          <w:insideV w:val="nil"/>
        </w:tcBorders>
        <w:shd w:val="clear" w:color="auto" w:fill="00556B"/>
      </w:tcPr>
    </w:tblStylePr>
  </w:style>
  <w:style w:type="table" w:styleId="DarkList-Accent2">
    <w:name w:val="Dark List Accent 2"/>
    <w:basedOn w:val="TableNormal"/>
    <w:uiPriority w:val="99"/>
    <w:semiHidden/>
    <w:rsid w:val="0064434C"/>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B7DDE8"/>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32849C"/>
      </w:tcPr>
    </w:tblStylePr>
    <w:tblStylePr w:type="firstCol">
      <w:tblPr/>
      <w:tcPr>
        <w:tcBorders>
          <w:top w:val="nil"/>
          <w:left w:val="nil"/>
          <w:bottom w:val="nil"/>
          <w:right w:val="single" w:sz="18" w:space="0" w:color="FFFFFF"/>
          <w:insideH w:val="nil"/>
          <w:insideV w:val="nil"/>
        </w:tcBorders>
        <w:shd w:val="clear" w:color="auto" w:fill="67B7CE"/>
      </w:tcPr>
    </w:tblStylePr>
    <w:tblStylePr w:type="lastCol">
      <w:tblPr/>
      <w:tcPr>
        <w:tcBorders>
          <w:top w:val="nil"/>
          <w:left w:val="single" w:sz="18" w:space="0" w:color="FFFFFF"/>
          <w:bottom w:val="nil"/>
          <w:right w:val="nil"/>
          <w:insideH w:val="nil"/>
          <w:insideV w:val="nil"/>
        </w:tcBorders>
        <w:shd w:val="clear" w:color="auto" w:fill="67B7CE"/>
      </w:tcPr>
    </w:tblStylePr>
    <w:tblStylePr w:type="band1Vert">
      <w:tblPr/>
      <w:tcPr>
        <w:tcBorders>
          <w:top w:val="nil"/>
          <w:left w:val="nil"/>
          <w:bottom w:val="nil"/>
          <w:right w:val="nil"/>
          <w:insideH w:val="nil"/>
          <w:insideV w:val="nil"/>
        </w:tcBorders>
        <w:shd w:val="clear" w:color="auto" w:fill="67B7CE"/>
      </w:tcPr>
    </w:tblStylePr>
    <w:tblStylePr w:type="band1Horz">
      <w:tblPr/>
      <w:tcPr>
        <w:tcBorders>
          <w:top w:val="nil"/>
          <w:left w:val="nil"/>
          <w:bottom w:val="nil"/>
          <w:right w:val="nil"/>
          <w:insideH w:val="nil"/>
          <w:insideV w:val="nil"/>
        </w:tcBorders>
        <w:shd w:val="clear" w:color="auto" w:fill="67B7CE"/>
      </w:tcPr>
    </w:tblStylePr>
  </w:style>
  <w:style w:type="table" w:styleId="DarkList-Accent3">
    <w:name w:val="Dark List Accent 3"/>
    <w:basedOn w:val="TableNormal"/>
    <w:uiPriority w:val="99"/>
    <w:semiHidden/>
    <w:rsid w:val="0064434C"/>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DBEEF3"/>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3994AC"/>
      </w:tcPr>
    </w:tblStylePr>
    <w:tblStylePr w:type="firstCol">
      <w:tblPr/>
      <w:tcPr>
        <w:tcBorders>
          <w:top w:val="nil"/>
          <w:left w:val="nil"/>
          <w:bottom w:val="nil"/>
          <w:right w:val="single" w:sz="18" w:space="0" w:color="FFFFFF"/>
          <w:insideH w:val="nil"/>
          <w:insideV w:val="nil"/>
        </w:tcBorders>
        <w:shd w:val="clear" w:color="auto" w:fill="84C4D6"/>
      </w:tcPr>
    </w:tblStylePr>
    <w:tblStylePr w:type="lastCol">
      <w:tblPr/>
      <w:tcPr>
        <w:tcBorders>
          <w:top w:val="nil"/>
          <w:left w:val="single" w:sz="18" w:space="0" w:color="FFFFFF"/>
          <w:bottom w:val="nil"/>
          <w:right w:val="nil"/>
          <w:insideH w:val="nil"/>
          <w:insideV w:val="nil"/>
        </w:tcBorders>
        <w:shd w:val="clear" w:color="auto" w:fill="84C4D6"/>
      </w:tcPr>
    </w:tblStylePr>
    <w:tblStylePr w:type="band1Vert">
      <w:tblPr/>
      <w:tcPr>
        <w:tcBorders>
          <w:top w:val="nil"/>
          <w:left w:val="nil"/>
          <w:bottom w:val="nil"/>
          <w:right w:val="nil"/>
          <w:insideH w:val="nil"/>
          <w:insideV w:val="nil"/>
        </w:tcBorders>
        <w:shd w:val="clear" w:color="auto" w:fill="84C4D6"/>
      </w:tcPr>
    </w:tblStylePr>
    <w:tblStylePr w:type="band1Horz">
      <w:tblPr/>
      <w:tcPr>
        <w:tcBorders>
          <w:top w:val="nil"/>
          <w:left w:val="nil"/>
          <w:bottom w:val="nil"/>
          <w:right w:val="nil"/>
          <w:insideH w:val="nil"/>
          <w:insideV w:val="nil"/>
        </w:tcBorders>
        <w:shd w:val="clear" w:color="auto" w:fill="84C4D6"/>
      </w:tcPr>
    </w:tblStylePr>
  </w:style>
  <w:style w:type="table" w:styleId="DarkList-Accent4">
    <w:name w:val="Dark List Accent 4"/>
    <w:basedOn w:val="TableNormal"/>
    <w:uiPriority w:val="99"/>
    <w:semiHidden/>
    <w:rsid w:val="0064434C"/>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92CDDC"/>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2C7689"/>
      </w:tcPr>
    </w:tblStylePr>
    <w:tblStylePr w:type="firstCol">
      <w:tblPr/>
      <w:tcPr>
        <w:tcBorders>
          <w:top w:val="nil"/>
          <w:left w:val="nil"/>
          <w:bottom w:val="nil"/>
          <w:right w:val="single" w:sz="18" w:space="0" w:color="FFFFFF"/>
          <w:insideH w:val="nil"/>
          <w:insideV w:val="nil"/>
        </w:tcBorders>
        <w:shd w:val="clear" w:color="auto" w:fill="4CACC5"/>
      </w:tcPr>
    </w:tblStylePr>
    <w:tblStylePr w:type="lastCol">
      <w:tblPr/>
      <w:tcPr>
        <w:tcBorders>
          <w:top w:val="nil"/>
          <w:left w:val="single" w:sz="18" w:space="0" w:color="FFFFFF"/>
          <w:bottom w:val="nil"/>
          <w:right w:val="nil"/>
          <w:insideH w:val="nil"/>
          <w:insideV w:val="nil"/>
        </w:tcBorders>
        <w:shd w:val="clear" w:color="auto" w:fill="4CACC5"/>
      </w:tcPr>
    </w:tblStylePr>
    <w:tblStylePr w:type="band1Vert">
      <w:tblPr/>
      <w:tcPr>
        <w:tcBorders>
          <w:top w:val="nil"/>
          <w:left w:val="nil"/>
          <w:bottom w:val="nil"/>
          <w:right w:val="nil"/>
          <w:insideH w:val="nil"/>
          <w:insideV w:val="nil"/>
        </w:tcBorders>
        <w:shd w:val="clear" w:color="auto" w:fill="4CACC5"/>
      </w:tcPr>
    </w:tblStylePr>
    <w:tblStylePr w:type="band1Horz">
      <w:tblPr/>
      <w:tcPr>
        <w:tcBorders>
          <w:top w:val="nil"/>
          <w:left w:val="nil"/>
          <w:bottom w:val="nil"/>
          <w:right w:val="nil"/>
          <w:insideH w:val="nil"/>
          <w:insideV w:val="nil"/>
        </w:tcBorders>
        <w:shd w:val="clear" w:color="auto" w:fill="4CACC5"/>
      </w:tcPr>
    </w:tblStylePr>
  </w:style>
  <w:style w:type="table" w:styleId="DarkList-Accent5">
    <w:name w:val="Dark List Accent 5"/>
    <w:basedOn w:val="TableNormal"/>
    <w:uiPriority w:val="99"/>
    <w:semiHidden/>
    <w:rsid w:val="0064434C"/>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31859B"/>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18414C"/>
      </w:tcPr>
    </w:tblStylePr>
    <w:tblStylePr w:type="firstCol">
      <w:tblPr/>
      <w:tcPr>
        <w:tcBorders>
          <w:top w:val="nil"/>
          <w:left w:val="nil"/>
          <w:bottom w:val="nil"/>
          <w:right w:val="single" w:sz="18" w:space="0" w:color="FFFFFF"/>
          <w:insideH w:val="nil"/>
          <w:insideV w:val="nil"/>
        </w:tcBorders>
        <w:shd w:val="clear" w:color="auto" w:fill="246373"/>
      </w:tcPr>
    </w:tblStylePr>
    <w:tblStylePr w:type="lastCol">
      <w:tblPr/>
      <w:tcPr>
        <w:tcBorders>
          <w:top w:val="nil"/>
          <w:left w:val="single" w:sz="18" w:space="0" w:color="FFFFFF"/>
          <w:bottom w:val="nil"/>
          <w:right w:val="nil"/>
          <w:insideH w:val="nil"/>
          <w:insideV w:val="nil"/>
        </w:tcBorders>
        <w:shd w:val="clear" w:color="auto" w:fill="246373"/>
      </w:tcPr>
    </w:tblStylePr>
    <w:tblStylePr w:type="band1Vert">
      <w:tblPr/>
      <w:tcPr>
        <w:tcBorders>
          <w:top w:val="nil"/>
          <w:left w:val="nil"/>
          <w:bottom w:val="nil"/>
          <w:right w:val="nil"/>
          <w:insideH w:val="nil"/>
          <w:insideV w:val="nil"/>
        </w:tcBorders>
        <w:shd w:val="clear" w:color="auto" w:fill="246373"/>
      </w:tcPr>
    </w:tblStylePr>
    <w:tblStylePr w:type="band1Horz">
      <w:tblPr/>
      <w:tcPr>
        <w:tcBorders>
          <w:top w:val="nil"/>
          <w:left w:val="nil"/>
          <w:bottom w:val="nil"/>
          <w:right w:val="nil"/>
          <w:insideH w:val="nil"/>
          <w:insideV w:val="nil"/>
        </w:tcBorders>
        <w:shd w:val="clear" w:color="auto" w:fill="246373"/>
      </w:tcPr>
    </w:tblStylePr>
  </w:style>
  <w:style w:type="table" w:styleId="DarkList-Accent6">
    <w:name w:val="Dark List Accent 6"/>
    <w:basedOn w:val="TableNormal"/>
    <w:uiPriority w:val="99"/>
    <w:semiHidden/>
    <w:rsid w:val="0064434C"/>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64B8CE"/>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246373"/>
      </w:tcPr>
    </w:tblStylePr>
    <w:tblStylePr w:type="firstCol">
      <w:tblPr/>
      <w:tcPr>
        <w:tcBorders>
          <w:top w:val="nil"/>
          <w:left w:val="nil"/>
          <w:bottom w:val="nil"/>
          <w:right w:val="single" w:sz="18" w:space="0" w:color="FFFFFF"/>
          <w:insideH w:val="nil"/>
          <w:insideV w:val="nil"/>
        </w:tcBorders>
        <w:shd w:val="clear" w:color="auto" w:fill="3795AD"/>
      </w:tcPr>
    </w:tblStylePr>
    <w:tblStylePr w:type="lastCol">
      <w:tblPr/>
      <w:tcPr>
        <w:tcBorders>
          <w:top w:val="nil"/>
          <w:left w:val="single" w:sz="18" w:space="0" w:color="FFFFFF"/>
          <w:bottom w:val="nil"/>
          <w:right w:val="nil"/>
          <w:insideH w:val="nil"/>
          <w:insideV w:val="nil"/>
        </w:tcBorders>
        <w:shd w:val="clear" w:color="auto" w:fill="3795AD"/>
      </w:tcPr>
    </w:tblStylePr>
    <w:tblStylePr w:type="band1Vert">
      <w:tblPr/>
      <w:tcPr>
        <w:tcBorders>
          <w:top w:val="nil"/>
          <w:left w:val="nil"/>
          <w:bottom w:val="nil"/>
          <w:right w:val="nil"/>
          <w:insideH w:val="nil"/>
          <w:insideV w:val="nil"/>
        </w:tcBorders>
        <w:shd w:val="clear" w:color="auto" w:fill="3795AD"/>
      </w:tcPr>
    </w:tblStylePr>
    <w:tblStylePr w:type="band1Horz">
      <w:tblPr/>
      <w:tcPr>
        <w:tcBorders>
          <w:top w:val="nil"/>
          <w:left w:val="nil"/>
          <w:bottom w:val="nil"/>
          <w:right w:val="nil"/>
          <w:insideH w:val="nil"/>
          <w:insideV w:val="nil"/>
        </w:tcBorders>
        <w:shd w:val="clear" w:color="auto" w:fill="3795AD"/>
      </w:tcPr>
    </w:tblStylePr>
  </w:style>
  <w:style w:type="table" w:customStyle="1" w:styleId="LightGrid1">
    <w:name w:val="Light Grid1"/>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blStylePr w:type="firstRow">
      <w:pPr>
        <w:spacing w:before="0" w:after="0" w:line="240" w:lineRule="auto"/>
      </w:pPr>
      <w:rPr>
        <w:rFonts w:ascii="Cambria" w:eastAsia="Times New Roman" w:hAnsi="Cambria" w:cs="Times New Roman"/>
        <w:b/>
        <w:bCs/>
      </w:rPr>
      <w:tblPr/>
      <w:tcPr>
        <w:tcBorders>
          <w:top w:val="single" w:sz="8" w:space="0" w:color="00728F"/>
          <w:left w:val="single" w:sz="8" w:space="0" w:color="00728F"/>
          <w:bottom w:val="single" w:sz="18" w:space="0" w:color="00728F"/>
          <w:right w:val="single" w:sz="8" w:space="0" w:color="00728F"/>
          <w:insideH w:val="nil"/>
          <w:insideV w:val="single" w:sz="8" w:space="0" w:color="00728F"/>
        </w:tcBorders>
      </w:tcPr>
    </w:tblStylePr>
    <w:tblStylePr w:type="lastRow">
      <w:pPr>
        <w:spacing w:before="0" w:after="0" w:line="240" w:lineRule="auto"/>
      </w:pPr>
      <w:rPr>
        <w:rFonts w:ascii="Cambria" w:eastAsia="Times New Roman" w:hAnsi="Cambria" w:cs="Times New Roman"/>
        <w:b/>
        <w:bCs/>
      </w:rPr>
      <w:tblPr/>
      <w:tcPr>
        <w:tcBorders>
          <w:top w:val="double" w:sz="6" w:space="0" w:color="00728F"/>
          <w:left w:val="single" w:sz="8" w:space="0" w:color="00728F"/>
          <w:bottom w:val="single" w:sz="8" w:space="0" w:color="00728F"/>
          <w:right w:val="single" w:sz="8" w:space="0" w:color="00728F"/>
          <w:insideH w:val="nil"/>
          <w:insideV w:val="single" w:sz="8" w:space="0" w:color="00728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728F"/>
          <w:left w:val="single" w:sz="8" w:space="0" w:color="00728F"/>
          <w:bottom w:val="single" w:sz="8" w:space="0" w:color="00728F"/>
          <w:right w:val="single" w:sz="8" w:space="0" w:color="00728F"/>
        </w:tcBorders>
      </w:tcPr>
    </w:tblStylePr>
    <w:tblStylePr w:type="band1Vert">
      <w:tblPr/>
      <w:tcPr>
        <w:tcBorders>
          <w:top w:val="single" w:sz="8" w:space="0" w:color="00728F"/>
          <w:left w:val="single" w:sz="8" w:space="0" w:color="00728F"/>
          <w:bottom w:val="single" w:sz="8" w:space="0" w:color="00728F"/>
          <w:right w:val="single" w:sz="8" w:space="0" w:color="00728F"/>
        </w:tcBorders>
        <w:shd w:val="clear" w:color="auto" w:fill="A4ECFF"/>
      </w:tcPr>
    </w:tblStylePr>
    <w:tblStylePr w:type="band1Horz">
      <w:tblPr/>
      <w:tcPr>
        <w:tcBorders>
          <w:top w:val="single" w:sz="8" w:space="0" w:color="00728F"/>
          <w:left w:val="single" w:sz="8" w:space="0" w:color="00728F"/>
          <w:bottom w:val="single" w:sz="8" w:space="0" w:color="00728F"/>
          <w:right w:val="single" w:sz="8" w:space="0" w:color="00728F"/>
          <w:insideV w:val="single" w:sz="8" w:space="0" w:color="00728F"/>
        </w:tcBorders>
        <w:shd w:val="clear" w:color="auto" w:fill="A4ECFF"/>
      </w:tcPr>
    </w:tblStylePr>
    <w:tblStylePr w:type="band2Horz">
      <w:tblPr/>
      <w:tcPr>
        <w:tcBorders>
          <w:top w:val="single" w:sz="8" w:space="0" w:color="00728F"/>
          <w:left w:val="single" w:sz="8" w:space="0" w:color="00728F"/>
          <w:bottom w:val="single" w:sz="8" w:space="0" w:color="00728F"/>
          <w:right w:val="single" w:sz="8" w:space="0" w:color="00728F"/>
          <w:insideV w:val="single" w:sz="8" w:space="0" w:color="00728F"/>
        </w:tcBorders>
      </w:tcPr>
    </w:tblStylePr>
  </w:style>
  <w:style w:type="table" w:customStyle="1" w:styleId="LightGrid-Accent11">
    <w:name w:val="Light Grid - Accent 11"/>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blStylePr w:type="firstRow">
      <w:pPr>
        <w:spacing w:before="0" w:after="0" w:line="240" w:lineRule="auto"/>
      </w:pPr>
      <w:rPr>
        <w:rFonts w:ascii="Cambria" w:eastAsia="Times New Roman" w:hAnsi="Cambria" w:cs="Times New Roman"/>
        <w:b/>
        <w:bCs/>
      </w:rPr>
      <w:tblPr/>
      <w:tcPr>
        <w:tcBorders>
          <w:top w:val="single" w:sz="8" w:space="0" w:color="00728F"/>
          <w:left w:val="single" w:sz="8" w:space="0" w:color="00728F"/>
          <w:bottom w:val="single" w:sz="18" w:space="0" w:color="00728F"/>
          <w:right w:val="single" w:sz="8" w:space="0" w:color="00728F"/>
          <w:insideH w:val="nil"/>
          <w:insideV w:val="single" w:sz="8" w:space="0" w:color="00728F"/>
        </w:tcBorders>
      </w:tcPr>
    </w:tblStylePr>
    <w:tblStylePr w:type="lastRow">
      <w:pPr>
        <w:spacing w:before="0" w:after="0" w:line="240" w:lineRule="auto"/>
      </w:pPr>
      <w:rPr>
        <w:rFonts w:ascii="Cambria" w:eastAsia="Times New Roman" w:hAnsi="Cambria" w:cs="Times New Roman"/>
        <w:b/>
        <w:bCs/>
      </w:rPr>
      <w:tblPr/>
      <w:tcPr>
        <w:tcBorders>
          <w:top w:val="double" w:sz="6" w:space="0" w:color="00728F"/>
          <w:left w:val="single" w:sz="8" w:space="0" w:color="00728F"/>
          <w:bottom w:val="single" w:sz="8" w:space="0" w:color="00728F"/>
          <w:right w:val="single" w:sz="8" w:space="0" w:color="00728F"/>
          <w:insideH w:val="nil"/>
          <w:insideV w:val="single" w:sz="8" w:space="0" w:color="00728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728F"/>
          <w:left w:val="single" w:sz="8" w:space="0" w:color="00728F"/>
          <w:bottom w:val="single" w:sz="8" w:space="0" w:color="00728F"/>
          <w:right w:val="single" w:sz="8" w:space="0" w:color="00728F"/>
        </w:tcBorders>
      </w:tcPr>
    </w:tblStylePr>
    <w:tblStylePr w:type="band1Vert">
      <w:tblPr/>
      <w:tcPr>
        <w:tcBorders>
          <w:top w:val="single" w:sz="8" w:space="0" w:color="00728F"/>
          <w:left w:val="single" w:sz="8" w:space="0" w:color="00728F"/>
          <w:bottom w:val="single" w:sz="8" w:space="0" w:color="00728F"/>
          <w:right w:val="single" w:sz="8" w:space="0" w:color="00728F"/>
        </w:tcBorders>
        <w:shd w:val="clear" w:color="auto" w:fill="A4ECFF"/>
      </w:tcPr>
    </w:tblStylePr>
    <w:tblStylePr w:type="band1Horz">
      <w:tblPr/>
      <w:tcPr>
        <w:tcBorders>
          <w:top w:val="single" w:sz="8" w:space="0" w:color="00728F"/>
          <w:left w:val="single" w:sz="8" w:space="0" w:color="00728F"/>
          <w:bottom w:val="single" w:sz="8" w:space="0" w:color="00728F"/>
          <w:right w:val="single" w:sz="8" w:space="0" w:color="00728F"/>
          <w:insideV w:val="single" w:sz="8" w:space="0" w:color="00728F"/>
        </w:tcBorders>
        <w:shd w:val="clear" w:color="auto" w:fill="A4ECFF"/>
      </w:tcPr>
    </w:tblStylePr>
    <w:tblStylePr w:type="band2Horz">
      <w:tblPr/>
      <w:tcPr>
        <w:tcBorders>
          <w:top w:val="single" w:sz="8" w:space="0" w:color="00728F"/>
          <w:left w:val="single" w:sz="8" w:space="0" w:color="00728F"/>
          <w:bottom w:val="single" w:sz="8" w:space="0" w:color="00728F"/>
          <w:right w:val="single" w:sz="8" w:space="0" w:color="00728F"/>
          <w:insideV w:val="single" w:sz="8" w:space="0" w:color="00728F"/>
        </w:tcBorders>
      </w:tcPr>
    </w:tblStylePr>
  </w:style>
  <w:style w:type="table" w:styleId="LightGrid-Accent2">
    <w:name w:val="Light Grid Accent 2"/>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B7DDE8"/>
        <w:left w:val="single" w:sz="8" w:space="0" w:color="B7DDE8"/>
        <w:bottom w:val="single" w:sz="8" w:space="0" w:color="B7DDE8"/>
        <w:right w:val="single" w:sz="8" w:space="0" w:color="B7DDE8"/>
        <w:insideH w:val="single" w:sz="8" w:space="0" w:color="B7DDE8"/>
        <w:insideV w:val="single" w:sz="8" w:space="0" w:color="B7DDE8"/>
      </w:tblBorders>
    </w:tblPr>
    <w:tblStylePr w:type="firstRow">
      <w:pPr>
        <w:spacing w:before="0" w:after="0" w:line="240" w:lineRule="auto"/>
      </w:pPr>
      <w:rPr>
        <w:rFonts w:ascii="Cambria" w:eastAsia="Times New Roman" w:hAnsi="Cambria" w:cs="Times New Roman"/>
        <w:b/>
        <w:bCs/>
      </w:rPr>
      <w:tblPr/>
      <w:tcPr>
        <w:tcBorders>
          <w:top w:val="single" w:sz="8" w:space="0" w:color="B7DDE8"/>
          <w:left w:val="single" w:sz="8" w:space="0" w:color="B7DDE8"/>
          <w:bottom w:val="single" w:sz="18" w:space="0" w:color="B7DDE8"/>
          <w:right w:val="single" w:sz="8" w:space="0" w:color="B7DDE8"/>
          <w:insideH w:val="nil"/>
          <w:insideV w:val="single" w:sz="8" w:space="0" w:color="B7DDE8"/>
        </w:tcBorders>
      </w:tcPr>
    </w:tblStylePr>
    <w:tblStylePr w:type="lastRow">
      <w:pPr>
        <w:spacing w:before="0" w:after="0" w:line="240" w:lineRule="auto"/>
      </w:pPr>
      <w:rPr>
        <w:rFonts w:ascii="Cambria" w:eastAsia="Times New Roman" w:hAnsi="Cambria" w:cs="Times New Roman"/>
        <w:b/>
        <w:bCs/>
      </w:rPr>
      <w:tblPr/>
      <w:tcPr>
        <w:tcBorders>
          <w:top w:val="double" w:sz="6" w:space="0" w:color="B7DDE8"/>
          <w:left w:val="single" w:sz="8" w:space="0" w:color="B7DDE8"/>
          <w:bottom w:val="single" w:sz="8" w:space="0" w:color="B7DDE8"/>
          <w:right w:val="single" w:sz="8" w:space="0" w:color="B7DDE8"/>
          <w:insideH w:val="nil"/>
          <w:insideV w:val="single" w:sz="8" w:space="0" w:color="B7DDE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B7DDE8"/>
          <w:left w:val="single" w:sz="8" w:space="0" w:color="B7DDE8"/>
          <w:bottom w:val="single" w:sz="8" w:space="0" w:color="B7DDE8"/>
          <w:right w:val="single" w:sz="8" w:space="0" w:color="B7DDE8"/>
        </w:tcBorders>
      </w:tcPr>
    </w:tblStylePr>
    <w:tblStylePr w:type="band1Vert">
      <w:tblPr/>
      <w:tcPr>
        <w:tcBorders>
          <w:top w:val="single" w:sz="8" w:space="0" w:color="B7DDE8"/>
          <w:left w:val="single" w:sz="8" w:space="0" w:color="B7DDE8"/>
          <w:bottom w:val="single" w:sz="8" w:space="0" w:color="B7DDE8"/>
          <w:right w:val="single" w:sz="8" w:space="0" w:color="B7DDE8"/>
        </w:tcBorders>
        <w:shd w:val="clear" w:color="auto" w:fill="EDF6F9"/>
      </w:tcPr>
    </w:tblStylePr>
    <w:tblStylePr w:type="band1Horz">
      <w:tblPr/>
      <w:tcPr>
        <w:tcBorders>
          <w:top w:val="single" w:sz="8" w:space="0" w:color="B7DDE8"/>
          <w:left w:val="single" w:sz="8" w:space="0" w:color="B7DDE8"/>
          <w:bottom w:val="single" w:sz="8" w:space="0" w:color="B7DDE8"/>
          <w:right w:val="single" w:sz="8" w:space="0" w:color="B7DDE8"/>
          <w:insideV w:val="single" w:sz="8" w:space="0" w:color="B7DDE8"/>
        </w:tcBorders>
        <w:shd w:val="clear" w:color="auto" w:fill="EDF6F9"/>
      </w:tcPr>
    </w:tblStylePr>
    <w:tblStylePr w:type="band2Horz">
      <w:tblPr/>
      <w:tcPr>
        <w:tcBorders>
          <w:top w:val="single" w:sz="8" w:space="0" w:color="B7DDE8"/>
          <w:left w:val="single" w:sz="8" w:space="0" w:color="B7DDE8"/>
          <w:bottom w:val="single" w:sz="8" w:space="0" w:color="B7DDE8"/>
          <w:right w:val="single" w:sz="8" w:space="0" w:color="B7DDE8"/>
          <w:insideV w:val="single" w:sz="8" w:space="0" w:color="B7DDE8"/>
        </w:tcBorders>
      </w:tcPr>
    </w:tblStylePr>
  </w:style>
  <w:style w:type="table" w:styleId="LightGrid-Accent3">
    <w:name w:val="Light Grid Accent 3"/>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DBEEF3"/>
        <w:left w:val="single" w:sz="8" w:space="0" w:color="DBEEF3"/>
        <w:bottom w:val="single" w:sz="8" w:space="0" w:color="DBEEF3"/>
        <w:right w:val="single" w:sz="8" w:space="0" w:color="DBEEF3"/>
        <w:insideH w:val="single" w:sz="8" w:space="0" w:color="DBEEF3"/>
        <w:insideV w:val="single" w:sz="8" w:space="0" w:color="DBEEF3"/>
      </w:tblBorders>
    </w:tblPr>
    <w:tblStylePr w:type="firstRow">
      <w:pPr>
        <w:spacing w:before="0" w:after="0" w:line="240" w:lineRule="auto"/>
      </w:pPr>
      <w:rPr>
        <w:rFonts w:ascii="Cambria" w:eastAsia="Times New Roman" w:hAnsi="Cambria" w:cs="Times New Roman"/>
        <w:b/>
        <w:bCs/>
      </w:rPr>
      <w:tblPr/>
      <w:tcPr>
        <w:tcBorders>
          <w:top w:val="single" w:sz="8" w:space="0" w:color="DBEEF3"/>
          <w:left w:val="single" w:sz="8" w:space="0" w:color="DBEEF3"/>
          <w:bottom w:val="single" w:sz="18" w:space="0" w:color="DBEEF3"/>
          <w:right w:val="single" w:sz="8" w:space="0" w:color="DBEEF3"/>
          <w:insideH w:val="nil"/>
          <w:insideV w:val="single" w:sz="8" w:space="0" w:color="DBEEF3"/>
        </w:tcBorders>
      </w:tcPr>
    </w:tblStylePr>
    <w:tblStylePr w:type="lastRow">
      <w:pPr>
        <w:spacing w:before="0" w:after="0" w:line="240" w:lineRule="auto"/>
      </w:pPr>
      <w:rPr>
        <w:rFonts w:ascii="Cambria" w:eastAsia="Times New Roman" w:hAnsi="Cambria" w:cs="Times New Roman"/>
        <w:b/>
        <w:bCs/>
      </w:rPr>
      <w:tblPr/>
      <w:tcPr>
        <w:tcBorders>
          <w:top w:val="double" w:sz="6" w:space="0" w:color="DBEEF3"/>
          <w:left w:val="single" w:sz="8" w:space="0" w:color="DBEEF3"/>
          <w:bottom w:val="single" w:sz="8" w:space="0" w:color="DBEEF3"/>
          <w:right w:val="single" w:sz="8" w:space="0" w:color="DBEEF3"/>
          <w:insideH w:val="nil"/>
          <w:insideV w:val="single" w:sz="8" w:space="0" w:color="DBEEF3"/>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DBEEF3"/>
          <w:left w:val="single" w:sz="8" w:space="0" w:color="DBEEF3"/>
          <w:bottom w:val="single" w:sz="8" w:space="0" w:color="DBEEF3"/>
          <w:right w:val="single" w:sz="8" w:space="0" w:color="DBEEF3"/>
        </w:tcBorders>
      </w:tcPr>
    </w:tblStylePr>
    <w:tblStylePr w:type="band1Vert">
      <w:tblPr/>
      <w:tcPr>
        <w:tcBorders>
          <w:top w:val="single" w:sz="8" w:space="0" w:color="DBEEF3"/>
          <w:left w:val="single" w:sz="8" w:space="0" w:color="DBEEF3"/>
          <w:bottom w:val="single" w:sz="8" w:space="0" w:color="DBEEF3"/>
          <w:right w:val="single" w:sz="8" w:space="0" w:color="DBEEF3"/>
        </w:tcBorders>
        <w:shd w:val="clear" w:color="auto" w:fill="F6FAFC"/>
      </w:tcPr>
    </w:tblStylePr>
    <w:tblStylePr w:type="band1Horz">
      <w:tblPr/>
      <w:tcPr>
        <w:tcBorders>
          <w:top w:val="single" w:sz="8" w:space="0" w:color="DBEEF3"/>
          <w:left w:val="single" w:sz="8" w:space="0" w:color="DBEEF3"/>
          <w:bottom w:val="single" w:sz="8" w:space="0" w:color="DBEEF3"/>
          <w:right w:val="single" w:sz="8" w:space="0" w:color="DBEEF3"/>
          <w:insideV w:val="single" w:sz="8" w:space="0" w:color="DBEEF3"/>
        </w:tcBorders>
        <w:shd w:val="clear" w:color="auto" w:fill="F6FAFC"/>
      </w:tcPr>
    </w:tblStylePr>
    <w:tblStylePr w:type="band2Horz">
      <w:tblPr/>
      <w:tcPr>
        <w:tcBorders>
          <w:top w:val="single" w:sz="8" w:space="0" w:color="DBEEF3"/>
          <w:left w:val="single" w:sz="8" w:space="0" w:color="DBEEF3"/>
          <w:bottom w:val="single" w:sz="8" w:space="0" w:color="DBEEF3"/>
          <w:right w:val="single" w:sz="8" w:space="0" w:color="DBEEF3"/>
          <w:insideV w:val="single" w:sz="8" w:space="0" w:color="DBEEF3"/>
        </w:tcBorders>
      </w:tcPr>
    </w:tblStylePr>
  </w:style>
  <w:style w:type="table" w:styleId="LightGrid-Accent4">
    <w:name w:val="Light Grid Accent 4"/>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Pr>
    <w:tblStylePr w:type="firstRow">
      <w:pPr>
        <w:spacing w:before="0" w:after="0" w:line="240" w:lineRule="auto"/>
      </w:pPr>
      <w:rPr>
        <w:rFonts w:ascii="Cambria" w:eastAsia="Times New Roman" w:hAnsi="Cambria" w:cs="Times New Roman"/>
        <w:b/>
        <w:bCs/>
      </w:rPr>
      <w:tblPr/>
      <w:tcPr>
        <w:tcBorders>
          <w:top w:val="single" w:sz="8" w:space="0" w:color="92CDDC"/>
          <w:left w:val="single" w:sz="8" w:space="0" w:color="92CDDC"/>
          <w:bottom w:val="single" w:sz="18" w:space="0" w:color="92CDDC"/>
          <w:right w:val="single" w:sz="8" w:space="0" w:color="92CDDC"/>
          <w:insideH w:val="nil"/>
          <w:insideV w:val="single" w:sz="8" w:space="0" w:color="92CDDC"/>
        </w:tcBorders>
      </w:tcPr>
    </w:tblStylePr>
    <w:tblStylePr w:type="lastRow">
      <w:pPr>
        <w:spacing w:before="0" w:after="0" w:line="240" w:lineRule="auto"/>
      </w:pPr>
      <w:rPr>
        <w:rFonts w:ascii="Cambria" w:eastAsia="Times New Roman" w:hAnsi="Cambria" w:cs="Times New Roman"/>
        <w:b/>
        <w:bCs/>
      </w:rPr>
      <w:tblPr/>
      <w:tcPr>
        <w:tcBorders>
          <w:top w:val="double" w:sz="6" w:space="0" w:color="92CDDC"/>
          <w:left w:val="single" w:sz="8" w:space="0" w:color="92CDDC"/>
          <w:bottom w:val="single" w:sz="8" w:space="0" w:color="92CDDC"/>
          <w:right w:val="single" w:sz="8" w:space="0" w:color="92CDDC"/>
          <w:insideH w:val="nil"/>
          <w:insideV w:val="single" w:sz="8" w:space="0" w:color="92CDDC"/>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2CDDC"/>
          <w:left w:val="single" w:sz="8" w:space="0" w:color="92CDDC"/>
          <w:bottom w:val="single" w:sz="8" w:space="0" w:color="92CDDC"/>
          <w:right w:val="single" w:sz="8" w:space="0" w:color="92CDDC"/>
        </w:tcBorders>
      </w:tcPr>
    </w:tblStylePr>
    <w:tblStylePr w:type="band1Vert">
      <w:tblPr/>
      <w:tcPr>
        <w:tcBorders>
          <w:top w:val="single" w:sz="8" w:space="0" w:color="92CDDC"/>
          <w:left w:val="single" w:sz="8" w:space="0" w:color="92CDDC"/>
          <w:bottom w:val="single" w:sz="8" w:space="0" w:color="92CDDC"/>
          <w:right w:val="single" w:sz="8" w:space="0" w:color="92CDDC"/>
        </w:tcBorders>
        <w:shd w:val="clear" w:color="auto" w:fill="E4F2F6"/>
      </w:tcPr>
    </w:tblStylePr>
    <w:tblStylePr w:type="band1Horz">
      <w:tblPr/>
      <w:tcPr>
        <w:tcBorders>
          <w:top w:val="single" w:sz="8" w:space="0" w:color="92CDDC"/>
          <w:left w:val="single" w:sz="8" w:space="0" w:color="92CDDC"/>
          <w:bottom w:val="single" w:sz="8" w:space="0" w:color="92CDDC"/>
          <w:right w:val="single" w:sz="8" w:space="0" w:color="92CDDC"/>
          <w:insideV w:val="single" w:sz="8" w:space="0" w:color="92CDDC"/>
        </w:tcBorders>
        <w:shd w:val="clear" w:color="auto" w:fill="E4F2F6"/>
      </w:tcPr>
    </w:tblStylePr>
    <w:tblStylePr w:type="band2Horz">
      <w:tblPr/>
      <w:tcPr>
        <w:tcBorders>
          <w:top w:val="single" w:sz="8" w:space="0" w:color="92CDDC"/>
          <w:left w:val="single" w:sz="8" w:space="0" w:color="92CDDC"/>
          <w:bottom w:val="single" w:sz="8" w:space="0" w:color="92CDDC"/>
          <w:right w:val="single" w:sz="8" w:space="0" w:color="92CDDC"/>
          <w:insideV w:val="single" w:sz="8" w:space="0" w:color="92CDDC"/>
        </w:tcBorders>
      </w:tcPr>
    </w:tblStylePr>
  </w:style>
  <w:style w:type="table" w:styleId="LightGrid-Accent5">
    <w:name w:val="Light Grid Accent 5"/>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31859B"/>
        <w:left w:val="single" w:sz="8" w:space="0" w:color="31859B"/>
        <w:bottom w:val="single" w:sz="8" w:space="0" w:color="31859B"/>
        <w:right w:val="single" w:sz="8" w:space="0" w:color="31859B"/>
        <w:insideH w:val="single" w:sz="8" w:space="0" w:color="31859B"/>
        <w:insideV w:val="single" w:sz="8" w:space="0" w:color="31859B"/>
      </w:tblBorders>
    </w:tblPr>
    <w:tblStylePr w:type="firstRow">
      <w:pPr>
        <w:spacing w:before="0" w:after="0" w:line="240" w:lineRule="auto"/>
      </w:pPr>
      <w:rPr>
        <w:rFonts w:ascii="Cambria" w:eastAsia="Times New Roman" w:hAnsi="Cambria" w:cs="Times New Roman"/>
        <w:b/>
        <w:bCs/>
      </w:rPr>
      <w:tblPr/>
      <w:tcPr>
        <w:tcBorders>
          <w:top w:val="single" w:sz="8" w:space="0" w:color="31859B"/>
          <w:left w:val="single" w:sz="8" w:space="0" w:color="31859B"/>
          <w:bottom w:val="single" w:sz="18" w:space="0" w:color="31859B"/>
          <w:right w:val="single" w:sz="8" w:space="0" w:color="31859B"/>
          <w:insideH w:val="nil"/>
          <w:insideV w:val="single" w:sz="8" w:space="0" w:color="31859B"/>
        </w:tcBorders>
      </w:tcPr>
    </w:tblStylePr>
    <w:tblStylePr w:type="lastRow">
      <w:pPr>
        <w:spacing w:before="0" w:after="0" w:line="240" w:lineRule="auto"/>
      </w:pPr>
      <w:rPr>
        <w:rFonts w:ascii="Cambria" w:eastAsia="Times New Roman" w:hAnsi="Cambria" w:cs="Times New Roman"/>
        <w:b/>
        <w:bCs/>
      </w:rPr>
      <w:tblPr/>
      <w:tcPr>
        <w:tcBorders>
          <w:top w:val="double" w:sz="6" w:space="0" w:color="31859B"/>
          <w:left w:val="single" w:sz="8" w:space="0" w:color="31859B"/>
          <w:bottom w:val="single" w:sz="8" w:space="0" w:color="31859B"/>
          <w:right w:val="single" w:sz="8" w:space="0" w:color="31859B"/>
          <w:insideH w:val="nil"/>
          <w:insideV w:val="single" w:sz="8" w:space="0" w:color="31859B"/>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1859B"/>
          <w:left w:val="single" w:sz="8" w:space="0" w:color="31859B"/>
          <w:bottom w:val="single" w:sz="8" w:space="0" w:color="31859B"/>
          <w:right w:val="single" w:sz="8" w:space="0" w:color="31859B"/>
        </w:tcBorders>
      </w:tcPr>
    </w:tblStylePr>
    <w:tblStylePr w:type="band1Vert">
      <w:tblPr/>
      <w:tcPr>
        <w:tcBorders>
          <w:top w:val="single" w:sz="8" w:space="0" w:color="31859B"/>
          <w:left w:val="single" w:sz="8" w:space="0" w:color="31859B"/>
          <w:bottom w:val="single" w:sz="8" w:space="0" w:color="31859B"/>
          <w:right w:val="single" w:sz="8" w:space="0" w:color="31859B"/>
        </w:tcBorders>
        <w:shd w:val="clear" w:color="auto" w:fill="C5E4EC"/>
      </w:tcPr>
    </w:tblStylePr>
    <w:tblStylePr w:type="band1Horz">
      <w:tblPr/>
      <w:tcPr>
        <w:tcBorders>
          <w:top w:val="single" w:sz="8" w:space="0" w:color="31859B"/>
          <w:left w:val="single" w:sz="8" w:space="0" w:color="31859B"/>
          <w:bottom w:val="single" w:sz="8" w:space="0" w:color="31859B"/>
          <w:right w:val="single" w:sz="8" w:space="0" w:color="31859B"/>
          <w:insideV w:val="single" w:sz="8" w:space="0" w:color="31859B"/>
        </w:tcBorders>
        <w:shd w:val="clear" w:color="auto" w:fill="C5E4EC"/>
      </w:tcPr>
    </w:tblStylePr>
    <w:tblStylePr w:type="band2Horz">
      <w:tblPr/>
      <w:tcPr>
        <w:tcBorders>
          <w:top w:val="single" w:sz="8" w:space="0" w:color="31859B"/>
          <w:left w:val="single" w:sz="8" w:space="0" w:color="31859B"/>
          <w:bottom w:val="single" w:sz="8" w:space="0" w:color="31859B"/>
          <w:right w:val="single" w:sz="8" w:space="0" w:color="31859B"/>
          <w:insideV w:val="single" w:sz="8" w:space="0" w:color="31859B"/>
        </w:tcBorders>
      </w:tcPr>
    </w:tblStylePr>
  </w:style>
  <w:style w:type="table" w:styleId="LightGrid-Accent6">
    <w:name w:val="Light Grid Accent 6"/>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64B8CE"/>
        <w:left w:val="single" w:sz="8" w:space="0" w:color="64B8CE"/>
        <w:bottom w:val="single" w:sz="8" w:space="0" w:color="64B8CE"/>
        <w:right w:val="single" w:sz="8" w:space="0" w:color="64B8CE"/>
        <w:insideH w:val="single" w:sz="8" w:space="0" w:color="64B8CE"/>
        <w:insideV w:val="single" w:sz="8" w:space="0" w:color="64B8CE"/>
      </w:tblBorders>
    </w:tblPr>
    <w:tblStylePr w:type="firstRow">
      <w:pPr>
        <w:spacing w:before="0" w:after="0" w:line="240" w:lineRule="auto"/>
      </w:pPr>
      <w:rPr>
        <w:rFonts w:ascii="Cambria" w:eastAsia="Times New Roman" w:hAnsi="Cambria" w:cs="Times New Roman"/>
        <w:b/>
        <w:bCs/>
      </w:rPr>
      <w:tblPr/>
      <w:tcPr>
        <w:tcBorders>
          <w:top w:val="single" w:sz="8" w:space="0" w:color="64B8CE"/>
          <w:left w:val="single" w:sz="8" w:space="0" w:color="64B8CE"/>
          <w:bottom w:val="single" w:sz="18" w:space="0" w:color="64B8CE"/>
          <w:right w:val="single" w:sz="8" w:space="0" w:color="64B8CE"/>
          <w:insideH w:val="nil"/>
          <w:insideV w:val="single" w:sz="8" w:space="0" w:color="64B8CE"/>
        </w:tcBorders>
      </w:tcPr>
    </w:tblStylePr>
    <w:tblStylePr w:type="lastRow">
      <w:pPr>
        <w:spacing w:before="0" w:after="0" w:line="240" w:lineRule="auto"/>
      </w:pPr>
      <w:rPr>
        <w:rFonts w:ascii="Cambria" w:eastAsia="Times New Roman" w:hAnsi="Cambria" w:cs="Times New Roman"/>
        <w:b/>
        <w:bCs/>
      </w:rPr>
      <w:tblPr/>
      <w:tcPr>
        <w:tcBorders>
          <w:top w:val="double" w:sz="6" w:space="0" w:color="64B8CE"/>
          <w:left w:val="single" w:sz="8" w:space="0" w:color="64B8CE"/>
          <w:bottom w:val="single" w:sz="8" w:space="0" w:color="64B8CE"/>
          <w:right w:val="single" w:sz="8" w:space="0" w:color="64B8CE"/>
          <w:insideH w:val="nil"/>
          <w:insideV w:val="single" w:sz="8" w:space="0" w:color="64B8CE"/>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64B8CE"/>
          <w:left w:val="single" w:sz="8" w:space="0" w:color="64B8CE"/>
          <w:bottom w:val="single" w:sz="8" w:space="0" w:color="64B8CE"/>
          <w:right w:val="single" w:sz="8" w:space="0" w:color="64B8CE"/>
        </w:tcBorders>
      </w:tcPr>
    </w:tblStylePr>
    <w:tblStylePr w:type="band1Vert">
      <w:tblPr/>
      <w:tcPr>
        <w:tcBorders>
          <w:top w:val="single" w:sz="8" w:space="0" w:color="64B8CE"/>
          <w:left w:val="single" w:sz="8" w:space="0" w:color="64B8CE"/>
          <w:bottom w:val="single" w:sz="8" w:space="0" w:color="64B8CE"/>
          <w:right w:val="single" w:sz="8" w:space="0" w:color="64B8CE"/>
        </w:tcBorders>
        <w:shd w:val="clear" w:color="auto" w:fill="D8EDF2"/>
      </w:tcPr>
    </w:tblStylePr>
    <w:tblStylePr w:type="band1Horz">
      <w:tblPr/>
      <w:tcPr>
        <w:tcBorders>
          <w:top w:val="single" w:sz="8" w:space="0" w:color="64B8CE"/>
          <w:left w:val="single" w:sz="8" w:space="0" w:color="64B8CE"/>
          <w:bottom w:val="single" w:sz="8" w:space="0" w:color="64B8CE"/>
          <w:right w:val="single" w:sz="8" w:space="0" w:color="64B8CE"/>
          <w:insideV w:val="single" w:sz="8" w:space="0" w:color="64B8CE"/>
        </w:tcBorders>
        <w:shd w:val="clear" w:color="auto" w:fill="D8EDF2"/>
      </w:tcPr>
    </w:tblStylePr>
    <w:tblStylePr w:type="band2Horz">
      <w:tblPr/>
      <w:tcPr>
        <w:tcBorders>
          <w:top w:val="single" w:sz="8" w:space="0" w:color="64B8CE"/>
          <w:left w:val="single" w:sz="8" w:space="0" w:color="64B8CE"/>
          <w:bottom w:val="single" w:sz="8" w:space="0" w:color="64B8CE"/>
          <w:right w:val="single" w:sz="8" w:space="0" w:color="64B8CE"/>
          <w:insideV w:val="single" w:sz="8" w:space="0" w:color="64B8CE"/>
        </w:tcBorders>
      </w:tcPr>
    </w:tblStylePr>
  </w:style>
  <w:style w:type="table" w:customStyle="1" w:styleId="LightList1">
    <w:name w:val="Light List1"/>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pPr>
        <w:spacing w:before="0" w:after="0" w:line="240" w:lineRule="auto"/>
      </w:pPr>
      <w:rPr>
        <w:b/>
        <w:bCs/>
        <w:color w:val="FFFFFF"/>
      </w:rPr>
      <w:tblPr/>
      <w:tcPr>
        <w:shd w:val="clear" w:color="auto" w:fill="00728F"/>
      </w:tcPr>
    </w:tblStylePr>
    <w:tblStylePr w:type="lastRow">
      <w:pPr>
        <w:spacing w:before="0" w:after="0" w:line="240" w:lineRule="auto"/>
      </w:pPr>
      <w:rPr>
        <w:b/>
        <w:bCs/>
      </w:rPr>
      <w:tblPr/>
      <w:tcPr>
        <w:tcBorders>
          <w:top w:val="double" w:sz="6" w:space="0" w:color="00728F"/>
          <w:left w:val="single" w:sz="8" w:space="0" w:color="00728F"/>
          <w:bottom w:val="single" w:sz="8" w:space="0" w:color="00728F"/>
          <w:right w:val="single" w:sz="8" w:space="0" w:color="00728F"/>
        </w:tcBorders>
      </w:tcPr>
    </w:tblStylePr>
    <w:tblStylePr w:type="firstCol">
      <w:rPr>
        <w:b/>
        <w:bCs/>
      </w:rPr>
    </w:tblStylePr>
    <w:tblStylePr w:type="lastCol">
      <w:rPr>
        <w:b/>
        <w:bCs/>
      </w:rPr>
    </w:tblStylePr>
    <w:tblStylePr w:type="band1Vert">
      <w:tblPr/>
      <w:tcPr>
        <w:tcBorders>
          <w:top w:val="single" w:sz="8" w:space="0" w:color="00728F"/>
          <w:left w:val="single" w:sz="8" w:space="0" w:color="00728F"/>
          <w:bottom w:val="single" w:sz="8" w:space="0" w:color="00728F"/>
          <w:right w:val="single" w:sz="8" w:space="0" w:color="00728F"/>
        </w:tcBorders>
      </w:tcPr>
    </w:tblStylePr>
    <w:tblStylePr w:type="band1Horz">
      <w:tblPr/>
      <w:tcPr>
        <w:tcBorders>
          <w:top w:val="single" w:sz="8" w:space="0" w:color="00728F"/>
          <w:left w:val="single" w:sz="8" w:space="0" w:color="00728F"/>
          <w:bottom w:val="single" w:sz="8" w:space="0" w:color="00728F"/>
          <w:right w:val="single" w:sz="8" w:space="0" w:color="00728F"/>
        </w:tcBorders>
      </w:tcPr>
    </w:tblStylePr>
  </w:style>
  <w:style w:type="table" w:customStyle="1" w:styleId="LightList-Accent11">
    <w:name w:val="Light List - Accent 11"/>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pPr>
        <w:spacing w:before="0" w:after="0" w:line="240" w:lineRule="auto"/>
      </w:pPr>
      <w:rPr>
        <w:b/>
        <w:bCs/>
        <w:color w:val="FFFFFF"/>
      </w:rPr>
      <w:tblPr/>
      <w:tcPr>
        <w:shd w:val="clear" w:color="auto" w:fill="00728F"/>
      </w:tcPr>
    </w:tblStylePr>
    <w:tblStylePr w:type="lastRow">
      <w:pPr>
        <w:spacing w:before="0" w:after="0" w:line="240" w:lineRule="auto"/>
      </w:pPr>
      <w:rPr>
        <w:b/>
        <w:bCs/>
      </w:rPr>
      <w:tblPr/>
      <w:tcPr>
        <w:tcBorders>
          <w:top w:val="double" w:sz="6" w:space="0" w:color="00728F"/>
          <w:left w:val="single" w:sz="8" w:space="0" w:color="00728F"/>
          <w:bottom w:val="single" w:sz="8" w:space="0" w:color="00728F"/>
          <w:right w:val="single" w:sz="8" w:space="0" w:color="00728F"/>
        </w:tcBorders>
      </w:tcPr>
    </w:tblStylePr>
    <w:tblStylePr w:type="firstCol">
      <w:rPr>
        <w:b/>
        <w:bCs/>
      </w:rPr>
    </w:tblStylePr>
    <w:tblStylePr w:type="lastCol">
      <w:rPr>
        <w:b/>
        <w:bCs/>
      </w:rPr>
    </w:tblStylePr>
    <w:tblStylePr w:type="band1Vert">
      <w:tblPr/>
      <w:tcPr>
        <w:tcBorders>
          <w:top w:val="single" w:sz="8" w:space="0" w:color="00728F"/>
          <w:left w:val="single" w:sz="8" w:space="0" w:color="00728F"/>
          <w:bottom w:val="single" w:sz="8" w:space="0" w:color="00728F"/>
          <w:right w:val="single" w:sz="8" w:space="0" w:color="00728F"/>
        </w:tcBorders>
      </w:tcPr>
    </w:tblStylePr>
    <w:tblStylePr w:type="band1Horz">
      <w:tblPr/>
      <w:tcPr>
        <w:tcBorders>
          <w:top w:val="single" w:sz="8" w:space="0" w:color="00728F"/>
          <w:left w:val="single" w:sz="8" w:space="0" w:color="00728F"/>
          <w:bottom w:val="single" w:sz="8" w:space="0" w:color="00728F"/>
          <w:right w:val="single" w:sz="8" w:space="0" w:color="00728F"/>
        </w:tcBorders>
      </w:tcPr>
    </w:tblStylePr>
  </w:style>
  <w:style w:type="table" w:styleId="LightList-Accent2">
    <w:name w:val="Light List Accent 2"/>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B7DDE8"/>
        <w:left w:val="single" w:sz="8" w:space="0" w:color="B7DDE8"/>
        <w:bottom w:val="single" w:sz="8" w:space="0" w:color="B7DDE8"/>
        <w:right w:val="single" w:sz="8" w:space="0" w:color="B7DDE8"/>
      </w:tblBorders>
    </w:tblPr>
    <w:tblStylePr w:type="firstRow">
      <w:pPr>
        <w:spacing w:before="0" w:after="0" w:line="240" w:lineRule="auto"/>
      </w:pPr>
      <w:rPr>
        <w:b/>
        <w:bCs/>
        <w:color w:val="FFFFFF"/>
      </w:rPr>
      <w:tblPr/>
      <w:tcPr>
        <w:shd w:val="clear" w:color="auto" w:fill="B7DDE8"/>
      </w:tcPr>
    </w:tblStylePr>
    <w:tblStylePr w:type="lastRow">
      <w:pPr>
        <w:spacing w:before="0" w:after="0" w:line="240" w:lineRule="auto"/>
      </w:pPr>
      <w:rPr>
        <w:b/>
        <w:bCs/>
      </w:rPr>
      <w:tblPr/>
      <w:tcPr>
        <w:tcBorders>
          <w:top w:val="double" w:sz="6" w:space="0" w:color="B7DDE8"/>
          <w:left w:val="single" w:sz="8" w:space="0" w:color="B7DDE8"/>
          <w:bottom w:val="single" w:sz="8" w:space="0" w:color="B7DDE8"/>
          <w:right w:val="single" w:sz="8" w:space="0" w:color="B7DDE8"/>
        </w:tcBorders>
      </w:tcPr>
    </w:tblStylePr>
    <w:tblStylePr w:type="firstCol">
      <w:rPr>
        <w:b/>
        <w:bCs/>
      </w:rPr>
    </w:tblStylePr>
    <w:tblStylePr w:type="lastCol">
      <w:rPr>
        <w:b/>
        <w:bCs/>
      </w:rPr>
    </w:tblStylePr>
    <w:tblStylePr w:type="band1Vert">
      <w:tblPr/>
      <w:tcPr>
        <w:tcBorders>
          <w:top w:val="single" w:sz="8" w:space="0" w:color="B7DDE8"/>
          <w:left w:val="single" w:sz="8" w:space="0" w:color="B7DDE8"/>
          <w:bottom w:val="single" w:sz="8" w:space="0" w:color="B7DDE8"/>
          <w:right w:val="single" w:sz="8" w:space="0" w:color="B7DDE8"/>
        </w:tcBorders>
      </w:tcPr>
    </w:tblStylePr>
    <w:tblStylePr w:type="band1Horz">
      <w:tblPr/>
      <w:tcPr>
        <w:tcBorders>
          <w:top w:val="single" w:sz="8" w:space="0" w:color="B7DDE8"/>
          <w:left w:val="single" w:sz="8" w:space="0" w:color="B7DDE8"/>
          <w:bottom w:val="single" w:sz="8" w:space="0" w:color="B7DDE8"/>
          <w:right w:val="single" w:sz="8" w:space="0" w:color="B7DDE8"/>
        </w:tcBorders>
      </w:tcPr>
    </w:tblStylePr>
  </w:style>
  <w:style w:type="table" w:styleId="LightList-Accent3">
    <w:name w:val="Light List Accent 3"/>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DBEEF3"/>
        <w:left w:val="single" w:sz="8" w:space="0" w:color="DBEEF3"/>
        <w:bottom w:val="single" w:sz="8" w:space="0" w:color="DBEEF3"/>
        <w:right w:val="single" w:sz="8" w:space="0" w:color="DBEEF3"/>
      </w:tblBorders>
    </w:tblPr>
    <w:tblStylePr w:type="firstRow">
      <w:pPr>
        <w:spacing w:before="0" w:after="0" w:line="240" w:lineRule="auto"/>
      </w:pPr>
      <w:rPr>
        <w:b/>
        <w:bCs/>
        <w:color w:val="FFFFFF"/>
      </w:rPr>
      <w:tblPr/>
      <w:tcPr>
        <w:shd w:val="clear" w:color="auto" w:fill="DBEEF3"/>
      </w:tcPr>
    </w:tblStylePr>
    <w:tblStylePr w:type="lastRow">
      <w:pPr>
        <w:spacing w:before="0" w:after="0" w:line="240" w:lineRule="auto"/>
      </w:pPr>
      <w:rPr>
        <w:b/>
        <w:bCs/>
      </w:rPr>
      <w:tblPr/>
      <w:tcPr>
        <w:tcBorders>
          <w:top w:val="double" w:sz="6" w:space="0" w:color="DBEEF3"/>
          <w:left w:val="single" w:sz="8" w:space="0" w:color="DBEEF3"/>
          <w:bottom w:val="single" w:sz="8" w:space="0" w:color="DBEEF3"/>
          <w:right w:val="single" w:sz="8" w:space="0" w:color="DBEEF3"/>
        </w:tcBorders>
      </w:tcPr>
    </w:tblStylePr>
    <w:tblStylePr w:type="firstCol">
      <w:rPr>
        <w:b/>
        <w:bCs/>
      </w:rPr>
    </w:tblStylePr>
    <w:tblStylePr w:type="lastCol">
      <w:rPr>
        <w:b/>
        <w:bCs/>
      </w:rPr>
    </w:tblStylePr>
    <w:tblStylePr w:type="band1Vert">
      <w:tblPr/>
      <w:tcPr>
        <w:tcBorders>
          <w:top w:val="single" w:sz="8" w:space="0" w:color="DBEEF3"/>
          <w:left w:val="single" w:sz="8" w:space="0" w:color="DBEEF3"/>
          <w:bottom w:val="single" w:sz="8" w:space="0" w:color="DBEEF3"/>
          <w:right w:val="single" w:sz="8" w:space="0" w:color="DBEEF3"/>
        </w:tcBorders>
      </w:tcPr>
    </w:tblStylePr>
    <w:tblStylePr w:type="band1Horz">
      <w:tblPr/>
      <w:tcPr>
        <w:tcBorders>
          <w:top w:val="single" w:sz="8" w:space="0" w:color="DBEEF3"/>
          <w:left w:val="single" w:sz="8" w:space="0" w:color="DBEEF3"/>
          <w:bottom w:val="single" w:sz="8" w:space="0" w:color="DBEEF3"/>
          <w:right w:val="single" w:sz="8" w:space="0" w:color="DBEEF3"/>
        </w:tcBorders>
      </w:tcPr>
    </w:tblStylePr>
  </w:style>
  <w:style w:type="table" w:styleId="LightList-Accent4">
    <w:name w:val="Light List Accent 4"/>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92CDDC"/>
        <w:left w:val="single" w:sz="8" w:space="0" w:color="92CDDC"/>
        <w:bottom w:val="single" w:sz="8" w:space="0" w:color="92CDDC"/>
        <w:right w:val="single" w:sz="8" w:space="0" w:color="92CDDC"/>
      </w:tblBorders>
    </w:tblPr>
    <w:tblStylePr w:type="firstRow">
      <w:pPr>
        <w:spacing w:before="0" w:after="0" w:line="240" w:lineRule="auto"/>
      </w:pPr>
      <w:rPr>
        <w:b/>
        <w:bCs/>
        <w:color w:val="FFFFFF"/>
      </w:rPr>
      <w:tblPr/>
      <w:tcPr>
        <w:shd w:val="clear" w:color="auto" w:fill="92CDDC"/>
      </w:tcPr>
    </w:tblStylePr>
    <w:tblStylePr w:type="lastRow">
      <w:pPr>
        <w:spacing w:before="0" w:after="0" w:line="240" w:lineRule="auto"/>
      </w:pPr>
      <w:rPr>
        <w:b/>
        <w:bCs/>
      </w:rPr>
      <w:tblPr/>
      <w:tcPr>
        <w:tcBorders>
          <w:top w:val="double" w:sz="6" w:space="0" w:color="92CDDC"/>
          <w:left w:val="single" w:sz="8" w:space="0" w:color="92CDDC"/>
          <w:bottom w:val="single" w:sz="8" w:space="0" w:color="92CDDC"/>
          <w:right w:val="single" w:sz="8" w:space="0" w:color="92CDDC"/>
        </w:tcBorders>
      </w:tcPr>
    </w:tblStylePr>
    <w:tblStylePr w:type="firstCol">
      <w:rPr>
        <w:b/>
        <w:bCs/>
      </w:rPr>
    </w:tblStylePr>
    <w:tblStylePr w:type="lastCol">
      <w:rPr>
        <w:b/>
        <w:bCs/>
      </w:rPr>
    </w:tblStylePr>
    <w:tblStylePr w:type="band1Vert">
      <w:tblPr/>
      <w:tcPr>
        <w:tcBorders>
          <w:top w:val="single" w:sz="8" w:space="0" w:color="92CDDC"/>
          <w:left w:val="single" w:sz="8" w:space="0" w:color="92CDDC"/>
          <w:bottom w:val="single" w:sz="8" w:space="0" w:color="92CDDC"/>
          <w:right w:val="single" w:sz="8" w:space="0" w:color="92CDDC"/>
        </w:tcBorders>
      </w:tcPr>
    </w:tblStylePr>
    <w:tblStylePr w:type="band1Horz">
      <w:tblPr/>
      <w:tcPr>
        <w:tcBorders>
          <w:top w:val="single" w:sz="8" w:space="0" w:color="92CDDC"/>
          <w:left w:val="single" w:sz="8" w:space="0" w:color="92CDDC"/>
          <w:bottom w:val="single" w:sz="8" w:space="0" w:color="92CDDC"/>
          <w:right w:val="single" w:sz="8" w:space="0" w:color="92CDDC"/>
        </w:tcBorders>
      </w:tcPr>
    </w:tblStylePr>
  </w:style>
  <w:style w:type="table" w:styleId="LightList-Accent5">
    <w:name w:val="Light List Accent 5"/>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31859B"/>
        <w:left w:val="single" w:sz="8" w:space="0" w:color="31859B"/>
        <w:bottom w:val="single" w:sz="8" w:space="0" w:color="31859B"/>
        <w:right w:val="single" w:sz="8" w:space="0" w:color="31859B"/>
      </w:tblBorders>
    </w:tblPr>
    <w:tblStylePr w:type="firstRow">
      <w:pPr>
        <w:spacing w:before="0" w:after="0" w:line="240" w:lineRule="auto"/>
      </w:pPr>
      <w:rPr>
        <w:b/>
        <w:bCs/>
        <w:color w:val="FFFFFF"/>
      </w:rPr>
      <w:tblPr/>
      <w:tcPr>
        <w:shd w:val="clear" w:color="auto" w:fill="31859B"/>
      </w:tcPr>
    </w:tblStylePr>
    <w:tblStylePr w:type="lastRow">
      <w:pPr>
        <w:spacing w:before="0" w:after="0" w:line="240" w:lineRule="auto"/>
      </w:pPr>
      <w:rPr>
        <w:b/>
        <w:bCs/>
      </w:rPr>
      <w:tblPr/>
      <w:tcPr>
        <w:tcBorders>
          <w:top w:val="double" w:sz="6" w:space="0" w:color="31859B"/>
          <w:left w:val="single" w:sz="8" w:space="0" w:color="31859B"/>
          <w:bottom w:val="single" w:sz="8" w:space="0" w:color="31859B"/>
          <w:right w:val="single" w:sz="8" w:space="0" w:color="31859B"/>
        </w:tcBorders>
      </w:tcPr>
    </w:tblStylePr>
    <w:tblStylePr w:type="firstCol">
      <w:rPr>
        <w:b/>
        <w:bCs/>
      </w:rPr>
    </w:tblStylePr>
    <w:tblStylePr w:type="lastCol">
      <w:rPr>
        <w:b/>
        <w:bCs/>
      </w:rPr>
    </w:tblStylePr>
    <w:tblStylePr w:type="band1Vert">
      <w:tblPr/>
      <w:tcPr>
        <w:tcBorders>
          <w:top w:val="single" w:sz="8" w:space="0" w:color="31859B"/>
          <w:left w:val="single" w:sz="8" w:space="0" w:color="31859B"/>
          <w:bottom w:val="single" w:sz="8" w:space="0" w:color="31859B"/>
          <w:right w:val="single" w:sz="8" w:space="0" w:color="31859B"/>
        </w:tcBorders>
      </w:tcPr>
    </w:tblStylePr>
    <w:tblStylePr w:type="band1Horz">
      <w:tblPr/>
      <w:tcPr>
        <w:tcBorders>
          <w:top w:val="single" w:sz="8" w:space="0" w:color="31859B"/>
          <w:left w:val="single" w:sz="8" w:space="0" w:color="31859B"/>
          <w:bottom w:val="single" w:sz="8" w:space="0" w:color="31859B"/>
          <w:right w:val="single" w:sz="8" w:space="0" w:color="31859B"/>
        </w:tcBorders>
      </w:tcPr>
    </w:tblStylePr>
  </w:style>
  <w:style w:type="table" w:styleId="LightList-Accent6">
    <w:name w:val="Light List Accent 6"/>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64B8CE"/>
        <w:left w:val="single" w:sz="8" w:space="0" w:color="64B8CE"/>
        <w:bottom w:val="single" w:sz="8" w:space="0" w:color="64B8CE"/>
        <w:right w:val="single" w:sz="8" w:space="0" w:color="64B8CE"/>
      </w:tblBorders>
    </w:tblPr>
    <w:tblStylePr w:type="firstRow">
      <w:pPr>
        <w:spacing w:before="0" w:after="0" w:line="240" w:lineRule="auto"/>
      </w:pPr>
      <w:rPr>
        <w:b/>
        <w:bCs/>
        <w:color w:val="FFFFFF"/>
      </w:rPr>
      <w:tblPr/>
      <w:tcPr>
        <w:shd w:val="clear" w:color="auto" w:fill="64B8CE"/>
      </w:tcPr>
    </w:tblStylePr>
    <w:tblStylePr w:type="lastRow">
      <w:pPr>
        <w:spacing w:before="0" w:after="0" w:line="240" w:lineRule="auto"/>
      </w:pPr>
      <w:rPr>
        <w:b/>
        <w:bCs/>
      </w:rPr>
      <w:tblPr/>
      <w:tcPr>
        <w:tcBorders>
          <w:top w:val="double" w:sz="6" w:space="0" w:color="64B8CE"/>
          <w:left w:val="single" w:sz="8" w:space="0" w:color="64B8CE"/>
          <w:bottom w:val="single" w:sz="8" w:space="0" w:color="64B8CE"/>
          <w:right w:val="single" w:sz="8" w:space="0" w:color="64B8CE"/>
        </w:tcBorders>
      </w:tcPr>
    </w:tblStylePr>
    <w:tblStylePr w:type="firstCol">
      <w:rPr>
        <w:b/>
        <w:bCs/>
      </w:rPr>
    </w:tblStylePr>
    <w:tblStylePr w:type="lastCol">
      <w:rPr>
        <w:b/>
        <w:bCs/>
      </w:rPr>
    </w:tblStylePr>
    <w:tblStylePr w:type="band1Vert">
      <w:tblPr/>
      <w:tcPr>
        <w:tcBorders>
          <w:top w:val="single" w:sz="8" w:space="0" w:color="64B8CE"/>
          <w:left w:val="single" w:sz="8" w:space="0" w:color="64B8CE"/>
          <w:bottom w:val="single" w:sz="8" w:space="0" w:color="64B8CE"/>
          <w:right w:val="single" w:sz="8" w:space="0" w:color="64B8CE"/>
        </w:tcBorders>
      </w:tcPr>
    </w:tblStylePr>
    <w:tblStylePr w:type="band1Horz">
      <w:tblPr/>
      <w:tcPr>
        <w:tcBorders>
          <w:top w:val="single" w:sz="8" w:space="0" w:color="64B8CE"/>
          <w:left w:val="single" w:sz="8" w:space="0" w:color="64B8CE"/>
          <w:bottom w:val="single" w:sz="8" w:space="0" w:color="64B8CE"/>
          <w:right w:val="single" w:sz="8" w:space="0" w:color="64B8CE"/>
        </w:tcBorders>
      </w:tcPr>
    </w:tblStylePr>
  </w:style>
  <w:style w:type="table" w:customStyle="1" w:styleId="LightShading1">
    <w:name w:val="Light Shading1"/>
    <w:basedOn w:val="TableNormal"/>
    <w:uiPriority w:val="99"/>
    <w:semiHidden/>
    <w:rsid w:val="0064434C"/>
    <w:pPr>
      <w:spacing w:after="0" w:line="240" w:lineRule="auto"/>
    </w:pPr>
    <w:rPr>
      <w:rFonts w:ascii="Calibri" w:eastAsia="Calibri" w:hAnsi="Calibri" w:cs="Times New Roman"/>
      <w:color w:val="00556B"/>
      <w:sz w:val="20"/>
      <w:szCs w:val="20"/>
      <w:lang w:eastAsia="en-AU"/>
    </w:rPr>
    <w:tblPr>
      <w:tblStyleRowBandSize w:val="1"/>
      <w:tblStyleColBandSize w:val="1"/>
      <w:tblBorders>
        <w:top w:val="single" w:sz="8" w:space="0" w:color="00728F"/>
        <w:bottom w:val="single" w:sz="8" w:space="0" w:color="00728F"/>
      </w:tblBorders>
    </w:tblPr>
    <w:tblStylePr w:type="fir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la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cPr>
    </w:tblStylePr>
    <w:tblStylePr w:type="band1Horz">
      <w:tblPr/>
      <w:tcPr>
        <w:tcBorders>
          <w:left w:val="nil"/>
          <w:right w:val="nil"/>
          <w:insideH w:val="nil"/>
          <w:insideV w:val="nil"/>
        </w:tcBorders>
        <w:shd w:val="clear" w:color="auto" w:fill="A4ECFF"/>
      </w:tcPr>
    </w:tblStylePr>
  </w:style>
  <w:style w:type="table" w:customStyle="1" w:styleId="LightShading-Accent11">
    <w:name w:val="Light Shading - Accent 11"/>
    <w:basedOn w:val="TableNormal"/>
    <w:uiPriority w:val="99"/>
    <w:semiHidden/>
    <w:rsid w:val="0064434C"/>
    <w:pPr>
      <w:spacing w:after="0" w:line="240" w:lineRule="auto"/>
    </w:pPr>
    <w:rPr>
      <w:rFonts w:ascii="Calibri" w:eastAsia="Calibri" w:hAnsi="Calibri" w:cs="Times New Roman"/>
      <w:color w:val="00556B"/>
      <w:sz w:val="20"/>
      <w:szCs w:val="20"/>
      <w:lang w:eastAsia="en-AU"/>
    </w:rPr>
    <w:tblPr>
      <w:tblStyleRowBandSize w:val="1"/>
      <w:tblStyleColBandSize w:val="1"/>
      <w:tblBorders>
        <w:top w:val="single" w:sz="8" w:space="0" w:color="00728F"/>
        <w:bottom w:val="single" w:sz="8" w:space="0" w:color="00728F"/>
      </w:tblBorders>
    </w:tblPr>
    <w:tblStylePr w:type="fir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la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cPr>
    </w:tblStylePr>
    <w:tblStylePr w:type="band1Horz">
      <w:tblPr/>
      <w:tcPr>
        <w:tcBorders>
          <w:left w:val="nil"/>
          <w:right w:val="nil"/>
          <w:insideH w:val="nil"/>
          <w:insideV w:val="nil"/>
        </w:tcBorders>
        <w:shd w:val="clear" w:color="auto" w:fill="A4ECFF"/>
      </w:tcPr>
    </w:tblStylePr>
  </w:style>
  <w:style w:type="table" w:styleId="LightShading-Accent2">
    <w:name w:val="Light Shading Accent 2"/>
    <w:basedOn w:val="TableNormal"/>
    <w:uiPriority w:val="60"/>
    <w:rsid w:val="0064434C"/>
    <w:pPr>
      <w:spacing w:after="0" w:line="240" w:lineRule="auto"/>
    </w:pPr>
    <w:rPr>
      <w:rFonts w:ascii="Calibri" w:eastAsia="Calibri" w:hAnsi="Calibri" w:cs="Times New Roman"/>
      <w:color w:val="67B7CE"/>
      <w:sz w:val="20"/>
      <w:szCs w:val="20"/>
      <w:lang w:eastAsia="en-AU"/>
    </w:rPr>
    <w:tblPr>
      <w:tblStyleRowBandSize w:val="1"/>
      <w:tblStyleColBandSize w:val="1"/>
      <w:tblBorders>
        <w:top w:val="single" w:sz="8" w:space="0" w:color="B7DDE8"/>
        <w:bottom w:val="single" w:sz="8" w:space="0" w:color="B7DDE8"/>
      </w:tblBorders>
    </w:tblPr>
    <w:tblStylePr w:type="firstRow">
      <w:pPr>
        <w:spacing w:before="0" w:after="0" w:line="240" w:lineRule="auto"/>
      </w:pPr>
      <w:rPr>
        <w:b/>
        <w:bCs/>
      </w:rPr>
      <w:tblPr/>
      <w:tcPr>
        <w:tcBorders>
          <w:top w:val="single" w:sz="8" w:space="0" w:color="B7DDE8"/>
          <w:left w:val="nil"/>
          <w:bottom w:val="single" w:sz="8" w:space="0" w:color="B7DDE8"/>
          <w:right w:val="nil"/>
          <w:insideH w:val="nil"/>
          <w:insideV w:val="nil"/>
        </w:tcBorders>
      </w:tcPr>
    </w:tblStylePr>
    <w:tblStylePr w:type="lastRow">
      <w:pPr>
        <w:spacing w:before="0" w:after="0" w:line="240" w:lineRule="auto"/>
      </w:pPr>
      <w:rPr>
        <w:b/>
        <w:bCs/>
      </w:rPr>
      <w:tblPr/>
      <w:tcPr>
        <w:tcBorders>
          <w:top w:val="single" w:sz="8" w:space="0" w:color="B7DDE8"/>
          <w:left w:val="nil"/>
          <w:bottom w:val="single" w:sz="8" w:space="0" w:color="B7DDE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cPr>
    </w:tblStylePr>
    <w:tblStylePr w:type="band1Horz">
      <w:tblPr/>
      <w:tcPr>
        <w:tcBorders>
          <w:left w:val="nil"/>
          <w:right w:val="nil"/>
          <w:insideH w:val="nil"/>
          <w:insideV w:val="nil"/>
        </w:tcBorders>
        <w:shd w:val="clear" w:color="auto" w:fill="EDF6F9"/>
      </w:tcPr>
    </w:tblStylePr>
  </w:style>
  <w:style w:type="table" w:styleId="LightShading-Accent3">
    <w:name w:val="Light Shading Accent 3"/>
    <w:basedOn w:val="TableNormal"/>
    <w:uiPriority w:val="60"/>
    <w:rsid w:val="0064434C"/>
    <w:pPr>
      <w:spacing w:after="0" w:line="240" w:lineRule="auto"/>
    </w:pPr>
    <w:rPr>
      <w:rFonts w:ascii="Calibri" w:eastAsia="Calibri" w:hAnsi="Calibri" w:cs="Times New Roman"/>
      <w:color w:val="84C4D6"/>
      <w:sz w:val="20"/>
      <w:szCs w:val="20"/>
      <w:lang w:eastAsia="en-AU"/>
    </w:rPr>
    <w:tblPr>
      <w:tblStyleRowBandSize w:val="1"/>
      <w:tblStyleColBandSize w:val="1"/>
      <w:tblBorders>
        <w:top w:val="single" w:sz="8" w:space="0" w:color="DBEEF3"/>
        <w:bottom w:val="single" w:sz="8" w:space="0" w:color="DBEEF3"/>
      </w:tblBorders>
    </w:tblPr>
    <w:tblStylePr w:type="firstRow">
      <w:pPr>
        <w:spacing w:before="0" w:after="0" w:line="240" w:lineRule="auto"/>
      </w:pPr>
      <w:rPr>
        <w:b/>
        <w:bCs/>
      </w:rPr>
      <w:tblPr/>
      <w:tcPr>
        <w:tcBorders>
          <w:top w:val="single" w:sz="8" w:space="0" w:color="DBEEF3"/>
          <w:left w:val="nil"/>
          <w:bottom w:val="single" w:sz="8" w:space="0" w:color="DBEEF3"/>
          <w:right w:val="nil"/>
          <w:insideH w:val="nil"/>
          <w:insideV w:val="nil"/>
        </w:tcBorders>
      </w:tcPr>
    </w:tblStylePr>
    <w:tblStylePr w:type="lastRow">
      <w:pPr>
        <w:spacing w:before="0" w:after="0" w:line="240" w:lineRule="auto"/>
      </w:pPr>
      <w:rPr>
        <w:b/>
        <w:bCs/>
      </w:rPr>
      <w:tblPr/>
      <w:tcPr>
        <w:tcBorders>
          <w:top w:val="single" w:sz="8" w:space="0" w:color="DBEEF3"/>
          <w:left w:val="nil"/>
          <w:bottom w:val="single" w:sz="8" w:space="0" w:color="DBEEF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cPr>
    </w:tblStylePr>
    <w:tblStylePr w:type="band1Horz">
      <w:tblPr/>
      <w:tcPr>
        <w:tcBorders>
          <w:left w:val="nil"/>
          <w:right w:val="nil"/>
          <w:insideH w:val="nil"/>
          <w:insideV w:val="nil"/>
        </w:tcBorders>
        <w:shd w:val="clear" w:color="auto" w:fill="F6FAFC"/>
      </w:tcPr>
    </w:tblStylePr>
  </w:style>
  <w:style w:type="table" w:styleId="LightShading-Accent4">
    <w:name w:val="Light Shading Accent 4"/>
    <w:basedOn w:val="TableNormal"/>
    <w:uiPriority w:val="99"/>
    <w:semiHidden/>
    <w:rsid w:val="0064434C"/>
    <w:pPr>
      <w:spacing w:after="0" w:line="240" w:lineRule="auto"/>
    </w:pPr>
    <w:rPr>
      <w:rFonts w:ascii="Calibri" w:eastAsia="Calibri" w:hAnsi="Calibri" w:cs="Times New Roman"/>
      <w:color w:val="4CACC5"/>
      <w:sz w:val="20"/>
      <w:szCs w:val="20"/>
      <w:lang w:eastAsia="en-AU"/>
    </w:rPr>
    <w:tblPr>
      <w:tblStyleRowBandSize w:val="1"/>
      <w:tblStyleColBandSize w:val="1"/>
      <w:tblBorders>
        <w:top w:val="single" w:sz="8" w:space="0" w:color="92CDDC"/>
        <w:bottom w:val="single" w:sz="8" w:space="0" w:color="92CDDC"/>
      </w:tblBorders>
    </w:tblPr>
    <w:tblStylePr w:type="firstRow">
      <w:pPr>
        <w:spacing w:before="0" w:after="0" w:line="240" w:lineRule="auto"/>
      </w:pPr>
      <w:rPr>
        <w:b/>
        <w:bCs/>
      </w:rPr>
      <w:tblPr/>
      <w:tcPr>
        <w:tcBorders>
          <w:top w:val="single" w:sz="8" w:space="0" w:color="92CDDC"/>
          <w:left w:val="nil"/>
          <w:bottom w:val="single" w:sz="8" w:space="0" w:color="92CDDC"/>
          <w:right w:val="nil"/>
          <w:insideH w:val="nil"/>
          <w:insideV w:val="nil"/>
        </w:tcBorders>
      </w:tcPr>
    </w:tblStylePr>
    <w:tblStylePr w:type="lastRow">
      <w:pPr>
        <w:spacing w:before="0" w:after="0" w:line="240" w:lineRule="auto"/>
      </w:pPr>
      <w:rPr>
        <w:b/>
        <w:bCs/>
      </w:rPr>
      <w:tblPr/>
      <w:tcPr>
        <w:tcBorders>
          <w:top w:val="single" w:sz="8" w:space="0" w:color="92CDDC"/>
          <w:left w:val="nil"/>
          <w:bottom w:val="single" w:sz="8" w:space="0" w:color="92C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cPr>
    </w:tblStylePr>
    <w:tblStylePr w:type="band1Horz">
      <w:tblPr/>
      <w:tcPr>
        <w:tcBorders>
          <w:left w:val="nil"/>
          <w:right w:val="nil"/>
          <w:insideH w:val="nil"/>
          <w:insideV w:val="nil"/>
        </w:tcBorders>
        <w:shd w:val="clear" w:color="auto" w:fill="E4F2F6"/>
      </w:tcPr>
    </w:tblStylePr>
  </w:style>
  <w:style w:type="table" w:styleId="LightShading-Accent5">
    <w:name w:val="Light Shading Accent 5"/>
    <w:basedOn w:val="TableNormal"/>
    <w:uiPriority w:val="99"/>
    <w:semiHidden/>
    <w:rsid w:val="0064434C"/>
    <w:pPr>
      <w:spacing w:after="0" w:line="240" w:lineRule="auto"/>
    </w:pPr>
    <w:rPr>
      <w:rFonts w:ascii="Calibri" w:eastAsia="Calibri" w:hAnsi="Calibri" w:cs="Times New Roman"/>
      <w:color w:val="246373"/>
      <w:sz w:val="20"/>
      <w:szCs w:val="20"/>
      <w:lang w:eastAsia="en-AU"/>
    </w:rPr>
    <w:tblPr>
      <w:tblStyleRowBandSize w:val="1"/>
      <w:tblStyleColBandSize w:val="1"/>
      <w:tblBorders>
        <w:top w:val="single" w:sz="8" w:space="0" w:color="31859B"/>
        <w:bottom w:val="single" w:sz="8" w:space="0" w:color="31859B"/>
      </w:tblBorders>
    </w:tblPr>
    <w:tblStylePr w:type="firstRow">
      <w:pPr>
        <w:spacing w:before="0" w:after="0" w:line="240" w:lineRule="auto"/>
      </w:pPr>
      <w:rPr>
        <w:b/>
        <w:bCs/>
      </w:rPr>
      <w:tblPr/>
      <w:tcPr>
        <w:tcBorders>
          <w:top w:val="single" w:sz="8" w:space="0" w:color="31859B"/>
          <w:left w:val="nil"/>
          <w:bottom w:val="single" w:sz="8" w:space="0" w:color="31859B"/>
          <w:right w:val="nil"/>
          <w:insideH w:val="nil"/>
          <w:insideV w:val="nil"/>
        </w:tcBorders>
      </w:tcPr>
    </w:tblStylePr>
    <w:tblStylePr w:type="lastRow">
      <w:pPr>
        <w:spacing w:before="0" w:after="0" w:line="240" w:lineRule="auto"/>
      </w:pPr>
      <w:rPr>
        <w:b/>
        <w:bCs/>
      </w:rPr>
      <w:tblPr/>
      <w:tcPr>
        <w:tcBorders>
          <w:top w:val="single" w:sz="8" w:space="0" w:color="31859B"/>
          <w:left w:val="nil"/>
          <w:bottom w:val="single" w:sz="8" w:space="0" w:color="31859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cPr>
    </w:tblStylePr>
    <w:tblStylePr w:type="band1Horz">
      <w:tblPr/>
      <w:tcPr>
        <w:tcBorders>
          <w:left w:val="nil"/>
          <w:right w:val="nil"/>
          <w:insideH w:val="nil"/>
          <w:insideV w:val="nil"/>
        </w:tcBorders>
        <w:shd w:val="clear" w:color="auto" w:fill="C5E4EC"/>
      </w:tcPr>
    </w:tblStylePr>
  </w:style>
  <w:style w:type="table" w:styleId="LightShading-Accent6">
    <w:name w:val="Light Shading Accent 6"/>
    <w:basedOn w:val="TableNormal"/>
    <w:uiPriority w:val="99"/>
    <w:semiHidden/>
    <w:rsid w:val="0064434C"/>
    <w:pPr>
      <w:spacing w:after="0" w:line="240" w:lineRule="auto"/>
    </w:pPr>
    <w:rPr>
      <w:rFonts w:ascii="Calibri" w:eastAsia="Calibri" w:hAnsi="Calibri" w:cs="Times New Roman"/>
      <w:color w:val="3795AD"/>
      <w:sz w:val="20"/>
      <w:szCs w:val="20"/>
      <w:lang w:eastAsia="en-AU"/>
    </w:rPr>
    <w:tblPr>
      <w:tblStyleRowBandSize w:val="1"/>
      <w:tblStyleColBandSize w:val="1"/>
      <w:tblBorders>
        <w:top w:val="single" w:sz="8" w:space="0" w:color="64B8CE"/>
        <w:bottom w:val="single" w:sz="8" w:space="0" w:color="64B8CE"/>
      </w:tblBorders>
    </w:tblPr>
    <w:tblStylePr w:type="firstRow">
      <w:pPr>
        <w:spacing w:before="0" w:after="0" w:line="240" w:lineRule="auto"/>
      </w:pPr>
      <w:rPr>
        <w:b/>
        <w:bCs/>
      </w:rPr>
      <w:tblPr/>
      <w:tcPr>
        <w:tcBorders>
          <w:top w:val="single" w:sz="8" w:space="0" w:color="64B8CE"/>
          <w:left w:val="nil"/>
          <w:bottom w:val="single" w:sz="8" w:space="0" w:color="64B8CE"/>
          <w:right w:val="nil"/>
          <w:insideH w:val="nil"/>
          <w:insideV w:val="nil"/>
        </w:tcBorders>
      </w:tcPr>
    </w:tblStylePr>
    <w:tblStylePr w:type="lastRow">
      <w:pPr>
        <w:spacing w:before="0" w:after="0" w:line="240" w:lineRule="auto"/>
      </w:pPr>
      <w:rPr>
        <w:b/>
        <w:bCs/>
      </w:rPr>
      <w:tblPr/>
      <w:tcPr>
        <w:tcBorders>
          <w:top w:val="single" w:sz="8" w:space="0" w:color="64B8CE"/>
          <w:left w:val="nil"/>
          <w:bottom w:val="single" w:sz="8" w:space="0" w:color="64B8C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cPr>
    </w:tblStylePr>
    <w:tblStylePr w:type="band1Horz">
      <w:tblPr/>
      <w:tcPr>
        <w:tcBorders>
          <w:left w:val="nil"/>
          <w:right w:val="nil"/>
          <w:insideH w:val="nil"/>
          <w:insideV w:val="nil"/>
        </w:tcBorders>
        <w:shd w:val="clear" w:color="auto" w:fill="D8EDF2"/>
      </w:tcPr>
    </w:tblStylePr>
  </w:style>
  <w:style w:type="table" w:customStyle="1" w:styleId="MediumGrid11">
    <w:name w:val="Medium Grid 11"/>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insideV w:val="single" w:sz="8" w:space="0" w:color="00BBEB"/>
      </w:tblBorders>
    </w:tblPr>
    <w:tcPr>
      <w:shd w:val="clear" w:color="auto" w:fill="A4ECFF"/>
    </w:tcPr>
    <w:tblStylePr w:type="firstRow">
      <w:rPr>
        <w:b/>
        <w:bCs/>
      </w:rPr>
    </w:tblStylePr>
    <w:tblStylePr w:type="lastRow">
      <w:rPr>
        <w:b/>
        <w:bCs/>
      </w:rPr>
      <w:tblPr/>
      <w:tcPr>
        <w:tcBorders>
          <w:top w:val="single" w:sz="18" w:space="0" w:color="00BBEB"/>
        </w:tcBorders>
      </w:tcPr>
    </w:tblStylePr>
    <w:tblStylePr w:type="firstCol">
      <w:rPr>
        <w:b/>
        <w:bCs/>
      </w:rPr>
    </w:tblStylePr>
    <w:tblStylePr w:type="lastCol">
      <w:rPr>
        <w:b/>
        <w:bCs/>
      </w:rPr>
    </w:tblStylePr>
    <w:tblStylePr w:type="band1Vert">
      <w:tblPr/>
      <w:tcPr>
        <w:shd w:val="clear" w:color="auto" w:fill="48D9FF"/>
      </w:tcPr>
    </w:tblStylePr>
    <w:tblStylePr w:type="band1Horz">
      <w:tblPr/>
      <w:tcPr>
        <w:shd w:val="clear" w:color="auto" w:fill="48D9FF"/>
      </w:tcPr>
    </w:tblStylePr>
  </w:style>
  <w:style w:type="table" w:styleId="MediumGrid1-Accent1">
    <w:name w:val="Medium Grid 1 Accent 1"/>
    <w:basedOn w:val="TableNormal"/>
    <w:uiPriority w:val="67"/>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insideV w:val="single" w:sz="8" w:space="0" w:color="00BBEB"/>
      </w:tblBorders>
    </w:tblPr>
    <w:tcPr>
      <w:shd w:val="clear" w:color="auto" w:fill="A4ECFF"/>
    </w:tcPr>
    <w:tblStylePr w:type="firstRow">
      <w:rPr>
        <w:b/>
        <w:bCs/>
      </w:rPr>
    </w:tblStylePr>
    <w:tblStylePr w:type="lastRow">
      <w:rPr>
        <w:b/>
        <w:bCs/>
      </w:rPr>
      <w:tblPr/>
      <w:tcPr>
        <w:tcBorders>
          <w:top w:val="single" w:sz="18" w:space="0" w:color="00BBEB"/>
        </w:tcBorders>
      </w:tcPr>
    </w:tblStylePr>
    <w:tblStylePr w:type="firstCol">
      <w:rPr>
        <w:b/>
        <w:bCs/>
      </w:rPr>
    </w:tblStylePr>
    <w:tblStylePr w:type="lastCol">
      <w:rPr>
        <w:b/>
        <w:bCs/>
      </w:rPr>
    </w:tblStylePr>
    <w:tblStylePr w:type="band1Vert">
      <w:tblPr/>
      <w:tcPr>
        <w:shd w:val="clear" w:color="auto" w:fill="48D9FF"/>
      </w:tcPr>
    </w:tblStylePr>
    <w:tblStylePr w:type="band1Horz">
      <w:tblPr/>
      <w:tcPr>
        <w:shd w:val="clear" w:color="auto" w:fill="48D9FF"/>
      </w:tcPr>
    </w:tblStylePr>
  </w:style>
  <w:style w:type="table" w:styleId="MediumGrid1-Accent2">
    <w:name w:val="Medium Grid 1 Accent 2"/>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C8E5ED"/>
        <w:left w:val="single" w:sz="8" w:space="0" w:color="C8E5ED"/>
        <w:bottom w:val="single" w:sz="8" w:space="0" w:color="C8E5ED"/>
        <w:right w:val="single" w:sz="8" w:space="0" w:color="C8E5ED"/>
        <w:insideH w:val="single" w:sz="8" w:space="0" w:color="C8E5ED"/>
        <w:insideV w:val="single" w:sz="8" w:space="0" w:color="C8E5ED"/>
      </w:tblBorders>
    </w:tblPr>
    <w:tcPr>
      <w:shd w:val="clear" w:color="auto" w:fill="EDF6F9"/>
    </w:tcPr>
    <w:tblStylePr w:type="firstRow">
      <w:rPr>
        <w:b/>
        <w:bCs/>
      </w:rPr>
    </w:tblStylePr>
    <w:tblStylePr w:type="lastRow">
      <w:rPr>
        <w:b/>
        <w:bCs/>
      </w:rPr>
      <w:tblPr/>
      <w:tcPr>
        <w:tcBorders>
          <w:top w:val="single" w:sz="18" w:space="0" w:color="C8E5ED"/>
        </w:tcBorders>
      </w:tcPr>
    </w:tblStylePr>
    <w:tblStylePr w:type="firstCol">
      <w:rPr>
        <w:b/>
        <w:bCs/>
      </w:rPr>
    </w:tblStylePr>
    <w:tblStylePr w:type="lastCol">
      <w:rPr>
        <w:b/>
        <w:bCs/>
      </w:rPr>
    </w:tblStylePr>
    <w:tblStylePr w:type="band1Vert">
      <w:tblPr/>
      <w:tcPr>
        <w:shd w:val="clear" w:color="auto" w:fill="DBEEF3"/>
      </w:tcPr>
    </w:tblStylePr>
    <w:tblStylePr w:type="band1Horz">
      <w:tblPr/>
      <w:tcPr>
        <w:shd w:val="clear" w:color="auto" w:fill="DBEEF3"/>
      </w:tcPr>
    </w:tblStylePr>
  </w:style>
  <w:style w:type="table" w:styleId="MediumGrid1-Accent3">
    <w:name w:val="Medium Grid 1 Accent 3"/>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E4F2F6"/>
        <w:left w:val="single" w:sz="8" w:space="0" w:color="E4F2F6"/>
        <w:bottom w:val="single" w:sz="8" w:space="0" w:color="E4F2F6"/>
        <w:right w:val="single" w:sz="8" w:space="0" w:color="E4F2F6"/>
        <w:insideH w:val="single" w:sz="8" w:space="0" w:color="E4F2F6"/>
        <w:insideV w:val="single" w:sz="8" w:space="0" w:color="E4F2F6"/>
      </w:tblBorders>
    </w:tblPr>
    <w:tcPr>
      <w:shd w:val="clear" w:color="auto" w:fill="F6FAFC"/>
    </w:tcPr>
    <w:tblStylePr w:type="firstRow">
      <w:rPr>
        <w:b/>
        <w:bCs/>
      </w:rPr>
    </w:tblStylePr>
    <w:tblStylePr w:type="lastRow">
      <w:rPr>
        <w:b/>
        <w:bCs/>
      </w:rPr>
      <w:tblPr/>
      <w:tcPr>
        <w:tcBorders>
          <w:top w:val="single" w:sz="18" w:space="0" w:color="E4F2F6"/>
        </w:tcBorders>
      </w:tcPr>
    </w:tblStylePr>
    <w:tblStylePr w:type="firstCol">
      <w:rPr>
        <w:b/>
        <w:bCs/>
      </w:rPr>
    </w:tblStylePr>
    <w:tblStylePr w:type="lastCol">
      <w:rPr>
        <w:b/>
        <w:bCs/>
      </w:rPr>
    </w:tblStylePr>
    <w:tblStylePr w:type="band1Vert">
      <w:tblPr/>
      <w:tcPr>
        <w:shd w:val="clear" w:color="auto" w:fill="EDF6F9"/>
      </w:tcPr>
    </w:tblStylePr>
    <w:tblStylePr w:type="band1Horz">
      <w:tblPr/>
      <w:tcPr>
        <w:shd w:val="clear" w:color="auto" w:fill="EDF6F9"/>
      </w:tcPr>
    </w:tblStylePr>
  </w:style>
  <w:style w:type="table" w:styleId="MediumGrid1-Accent4">
    <w:name w:val="Medium Grid 1 Accent 4"/>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ADD9E4"/>
        <w:left w:val="single" w:sz="8" w:space="0" w:color="ADD9E4"/>
        <w:bottom w:val="single" w:sz="8" w:space="0" w:color="ADD9E4"/>
        <w:right w:val="single" w:sz="8" w:space="0" w:color="ADD9E4"/>
        <w:insideH w:val="single" w:sz="8" w:space="0" w:color="ADD9E4"/>
        <w:insideV w:val="single" w:sz="8" w:space="0" w:color="ADD9E4"/>
      </w:tblBorders>
    </w:tblPr>
    <w:tcPr>
      <w:shd w:val="clear" w:color="auto" w:fill="E4F2F6"/>
    </w:tcPr>
    <w:tblStylePr w:type="firstRow">
      <w:rPr>
        <w:b/>
        <w:bCs/>
      </w:rPr>
    </w:tblStylePr>
    <w:tblStylePr w:type="lastRow">
      <w:rPr>
        <w:b/>
        <w:bCs/>
      </w:rPr>
      <w:tblPr/>
      <w:tcPr>
        <w:tcBorders>
          <w:top w:val="single" w:sz="18" w:space="0" w:color="ADD9E4"/>
        </w:tcBorders>
      </w:tcPr>
    </w:tblStylePr>
    <w:tblStylePr w:type="firstCol">
      <w:rPr>
        <w:b/>
        <w:bCs/>
      </w:rPr>
    </w:tblStylePr>
    <w:tblStylePr w:type="lastCol">
      <w:rPr>
        <w:b/>
        <w:bCs/>
      </w:rPr>
    </w:tblStylePr>
    <w:tblStylePr w:type="band1Vert">
      <w:tblPr/>
      <w:tcPr>
        <w:shd w:val="clear" w:color="auto" w:fill="C8E5ED"/>
      </w:tcPr>
    </w:tblStylePr>
    <w:tblStylePr w:type="band1Horz">
      <w:tblPr/>
      <w:tcPr>
        <w:shd w:val="clear" w:color="auto" w:fill="C8E5ED"/>
      </w:tcPr>
    </w:tblStylePr>
  </w:style>
  <w:style w:type="table" w:styleId="MediumGrid1-Accent5">
    <w:name w:val="Medium Grid 1 Accent 5"/>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50AFC8"/>
        <w:left w:val="single" w:sz="8" w:space="0" w:color="50AFC8"/>
        <w:bottom w:val="single" w:sz="8" w:space="0" w:color="50AFC8"/>
        <w:right w:val="single" w:sz="8" w:space="0" w:color="50AFC8"/>
        <w:insideH w:val="single" w:sz="8" w:space="0" w:color="50AFC8"/>
        <w:insideV w:val="single" w:sz="8" w:space="0" w:color="50AFC8"/>
      </w:tblBorders>
    </w:tblPr>
    <w:tcPr>
      <w:shd w:val="clear" w:color="auto" w:fill="C5E4EC"/>
    </w:tcPr>
    <w:tblStylePr w:type="firstRow">
      <w:rPr>
        <w:b/>
        <w:bCs/>
      </w:rPr>
    </w:tblStylePr>
    <w:tblStylePr w:type="lastRow">
      <w:rPr>
        <w:b/>
        <w:bCs/>
      </w:rPr>
      <w:tblPr/>
      <w:tcPr>
        <w:tcBorders>
          <w:top w:val="single" w:sz="18" w:space="0" w:color="50AFC8"/>
        </w:tcBorders>
      </w:tcPr>
    </w:tblStylePr>
    <w:tblStylePr w:type="firstCol">
      <w:rPr>
        <w:b/>
        <w:bCs/>
      </w:rPr>
    </w:tblStylePr>
    <w:tblStylePr w:type="lastCol">
      <w:rPr>
        <w:b/>
        <w:bCs/>
      </w:rPr>
    </w:tblStylePr>
    <w:tblStylePr w:type="band1Vert">
      <w:tblPr/>
      <w:tcPr>
        <w:shd w:val="clear" w:color="auto" w:fill="8BC9DA"/>
      </w:tcPr>
    </w:tblStylePr>
    <w:tblStylePr w:type="band1Horz">
      <w:tblPr/>
      <w:tcPr>
        <w:shd w:val="clear" w:color="auto" w:fill="8BC9DA"/>
      </w:tcPr>
    </w:tblStylePr>
  </w:style>
  <w:style w:type="table" w:styleId="MediumGrid1-Accent6">
    <w:name w:val="Medium Grid 1 Accent 6"/>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8AC9DA"/>
        <w:left w:val="single" w:sz="8" w:space="0" w:color="8AC9DA"/>
        <w:bottom w:val="single" w:sz="8" w:space="0" w:color="8AC9DA"/>
        <w:right w:val="single" w:sz="8" w:space="0" w:color="8AC9DA"/>
        <w:insideH w:val="single" w:sz="8" w:space="0" w:color="8AC9DA"/>
        <w:insideV w:val="single" w:sz="8" w:space="0" w:color="8AC9DA"/>
      </w:tblBorders>
    </w:tblPr>
    <w:tcPr>
      <w:shd w:val="clear" w:color="auto" w:fill="D8EDF2"/>
    </w:tcPr>
    <w:tblStylePr w:type="firstRow">
      <w:rPr>
        <w:b/>
        <w:bCs/>
      </w:rPr>
    </w:tblStylePr>
    <w:tblStylePr w:type="lastRow">
      <w:rPr>
        <w:b/>
        <w:bCs/>
      </w:rPr>
      <w:tblPr/>
      <w:tcPr>
        <w:tcBorders>
          <w:top w:val="single" w:sz="18" w:space="0" w:color="8AC9DA"/>
        </w:tcBorders>
      </w:tcPr>
    </w:tblStylePr>
    <w:tblStylePr w:type="firstCol">
      <w:rPr>
        <w:b/>
        <w:bCs/>
      </w:rPr>
    </w:tblStylePr>
    <w:tblStylePr w:type="lastCol">
      <w:rPr>
        <w:b/>
        <w:bCs/>
      </w:rPr>
    </w:tblStylePr>
    <w:tblStylePr w:type="band1Vert">
      <w:tblPr/>
      <w:tcPr>
        <w:shd w:val="clear" w:color="auto" w:fill="B1DBE6"/>
      </w:tcPr>
    </w:tblStylePr>
    <w:tblStylePr w:type="band1Horz">
      <w:tblPr/>
      <w:tcPr>
        <w:shd w:val="clear" w:color="auto" w:fill="B1DBE6"/>
      </w:tcPr>
    </w:tblStylePr>
  </w:style>
  <w:style w:type="table" w:customStyle="1" w:styleId="MediumGrid21">
    <w:name w:val="Medium Grid 21"/>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cPr>
      <w:shd w:val="clear" w:color="auto" w:fill="A4ECFF"/>
    </w:tcPr>
    <w:tblStylePr w:type="firstRow">
      <w:rPr>
        <w:b/>
        <w:bCs/>
        <w:color w:val="00728F"/>
      </w:rPr>
      <w:tblPr/>
      <w:tcPr>
        <w:shd w:val="clear" w:color="auto" w:fill="DBF7FF"/>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B5EFFF"/>
      </w:tcPr>
    </w:tblStylePr>
    <w:tblStylePr w:type="band1Vert">
      <w:tblPr/>
      <w:tcPr>
        <w:shd w:val="clear" w:color="auto" w:fill="48D9FF"/>
      </w:tcPr>
    </w:tblStylePr>
    <w:tblStylePr w:type="band1Horz">
      <w:tblPr/>
      <w:tcPr>
        <w:tcBorders>
          <w:insideH w:val="single" w:sz="6" w:space="0" w:color="00728F"/>
          <w:insideV w:val="single" w:sz="6" w:space="0" w:color="00728F"/>
        </w:tcBorders>
        <w:shd w:val="clear" w:color="auto" w:fill="48D9FF"/>
      </w:tcPr>
    </w:tblStylePr>
    <w:tblStylePr w:type="nwCell">
      <w:tblPr/>
      <w:tcPr>
        <w:shd w:val="clear" w:color="auto" w:fill="FFFFFF"/>
      </w:tcPr>
    </w:tblStylePr>
  </w:style>
  <w:style w:type="table" w:styleId="MediumGrid2-Accent1">
    <w:name w:val="Medium Grid 2 Accent 1"/>
    <w:basedOn w:val="TableNormal"/>
    <w:uiPriority w:val="68"/>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cPr>
      <w:shd w:val="clear" w:color="auto" w:fill="A4ECFF"/>
    </w:tcPr>
    <w:tblStylePr w:type="firstRow">
      <w:rPr>
        <w:b/>
        <w:bCs/>
        <w:color w:val="00728F"/>
      </w:rPr>
      <w:tblPr/>
      <w:tcPr>
        <w:shd w:val="clear" w:color="auto" w:fill="DBF7FF"/>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B5EFFF"/>
      </w:tcPr>
    </w:tblStylePr>
    <w:tblStylePr w:type="band1Vert">
      <w:tblPr/>
      <w:tcPr>
        <w:shd w:val="clear" w:color="auto" w:fill="48D9FF"/>
      </w:tcPr>
    </w:tblStylePr>
    <w:tblStylePr w:type="band1Horz">
      <w:tblPr/>
      <w:tcPr>
        <w:tcBorders>
          <w:insideH w:val="single" w:sz="6" w:space="0" w:color="00728F"/>
          <w:insideV w:val="single" w:sz="6" w:space="0" w:color="00728F"/>
        </w:tcBorders>
        <w:shd w:val="clear" w:color="auto" w:fill="48D9FF"/>
      </w:tcPr>
    </w:tblStylePr>
    <w:tblStylePr w:type="nwCell">
      <w:tblPr/>
      <w:tcPr>
        <w:shd w:val="clear" w:color="auto" w:fill="FFFFFF"/>
      </w:tcPr>
    </w:tblStylePr>
  </w:style>
  <w:style w:type="table" w:styleId="MediumGrid2-Accent2">
    <w:name w:val="Medium Grid 2 Accent 2"/>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B7DDE8"/>
        <w:left w:val="single" w:sz="8" w:space="0" w:color="B7DDE8"/>
        <w:bottom w:val="single" w:sz="8" w:space="0" w:color="B7DDE8"/>
        <w:right w:val="single" w:sz="8" w:space="0" w:color="B7DDE8"/>
        <w:insideH w:val="single" w:sz="8" w:space="0" w:color="B7DDE8"/>
        <w:insideV w:val="single" w:sz="8" w:space="0" w:color="B7DDE8"/>
      </w:tblBorders>
    </w:tblPr>
    <w:tcPr>
      <w:shd w:val="clear" w:color="auto" w:fill="EDF6F9"/>
    </w:tcPr>
    <w:tblStylePr w:type="firstRow">
      <w:rPr>
        <w:b/>
        <w:bCs/>
        <w:color w:val="00728F"/>
      </w:rPr>
      <w:tblPr/>
      <w:tcPr>
        <w:shd w:val="clear" w:color="auto" w:fill="F7FBFC"/>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F0F8FA"/>
      </w:tcPr>
    </w:tblStylePr>
    <w:tblStylePr w:type="band1Vert">
      <w:tblPr/>
      <w:tcPr>
        <w:shd w:val="clear" w:color="auto" w:fill="DBEEF3"/>
      </w:tcPr>
    </w:tblStylePr>
    <w:tblStylePr w:type="band1Horz">
      <w:tblPr/>
      <w:tcPr>
        <w:tcBorders>
          <w:insideH w:val="single" w:sz="6" w:space="0" w:color="B7DDE8"/>
          <w:insideV w:val="single" w:sz="6" w:space="0" w:color="B7DDE8"/>
        </w:tcBorders>
        <w:shd w:val="clear" w:color="auto" w:fill="DBEEF3"/>
      </w:tcPr>
    </w:tblStylePr>
    <w:tblStylePr w:type="nwCell">
      <w:tblPr/>
      <w:tcPr>
        <w:shd w:val="clear" w:color="auto" w:fill="FFFFFF"/>
      </w:tcPr>
    </w:tblStylePr>
  </w:style>
  <w:style w:type="table" w:styleId="MediumGrid2-Accent3">
    <w:name w:val="Medium Grid 2 Accent 3"/>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DBEEF3"/>
        <w:left w:val="single" w:sz="8" w:space="0" w:color="DBEEF3"/>
        <w:bottom w:val="single" w:sz="8" w:space="0" w:color="DBEEF3"/>
        <w:right w:val="single" w:sz="8" w:space="0" w:color="DBEEF3"/>
        <w:insideH w:val="single" w:sz="8" w:space="0" w:color="DBEEF3"/>
        <w:insideV w:val="single" w:sz="8" w:space="0" w:color="DBEEF3"/>
      </w:tblBorders>
    </w:tblPr>
    <w:tcPr>
      <w:shd w:val="clear" w:color="auto" w:fill="F6FAFC"/>
    </w:tcPr>
    <w:tblStylePr w:type="firstRow">
      <w:rPr>
        <w:b/>
        <w:bCs/>
        <w:color w:val="00728F"/>
      </w:rPr>
      <w:tblPr/>
      <w:tcPr>
        <w:shd w:val="clear" w:color="auto" w:fill="FBFDFD"/>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F7FBFC"/>
      </w:tcPr>
    </w:tblStylePr>
    <w:tblStylePr w:type="band1Vert">
      <w:tblPr/>
      <w:tcPr>
        <w:shd w:val="clear" w:color="auto" w:fill="EDF6F9"/>
      </w:tcPr>
    </w:tblStylePr>
    <w:tblStylePr w:type="band1Horz">
      <w:tblPr/>
      <w:tcPr>
        <w:tcBorders>
          <w:insideH w:val="single" w:sz="6" w:space="0" w:color="DBEEF3"/>
          <w:insideV w:val="single" w:sz="6" w:space="0" w:color="DBEEF3"/>
        </w:tcBorders>
        <w:shd w:val="clear" w:color="auto" w:fill="EDF6F9"/>
      </w:tcPr>
    </w:tblStylePr>
    <w:tblStylePr w:type="nwCell">
      <w:tblPr/>
      <w:tcPr>
        <w:shd w:val="clear" w:color="auto" w:fill="FFFFFF"/>
      </w:tcPr>
    </w:tblStylePr>
  </w:style>
  <w:style w:type="table" w:styleId="MediumGrid2-Accent4">
    <w:name w:val="Medium Grid 2 Accent 4"/>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Pr>
    <w:tcPr>
      <w:shd w:val="clear" w:color="auto" w:fill="E4F2F6"/>
    </w:tcPr>
    <w:tblStylePr w:type="firstRow">
      <w:rPr>
        <w:b/>
        <w:bCs/>
        <w:color w:val="00728F"/>
      </w:rPr>
      <w:tblPr/>
      <w:tcPr>
        <w:shd w:val="clear" w:color="auto" w:fill="F4FAFB"/>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E9F4F8"/>
      </w:tcPr>
    </w:tblStylePr>
    <w:tblStylePr w:type="band1Vert">
      <w:tblPr/>
      <w:tcPr>
        <w:shd w:val="clear" w:color="auto" w:fill="C8E5ED"/>
      </w:tcPr>
    </w:tblStylePr>
    <w:tblStylePr w:type="band1Horz">
      <w:tblPr/>
      <w:tcPr>
        <w:tcBorders>
          <w:insideH w:val="single" w:sz="6" w:space="0" w:color="92CDDC"/>
          <w:insideV w:val="single" w:sz="6" w:space="0" w:color="92CDDC"/>
        </w:tcBorders>
        <w:shd w:val="clear" w:color="auto" w:fill="C8E5ED"/>
      </w:tcPr>
    </w:tblStylePr>
    <w:tblStylePr w:type="nwCell">
      <w:tblPr/>
      <w:tcPr>
        <w:shd w:val="clear" w:color="auto" w:fill="FFFFFF"/>
      </w:tcPr>
    </w:tblStylePr>
  </w:style>
  <w:style w:type="table" w:styleId="MediumGrid2-Accent5">
    <w:name w:val="Medium Grid 2 Accent 5"/>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31859B"/>
        <w:left w:val="single" w:sz="8" w:space="0" w:color="31859B"/>
        <w:bottom w:val="single" w:sz="8" w:space="0" w:color="31859B"/>
        <w:right w:val="single" w:sz="8" w:space="0" w:color="31859B"/>
        <w:insideH w:val="single" w:sz="8" w:space="0" w:color="31859B"/>
        <w:insideV w:val="single" w:sz="8" w:space="0" w:color="31859B"/>
      </w:tblBorders>
    </w:tblPr>
    <w:tcPr>
      <w:shd w:val="clear" w:color="auto" w:fill="C5E4EC"/>
    </w:tcPr>
    <w:tblStylePr w:type="firstRow">
      <w:rPr>
        <w:b/>
        <w:bCs/>
        <w:color w:val="00728F"/>
      </w:rPr>
      <w:tblPr/>
      <w:tcPr>
        <w:shd w:val="clear" w:color="auto" w:fill="E8F4F7"/>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D0E9F0"/>
      </w:tcPr>
    </w:tblStylePr>
    <w:tblStylePr w:type="band1Vert">
      <w:tblPr/>
      <w:tcPr>
        <w:shd w:val="clear" w:color="auto" w:fill="8BC9DA"/>
      </w:tcPr>
    </w:tblStylePr>
    <w:tblStylePr w:type="band1Horz">
      <w:tblPr/>
      <w:tcPr>
        <w:tcBorders>
          <w:insideH w:val="single" w:sz="6" w:space="0" w:color="31859B"/>
          <w:insideV w:val="single" w:sz="6" w:space="0" w:color="31859B"/>
        </w:tcBorders>
        <w:shd w:val="clear" w:color="auto" w:fill="8BC9DA"/>
      </w:tcPr>
    </w:tblStylePr>
    <w:tblStylePr w:type="nwCell">
      <w:tblPr/>
      <w:tcPr>
        <w:shd w:val="clear" w:color="auto" w:fill="FFFFFF"/>
      </w:tcPr>
    </w:tblStylePr>
  </w:style>
  <w:style w:type="table" w:styleId="MediumGrid2-Accent6">
    <w:name w:val="Medium Grid 2 Accent 6"/>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64B8CE"/>
        <w:left w:val="single" w:sz="8" w:space="0" w:color="64B8CE"/>
        <w:bottom w:val="single" w:sz="8" w:space="0" w:color="64B8CE"/>
        <w:right w:val="single" w:sz="8" w:space="0" w:color="64B8CE"/>
        <w:insideH w:val="single" w:sz="8" w:space="0" w:color="64B8CE"/>
        <w:insideV w:val="single" w:sz="8" w:space="0" w:color="64B8CE"/>
      </w:tblBorders>
    </w:tblPr>
    <w:tcPr>
      <w:shd w:val="clear" w:color="auto" w:fill="D8EDF2"/>
    </w:tcPr>
    <w:tblStylePr w:type="firstRow">
      <w:rPr>
        <w:b/>
        <w:bCs/>
        <w:color w:val="00728F"/>
      </w:rPr>
      <w:tblPr/>
      <w:tcPr>
        <w:shd w:val="clear" w:color="auto" w:fill="EFF8FA"/>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DFF0F5"/>
      </w:tcPr>
    </w:tblStylePr>
    <w:tblStylePr w:type="band1Vert">
      <w:tblPr/>
      <w:tcPr>
        <w:shd w:val="clear" w:color="auto" w:fill="B1DBE6"/>
      </w:tcPr>
    </w:tblStylePr>
    <w:tblStylePr w:type="band1Horz">
      <w:tblPr/>
      <w:tcPr>
        <w:tcBorders>
          <w:insideH w:val="single" w:sz="6" w:space="0" w:color="64B8CE"/>
          <w:insideV w:val="single" w:sz="6" w:space="0" w:color="64B8CE"/>
        </w:tcBorders>
        <w:shd w:val="clear" w:color="auto" w:fill="B1DBE6"/>
      </w:tcPr>
    </w:tblStylePr>
    <w:tblStylePr w:type="nwCell">
      <w:tblPr/>
      <w:tcPr>
        <w:shd w:val="clear" w:color="auto" w:fill="FFFFFF"/>
      </w:tcPr>
    </w:tblStylePr>
  </w:style>
  <w:style w:type="table" w:customStyle="1" w:styleId="MediumGrid31">
    <w:name w:val="Medium Grid 31"/>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4EC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728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728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728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728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8D9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8D9FF"/>
      </w:tcPr>
    </w:tblStylePr>
  </w:style>
  <w:style w:type="table" w:styleId="MediumGrid3-Accent1">
    <w:name w:val="Medium Grid 3 Accent 1"/>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4EC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728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728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728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728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8D9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8D9FF"/>
      </w:tcPr>
    </w:tblStylePr>
  </w:style>
  <w:style w:type="table" w:styleId="MediumGrid3-Accent2">
    <w:name w:val="Medium Grid 3 Accent 2"/>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DF6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7DDE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7DDE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7DDE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7DDE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BEE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BEEF3"/>
      </w:tcPr>
    </w:tblStylePr>
  </w:style>
  <w:style w:type="table" w:styleId="MediumGrid3-Accent3">
    <w:name w:val="Medium Grid 3 Accent 3"/>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6FAF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BEEF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BEEF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BEEF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BEEF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DF6F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DF6F9"/>
      </w:tcPr>
    </w:tblStylePr>
  </w:style>
  <w:style w:type="table" w:styleId="MediumGrid3-Accent4">
    <w:name w:val="Medium Grid 3 Accent 4"/>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F2F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2CD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2CD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2CD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2CD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8E5E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8E5ED"/>
      </w:tcPr>
    </w:tblStylePr>
  </w:style>
  <w:style w:type="table" w:styleId="MediumGrid3-Accent5">
    <w:name w:val="Medium Grid 3 Accent 5"/>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5E4E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185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185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185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185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BC9D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BC9DA"/>
      </w:tcPr>
    </w:tblStylePr>
  </w:style>
  <w:style w:type="table" w:styleId="MediumGrid3-Accent6">
    <w:name w:val="Medium Grid 3 Accent 6"/>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EDF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4B8C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4B8C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4B8C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4B8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1DBE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1DBE6"/>
      </w:tcPr>
    </w:tblStylePr>
  </w:style>
  <w:style w:type="table" w:customStyle="1" w:styleId="MediumList11">
    <w:name w:val="Medium List 11"/>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00728F"/>
        <w:bottom w:val="single" w:sz="8" w:space="0" w:color="00728F"/>
      </w:tblBorders>
    </w:tblPr>
    <w:tblStylePr w:type="firstRow">
      <w:rPr>
        <w:rFonts w:ascii="Cambria" w:eastAsia="Times New Roman" w:hAnsi="Cambria" w:cs="Times New Roman"/>
      </w:rPr>
      <w:tblPr/>
      <w:tcPr>
        <w:tcBorders>
          <w:top w:val="nil"/>
          <w:bottom w:val="single" w:sz="8" w:space="0" w:color="00728F"/>
        </w:tcBorders>
      </w:tcPr>
    </w:tblStylePr>
    <w:tblStylePr w:type="lastRow">
      <w:rPr>
        <w:b/>
        <w:bCs/>
        <w:color w:val="B7DDE8"/>
      </w:rPr>
      <w:tblPr/>
      <w:tcPr>
        <w:tcBorders>
          <w:top w:val="single" w:sz="8" w:space="0" w:color="00728F"/>
          <w:bottom w:val="single" w:sz="8" w:space="0" w:color="00728F"/>
        </w:tcBorders>
      </w:tcPr>
    </w:tblStylePr>
    <w:tblStylePr w:type="firstCol">
      <w:rPr>
        <w:b/>
        <w:bCs/>
      </w:rPr>
    </w:tblStylePr>
    <w:tblStylePr w:type="lastCol">
      <w:rPr>
        <w:b/>
        <w:bCs/>
      </w:rPr>
      <w:tblPr/>
      <w:tcPr>
        <w:tcBorders>
          <w:top w:val="single" w:sz="8" w:space="0" w:color="00728F"/>
          <w:bottom w:val="single" w:sz="8" w:space="0" w:color="00728F"/>
        </w:tcBorders>
      </w:tcPr>
    </w:tblStylePr>
    <w:tblStylePr w:type="band1Vert">
      <w:tblPr/>
      <w:tcPr>
        <w:shd w:val="clear" w:color="auto" w:fill="A4ECFF"/>
      </w:tcPr>
    </w:tblStylePr>
    <w:tblStylePr w:type="band1Horz">
      <w:tblPr/>
      <w:tcPr>
        <w:shd w:val="clear" w:color="auto" w:fill="A4ECFF"/>
      </w:tcPr>
    </w:tblStylePr>
  </w:style>
  <w:style w:type="table" w:customStyle="1" w:styleId="MediumList1-Accent11">
    <w:name w:val="Medium List 1 - Accent 11"/>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00728F"/>
        <w:bottom w:val="single" w:sz="8" w:space="0" w:color="00728F"/>
      </w:tblBorders>
    </w:tblPr>
    <w:tblStylePr w:type="firstRow">
      <w:rPr>
        <w:rFonts w:ascii="Cambria" w:eastAsia="Times New Roman" w:hAnsi="Cambria" w:cs="Times New Roman"/>
      </w:rPr>
      <w:tblPr/>
      <w:tcPr>
        <w:tcBorders>
          <w:top w:val="nil"/>
          <w:bottom w:val="single" w:sz="8" w:space="0" w:color="00728F"/>
        </w:tcBorders>
      </w:tcPr>
    </w:tblStylePr>
    <w:tblStylePr w:type="lastRow">
      <w:rPr>
        <w:b/>
        <w:bCs/>
        <w:color w:val="B7DDE8"/>
      </w:rPr>
      <w:tblPr/>
      <w:tcPr>
        <w:tcBorders>
          <w:top w:val="single" w:sz="8" w:space="0" w:color="00728F"/>
          <w:bottom w:val="single" w:sz="8" w:space="0" w:color="00728F"/>
        </w:tcBorders>
      </w:tcPr>
    </w:tblStylePr>
    <w:tblStylePr w:type="firstCol">
      <w:rPr>
        <w:b/>
        <w:bCs/>
      </w:rPr>
    </w:tblStylePr>
    <w:tblStylePr w:type="lastCol">
      <w:rPr>
        <w:b/>
        <w:bCs/>
      </w:rPr>
      <w:tblPr/>
      <w:tcPr>
        <w:tcBorders>
          <w:top w:val="single" w:sz="8" w:space="0" w:color="00728F"/>
          <w:bottom w:val="single" w:sz="8" w:space="0" w:color="00728F"/>
        </w:tcBorders>
      </w:tcPr>
    </w:tblStylePr>
    <w:tblStylePr w:type="band1Vert">
      <w:tblPr/>
      <w:tcPr>
        <w:shd w:val="clear" w:color="auto" w:fill="A4ECFF"/>
      </w:tcPr>
    </w:tblStylePr>
    <w:tblStylePr w:type="band1Horz">
      <w:tblPr/>
      <w:tcPr>
        <w:shd w:val="clear" w:color="auto" w:fill="A4ECFF"/>
      </w:tcPr>
    </w:tblStylePr>
  </w:style>
  <w:style w:type="table" w:styleId="MediumList1-Accent2">
    <w:name w:val="Medium List 1 Accent 2"/>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B7DDE8"/>
        <w:bottom w:val="single" w:sz="8" w:space="0" w:color="B7DDE8"/>
      </w:tblBorders>
    </w:tblPr>
    <w:tblStylePr w:type="firstRow">
      <w:rPr>
        <w:rFonts w:ascii="Cambria" w:eastAsia="Times New Roman" w:hAnsi="Cambria" w:cs="Times New Roman"/>
      </w:rPr>
      <w:tblPr/>
      <w:tcPr>
        <w:tcBorders>
          <w:top w:val="nil"/>
          <w:bottom w:val="single" w:sz="8" w:space="0" w:color="B7DDE8"/>
        </w:tcBorders>
      </w:tcPr>
    </w:tblStylePr>
    <w:tblStylePr w:type="lastRow">
      <w:rPr>
        <w:b/>
        <w:bCs/>
        <w:color w:val="B7DDE8"/>
      </w:rPr>
      <w:tblPr/>
      <w:tcPr>
        <w:tcBorders>
          <w:top w:val="single" w:sz="8" w:space="0" w:color="B7DDE8"/>
          <w:bottom w:val="single" w:sz="8" w:space="0" w:color="B7DDE8"/>
        </w:tcBorders>
      </w:tcPr>
    </w:tblStylePr>
    <w:tblStylePr w:type="firstCol">
      <w:rPr>
        <w:b/>
        <w:bCs/>
      </w:rPr>
    </w:tblStylePr>
    <w:tblStylePr w:type="lastCol">
      <w:rPr>
        <w:b/>
        <w:bCs/>
      </w:rPr>
      <w:tblPr/>
      <w:tcPr>
        <w:tcBorders>
          <w:top w:val="single" w:sz="8" w:space="0" w:color="B7DDE8"/>
          <w:bottom w:val="single" w:sz="8" w:space="0" w:color="B7DDE8"/>
        </w:tcBorders>
      </w:tcPr>
    </w:tblStylePr>
    <w:tblStylePr w:type="band1Vert">
      <w:tblPr/>
      <w:tcPr>
        <w:shd w:val="clear" w:color="auto" w:fill="EDF6F9"/>
      </w:tcPr>
    </w:tblStylePr>
    <w:tblStylePr w:type="band1Horz">
      <w:tblPr/>
      <w:tcPr>
        <w:shd w:val="clear" w:color="auto" w:fill="EDF6F9"/>
      </w:tcPr>
    </w:tblStylePr>
  </w:style>
  <w:style w:type="table" w:styleId="MediumList1-Accent3">
    <w:name w:val="Medium List 1 Accent 3"/>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DBEEF3"/>
        <w:bottom w:val="single" w:sz="8" w:space="0" w:color="DBEEF3"/>
      </w:tblBorders>
    </w:tblPr>
    <w:tblStylePr w:type="firstRow">
      <w:rPr>
        <w:rFonts w:ascii="Cambria" w:eastAsia="Times New Roman" w:hAnsi="Cambria" w:cs="Times New Roman"/>
      </w:rPr>
      <w:tblPr/>
      <w:tcPr>
        <w:tcBorders>
          <w:top w:val="nil"/>
          <w:bottom w:val="single" w:sz="8" w:space="0" w:color="DBEEF3"/>
        </w:tcBorders>
      </w:tcPr>
    </w:tblStylePr>
    <w:tblStylePr w:type="lastRow">
      <w:rPr>
        <w:b/>
        <w:bCs/>
        <w:color w:val="B7DDE8"/>
      </w:rPr>
      <w:tblPr/>
      <w:tcPr>
        <w:tcBorders>
          <w:top w:val="single" w:sz="8" w:space="0" w:color="DBEEF3"/>
          <w:bottom w:val="single" w:sz="8" w:space="0" w:color="DBEEF3"/>
        </w:tcBorders>
      </w:tcPr>
    </w:tblStylePr>
    <w:tblStylePr w:type="firstCol">
      <w:rPr>
        <w:b/>
        <w:bCs/>
      </w:rPr>
    </w:tblStylePr>
    <w:tblStylePr w:type="lastCol">
      <w:rPr>
        <w:b/>
        <w:bCs/>
      </w:rPr>
      <w:tblPr/>
      <w:tcPr>
        <w:tcBorders>
          <w:top w:val="single" w:sz="8" w:space="0" w:color="DBEEF3"/>
          <w:bottom w:val="single" w:sz="8" w:space="0" w:color="DBEEF3"/>
        </w:tcBorders>
      </w:tcPr>
    </w:tblStylePr>
    <w:tblStylePr w:type="band1Vert">
      <w:tblPr/>
      <w:tcPr>
        <w:shd w:val="clear" w:color="auto" w:fill="F6FAFC"/>
      </w:tcPr>
    </w:tblStylePr>
    <w:tblStylePr w:type="band1Horz">
      <w:tblPr/>
      <w:tcPr>
        <w:shd w:val="clear" w:color="auto" w:fill="F6FAFC"/>
      </w:tcPr>
    </w:tblStylePr>
  </w:style>
  <w:style w:type="table" w:styleId="MediumList1-Accent4">
    <w:name w:val="Medium List 1 Accent 4"/>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92CDDC"/>
        <w:bottom w:val="single" w:sz="8" w:space="0" w:color="92CDDC"/>
      </w:tblBorders>
    </w:tblPr>
    <w:tblStylePr w:type="firstRow">
      <w:rPr>
        <w:rFonts w:ascii="Cambria" w:eastAsia="Times New Roman" w:hAnsi="Cambria" w:cs="Times New Roman"/>
      </w:rPr>
      <w:tblPr/>
      <w:tcPr>
        <w:tcBorders>
          <w:top w:val="nil"/>
          <w:bottom w:val="single" w:sz="8" w:space="0" w:color="92CDDC"/>
        </w:tcBorders>
      </w:tcPr>
    </w:tblStylePr>
    <w:tblStylePr w:type="lastRow">
      <w:rPr>
        <w:b/>
        <w:bCs/>
        <w:color w:val="B7DDE8"/>
      </w:rPr>
      <w:tblPr/>
      <w:tcPr>
        <w:tcBorders>
          <w:top w:val="single" w:sz="8" w:space="0" w:color="92CDDC"/>
          <w:bottom w:val="single" w:sz="8" w:space="0" w:color="92CDDC"/>
        </w:tcBorders>
      </w:tcPr>
    </w:tblStylePr>
    <w:tblStylePr w:type="firstCol">
      <w:rPr>
        <w:b/>
        <w:bCs/>
      </w:rPr>
    </w:tblStylePr>
    <w:tblStylePr w:type="lastCol">
      <w:rPr>
        <w:b/>
        <w:bCs/>
      </w:rPr>
      <w:tblPr/>
      <w:tcPr>
        <w:tcBorders>
          <w:top w:val="single" w:sz="8" w:space="0" w:color="92CDDC"/>
          <w:bottom w:val="single" w:sz="8" w:space="0" w:color="92CDDC"/>
        </w:tcBorders>
      </w:tcPr>
    </w:tblStylePr>
    <w:tblStylePr w:type="band1Vert">
      <w:tblPr/>
      <w:tcPr>
        <w:shd w:val="clear" w:color="auto" w:fill="E4F2F6"/>
      </w:tcPr>
    </w:tblStylePr>
    <w:tblStylePr w:type="band1Horz">
      <w:tblPr/>
      <w:tcPr>
        <w:shd w:val="clear" w:color="auto" w:fill="E4F2F6"/>
      </w:tcPr>
    </w:tblStylePr>
  </w:style>
  <w:style w:type="table" w:styleId="MediumList1-Accent5">
    <w:name w:val="Medium List 1 Accent 5"/>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31859B"/>
        <w:bottom w:val="single" w:sz="8" w:space="0" w:color="31859B"/>
      </w:tblBorders>
    </w:tblPr>
    <w:tblStylePr w:type="firstRow">
      <w:rPr>
        <w:rFonts w:ascii="Cambria" w:eastAsia="Times New Roman" w:hAnsi="Cambria" w:cs="Times New Roman"/>
      </w:rPr>
      <w:tblPr/>
      <w:tcPr>
        <w:tcBorders>
          <w:top w:val="nil"/>
          <w:bottom w:val="single" w:sz="8" w:space="0" w:color="31859B"/>
        </w:tcBorders>
      </w:tcPr>
    </w:tblStylePr>
    <w:tblStylePr w:type="lastRow">
      <w:rPr>
        <w:b/>
        <w:bCs/>
        <w:color w:val="B7DDE8"/>
      </w:rPr>
      <w:tblPr/>
      <w:tcPr>
        <w:tcBorders>
          <w:top w:val="single" w:sz="8" w:space="0" w:color="31859B"/>
          <w:bottom w:val="single" w:sz="8" w:space="0" w:color="31859B"/>
        </w:tcBorders>
      </w:tcPr>
    </w:tblStylePr>
    <w:tblStylePr w:type="firstCol">
      <w:rPr>
        <w:b/>
        <w:bCs/>
      </w:rPr>
    </w:tblStylePr>
    <w:tblStylePr w:type="lastCol">
      <w:rPr>
        <w:b/>
        <w:bCs/>
      </w:rPr>
      <w:tblPr/>
      <w:tcPr>
        <w:tcBorders>
          <w:top w:val="single" w:sz="8" w:space="0" w:color="31859B"/>
          <w:bottom w:val="single" w:sz="8" w:space="0" w:color="31859B"/>
        </w:tcBorders>
      </w:tcPr>
    </w:tblStylePr>
    <w:tblStylePr w:type="band1Vert">
      <w:tblPr/>
      <w:tcPr>
        <w:shd w:val="clear" w:color="auto" w:fill="C5E4EC"/>
      </w:tcPr>
    </w:tblStylePr>
    <w:tblStylePr w:type="band1Horz">
      <w:tblPr/>
      <w:tcPr>
        <w:shd w:val="clear" w:color="auto" w:fill="C5E4EC"/>
      </w:tcPr>
    </w:tblStylePr>
  </w:style>
  <w:style w:type="table" w:styleId="MediumList1-Accent6">
    <w:name w:val="Medium List 1 Accent 6"/>
    <w:basedOn w:val="TableNormal"/>
    <w:uiPriority w:val="99"/>
    <w:semiHidden/>
    <w:rsid w:val="0064434C"/>
    <w:pPr>
      <w:spacing w:after="0" w:line="240" w:lineRule="auto"/>
    </w:pPr>
    <w:rPr>
      <w:rFonts w:ascii="Calibri" w:eastAsia="Calibri" w:hAnsi="Calibri" w:cs="Times New Roman"/>
      <w:color w:val="00728F"/>
      <w:sz w:val="20"/>
      <w:szCs w:val="20"/>
      <w:lang w:eastAsia="en-AU"/>
    </w:rPr>
    <w:tblPr>
      <w:tblStyleRowBandSize w:val="1"/>
      <w:tblStyleColBandSize w:val="1"/>
      <w:tblBorders>
        <w:top w:val="single" w:sz="8" w:space="0" w:color="64B8CE"/>
        <w:bottom w:val="single" w:sz="8" w:space="0" w:color="64B8CE"/>
      </w:tblBorders>
    </w:tblPr>
    <w:tblStylePr w:type="firstRow">
      <w:rPr>
        <w:rFonts w:ascii="Cambria" w:eastAsia="Times New Roman" w:hAnsi="Cambria" w:cs="Times New Roman"/>
      </w:rPr>
      <w:tblPr/>
      <w:tcPr>
        <w:tcBorders>
          <w:top w:val="nil"/>
          <w:bottom w:val="single" w:sz="8" w:space="0" w:color="64B8CE"/>
        </w:tcBorders>
      </w:tcPr>
    </w:tblStylePr>
    <w:tblStylePr w:type="lastRow">
      <w:rPr>
        <w:b/>
        <w:bCs/>
        <w:color w:val="B7DDE8"/>
      </w:rPr>
      <w:tblPr/>
      <w:tcPr>
        <w:tcBorders>
          <w:top w:val="single" w:sz="8" w:space="0" w:color="64B8CE"/>
          <w:bottom w:val="single" w:sz="8" w:space="0" w:color="64B8CE"/>
        </w:tcBorders>
      </w:tcPr>
    </w:tblStylePr>
    <w:tblStylePr w:type="firstCol">
      <w:rPr>
        <w:b/>
        <w:bCs/>
      </w:rPr>
    </w:tblStylePr>
    <w:tblStylePr w:type="lastCol">
      <w:rPr>
        <w:b/>
        <w:bCs/>
      </w:rPr>
      <w:tblPr/>
      <w:tcPr>
        <w:tcBorders>
          <w:top w:val="single" w:sz="8" w:space="0" w:color="64B8CE"/>
          <w:bottom w:val="single" w:sz="8" w:space="0" w:color="64B8CE"/>
        </w:tcBorders>
      </w:tcPr>
    </w:tblStylePr>
    <w:tblStylePr w:type="band1Vert">
      <w:tblPr/>
      <w:tcPr>
        <w:shd w:val="clear" w:color="auto" w:fill="D8EDF2"/>
      </w:tcPr>
    </w:tblStylePr>
    <w:tblStylePr w:type="band1Horz">
      <w:tblPr/>
      <w:tcPr>
        <w:shd w:val="clear" w:color="auto" w:fill="D8EDF2"/>
      </w:tcPr>
    </w:tblStylePr>
  </w:style>
  <w:style w:type="table" w:customStyle="1" w:styleId="MediumList21">
    <w:name w:val="Medium List 21"/>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rPr>
        <w:sz w:val="24"/>
        <w:szCs w:val="24"/>
      </w:rPr>
      <w:tblPr/>
      <w:tcPr>
        <w:tcBorders>
          <w:top w:val="nil"/>
          <w:left w:val="nil"/>
          <w:bottom w:val="single" w:sz="24" w:space="0" w:color="00728F"/>
          <w:right w:val="nil"/>
          <w:insideH w:val="nil"/>
          <w:insideV w:val="nil"/>
        </w:tcBorders>
        <w:shd w:val="clear" w:color="auto" w:fill="FFFFFF"/>
      </w:tcPr>
    </w:tblStylePr>
    <w:tblStylePr w:type="lastRow">
      <w:tblPr/>
      <w:tcPr>
        <w:tcBorders>
          <w:top w:val="single" w:sz="8" w:space="0" w:color="00728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728F"/>
          <w:insideH w:val="nil"/>
          <w:insideV w:val="nil"/>
        </w:tcBorders>
        <w:shd w:val="clear" w:color="auto" w:fill="FFFFFF"/>
      </w:tcPr>
    </w:tblStylePr>
    <w:tblStylePr w:type="lastCol">
      <w:tblPr/>
      <w:tcPr>
        <w:tcBorders>
          <w:top w:val="nil"/>
          <w:left w:val="single" w:sz="8" w:space="0" w:color="00728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4ECFF"/>
      </w:tcPr>
    </w:tblStylePr>
    <w:tblStylePr w:type="band1Horz">
      <w:tblPr/>
      <w:tcPr>
        <w:tcBorders>
          <w:top w:val="nil"/>
          <w:bottom w:val="nil"/>
          <w:insideH w:val="nil"/>
          <w:insideV w:val="nil"/>
        </w:tcBorders>
        <w:shd w:val="clear" w:color="auto" w:fill="A4ECF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rPr>
        <w:sz w:val="24"/>
        <w:szCs w:val="24"/>
      </w:rPr>
      <w:tblPr/>
      <w:tcPr>
        <w:tcBorders>
          <w:top w:val="nil"/>
          <w:left w:val="nil"/>
          <w:bottom w:val="single" w:sz="24" w:space="0" w:color="00728F"/>
          <w:right w:val="nil"/>
          <w:insideH w:val="nil"/>
          <w:insideV w:val="nil"/>
        </w:tcBorders>
        <w:shd w:val="clear" w:color="auto" w:fill="FFFFFF"/>
      </w:tcPr>
    </w:tblStylePr>
    <w:tblStylePr w:type="lastRow">
      <w:tblPr/>
      <w:tcPr>
        <w:tcBorders>
          <w:top w:val="single" w:sz="8" w:space="0" w:color="00728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728F"/>
          <w:insideH w:val="nil"/>
          <w:insideV w:val="nil"/>
        </w:tcBorders>
        <w:shd w:val="clear" w:color="auto" w:fill="FFFFFF"/>
      </w:tcPr>
    </w:tblStylePr>
    <w:tblStylePr w:type="lastCol">
      <w:tblPr/>
      <w:tcPr>
        <w:tcBorders>
          <w:top w:val="nil"/>
          <w:left w:val="single" w:sz="8" w:space="0" w:color="00728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4ECFF"/>
      </w:tcPr>
    </w:tblStylePr>
    <w:tblStylePr w:type="band1Horz">
      <w:tblPr/>
      <w:tcPr>
        <w:tcBorders>
          <w:top w:val="nil"/>
          <w:bottom w:val="nil"/>
          <w:insideH w:val="nil"/>
          <w:insideV w:val="nil"/>
        </w:tcBorders>
        <w:shd w:val="clear" w:color="auto" w:fill="A4EC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B7DDE8"/>
        <w:left w:val="single" w:sz="8" w:space="0" w:color="B7DDE8"/>
        <w:bottom w:val="single" w:sz="8" w:space="0" w:color="B7DDE8"/>
        <w:right w:val="single" w:sz="8" w:space="0" w:color="B7DDE8"/>
      </w:tblBorders>
    </w:tblPr>
    <w:tblStylePr w:type="firstRow">
      <w:rPr>
        <w:sz w:val="24"/>
        <w:szCs w:val="24"/>
      </w:rPr>
      <w:tblPr/>
      <w:tcPr>
        <w:tcBorders>
          <w:top w:val="nil"/>
          <w:left w:val="nil"/>
          <w:bottom w:val="single" w:sz="24" w:space="0" w:color="B7DDE8"/>
          <w:right w:val="nil"/>
          <w:insideH w:val="nil"/>
          <w:insideV w:val="nil"/>
        </w:tcBorders>
        <w:shd w:val="clear" w:color="auto" w:fill="FFFFFF"/>
      </w:tcPr>
    </w:tblStylePr>
    <w:tblStylePr w:type="lastRow">
      <w:tblPr/>
      <w:tcPr>
        <w:tcBorders>
          <w:top w:val="single" w:sz="8" w:space="0" w:color="B7DDE8"/>
          <w:left w:val="nil"/>
          <w:bottom w:val="nil"/>
          <w:right w:val="nil"/>
          <w:insideH w:val="nil"/>
          <w:insideV w:val="nil"/>
        </w:tcBorders>
        <w:shd w:val="clear" w:color="auto" w:fill="FFFFFF"/>
      </w:tcPr>
    </w:tblStylePr>
    <w:tblStylePr w:type="firstCol">
      <w:tblPr/>
      <w:tcPr>
        <w:tcBorders>
          <w:top w:val="nil"/>
          <w:left w:val="nil"/>
          <w:bottom w:val="nil"/>
          <w:right w:val="single" w:sz="8" w:space="0" w:color="B7DDE8"/>
          <w:insideH w:val="nil"/>
          <w:insideV w:val="nil"/>
        </w:tcBorders>
        <w:shd w:val="clear" w:color="auto" w:fill="FFFFFF"/>
      </w:tcPr>
    </w:tblStylePr>
    <w:tblStylePr w:type="lastCol">
      <w:tblPr/>
      <w:tcPr>
        <w:tcBorders>
          <w:top w:val="nil"/>
          <w:left w:val="single" w:sz="8" w:space="0" w:color="B7DDE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DF6F9"/>
      </w:tcPr>
    </w:tblStylePr>
    <w:tblStylePr w:type="band1Horz">
      <w:tblPr/>
      <w:tcPr>
        <w:tcBorders>
          <w:top w:val="nil"/>
          <w:bottom w:val="nil"/>
          <w:insideH w:val="nil"/>
          <w:insideV w:val="nil"/>
        </w:tcBorders>
        <w:shd w:val="clear" w:color="auto" w:fill="EDF6F9"/>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DBEEF3"/>
        <w:left w:val="single" w:sz="8" w:space="0" w:color="DBEEF3"/>
        <w:bottom w:val="single" w:sz="8" w:space="0" w:color="DBEEF3"/>
        <w:right w:val="single" w:sz="8" w:space="0" w:color="DBEEF3"/>
      </w:tblBorders>
    </w:tblPr>
    <w:tblStylePr w:type="firstRow">
      <w:rPr>
        <w:sz w:val="24"/>
        <w:szCs w:val="24"/>
      </w:rPr>
      <w:tblPr/>
      <w:tcPr>
        <w:tcBorders>
          <w:top w:val="nil"/>
          <w:left w:val="nil"/>
          <w:bottom w:val="single" w:sz="24" w:space="0" w:color="DBEEF3"/>
          <w:right w:val="nil"/>
          <w:insideH w:val="nil"/>
          <w:insideV w:val="nil"/>
        </w:tcBorders>
        <w:shd w:val="clear" w:color="auto" w:fill="FFFFFF"/>
      </w:tcPr>
    </w:tblStylePr>
    <w:tblStylePr w:type="lastRow">
      <w:tblPr/>
      <w:tcPr>
        <w:tcBorders>
          <w:top w:val="single" w:sz="8" w:space="0" w:color="DBEEF3"/>
          <w:left w:val="nil"/>
          <w:bottom w:val="nil"/>
          <w:right w:val="nil"/>
          <w:insideH w:val="nil"/>
          <w:insideV w:val="nil"/>
        </w:tcBorders>
        <w:shd w:val="clear" w:color="auto" w:fill="FFFFFF"/>
      </w:tcPr>
    </w:tblStylePr>
    <w:tblStylePr w:type="firstCol">
      <w:tblPr/>
      <w:tcPr>
        <w:tcBorders>
          <w:top w:val="nil"/>
          <w:left w:val="nil"/>
          <w:bottom w:val="nil"/>
          <w:right w:val="single" w:sz="8" w:space="0" w:color="DBEEF3"/>
          <w:insideH w:val="nil"/>
          <w:insideV w:val="nil"/>
        </w:tcBorders>
        <w:shd w:val="clear" w:color="auto" w:fill="FFFFFF"/>
      </w:tcPr>
    </w:tblStylePr>
    <w:tblStylePr w:type="lastCol">
      <w:tblPr/>
      <w:tcPr>
        <w:tcBorders>
          <w:top w:val="nil"/>
          <w:left w:val="single" w:sz="8" w:space="0" w:color="DBEEF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FAFC"/>
      </w:tcPr>
    </w:tblStylePr>
    <w:tblStylePr w:type="band1Horz">
      <w:tblPr/>
      <w:tcPr>
        <w:tcBorders>
          <w:top w:val="nil"/>
          <w:bottom w:val="nil"/>
          <w:insideH w:val="nil"/>
          <w:insideV w:val="nil"/>
        </w:tcBorders>
        <w:shd w:val="clear" w:color="auto" w:fill="F6FAFC"/>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92CDDC"/>
        <w:left w:val="single" w:sz="8" w:space="0" w:color="92CDDC"/>
        <w:bottom w:val="single" w:sz="8" w:space="0" w:color="92CDDC"/>
        <w:right w:val="single" w:sz="8" w:space="0" w:color="92CDDC"/>
      </w:tblBorders>
    </w:tblPr>
    <w:tblStylePr w:type="firstRow">
      <w:rPr>
        <w:sz w:val="24"/>
        <w:szCs w:val="24"/>
      </w:rPr>
      <w:tblPr/>
      <w:tcPr>
        <w:tcBorders>
          <w:top w:val="nil"/>
          <w:left w:val="nil"/>
          <w:bottom w:val="single" w:sz="24" w:space="0" w:color="92CDDC"/>
          <w:right w:val="nil"/>
          <w:insideH w:val="nil"/>
          <w:insideV w:val="nil"/>
        </w:tcBorders>
        <w:shd w:val="clear" w:color="auto" w:fill="FFFFFF"/>
      </w:tcPr>
    </w:tblStylePr>
    <w:tblStylePr w:type="lastRow">
      <w:tblPr/>
      <w:tcPr>
        <w:tcBorders>
          <w:top w:val="single" w:sz="8" w:space="0" w:color="92CDDC"/>
          <w:left w:val="nil"/>
          <w:bottom w:val="nil"/>
          <w:right w:val="nil"/>
          <w:insideH w:val="nil"/>
          <w:insideV w:val="nil"/>
        </w:tcBorders>
        <w:shd w:val="clear" w:color="auto" w:fill="FFFFFF"/>
      </w:tcPr>
    </w:tblStylePr>
    <w:tblStylePr w:type="firstCol">
      <w:tblPr/>
      <w:tcPr>
        <w:tcBorders>
          <w:top w:val="nil"/>
          <w:left w:val="nil"/>
          <w:bottom w:val="nil"/>
          <w:right w:val="single" w:sz="8" w:space="0" w:color="92CDDC"/>
          <w:insideH w:val="nil"/>
          <w:insideV w:val="nil"/>
        </w:tcBorders>
        <w:shd w:val="clear" w:color="auto" w:fill="FFFFFF"/>
      </w:tcPr>
    </w:tblStylePr>
    <w:tblStylePr w:type="lastCol">
      <w:tblPr/>
      <w:tcPr>
        <w:tcBorders>
          <w:top w:val="nil"/>
          <w:left w:val="single" w:sz="8" w:space="0" w:color="92CD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4F2F6"/>
      </w:tcPr>
    </w:tblStylePr>
    <w:tblStylePr w:type="band1Horz">
      <w:tblPr/>
      <w:tcPr>
        <w:tcBorders>
          <w:top w:val="nil"/>
          <w:bottom w:val="nil"/>
          <w:insideH w:val="nil"/>
          <w:insideV w:val="nil"/>
        </w:tcBorders>
        <w:shd w:val="clear" w:color="auto" w:fill="E4F2F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31859B"/>
        <w:left w:val="single" w:sz="8" w:space="0" w:color="31859B"/>
        <w:bottom w:val="single" w:sz="8" w:space="0" w:color="31859B"/>
        <w:right w:val="single" w:sz="8" w:space="0" w:color="31859B"/>
      </w:tblBorders>
    </w:tblPr>
    <w:tblStylePr w:type="firstRow">
      <w:rPr>
        <w:sz w:val="24"/>
        <w:szCs w:val="24"/>
      </w:rPr>
      <w:tblPr/>
      <w:tcPr>
        <w:tcBorders>
          <w:top w:val="nil"/>
          <w:left w:val="nil"/>
          <w:bottom w:val="single" w:sz="24" w:space="0" w:color="31859B"/>
          <w:right w:val="nil"/>
          <w:insideH w:val="nil"/>
          <w:insideV w:val="nil"/>
        </w:tcBorders>
        <w:shd w:val="clear" w:color="auto" w:fill="FFFFFF"/>
      </w:tcPr>
    </w:tblStylePr>
    <w:tblStylePr w:type="lastRow">
      <w:tblPr/>
      <w:tcPr>
        <w:tcBorders>
          <w:top w:val="single" w:sz="8" w:space="0" w:color="31859B"/>
          <w:left w:val="nil"/>
          <w:bottom w:val="nil"/>
          <w:right w:val="nil"/>
          <w:insideH w:val="nil"/>
          <w:insideV w:val="nil"/>
        </w:tcBorders>
        <w:shd w:val="clear" w:color="auto" w:fill="FFFFFF"/>
      </w:tcPr>
    </w:tblStylePr>
    <w:tblStylePr w:type="firstCol">
      <w:tblPr/>
      <w:tcPr>
        <w:tcBorders>
          <w:top w:val="nil"/>
          <w:left w:val="nil"/>
          <w:bottom w:val="nil"/>
          <w:right w:val="single" w:sz="8" w:space="0" w:color="31859B"/>
          <w:insideH w:val="nil"/>
          <w:insideV w:val="nil"/>
        </w:tcBorders>
        <w:shd w:val="clear" w:color="auto" w:fill="FFFFFF"/>
      </w:tcPr>
    </w:tblStylePr>
    <w:tblStylePr w:type="lastCol">
      <w:tblPr/>
      <w:tcPr>
        <w:tcBorders>
          <w:top w:val="nil"/>
          <w:left w:val="single" w:sz="8" w:space="0" w:color="31859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5E4EC"/>
      </w:tcPr>
    </w:tblStylePr>
    <w:tblStylePr w:type="band1Horz">
      <w:tblPr/>
      <w:tcPr>
        <w:tcBorders>
          <w:top w:val="nil"/>
          <w:bottom w:val="nil"/>
          <w:insideH w:val="nil"/>
          <w:insideV w:val="nil"/>
        </w:tcBorders>
        <w:shd w:val="clear" w:color="auto" w:fill="C5E4EC"/>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semiHidden/>
    <w:rsid w:val="0064434C"/>
    <w:pPr>
      <w:spacing w:after="0" w:line="240" w:lineRule="auto"/>
    </w:pPr>
    <w:rPr>
      <w:rFonts w:ascii="Cambria" w:eastAsia="Times New Roman" w:hAnsi="Cambria" w:cs="Times New Roman"/>
      <w:color w:val="00728F"/>
      <w:sz w:val="20"/>
      <w:szCs w:val="20"/>
      <w:lang w:eastAsia="en-AU"/>
    </w:rPr>
    <w:tblPr>
      <w:tblStyleRowBandSize w:val="1"/>
      <w:tblStyleColBandSize w:val="1"/>
      <w:tblBorders>
        <w:top w:val="single" w:sz="8" w:space="0" w:color="64B8CE"/>
        <w:left w:val="single" w:sz="8" w:space="0" w:color="64B8CE"/>
        <w:bottom w:val="single" w:sz="8" w:space="0" w:color="64B8CE"/>
        <w:right w:val="single" w:sz="8" w:space="0" w:color="64B8CE"/>
      </w:tblBorders>
    </w:tblPr>
    <w:tblStylePr w:type="firstRow">
      <w:rPr>
        <w:sz w:val="24"/>
        <w:szCs w:val="24"/>
      </w:rPr>
      <w:tblPr/>
      <w:tcPr>
        <w:tcBorders>
          <w:top w:val="nil"/>
          <w:left w:val="nil"/>
          <w:bottom w:val="single" w:sz="24" w:space="0" w:color="64B8CE"/>
          <w:right w:val="nil"/>
          <w:insideH w:val="nil"/>
          <w:insideV w:val="nil"/>
        </w:tcBorders>
        <w:shd w:val="clear" w:color="auto" w:fill="FFFFFF"/>
      </w:tcPr>
    </w:tblStylePr>
    <w:tblStylePr w:type="lastRow">
      <w:tblPr/>
      <w:tcPr>
        <w:tcBorders>
          <w:top w:val="single" w:sz="8" w:space="0" w:color="64B8CE"/>
          <w:left w:val="nil"/>
          <w:bottom w:val="nil"/>
          <w:right w:val="nil"/>
          <w:insideH w:val="nil"/>
          <w:insideV w:val="nil"/>
        </w:tcBorders>
        <w:shd w:val="clear" w:color="auto" w:fill="FFFFFF"/>
      </w:tcPr>
    </w:tblStylePr>
    <w:tblStylePr w:type="firstCol">
      <w:tblPr/>
      <w:tcPr>
        <w:tcBorders>
          <w:top w:val="nil"/>
          <w:left w:val="nil"/>
          <w:bottom w:val="nil"/>
          <w:right w:val="single" w:sz="8" w:space="0" w:color="64B8CE"/>
          <w:insideH w:val="nil"/>
          <w:insideV w:val="nil"/>
        </w:tcBorders>
        <w:shd w:val="clear" w:color="auto" w:fill="FFFFFF"/>
      </w:tcPr>
    </w:tblStylePr>
    <w:tblStylePr w:type="lastCol">
      <w:tblPr/>
      <w:tcPr>
        <w:tcBorders>
          <w:top w:val="nil"/>
          <w:left w:val="single" w:sz="8" w:space="0" w:color="64B8C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DF2"/>
      </w:tcPr>
    </w:tblStylePr>
    <w:tblStylePr w:type="band1Horz">
      <w:tblPr/>
      <w:tcPr>
        <w:tcBorders>
          <w:top w:val="nil"/>
          <w:bottom w:val="nil"/>
          <w:insideH w:val="nil"/>
          <w:insideV w:val="nil"/>
        </w:tcBorders>
        <w:shd w:val="clear" w:color="auto" w:fill="D8EDF2"/>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tblBorders>
    </w:tblPr>
    <w:tblStylePr w:type="firstRow">
      <w:pPr>
        <w:spacing w:before="0" w:after="0" w:line="240" w:lineRule="auto"/>
      </w:pPr>
      <w:rPr>
        <w:b/>
        <w:bCs/>
        <w:color w:val="FFFFFF"/>
      </w:rPr>
      <w:tblPr/>
      <w:tcPr>
        <w:tcBorders>
          <w:top w:val="single" w:sz="8" w:space="0" w:color="00BBEB"/>
          <w:left w:val="single" w:sz="8" w:space="0" w:color="00BBEB"/>
          <w:bottom w:val="single" w:sz="8" w:space="0" w:color="00BBEB"/>
          <w:right w:val="single" w:sz="8" w:space="0" w:color="00BBEB"/>
          <w:insideH w:val="nil"/>
          <w:insideV w:val="nil"/>
        </w:tcBorders>
        <w:shd w:val="clear" w:color="auto" w:fill="00728F"/>
      </w:tcPr>
    </w:tblStylePr>
    <w:tblStylePr w:type="lastRow">
      <w:pPr>
        <w:spacing w:before="0" w:after="0" w:line="240" w:lineRule="auto"/>
      </w:pPr>
      <w:rPr>
        <w:b/>
        <w:bCs/>
      </w:rPr>
      <w:tblPr/>
      <w:tcPr>
        <w:tcBorders>
          <w:top w:val="double" w:sz="6" w:space="0" w:color="00BBEB"/>
          <w:left w:val="single" w:sz="8" w:space="0" w:color="00BBEB"/>
          <w:bottom w:val="single" w:sz="8" w:space="0" w:color="00BBEB"/>
          <w:right w:val="single" w:sz="8" w:space="0" w:color="00BBEB"/>
          <w:insideH w:val="nil"/>
          <w:insideV w:val="nil"/>
        </w:tcBorders>
      </w:tcPr>
    </w:tblStylePr>
    <w:tblStylePr w:type="firstCol">
      <w:rPr>
        <w:b/>
        <w:bCs/>
      </w:rPr>
    </w:tblStylePr>
    <w:tblStylePr w:type="lastCol">
      <w:rPr>
        <w:b/>
        <w:bCs/>
      </w:rPr>
    </w:tblStylePr>
    <w:tblStylePr w:type="band1Vert">
      <w:tblPr/>
      <w:tcPr>
        <w:shd w:val="clear" w:color="auto" w:fill="A4ECFF"/>
      </w:tcPr>
    </w:tblStylePr>
    <w:tblStylePr w:type="band1Horz">
      <w:tblPr/>
      <w:tcPr>
        <w:tcBorders>
          <w:insideH w:val="nil"/>
          <w:insideV w:val="nil"/>
        </w:tcBorders>
        <w:shd w:val="clear" w:color="auto" w:fill="A4ECF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tblBorders>
    </w:tblPr>
    <w:tblStylePr w:type="firstRow">
      <w:pPr>
        <w:spacing w:before="0" w:after="0" w:line="240" w:lineRule="auto"/>
      </w:pPr>
      <w:rPr>
        <w:b/>
        <w:bCs/>
        <w:color w:val="FFFFFF"/>
      </w:rPr>
      <w:tblPr/>
      <w:tcPr>
        <w:tcBorders>
          <w:top w:val="single" w:sz="8" w:space="0" w:color="00BBEB"/>
          <w:left w:val="single" w:sz="8" w:space="0" w:color="00BBEB"/>
          <w:bottom w:val="single" w:sz="8" w:space="0" w:color="00BBEB"/>
          <w:right w:val="single" w:sz="8" w:space="0" w:color="00BBEB"/>
          <w:insideH w:val="nil"/>
          <w:insideV w:val="nil"/>
        </w:tcBorders>
        <w:shd w:val="clear" w:color="auto" w:fill="00728F"/>
      </w:tcPr>
    </w:tblStylePr>
    <w:tblStylePr w:type="lastRow">
      <w:pPr>
        <w:spacing w:before="0" w:after="0" w:line="240" w:lineRule="auto"/>
      </w:pPr>
      <w:rPr>
        <w:b/>
        <w:bCs/>
      </w:rPr>
      <w:tblPr/>
      <w:tcPr>
        <w:tcBorders>
          <w:top w:val="double" w:sz="6" w:space="0" w:color="00BBEB"/>
          <w:left w:val="single" w:sz="8" w:space="0" w:color="00BBEB"/>
          <w:bottom w:val="single" w:sz="8" w:space="0" w:color="00BBEB"/>
          <w:right w:val="single" w:sz="8" w:space="0" w:color="00BBEB"/>
          <w:insideH w:val="nil"/>
          <w:insideV w:val="nil"/>
        </w:tcBorders>
      </w:tcPr>
    </w:tblStylePr>
    <w:tblStylePr w:type="firstCol">
      <w:rPr>
        <w:b/>
        <w:bCs/>
      </w:rPr>
    </w:tblStylePr>
    <w:tblStylePr w:type="lastCol">
      <w:rPr>
        <w:b/>
        <w:bCs/>
      </w:rPr>
    </w:tblStylePr>
    <w:tblStylePr w:type="band1Vert">
      <w:tblPr/>
      <w:tcPr>
        <w:shd w:val="clear" w:color="auto" w:fill="A4ECFF"/>
      </w:tcPr>
    </w:tblStylePr>
    <w:tblStylePr w:type="band1Horz">
      <w:tblPr/>
      <w:tcPr>
        <w:tcBorders>
          <w:insideH w:val="nil"/>
          <w:insideV w:val="nil"/>
        </w:tcBorders>
        <w:shd w:val="clear" w:color="auto" w:fill="A4EC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C8E5ED"/>
        <w:left w:val="single" w:sz="8" w:space="0" w:color="C8E5ED"/>
        <w:bottom w:val="single" w:sz="8" w:space="0" w:color="C8E5ED"/>
        <w:right w:val="single" w:sz="8" w:space="0" w:color="C8E5ED"/>
        <w:insideH w:val="single" w:sz="8" w:space="0" w:color="C8E5ED"/>
      </w:tblBorders>
    </w:tblPr>
    <w:tblStylePr w:type="firstRow">
      <w:pPr>
        <w:spacing w:before="0" w:after="0" w:line="240" w:lineRule="auto"/>
      </w:pPr>
      <w:rPr>
        <w:b/>
        <w:bCs/>
        <w:color w:val="FFFFFF"/>
      </w:rPr>
      <w:tblPr/>
      <w:tcPr>
        <w:tcBorders>
          <w:top w:val="single" w:sz="8" w:space="0" w:color="C8E5ED"/>
          <w:left w:val="single" w:sz="8" w:space="0" w:color="C8E5ED"/>
          <w:bottom w:val="single" w:sz="8" w:space="0" w:color="C8E5ED"/>
          <w:right w:val="single" w:sz="8" w:space="0" w:color="C8E5ED"/>
          <w:insideH w:val="nil"/>
          <w:insideV w:val="nil"/>
        </w:tcBorders>
        <w:shd w:val="clear" w:color="auto" w:fill="B7DDE8"/>
      </w:tcPr>
    </w:tblStylePr>
    <w:tblStylePr w:type="lastRow">
      <w:pPr>
        <w:spacing w:before="0" w:after="0" w:line="240" w:lineRule="auto"/>
      </w:pPr>
      <w:rPr>
        <w:b/>
        <w:bCs/>
      </w:rPr>
      <w:tblPr/>
      <w:tcPr>
        <w:tcBorders>
          <w:top w:val="double" w:sz="6" w:space="0" w:color="C8E5ED"/>
          <w:left w:val="single" w:sz="8" w:space="0" w:color="C8E5ED"/>
          <w:bottom w:val="single" w:sz="8" w:space="0" w:color="C8E5ED"/>
          <w:right w:val="single" w:sz="8" w:space="0" w:color="C8E5ED"/>
          <w:insideH w:val="nil"/>
          <w:insideV w:val="nil"/>
        </w:tcBorders>
      </w:tcPr>
    </w:tblStylePr>
    <w:tblStylePr w:type="firstCol">
      <w:rPr>
        <w:b/>
        <w:bCs/>
      </w:rPr>
    </w:tblStylePr>
    <w:tblStylePr w:type="lastCol">
      <w:rPr>
        <w:b/>
        <w:bCs/>
      </w:rPr>
    </w:tblStylePr>
    <w:tblStylePr w:type="band1Vert">
      <w:tblPr/>
      <w:tcPr>
        <w:shd w:val="clear" w:color="auto" w:fill="EDF6F9"/>
      </w:tcPr>
    </w:tblStylePr>
    <w:tblStylePr w:type="band1Horz">
      <w:tblPr/>
      <w:tcPr>
        <w:tcBorders>
          <w:insideH w:val="nil"/>
          <w:insideV w:val="nil"/>
        </w:tcBorders>
        <w:shd w:val="clear" w:color="auto" w:fill="EDF6F9"/>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E4F2F6"/>
        <w:left w:val="single" w:sz="8" w:space="0" w:color="E4F2F6"/>
        <w:bottom w:val="single" w:sz="8" w:space="0" w:color="E4F2F6"/>
        <w:right w:val="single" w:sz="8" w:space="0" w:color="E4F2F6"/>
        <w:insideH w:val="single" w:sz="8" w:space="0" w:color="E4F2F6"/>
      </w:tblBorders>
    </w:tblPr>
    <w:tblStylePr w:type="firstRow">
      <w:pPr>
        <w:spacing w:before="0" w:after="0" w:line="240" w:lineRule="auto"/>
      </w:pPr>
      <w:rPr>
        <w:b/>
        <w:bCs/>
        <w:color w:val="FFFFFF"/>
      </w:rPr>
      <w:tblPr/>
      <w:tcPr>
        <w:tcBorders>
          <w:top w:val="single" w:sz="8" w:space="0" w:color="E4F2F6"/>
          <w:left w:val="single" w:sz="8" w:space="0" w:color="E4F2F6"/>
          <w:bottom w:val="single" w:sz="8" w:space="0" w:color="E4F2F6"/>
          <w:right w:val="single" w:sz="8" w:space="0" w:color="E4F2F6"/>
          <w:insideH w:val="nil"/>
          <w:insideV w:val="nil"/>
        </w:tcBorders>
        <w:shd w:val="clear" w:color="auto" w:fill="DBEEF3"/>
      </w:tcPr>
    </w:tblStylePr>
    <w:tblStylePr w:type="lastRow">
      <w:pPr>
        <w:spacing w:before="0" w:after="0" w:line="240" w:lineRule="auto"/>
      </w:pPr>
      <w:rPr>
        <w:b/>
        <w:bCs/>
      </w:rPr>
      <w:tblPr/>
      <w:tcPr>
        <w:tcBorders>
          <w:top w:val="double" w:sz="6" w:space="0" w:color="E4F2F6"/>
          <w:left w:val="single" w:sz="8" w:space="0" w:color="E4F2F6"/>
          <w:bottom w:val="single" w:sz="8" w:space="0" w:color="E4F2F6"/>
          <w:right w:val="single" w:sz="8" w:space="0" w:color="E4F2F6"/>
          <w:insideH w:val="nil"/>
          <w:insideV w:val="nil"/>
        </w:tcBorders>
      </w:tcPr>
    </w:tblStylePr>
    <w:tblStylePr w:type="firstCol">
      <w:rPr>
        <w:b/>
        <w:bCs/>
      </w:rPr>
    </w:tblStylePr>
    <w:tblStylePr w:type="lastCol">
      <w:rPr>
        <w:b/>
        <w:bCs/>
      </w:rPr>
    </w:tblStylePr>
    <w:tblStylePr w:type="band1Vert">
      <w:tblPr/>
      <w:tcPr>
        <w:shd w:val="clear" w:color="auto" w:fill="F6FAFC"/>
      </w:tcPr>
    </w:tblStylePr>
    <w:tblStylePr w:type="band1Horz">
      <w:tblPr/>
      <w:tcPr>
        <w:tcBorders>
          <w:insideH w:val="nil"/>
          <w:insideV w:val="nil"/>
        </w:tcBorders>
        <w:shd w:val="clear" w:color="auto" w:fill="F6FAFC"/>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ADD9E4"/>
        <w:left w:val="single" w:sz="8" w:space="0" w:color="ADD9E4"/>
        <w:bottom w:val="single" w:sz="8" w:space="0" w:color="ADD9E4"/>
        <w:right w:val="single" w:sz="8" w:space="0" w:color="ADD9E4"/>
        <w:insideH w:val="single" w:sz="8" w:space="0" w:color="ADD9E4"/>
      </w:tblBorders>
    </w:tblPr>
    <w:tblStylePr w:type="firstRow">
      <w:pPr>
        <w:spacing w:before="0" w:after="0" w:line="240" w:lineRule="auto"/>
      </w:pPr>
      <w:rPr>
        <w:b/>
        <w:bCs/>
        <w:color w:val="FFFFFF"/>
      </w:rPr>
      <w:tblPr/>
      <w:tcPr>
        <w:tcBorders>
          <w:top w:val="single" w:sz="8" w:space="0" w:color="ADD9E4"/>
          <w:left w:val="single" w:sz="8" w:space="0" w:color="ADD9E4"/>
          <w:bottom w:val="single" w:sz="8" w:space="0" w:color="ADD9E4"/>
          <w:right w:val="single" w:sz="8" w:space="0" w:color="ADD9E4"/>
          <w:insideH w:val="nil"/>
          <w:insideV w:val="nil"/>
        </w:tcBorders>
        <w:shd w:val="clear" w:color="auto" w:fill="92CDDC"/>
      </w:tcPr>
    </w:tblStylePr>
    <w:tblStylePr w:type="lastRow">
      <w:pPr>
        <w:spacing w:before="0" w:after="0" w:line="240" w:lineRule="auto"/>
      </w:pPr>
      <w:rPr>
        <w:b/>
        <w:bCs/>
      </w:rPr>
      <w:tblPr/>
      <w:tcPr>
        <w:tcBorders>
          <w:top w:val="double" w:sz="6" w:space="0" w:color="ADD9E4"/>
          <w:left w:val="single" w:sz="8" w:space="0" w:color="ADD9E4"/>
          <w:bottom w:val="single" w:sz="8" w:space="0" w:color="ADD9E4"/>
          <w:right w:val="single" w:sz="8" w:space="0" w:color="ADD9E4"/>
          <w:insideH w:val="nil"/>
          <w:insideV w:val="nil"/>
        </w:tcBorders>
      </w:tcPr>
    </w:tblStylePr>
    <w:tblStylePr w:type="firstCol">
      <w:rPr>
        <w:b/>
        <w:bCs/>
      </w:rPr>
    </w:tblStylePr>
    <w:tblStylePr w:type="lastCol">
      <w:rPr>
        <w:b/>
        <w:bCs/>
      </w:rPr>
    </w:tblStylePr>
    <w:tblStylePr w:type="band1Vert">
      <w:tblPr/>
      <w:tcPr>
        <w:shd w:val="clear" w:color="auto" w:fill="E4F2F6"/>
      </w:tcPr>
    </w:tblStylePr>
    <w:tblStylePr w:type="band1Horz">
      <w:tblPr/>
      <w:tcPr>
        <w:tcBorders>
          <w:insideH w:val="nil"/>
          <w:insideV w:val="nil"/>
        </w:tcBorders>
        <w:shd w:val="clear" w:color="auto" w:fill="E4F2F6"/>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50AFC8"/>
        <w:left w:val="single" w:sz="8" w:space="0" w:color="50AFC8"/>
        <w:bottom w:val="single" w:sz="8" w:space="0" w:color="50AFC8"/>
        <w:right w:val="single" w:sz="8" w:space="0" w:color="50AFC8"/>
        <w:insideH w:val="single" w:sz="8" w:space="0" w:color="50AFC8"/>
      </w:tblBorders>
    </w:tblPr>
    <w:tblStylePr w:type="firstRow">
      <w:pPr>
        <w:spacing w:before="0" w:after="0" w:line="240" w:lineRule="auto"/>
      </w:pPr>
      <w:rPr>
        <w:b/>
        <w:bCs/>
        <w:color w:val="FFFFFF"/>
      </w:rPr>
      <w:tblPr/>
      <w:tcPr>
        <w:tcBorders>
          <w:top w:val="single" w:sz="8" w:space="0" w:color="50AFC8"/>
          <w:left w:val="single" w:sz="8" w:space="0" w:color="50AFC8"/>
          <w:bottom w:val="single" w:sz="8" w:space="0" w:color="50AFC8"/>
          <w:right w:val="single" w:sz="8" w:space="0" w:color="50AFC8"/>
          <w:insideH w:val="nil"/>
          <w:insideV w:val="nil"/>
        </w:tcBorders>
        <w:shd w:val="clear" w:color="auto" w:fill="31859B"/>
      </w:tcPr>
    </w:tblStylePr>
    <w:tblStylePr w:type="lastRow">
      <w:pPr>
        <w:spacing w:before="0" w:after="0" w:line="240" w:lineRule="auto"/>
      </w:pPr>
      <w:rPr>
        <w:b/>
        <w:bCs/>
      </w:rPr>
      <w:tblPr/>
      <w:tcPr>
        <w:tcBorders>
          <w:top w:val="double" w:sz="6" w:space="0" w:color="50AFC8"/>
          <w:left w:val="single" w:sz="8" w:space="0" w:color="50AFC8"/>
          <w:bottom w:val="single" w:sz="8" w:space="0" w:color="50AFC8"/>
          <w:right w:val="single" w:sz="8" w:space="0" w:color="50AFC8"/>
          <w:insideH w:val="nil"/>
          <w:insideV w:val="nil"/>
        </w:tcBorders>
      </w:tcPr>
    </w:tblStylePr>
    <w:tblStylePr w:type="firstCol">
      <w:rPr>
        <w:b/>
        <w:bCs/>
      </w:rPr>
    </w:tblStylePr>
    <w:tblStylePr w:type="lastCol">
      <w:rPr>
        <w:b/>
        <w:bCs/>
      </w:rPr>
    </w:tblStylePr>
    <w:tblStylePr w:type="band1Vert">
      <w:tblPr/>
      <w:tcPr>
        <w:shd w:val="clear" w:color="auto" w:fill="C5E4EC"/>
      </w:tcPr>
    </w:tblStylePr>
    <w:tblStylePr w:type="band1Horz">
      <w:tblPr/>
      <w:tcPr>
        <w:tcBorders>
          <w:insideH w:val="nil"/>
          <w:insideV w:val="nil"/>
        </w:tcBorders>
        <w:shd w:val="clear" w:color="auto" w:fill="C5E4EC"/>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8AC9DA"/>
        <w:left w:val="single" w:sz="8" w:space="0" w:color="8AC9DA"/>
        <w:bottom w:val="single" w:sz="8" w:space="0" w:color="8AC9DA"/>
        <w:right w:val="single" w:sz="8" w:space="0" w:color="8AC9DA"/>
        <w:insideH w:val="single" w:sz="8" w:space="0" w:color="8AC9DA"/>
      </w:tblBorders>
    </w:tblPr>
    <w:tblStylePr w:type="firstRow">
      <w:pPr>
        <w:spacing w:before="0" w:after="0" w:line="240" w:lineRule="auto"/>
      </w:pPr>
      <w:rPr>
        <w:b/>
        <w:bCs/>
        <w:color w:val="FFFFFF"/>
      </w:rPr>
      <w:tblPr/>
      <w:tcPr>
        <w:tcBorders>
          <w:top w:val="single" w:sz="8" w:space="0" w:color="8AC9DA"/>
          <w:left w:val="single" w:sz="8" w:space="0" w:color="8AC9DA"/>
          <w:bottom w:val="single" w:sz="8" w:space="0" w:color="8AC9DA"/>
          <w:right w:val="single" w:sz="8" w:space="0" w:color="8AC9DA"/>
          <w:insideH w:val="nil"/>
          <w:insideV w:val="nil"/>
        </w:tcBorders>
        <w:shd w:val="clear" w:color="auto" w:fill="64B8CE"/>
      </w:tcPr>
    </w:tblStylePr>
    <w:tblStylePr w:type="lastRow">
      <w:pPr>
        <w:spacing w:before="0" w:after="0" w:line="240" w:lineRule="auto"/>
      </w:pPr>
      <w:rPr>
        <w:b/>
        <w:bCs/>
      </w:rPr>
      <w:tblPr/>
      <w:tcPr>
        <w:tcBorders>
          <w:top w:val="double" w:sz="6" w:space="0" w:color="8AC9DA"/>
          <w:left w:val="single" w:sz="8" w:space="0" w:color="8AC9DA"/>
          <w:bottom w:val="single" w:sz="8" w:space="0" w:color="8AC9DA"/>
          <w:right w:val="single" w:sz="8" w:space="0" w:color="8AC9DA"/>
          <w:insideH w:val="nil"/>
          <w:insideV w:val="nil"/>
        </w:tcBorders>
      </w:tcPr>
    </w:tblStylePr>
    <w:tblStylePr w:type="firstCol">
      <w:rPr>
        <w:b/>
        <w:bCs/>
      </w:rPr>
    </w:tblStylePr>
    <w:tblStylePr w:type="lastCol">
      <w:rPr>
        <w:b/>
        <w:bCs/>
      </w:rPr>
    </w:tblStylePr>
    <w:tblStylePr w:type="band1Vert">
      <w:tblPr/>
      <w:tcPr>
        <w:shd w:val="clear" w:color="auto" w:fill="D8EDF2"/>
      </w:tcPr>
    </w:tblStylePr>
    <w:tblStylePr w:type="band1Horz">
      <w:tblPr/>
      <w:tcPr>
        <w:tcBorders>
          <w:insideH w:val="nil"/>
          <w:insideV w:val="nil"/>
        </w:tcBorders>
        <w:shd w:val="clear" w:color="auto" w:fill="D8EDF2"/>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728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728F"/>
      </w:tcPr>
    </w:tblStylePr>
    <w:tblStylePr w:type="lastCol">
      <w:rPr>
        <w:b/>
        <w:bCs/>
        <w:color w:val="FFFFFF"/>
      </w:rPr>
      <w:tblPr/>
      <w:tcPr>
        <w:tcBorders>
          <w:left w:val="nil"/>
          <w:right w:val="nil"/>
          <w:insideH w:val="nil"/>
          <w:insideV w:val="nil"/>
        </w:tcBorders>
        <w:shd w:val="clear" w:color="auto" w:fill="00728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728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728F"/>
      </w:tcPr>
    </w:tblStylePr>
    <w:tblStylePr w:type="lastCol">
      <w:rPr>
        <w:b/>
        <w:bCs/>
        <w:color w:val="FFFFFF"/>
      </w:rPr>
      <w:tblPr/>
      <w:tcPr>
        <w:tcBorders>
          <w:left w:val="nil"/>
          <w:right w:val="nil"/>
          <w:insideH w:val="nil"/>
          <w:insideV w:val="nil"/>
        </w:tcBorders>
        <w:shd w:val="clear" w:color="auto" w:fill="00728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7DDE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7DDE8"/>
      </w:tcPr>
    </w:tblStylePr>
    <w:tblStylePr w:type="lastCol">
      <w:rPr>
        <w:b/>
        <w:bCs/>
        <w:color w:val="FFFFFF"/>
      </w:rPr>
      <w:tblPr/>
      <w:tcPr>
        <w:tcBorders>
          <w:left w:val="nil"/>
          <w:right w:val="nil"/>
          <w:insideH w:val="nil"/>
          <w:insideV w:val="nil"/>
        </w:tcBorders>
        <w:shd w:val="clear" w:color="auto" w:fill="B7DDE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BEEF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BEEF3"/>
      </w:tcPr>
    </w:tblStylePr>
    <w:tblStylePr w:type="lastCol">
      <w:rPr>
        <w:b/>
        <w:bCs/>
        <w:color w:val="FFFFFF"/>
      </w:rPr>
      <w:tblPr/>
      <w:tcPr>
        <w:tcBorders>
          <w:left w:val="nil"/>
          <w:right w:val="nil"/>
          <w:insideH w:val="nil"/>
          <w:insideV w:val="nil"/>
        </w:tcBorders>
        <w:shd w:val="clear" w:color="auto" w:fill="DBEEF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2CD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2CDDC"/>
      </w:tcPr>
    </w:tblStylePr>
    <w:tblStylePr w:type="lastCol">
      <w:rPr>
        <w:b/>
        <w:bCs/>
        <w:color w:val="FFFFFF"/>
      </w:rPr>
      <w:tblPr/>
      <w:tcPr>
        <w:tcBorders>
          <w:left w:val="nil"/>
          <w:right w:val="nil"/>
          <w:insideH w:val="nil"/>
          <w:insideV w:val="nil"/>
        </w:tcBorders>
        <w:shd w:val="clear" w:color="auto" w:fill="92CD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1859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1859B"/>
      </w:tcPr>
    </w:tblStylePr>
    <w:tblStylePr w:type="lastCol">
      <w:rPr>
        <w:b/>
        <w:bCs/>
        <w:color w:val="FFFFFF"/>
      </w:rPr>
      <w:tblPr/>
      <w:tcPr>
        <w:tcBorders>
          <w:left w:val="nil"/>
          <w:right w:val="nil"/>
          <w:insideH w:val="nil"/>
          <w:insideV w:val="nil"/>
        </w:tcBorders>
        <w:shd w:val="clear" w:color="auto" w:fill="31859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64434C"/>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4B8C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4B8CE"/>
      </w:tcPr>
    </w:tblStylePr>
    <w:tblStylePr w:type="lastCol">
      <w:rPr>
        <w:b/>
        <w:bCs/>
        <w:color w:val="FFFFFF"/>
      </w:rPr>
      <w:tblPr/>
      <w:tcPr>
        <w:tcBorders>
          <w:left w:val="nil"/>
          <w:right w:val="nil"/>
          <w:insideH w:val="nil"/>
          <w:insideV w:val="nil"/>
        </w:tcBorders>
        <w:shd w:val="clear" w:color="auto" w:fill="64B8C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64434C"/>
    <w:pPr>
      <w:spacing w:after="0" w:line="240" w:lineRule="auto"/>
    </w:pPr>
    <w:rPr>
      <w:rFonts w:ascii="Calibri" w:eastAsia="Calibri" w:hAnsi="Calibri"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64434C"/>
    <w:pPr>
      <w:spacing w:after="0" w:line="240" w:lineRule="auto"/>
    </w:pPr>
    <w:rPr>
      <w:rFonts w:ascii="Calibri" w:eastAsia="Calibri" w:hAnsi="Calibri"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64434C"/>
    <w:pPr>
      <w:spacing w:after="0" w:line="240" w:lineRule="auto"/>
    </w:pPr>
    <w:rPr>
      <w:rFonts w:ascii="Calibri" w:eastAsia="Calibri" w:hAnsi="Calibri"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0">
    <w:name w:val="Table Grid 1"/>
    <w:basedOn w:val="TableNormal"/>
    <w:uiPriority w:val="99"/>
    <w:semiHidden/>
    <w:rsid w:val="0064434C"/>
    <w:pPr>
      <w:spacing w:after="0" w:line="240" w:lineRule="auto"/>
    </w:pPr>
    <w:rPr>
      <w:rFonts w:ascii="Calibri" w:eastAsia="Calibri"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64434C"/>
    <w:pPr>
      <w:spacing w:after="0" w:line="240" w:lineRule="auto"/>
    </w:pPr>
    <w:rPr>
      <w:rFonts w:ascii="Calibri" w:eastAsia="Calibri" w:hAnsi="Calibri"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4434C"/>
    <w:pPr>
      <w:spacing w:after="0" w:line="240" w:lineRule="auto"/>
    </w:pPr>
    <w:rPr>
      <w:rFonts w:ascii="Calibri" w:eastAsia="Calibri" w:hAnsi="Calibri"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64434C"/>
    <w:pPr>
      <w:spacing w:after="0" w:line="240" w:lineRule="auto"/>
    </w:pPr>
    <w:rPr>
      <w:rFonts w:ascii="Calibri" w:eastAsia="Calibri" w:hAnsi="Calibri"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64434C"/>
    <w:pPr>
      <w:spacing w:after="0" w:line="240" w:lineRule="auto"/>
    </w:pPr>
    <w:rPr>
      <w:rFonts w:ascii="Calibri" w:eastAsia="Calibri"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64434C"/>
    <w:pPr>
      <w:spacing w:after="0" w:line="240" w:lineRule="auto"/>
    </w:pPr>
    <w:rPr>
      <w:rFonts w:ascii="Calibri" w:eastAsia="Calibri"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64434C"/>
    <w:pPr>
      <w:spacing w:after="0" w:line="240" w:lineRule="auto"/>
    </w:pPr>
    <w:rPr>
      <w:rFonts w:ascii="Calibri" w:eastAsia="Calibri" w:hAnsi="Calibri"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64434C"/>
    <w:pPr>
      <w:spacing w:after="0" w:line="240" w:lineRule="auto"/>
    </w:pPr>
    <w:rPr>
      <w:rFonts w:ascii="Calibri" w:eastAsia="Calibri" w:hAnsi="Calibri"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igurecaptionCharChar">
    <w:name w:val="Figure caption Char Char"/>
    <w:link w:val="Figurecaption"/>
    <w:uiPriority w:val="10"/>
    <w:locked/>
    <w:rsid w:val="0064434C"/>
    <w:rPr>
      <w:rFonts w:ascii="Calibri" w:eastAsia="Calibri" w:hAnsi="Calibri" w:cs="Times New Roman"/>
      <w:b/>
      <w:bCs/>
      <w:color w:val="00728F"/>
      <w:sz w:val="18"/>
      <w:szCs w:val="18"/>
    </w:rPr>
  </w:style>
  <w:style w:type="paragraph" w:customStyle="1" w:styleId="Reference">
    <w:name w:val="Reference"/>
    <w:basedOn w:val="BodyText"/>
    <w:uiPriority w:val="20"/>
    <w:qFormat/>
    <w:rsid w:val="0064434C"/>
    <w:pPr>
      <w:autoSpaceDE/>
      <w:autoSpaceDN/>
      <w:adjustRightInd/>
      <w:spacing w:before="360" w:after="360"/>
    </w:pPr>
    <w:rPr>
      <w:rFonts w:ascii="Calibri" w:eastAsia="Calibri" w:hAnsi="Calibri"/>
      <w:noProof/>
      <w:sz w:val="22"/>
      <w:szCs w:val="22"/>
      <w:lang w:eastAsia="en-US"/>
    </w:rPr>
  </w:style>
  <w:style w:type="paragraph" w:customStyle="1" w:styleId="Bodytext-Quote">
    <w:name w:val="Body text - Quote"/>
    <w:basedOn w:val="BodyText"/>
    <w:next w:val="BodyText"/>
    <w:qFormat/>
    <w:rsid w:val="0064434C"/>
    <w:pPr>
      <w:autoSpaceDE/>
      <w:autoSpaceDN/>
      <w:adjustRightInd/>
      <w:spacing w:before="240" w:after="240"/>
      <w:ind w:right="567"/>
    </w:pPr>
    <w:rPr>
      <w:rFonts w:ascii="Calibri" w:eastAsia="Calibri" w:hAnsi="Calibri"/>
      <w:lang w:eastAsia="en-US"/>
    </w:rPr>
  </w:style>
  <w:style w:type="paragraph" w:customStyle="1" w:styleId="FigureImagewithoutrule">
    <w:name w:val="Figure/Image without rule"/>
    <w:basedOn w:val="BodyText"/>
    <w:next w:val="BodyText"/>
    <w:uiPriority w:val="10"/>
    <w:qFormat/>
    <w:rsid w:val="0064434C"/>
    <w:pPr>
      <w:autoSpaceDE/>
      <w:autoSpaceDN/>
      <w:adjustRightInd/>
      <w:spacing w:before="240" w:after="360"/>
    </w:pPr>
    <w:rPr>
      <w:rFonts w:ascii="Calibri" w:eastAsia="Calibri" w:hAnsi="Calibri"/>
      <w:noProof/>
      <w:sz w:val="22"/>
      <w:szCs w:val="22"/>
    </w:rPr>
  </w:style>
  <w:style w:type="paragraph" w:customStyle="1" w:styleId="DBCDElogo">
    <w:name w:val="DBCDE logo"/>
    <w:basedOn w:val="Normal"/>
    <w:next w:val="BodyText"/>
    <w:semiHidden/>
    <w:qFormat/>
    <w:rsid w:val="0064434C"/>
    <w:pPr>
      <w:spacing w:before="240" w:after="0"/>
      <w:jc w:val="center"/>
    </w:pPr>
    <w:rPr>
      <w:rFonts w:eastAsia="Calibri" w:cs="Times New Roman"/>
      <w:noProof/>
      <w:lang w:eastAsia="en-AU"/>
    </w:rPr>
  </w:style>
  <w:style w:type="character" w:customStyle="1" w:styleId="Instructionaltext">
    <w:name w:val="Instructional text"/>
    <w:uiPriority w:val="59"/>
    <w:qFormat/>
    <w:rsid w:val="0064434C"/>
    <w:rPr>
      <w:i/>
      <w:color w:val="0066FF"/>
    </w:rPr>
  </w:style>
  <w:style w:type="paragraph" w:customStyle="1" w:styleId="Instructionaltext-Numberedlist">
    <w:name w:val="Instructional text - Numbered list"/>
    <w:basedOn w:val="Normal"/>
    <w:uiPriority w:val="59"/>
    <w:qFormat/>
    <w:rsid w:val="0064434C"/>
    <w:pPr>
      <w:numPr>
        <w:numId w:val="38"/>
      </w:numPr>
      <w:spacing w:before="240" w:after="240"/>
    </w:pPr>
    <w:rPr>
      <w:rFonts w:eastAsia="Calibri" w:cs="Times New Roman"/>
      <w:i/>
      <w:color w:val="0066FF"/>
    </w:rPr>
  </w:style>
  <w:style w:type="character" w:customStyle="1" w:styleId="Exampletext">
    <w:name w:val="Example text"/>
    <w:uiPriority w:val="60"/>
    <w:qFormat/>
    <w:rsid w:val="0064434C"/>
    <w:rPr>
      <w:color w:val="CC0000"/>
    </w:rPr>
  </w:style>
  <w:style w:type="paragraph" w:customStyle="1" w:styleId="NormalText">
    <w:name w:val="Normal Text"/>
    <w:basedOn w:val="Normal"/>
    <w:uiPriority w:val="99"/>
    <w:rsid w:val="0064434C"/>
    <w:pPr>
      <w:widowControl w:val="0"/>
      <w:suppressAutoHyphens/>
      <w:autoSpaceDE w:val="0"/>
      <w:autoSpaceDN w:val="0"/>
      <w:adjustRightInd w:val="0"/>
      <w:spacing w:before="170" w:after="0" w:line="220" w:lineRule="atLeast"/>
      <w:textAlignment w:val="center"/>
    </w:pPr>
    <w:rPr>
      <w:rFonts w:ascii="TradeGothicLTStd" w:eastAsia="Times New Roman" w:hAnsi="TradeGothicLTStd" w:cs="TradeGothicLTStd"/>
      <w:color w:val="000000"/>
      <w:sz w:val="19"/>
      <w:szCs w:val="19"/>
      <w:lang w:val="en-GB"/>
    </w:rPr>
  </w:style>
  <w:style w:type="character" w:customStyle="1" w:styleId="BoldTrade">
    <w:name w:val="Bold Trade"/>
    <w:uiPriority w:val="99"/>
    <w:rsid w:val="0064434C"/>
    <w:rPr>
      <w:rFonts w:ascii="TradeGothicLTStd-Bd2" w:hAnsi="TradeGothicLTStd-Bd2"/>
      <w:b/>
    </w:rPr>
  </w:style>
  <w:style w:type="paragraph" w:customStyle="1" w:styleId="TableHeading">
    <w:name w:val="Table Heading"/>
    <w:basedOn w:val="Normal"/>
    <w:uiPriority w:val="99"/>
    <w:qFormat/>
    <w:rsid w:val="0064434C"/>
    <w:pPr>
      <w:spacing w:before="360" w:after="240"/>
    </w:pPr>
    <w:rPr>
      <w:rFonts w:eastAsia="Calibri" w:cs="Times New Roman"/>
      <w:b/>
      <w:sz w:val="28"/>
      <w:szCs w:val="28"/>
    </w:rPr>
  </w:style>
  <w:style w:type="paragraph" w:customStyle="1" w:styleId="Table">
    <w:name w:val="Table"/>
    <w:basedOn w:val="Normal"/>
    <w:next w:val="NoSpacing"/>
    <w:uiPriority w:val="99"/>
    <w:qFormat/>
    <w:rsid w:val="0064434C"/>
    <w:pPr>
      <w:spacing w:before="60" w:after="60"/>
    </w:pPr>
    <w:rPr>
      <w:rFonts w:eastAsia="Calibri" w:cs="Calibri"/>
      <w:sz w:val="20"/>
      <w:lang w:eastAsia="en-AU"/>
    </w:rPr>
  </w:style>
  <w:style w:type="paragraph" w:customStyle="1" w:styleId="Abc-Text">
    <w:name w:val="Abc - Text"/>
    <w:basedOn w:val="Normal"/>
    <w:link w:val="Abc-TextChar"/>
    <w:unhideWhenUsed/>
    <w:qFormat/>
    <w:rsid w:val="0064434C"/>
    <w:pPr>
      <w:spacing w:after="0"/>
    </w:pPr>
    <w:rPr>
      <w:rFonts w:ascii="Times New Roman" w:eastAsia="Calibri" w:hAnsi="Times New Roman" w:cs="Times New Roman"/>
      <w:color w:val="000000"/>
      <w:sz w:val="24"/>
      <w:szCs w:val="24"/>
    </w:rPr>
  </w:style>
  <w:style w:type="character" w:customStyle="1" w:styleId="Abc-TextChar">
    <w:name w:val="Abc - Text Char"/>
    <w:link w:val="Abc-Text"/>
    <w:rsid w:val="0064434C"/>
    <w:rPr>
      <w:rFonts w:ascii="Times New Roman" w:eastAsia="Calibri" w:hAnsi="Times New Roman" w:cs="Times New Roman"/>
      <w:color w:val="000000"/>
      <w:sz w:val="24"/>
      <w:szCs w:val="24"/>
    </w:rPr>
  </w:style>
  <w:style w:type="paragraph" w:customStyle="1" w:styleId="DONOTUSE-HeadingGrayBoldCaps">
    <w:name w:val="DO NOT USE - Heading Gray Bold Caps"/>
    <w:basedOn w:val="Normal"/>
    <w:link w:val="DONOTUSE-HeadingGrayBoldCapsChar"/>
    <w:uiPriority w:val="3"/>
    <w:unhideWhenUsed/>
    <w:qFormat/>
    <w:locked/>
    <w:rsid w:val="0064434C"/>
    <w:pPr>
      <w:shd w:val="clear" w:color="auto" w:fill="F2F2F2"/>
      <w:tabs>
        <w:tab w:val="left" w:pos="0"/>
      </w:tabs>
      <w:spacing w:after="0"/>
      <w:ind w:left="34" w:right="3"/>
      <w:outlineLvl w:val="0"/>
    </w:pPr>
    <w:rPr>
      <w:rFonts w:ascii="Times New Roman" w:eastAsia="Times New Roman" w:hAnsi="Times New Roman" w:cs="Times New Roman"/>
      <w:b/>
      <w:color w:val="000000"/>
      <w:sz w:val="24"/>
      <w:szCs w:val="24"/>
    </w:rPr>
  </w:style>
  <w:style w:type="character" w:customStyle="1" w:styleId="DONOTUSE-HeadingGrayBoldCapsChar">
    <w:name w:val="DO NOT USE - Heading Gray Bold Caps Char"/>
    <w:link w:val="DONOTUSE-HeadingGrayBoldCaps"/>
    <w:uiPriority w:val="3"/>
    <w:rsid w:val="0064434C"/>
    <w:rPr>
      <w:rFonts w:ascii="Times New Roman" w:eastAsia="Times New Roman" w:hAnsi="Times New Roman" w:cs="Times New Roman"/>
      <w:b/>
      <w:color w:val="000000"/>
      <w:sz w:val="24"/>
      <w:szCs w:val="24"/>
      <w:shd w:val="clear" w:color="auto" w:fill="F2F2F2"/>
    </w:rPr>
  </w:style>
  <w:style w:type="paragraph" w:customStyle="1" w:styleId="MinSubheading">
    <w:name w:val="Min Sub heading"/>
    <w:basedOn w:val="Normal"/>
    <w:next w:val="Normal"/>
    <w:uiPriority w:val="3"/>
    <w:qFormat/>
    <w:rsid w:val="0064434C"/>
    <w:pPr>
      <w:tabs>
        <w:tab w:val="right" w:pos="9923"/>
      </w:tabs>
      <w:spacing w:after="0"/>
      <w:ind w:left="-142" w:right="-142"/>
      <w:outlineLvl w:val="0"/>
    </w:pPr>
    <w:rPr>
      <w:rFonts w:ascii="Times New Roman" w:eastAsia="Times New Roman" w:hAnsi="Times New Roman" w:cs="Times New Roman"/>
      <w:b/>
      <w:caps/>
      <w:color w:val="000000"/>
      <w:sz w:val="24"/>
      <w:szCs w:val="24"/>
    </w:rPr>
  </w:style>
  <w:style w:type="paragraph" w:customStyle="1" w:styleId="Al">
    <w:name w:val="Al"/>
    <w:basedOn w:val="Normal"/>
    <w:rsid w:val="0064434C"/>
    <w:pPr>
      <w:tabs>
        <w:tab w:val="left" w:pos="851"/>
      </w:tabs>
      <w:spacing w:after="240"/>
      <w:ind w:left="1287" w:hanging="567"/>
      <w:jc w:val="both"/>
    </w:pPr>
    <w:rPr>
      <w:rFonts w:ascii="Arial" w:eastAsia="Times New Roman" w:hAnsi="Arial" w:cs="Times New Roman"/>
      <w:szCs w:val="20"/>
      <w:lang w:val="en-GB"/>
    </w:rPr>
  </w:style>
  <w:style w:type="paragraph" w:customStyle="1" w:styleId="xl72">
    <w:name w:val="xl72"/>
    <w:basedOn w:val="Normal"/>
    <w:rsid w:val="0064434C"/>
    <w:pPr>
      <w:spacing w:before="100" w:beforeAutospacing="1" w:after="100" w:afterAutospacing="1"/>
      <w:textAlignment w:val="center"/>
    </w:pPr>
    <w:rPr>
      <w:rFonts w:ascii="Times New Roman" w:eastAsia="Times New Roman" w:hAnsi="Times New Roman" w:cs="Times New Roman"/>
      <w:b/>
      <w:bCs/>
      <w:sz w:val="18"/>
      <w:szCs w:val="18"/>
      <w:lang w:eastAsia="en-AU"/>
    </w:rPr>
  </w:style>
  <w:style w:type="paragraph" w:customStyle="1" w:styleId="xl73">
    <w:name w:val="xl73"/>
    <w:basedOn w:val="Normal"/>
    <w:rsid w:val="0064434C"/>
    <w:pP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74">
    <w:name w:val="xl74"/>
    <w:basedOn w:val="Normal"/>
    <w:rsid w:val="0064434C"/>
    <w:pPr>
      <w:spacing w:before="100" w:beforeAutospacing="1" w:after="100" w:afterAutospacing="1"/>
      <w:jc w:val="center"/>
      <w:textAlignment w:val="center"/>
    </w:pPr>
    <w:rPr>
      <w:rFonts w:ascii="Times New Roman" w:eastAsia="Times New Roman" w:hAnsi="Times New Roman" w:cs="Times New Roman"/>
      <w:sz w:val="18"/>
      <w:szCs w:val="18"/>
      <w:lang w:eastAsia="en-AU"/>
    </w:rPr>
  </w:style>
  <w:style w:type="paragraph" w:customStyle="1" w:styleId="xl75">
    <w:name w:val="xl75"/>
    <w:basedOn w:val="Normal"/>
    <w:rsid w:val="0064434C"/>
    <w:pPr>
      <w:spacing w:before="100" w:beforeAutospacing="1" w:after="100" w:afterAutospacing="1"/>
      <w:jc w:val="center"/>
      <w:textAlignment w:val="center"/>
    </w:pPr>
    <w:rPr>
      <w:rFonts w:ascii="Times New Roman" w:eastAsia="Times New Roman" w:hAnsi="Times New Roman" w:cs="Times New Roman"/>
      <w:sz w:val="18"/>
      <w:szCs w:val="18"/>
      <w:lang w:eastAsia="en-AU"/>
    </w:rPr>
  </w:style>
  <w:style w:type="paragraph" w:customStyle="1" w:styleId="xl76">
    <w:name w:val="xl76"/>
    <w:basedOn w:val="Normal"/>
    <w:rsid w:val="006443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77">
    <w:name w:val="xl77"/>
    <w:basedOn w:val="Normal"/>
    <w:rsid w:val="00644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78">
    <w:name w:val="xl78"/>
    <w:basedOn w:val="Normal"/>
    <w:rsid w:val="00644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79">
    <w:name w:val="xl79"/>
    <w:basedOn w:val="Normal"/>
    <w:rsid w:val="0064434C"/>
    <w:pP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0">
    <w:name w:val="xl80"/>
    <w:basedOn w:val="Normal"/>
    <w:rsid w:val="006443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1">
    <w:name w:val="xl81"/>
    <w:basedOn w:val="Normal"/>
    <w:rsid w:val="006443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2">
    <w:name w:val="xl82"/>
    <w:basedOn w:val="Normal"/>
    <w:rsid w:val="00644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3">
    <w:name w:val="xl83"/>
    <w:basedOn w:val="Normal"/>
    <w:rsid w:val="00644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4">
    <w:name w:val="xl84"/>
    <w:basedOn w:val="Normal"/>
    <w:rsid w:val="00644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5">
    <w:name w:val="xl85"/>
    <w:basedOn w:val="Normal"/>
    <w:rsid w:val="006443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6">
    <w:name w:val="xl86"/>
    <w:basedOn w:val="Normal"/>
    <w:rsid w:val="006443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eastAsia="Times New Roman" w:hAnsi="Times New Roman" w:cs="Times New Roman"/>
      <w:b/>
      <w:bCs/>
      <w:sz w:val="18"/>
      <w:szCs w:val="18"/>
      <w:lang w:eastAsia="en-AU"/>
    </w:rPr>
  </w:style>
  <w:style w:type="paragraph" w:customStyle="1" w:styleId="xl87">
    <w:name w:val="xl87"/>
    <w:basedOn w:val="Normal"/>
    <w:rsid w:val="006443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eastAsia="Times New Roman" w:hAnsi="Times New Roman" w:cs="Times New Roman"/>
      <w:b/>
      <w:bCs/>
      <w:sz w:val="18"/>
      <w:szCs w:val="18"/>
      <w:lang w:eastAsia="en-AU"/>
    </w:rPr>
  </w:style>
  <w:style w:type="paragraph" w:customStyle="1" w:styleId="xl88">
    <w:name w:val="xl88"/>
    <w:basedOn w:val="Normal"/>
    <w:rsid w:val="006443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89">
    <w:name w:val="xl89"/>
    <w:basedOn w:val="Normal"/>
    <w:rsid w:val="006443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90">
    <w:name w:val="xl90"/>
    <w:basedOn w:val="Normal"/>
    <w:rsid w:val="006443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en-AU"/>
    </w:rPr>
  </w:style>
  <w:style w:type="paragraph" w:customStyle="1" w:styleId="xl91">
    <w:name w:val="xl91"/>
    <w:basedOn w:val="Normal"/>
    <w:rsid w:val="006443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u w:val="single"/>
      <w:lang w:eastAsia="en-AU"/>
    </w:rPr>
  </w:style>
  <w:style w:type="paragraph" w:customStyle="1" w:styleId="xl92">
    <w:name w:val="xl92"/>
    <w:basedOn w:val="Normal"/>
    <w:rsid w:val="0064434C"/>
    <w:pPr>
      <w:spacing w:before="100" w:beforeAutospacing="1" w:after="100" w:afterAutospacing="1"/>
      <w:textAlignment w:val="center"/>
    </w:pPr>
    <w:rPr>
      <w:rFonts w:ascii="Times New Roman" w:eastAsia="Times New Roman" w:hAnsi="Times New Roman" w:cs="Times New Roman"/>
      <w:sz w:val="18"/>
      <w:szCs w:val="18"/>
      <w:lang w:eastAsia="en-AU"/>
    </w:rPr>
  </w:style>
  <w:style w:type="paragraph" w:customStyle="1" w:styleId="xl93">
    <w:name w:val="xl93"/>
    <w:basedOn w:val="Normal"/>
    <w:rsid w:val="006443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AU"/>
    </w:rPr>
  </w:style>
  <w:style w:type="table" w:styleId="LightShading">
    <w:name w:val="Light Shading"/>
    <w:basedOn w:val="TableNormal"/>
    <w:uiPriority w:val="60"/>
    <w:rsid w:val="0064434C"/>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64434C"/>
    <w:pPr>
      <w:spacing w:after="0" w:line="240" w:lineRule="auto"/>
    </w:pPr>
    <w:rPr>
      <w:rFonts w:ascii="Cambria" w:eastAsia="Cambria" w:hAnsi="Cambria"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64434C"/>
    <w:pPr>
      <w:spacing w:after="0" w:line="240" w:lineRule="auto"/>
    </w:pPr>
    <w:rPr>
      <w:rFonts w:ascii="Cambria" w:eastAsia="Cambria" w:hAnsi="Cambria"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1-Accent1">
    <w:name w:val="Medium List 1 Accent 1"/>
    <w:basedOn w:val="TableNormal"/>
    <w:uiPriority w:val="65"/>
    <w:rsid w:val="0064434C"/>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Calibri" w:eastAsia="Times New Roman"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copyrightHeading2Styles">
    <w:name w:val="copyrightHeading 2 (Styles)"/>
    <w:basedOn w:val="Normal"/>
    <w:next w:val="Normal"/>
    <w:uiPriority w:val="99"/>
    <w:rsid w:val="0064434C"/>
    <w:pPr>
      <w:keepNext/>
      <w:widowControl w:val="0"/>
      <w:suppressAutoHyphens/>
      <w:autoSpaceDE w:val="0"/>
      <w:autoSpaceDN w:val="0"/>
      <w:adjustRightInd w:val="0"/>
      <w:spacing w:before="454" w:after="0" w:line="320" w:lineRule="atLeast"/>
      <w:textAlignment w:val="center"/>
    </w:pPr>
    <w:rPr>
      <w:rFonts w:ascii="Arial" w:eastAsia="Times New Roman" w:hAnsi="Arial" w:cs="Geogrotesque-Light"/>
      <w:color w:val="0072B9"/>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mobilecoverage@communications.gov.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mmunications.gov.au/privacy"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ombudsman.gov.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obilecoverage@communications.gov.au" TargetMode="External"/><Relationship Id="rId20" Type="http://schemas.openxmlformats.org/officeDocument/2006/relationships/hyperlink" Target="mailto:mobilecoverage@communication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aic.gov.au" TargetMode="External"/><Relationship Id="rId5" Type="http://schemas.openxmlformats.org/officeDocument/2006/relationships/webSettings" Target="webSettings.xml"/><Relationship Id="rId15" Type="http://schemas.openxmlformats.org/officeDocument/2006/relationships/hyperlink" Target="mailto:mobilecoverage@communications.gov.au" TargetMode="External"/><Relationship Id="rId23" Type="http://schemas.openxmlformats.org/officeDocument/2006/relationships/hyperlink" Target="mailto:ogc@communications.gov.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mobilecoverage@communications.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mmunications.gov.au/mobile_coverage" TargetMode="External"/><Relationship Id="rId22" Type="http://schemas.openxmlformats.org/officeDocument/2006/relationships/hyperlink" Target="mailto:clientservice@communications.gov.au"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022F-44B3-4F1E-AFC1-FEC29AC9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12644</Words>
  <Characters>67396</Characters>
  <Application>Microsoft Office Word</Application>
  <DocSecurity>0</DocSecurity>
  <Lines>2695</Lines>
  <Paragraphs>1356</Paragraphs>
  <ScaleCrop>false</ScaleCrop>
  <HeadingPairs>
    <vt:vector size="2" baseType="variant">
      <vt:variant>
        <vt:lpstr>Title</vt:lpstr>
      </vt:variant>
      <vt:variant>
        <vt:i4>1</vt:i4>
      </vt:variant>
    </vt:vector>
  </HeadingPairs>
  <TitlesOfParts>
    <vt:vector size="1" baseType="lpstr">
      <vt:lpstr>Mobile Black Spot Program—Priority Locations Grant Guidelines—November 2017</vt:lpstr>
    </vt:vector>
  </TitlesOfParts>
  <Company>Department of Infrastructure, Transport, Regional Development, Communications and the Arts</Company>
  <LinksUpToDate>false</LinksUpToDate>
  <CharactersWithSpaces>78684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Black Spot Program—Priority Locations Grant Guidelines—November 2017</dc:title>
  <dc:subject/>
  <dc:creator>Department of Infrastructure, Transport, Regional Development, Communications and the Arts</dc:creator>
  <cp:keywords/>
  <dc:description>4 July 2023</dc:description>
  <cp:lastModifiedBy>Stewart-Fitzpatrick, Nicole</cp:lastModifiedBy>
  <cp:revision>4</cp:revision>
  <dcterms:created xsi:type="dcterms:W3CDTF">2024-02-01T03:00:00Z</dcterms:created>
  <dcterms:modified xsi:type="dcterms:W3CDTF">2024-02-01T03:07:00Z</dcterms:modified>
</cp:coreProperties>
</file>