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30C" w:rsidRDefault="00181559" w:rsidP="00D11DC7">
      <w:pPr>
        <w:pStyle w:val="Title"/>
        <w:widowControl w:val="0"/>
        <w:autoSpaceDE w:val="0"/>
        <w:autoSpaceDN w:val="0"/>
        <w:ind w:left="120"/>
        <w:contextualSpacing w:val="0"/>
        <w:rPr>
          <w:rFonts w:ascii="Calibri" w:eastAsia="Calibri" w:hAnsi="Calibri" w:cs="Calibri"/>
          <w:b/>
          <w:bCs/>
          <w:color w:val="085257"/>
          <w:w w:val="110"/>
          <w:kern w:val="0"/>
          <w:sz w:val="72"/>
          <w:szCs w:val="72"/>
        </w:rPr>
      </w:pPr>
      <w:bookmarkStart w:id="0" w:name="_Hlk171420911"/>
      <w:r>
        <w:rPr>
          <w:noProof/>
          <w:lang w:eastAsia="en-AU"/>
        </w:rPr>
        <w:drawing>
          <wp:inline distT="0" distB="0" distL="0" distR="0" wp14:anchorId="7BCFC09D" wp14:editId="6D9BC97C">
            <wp:extent cx="4752975" cy="130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5951"/>
                    <a:stretch/>
                  </pic:blipFill>
                  <pic:spPr bwMode="auto">
                    <a:xfrm>
                      <a:off x="0" y="0"/>
                      <a:ext cx="4752975" cy="1304925"/>
                    </a:xfrm>
                    <a:prstGeom prst="rect">
                      <a:avLst/>
                    </a:prstGeom>
                    <a:ln>
                      <a:noFill/>
                    </a:ln>
                    <a:extLst>
                      <a:ext uri="{53640926-AAD7-44D8-BBD7-CCE9431645EC}">
                        <a14:shadowObscured xmlns:a14="http://schemas.microsoft.com/office/drawing/2010/main"/>
                      </a:ext>
                    </a:extLst>
                  </pic:spPr>
                </pic:pic>
              </a:graphicData>
            </a:graphic>
          </wp:inline>
        </w:drawing>
      </w:r>
    </w:p>
    <w:p w:rsidR="00D11DC7" w:rsidRDefault="00D11DC7" w:rsidP="0039415B">
      <w:pPr>
        <w:pStyle w:val="Title"/>
        <w:widowControl w:val="0"/>
        <w:autoSpaceDE w:val="0"/>
        <w:autoSpaceDN w:val="0"/>
        <w:contextualSpacing w:val="0"/>
        <w:rPr>
          <w:rFonts w:ascii="Calibri" w:eastAsia="Calibri" w:hAnsi="Calibri" w:cs="Calibri"/>
          <w:b/>
          <w:bCs/>
          <w:w w:val="110"/>
          <w:kern w:val="0"/>
          <w:sz w:val="72"/>
          <w:szCs w:val="72"/>
        </w:rPr>
      </w:pPr>
    </w:p>
    <w:p w:rsidR="00186A91" w:rsidRPr="00F17327" w:rsidRDefault="00F8230C" w:rsidP="0039415B">
      <w:pPr>
        <w:pStyle w:val="Title"/>
        <w:widowControl w:val="0"/>
        <w:autoSpaceDE w:val="0"/>
        <w:autoSpaceDN w:val="0"/>
        <w:contextualSpacing w:val="0"/>
        <w:rPr>
          <w:rFonts w:ascii="Calibri" w:eastAsia="Calibri" w:hAnsi="Calibri" w:cs="Calibri"/>
          <w:b/>
          <w:bCs/>
          <w:w w:val="110"/>
          <w:kern w:val="0"/>
          <w:sz w:val="72"/>
          <w:szCs w:val="72"/>
        </w:rPr>
      </w:pPr>
      <w:r w:rsidRPr="00F17327">
        <w:rPr>
          <w:rFonts w:ascii="Calibri" w:eastAsia="Calibri" w:hAnsi="Calibri" w:cs="Calibri"/>
          <w:b/>
          <w:bCs/>
          <w:w w:val="110"/>
          <w:kern w:val="0"/>
          <w:sz w:val="72"/>
          <w:szCs w:val="72"/>
        </w:rPr>
        <w:t>Low Carbon Liquid Fuels</w:t>
      </w:r>
    </w:p>
    <w:p w:rsidR="004D30A9" w:rsidRPr="00F17327" w:rsidRDefault="001221FD" w:rsidP="003C6FFD">
      <w:pPr>
        <w:widowControl w:val="0"/>
        <w:tabs>
          <w:tab w:val="left" w:pos="7984"/>
        </w:tabs>
        <w:autoSpaceDE w:val="0"/>
        <w:autoSpaceDN w:val="0"/>
        <w:spacing w:before="121" w:after="0" w:line="240" w:lineRule="auto"/>
        <w:ind w:left="120"/>
        <w:rPr>
          <w:rFonts w:ascii="Calibri" w:eastAsia="Calibri" w:hAnsi="Calibri" w:cs="Calibri"/>
          <w:color w:val="377B88"/>
          <w:w w:val="105"/>
          <w:sz w:val="40"/>
        </w:rPr>
      </w:pPr>
      <w:r w:rsidRPr="00F17327">
        <w:rPr>
          <w:rFonts w:ascii="Calibri" w:eastAsia="Calibri" w:hAnsi="Calibri" w:cs="Calibri"/>
          <w:color w:val="377B88"/>
          <w:w w:val="105"/>
          <w:sz w:val="40"/>
        </w:rPr>
        <w:t xml:space="preserve">A Future Made in Australia: </w:t>
      </w:r>
      <w:r w:rsidR="00AF7C24" w:rsidRPr="00F17327">
        <w:rPr>
          <w:rFonts w:ascii="Calibri" w:eastAsia="Calibri" w:hAnsi="Calibri" w:cs="Calibri"/>
          <w:color w:val="377B88"/>
          <w:w w:val="105"/>
          <w:sz w:val="40"/>
        </w:rPr>
        <w:t>Unlocking Australia’s low carbon liquid fuel opportunity</w:t>
      </w:r>
    </w:p>
    <w:p w:rsidR="00186A91" w:rsidRPr="00F17327" w:rsidRDefault="00186A91" w:rsidP="003C6FFD">
      <w:pPr>
        <w:widowControl w:val="0"/>
        <w:tabs>
          <w:tab w:val="left" w:pos="7984"/>
        </w:tabs>
        <w:autoSpaceDE w:val="0"/>
        <w:autoSpaceDN w:val="0"/>
        <w:spacing w:before="121" w:after="0" w:line="240" w:lineRule="auto"/>
        <w:ind w:left="120"/>
        <w:rPr>
          <w:rFonts w:ascii="Calibri" w:eastAsia="Calibri" w:hAnsi="Calibri" w:cs="Calibri"/>
          <w:color w:val="377B88"/>
          <w:w w:val="105"/>
          <w:sz w:val="40"/>
        </w:rPr>
      </w:pPr>
      <w:r w:rsidRPr="00F17327">
        <w:rPr>
          <w:rFonts w:ascii="Calibri" w:eastAsia="Calibri" w:hAnsi="Calibri" w:cs="Calibri"/>
          <w:color w:val="377B88"/>
          <w:w w:val="105"/>
          <w:sz w:val="40"/>
        </w:rPr>
        <w:t>Consultation Paper</w:t>
      </w:r>
    </w:p>
    <w:p w:rsidR="00E729C1" w:rsidRPr="00D11DC7" w:rsidRDefault="00D11DC7" w:rsidP="00D11DC7">
      <w:pPr>
        <w:widowControl w:val="0"/>
        <w:tabs>
          <w:tab w:val="left" w:pos="7984"/>
        </w:tabs>
        <w:autoSpaceDE w:val="0"/>
        <w:autoSpaceDN w:val="0"/>
        <w:spacing w:before="121" w:after="0" w:line="240" w:lineRule="auto"/>
        <w:ind w:left="120"/>
        <w:rPr>
          <w:rFonts w:ascii="Calibri" w:eastAsia="Calibri" w:hAnsi="Calibri" w:cs="Calibri"/>
          <w:color w:val="085257"/>
          <w:w w:val="105"/>
          <w:sz w:val="40"/>
        </w:rPr>
      </w:pPr>
      <w:r>
        <w:rPr>
          <w:noProof/>
          <w:lang w:eastAsia="en-AU"/>
        </w:rPr>
        <w:drawing>
          <wp:inline distT="0" distB="0" distL="0" distR="0" wp14:anchorId="562FF1B0" wp14:editId="671ED296">
            <wp:extent cx="5943600" cy="3987029"/>
            <wp:effectExtent l="0" t="0" r="0" b="0"/>
            <wp:docPr id="15" name="Picture 15" descr="Aviation related images" title="Cover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987029"/>
                    </a:xfrm>
                    <a:prstGeom prst="rect">
                      <a:avLst/>
                    </a:prstGeom>
                  </pic:spPr>
                </pic:pic>
              </a:graphicData>
            </a:graphic>
          </wp:inline>
        </w:drawing>
      </w:r>
    </w:p>
    <w:p w:rsidR="003C6FFD" w:rsidRPr="0039415B" w:rsidRDefault="003C6FFD" w:rsidP="0039415B">
      <w:pPr>
        <w:rPr>
          <w:rFonts w:ascii="Calibri" w:eastAsia="Calibri" w:hAnsi="Calibri" w:cs="Calibri"/>
          <w:sz w:val="40"/>
        </w:rPr>
        <w:sectPr w:rsidR="003C6FFD" w:rsidRPr="0039415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rsidR="00544D71" w:rsidRPr="00CD73C9" w:rsidRDefault="000833D6" w:rsidP="00CD73C9">
      <w:pPr>
        <w:pStyle w:val="Heading1"/>
      </w:pPr>
      <w:bookmarkStart w:id="1" w:name="_Toc168308822"/>
      <w:bookmarkStart w:id="2" w:name="_Toc168993923"/>
      <w:bookmarkStart w:id="3" w:name="_Toc168994011"/>
      <w:r w:rsidRPr="00817518">
        <w:lastRenderedPageBreak/>
        <w:t>Copyright</w:t>
      </w:r>
      <w:bookmarkEnd w:id="1"/>
      <w:bookmarkEnd w:id="2"/>
      <w:bookmarkEnd w:id="3"/>
      <w:r w:rsidRPr="00CD73C9">
        <w:t xml:space="preserve"> </w:t>
      </w:r>
    </w:p>
    <w:p w:rsidR="00544D71" w:rsidRDefault="00544D71" w:rsidP="00544D71">
      <w:pPr>
        <w:spacing w:after="0"/>
      </w:pPr>
    </w:p>
    <w:p w:rsidR="004E6E33" w:rsidRDefault="004E6E33" w:rsidP="00544D71">
      <w:pPr>
        <w:spacing w:after="0"/>
      </w:pPr>
      <w:r>
        <w:rPr>
          <w:rFonts w:cstheme="minorHAnsi"/>
        </w:rPr>
        <w:t>©</w:t>
      </w:r>
      <w:r>
        <w:t xml:space="preserve"> Commonwealth of Australia 2024 </w:t>
      </w:r>
    </w:p>
    <w:p w:rsidR="004E6E33" w:rsidRDefault="004E6E33" w:rsidP="00D11DC7">
      <w:pPr>
        <w:pStyle w:val="ImprintHeading"/>
      </w:pPr>
      <w:bookmarkStart w:id="4" w:name="_Toc168993924"/>
      <w:bookmarkStart w:id="5" w:name="_Toc168994012"/>
      <w:r>
        <w:t>Ownership of intellectual property rights in this publication</w:t>
      </w:r>
      <w:bookmarkEnd w:id="4"/>
      <w:bookmarkEnd w:id="5"/>
      <w:r>
        <w:t xml:space="preserve"> </w:t>
      </w:r>
    </w:p>
    <w:p w:rsidR="004E6E33" w:rsidRDefault="004E6E33" w:rsidP="00544D71">
      <w:pPr>
        <w:spacing w:after="0"/>
      </w:pPr>
      <w:r>
        <w:t xml:space="preserve">Unless otherwise noted, copyright (and any other intellectual property rights, if any) in this publication is owned by the Commonwealth of Australia (referred to below as the Commonwealth). </w:t>
      </w:r>
    </w:p>
    <w:p w:rsidR="004E6E33" w:rsidRDefault="004E6E33" w:rsidP="00D11DC7">
      <w:pPr>
        <w:pStyle w:val="ImprintHeading"/>
      </w:pPr>
      <w:bookmarkStart w:id="6" w:name="_Toc168993925"/>
      <w:bookmarkStart w:id="7" w:name="_Toc168994013"/>
      <w:r>
        <w:t>Disclaimer</w:t>
      </w:r>
      <w:bookmarkEnd w:id="6"/>
      <w:bookmarkEnd w:id="7"/>
      <w:r>
        <w:t xml:space="preserve"> </w:t>
      </w:r>
    </w:p>
    <w:p w:rsidR="004E6E33" w:rsidRDefault="004E6E33" w:rsidP="00544D71">
      <w:pPr>
        <w:spacing w:after="0"/>
      </w:pPr>
      <w:r>
        <w:t xml:space="preserve">The material contained in this publication is made available on the understanding that the Commonwealth is not providing professional advice, and that users exercise their own skill and care with respect to its use, and seek independent advice if necessary. </w:t>
      </w:r>
    </w:p>
    <w:p w:rsidR="004E6E33" w:rsidRDefault="004E6E33" w:rsidP="00544D71">
      <w:pPr>
        <w:spacing w:after="0"/>
      </w:pPr>
    </w:p>
    <w:p w:rsidR="004E6E33" w:rsidRDefault="004E6E33" w:rsidP="00544D71">
      <w:pPr>
        <w:spacing w:after="0"/>
      </w:pPr>
      <w:r>
        <w:t xml:space="preserve">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 </w:t>
      </w:r>
    </w:p>
    <w:p w:rsidR="00D11DC7" w:rsidRDefault="00D11DC7" w:rsidP="00D11DC7">
      <w:pPr>
        <w:pStyle w:val="ImprintHeading"/>
        <w:spacing w:before="120" w:after="80"/>
        <w:rPr>
          <w:lang w:val="en-AU"/>
        </w:rPr>
      </w:pPr>
      <w:bookmarkStart w:id="8" w:name="_Toc168993926"/>
      <w:bookmarkStart w:id="9" w:name="_Toc168994014"/>
      <w:r>
        <w:rPr>
          <w:lang w:val="en-AU"/>
        </w:rPr>
        <w:t>Creative Commons licence</w:t>
      </w:r>
      <w:bookmarkEnd w:id="8"/>
      <w:bookmarkEnd w:id="9"/>
    </w:p>
    <w:p w:rsidR="00D11DC7" w:rsidRDefault="00D11DC7" w:rsidP="00D11DC7">
      <w:pPr>
        <w:pStyle w:val="ImprintHeading"/>
        <w:spacing w:before="120" w:after="80"/>
        <w:rPr>
          <w:lang w:val="en-AU"/>
        </w:rPr>
      </w:pPr>
      <w:bookmarkStart w:id="10" w:name="_Toc168993927"/>
      <w:bookmarkStart w:id="11" w:name="_Toc168994015"/>
      <w:r>
        <w:rPr>
          <w:noProof/>
          <w:lang w:val="en-AU" w:eastAsia="en-AU"/>
        </w:rPr>
        <w:drawing>
          <wp:inline distT="0" distB="0" distL="0" distR="0" wp14:anchorId="6C7B92F1" wp14:editId="5BC10A01">
            <wp:extent cx="1007927" cy="352649"/>
            <wp:effectExtent l="0" t="0" r="1905" b="9525"/>
            <wp:docPr id="11" name="Picture 1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bookmarkEnd w:id="10"/>
      <w:bookmarkEnd w:id="11"/>
    </w:p>
    <w:p w:rsidR="004E6E33" w:rsidRDefault="00D11DC7" w:rsidP="00D11DC7">
      <w:r w:rsidRPr="00650DDB">
        <w:t>With the exception of (a) the Coat of Arms; (b) the Department of Infrastructure, Transport, Regional Development, Communications and the Arts photos and graphics; (c) content supplied by third parties; (d) content otherwise labelled; copyright in this publication is licensed under a Creative Commons BY Attribution 4.0 International Licence.</w:t>
      </w:r>
    </w:p>
    <w:p w:rsidR="00737E0C" w:rsidRDefault="00737E0C" w:rsidP="00D11DC7">
      <w:pPr>
        <w:pStyle w:val="ImprintHeading"/>
      </w:pPr>
      <w:bookmarkStart w:id="12" w:name="_Toc168993928"/>
      <w:bookmarkStart w:id="13" w:name="_Toc168994016"/>
      <w:r>
        <w:t xml:space="preserve">Use of the Coat </w:t>
      </w:r>
      <w:r w:rsidRPr="00D11DC7">
        <w:t>of</w:t>
      </w:r>
      <w:r>
        <w:t xml:space="preserve"> Arms</w:t>
      </w:r>
      <w:bookmarkEnd w:id="12"/>
      <w:bookmarkEnd w:id="13"/>
      <w:r>
        <w:t xml:space="preserve"> </w:t>
      </w:r>
    </w:p>
    <w:p w:rsidR="00737E0C" w:rsidRDefault="00737E0C" w:rsidP="00D11DC7">
      <w:pPr>
        <w:rPr>
          <w:lang w:val="x-none"/>
        </w:rPr>
      </w:pPr>
      <w:r>
        <w:t>The Department of the Prime Minister and Cabinet sets the terms under which the Coat of Arms is used. Please refer to the Commonwealth Coat of Arms – Information and Guidelines publication available at:</w:t>
      </w:r>
      <w:r w:rsidR="00D11DC7">
        <w:t xml:space="preserve"> </w:t>
      </w:r>
      <w:hyperlink r:id="rId21" w:tooltip="Department of Prime Minister and Cabinet website" w:history="1">
        <w:r w:rsidR="00D11DC7" w:rsidRPr="0063722A">
          <w:rPr>
            <w:rStyle w:val="Hyperlink"/>
            <w:lang w:val="x-none"/>
          </w:rPr>
          <w:t>http://www.pmc.gov.au</w:t>
        </w:r>
      </w:hyperlink>
      <w:r w:rsidR="00D11DC7" w:rsidRPr="000E5674">
        <w:rPr>
          <w:lang w:val="x-none"/>
        </w:rPr>
        <w:t>.</w:t>
      </w:r>
    </w:p>
    <w:p w:rsidR="00D11DC7" w:rsidRPr="000E5674" w:rsidRDefault="00D11DC7" w:rsidP="00D11DC7">
      <w:pPr>
        <w:pStyle w:val="ImprintHeading"/>
      </w:pPr>
      <w:bookmarkStart w:id="14" w:name="_Toc168993929"/>
      <w:bookmarkStart w:id="15" w:name="_Toc168994017"/>
      <w:r w:rsidRPr="00D11DC7">
        <w:t>Contact</w:t>
      </w:r>
      <w:r w:rsidRPr="000E5674">
        <w:t xml:space="preserve"> us</w:t>
      </w:r>
      <w:bookmarkEnd w:id="14"/>
      <w:bookmarkEnd w:id="15"/>
    </w:p>
    <w:p w:rsidR="00D11DC7" w:rsidRPr="00B720B3" w:rsidRDefault="00D11DC7" w:rsidP="00D11DC7">
      <w:pPr>
        <w:spacing w:before="120"/>
        <w:rPr>
          <w:lang w:val="x-none"/>
        </w:rPr>
      </w:pPr>
      <w:r w:rsidRPr="000E5674">
        <w:rPr>
          <w:lang w:val="x-none"/>
        </w:rPr>
        <w:t>This publication is available in</w:t>
      </w:r>
      <w:r w:rsidR="003E4449">
        <w:t xml:space="preserve"> Word and</w:t>
      </w:r>
      <w:r w:rsidRPr="000E5674">
        <w:rPr>
          <w:lang w:val="x-none"/>
        </w:rPr>
        <w:t xml:space="preserve"> </w:t>
      </w:r>
      <w:sdt>
        <w:sdtPr>
          <w:rPr>
            <w:lang w:val="x-none"/>
          </w:rPr>
          <w:tag w:val="[select format option]"/>
          <w:id w:val="1958295965"/>
          <w:placeholder>
            <w:docPart w:val="26903FF2315345E5A7C65969EE569842"/>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Content>
          <w:r w:rsidR="00B720B3" w:rsidRPr="00B720B3">
            <w:rPr>
              <w:lang w:val="x-none"/>
            </w:rPr>
            <w:t>PDF format</w:t>
          </w:r>
        </w:sdtContent>
      </w:sdt>
      <w:r w:rsidRPr="00B720B3">
        <w:rPr>
          <w:lang w:val="x-none"/>
        </w:rPr>
        <w:t>. All</w:t>
      </w:r>
      <w:r w:rsidRPr="000E5674">
        <w:rPr>
          <w:lang w:val="x-none"/>
        </w:rPr>
        <w:t xml:space="preserve">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rsidR="00D11DC7" w:rsidRPr="00214F32" w:rsidRDefault="00D11DC7" w:rsidP="00D11DC7">
      <w:pPr>
        <w:spacing w:before="120"/>
        <w:rPr>
          <w:lang w:val="en-US"/>
        </w:rPr>
      </w:pPr>
      <w:r w:rsidRPr="000E5674">
        <w:rPr>
          <w:lang w:val="x-none"/>
        </w:rPr>
        <w:t xml:space="preserve">Email: </w:t>
      </w:r>
      <w:hyperlink r:id="rId22" w:history="1">
        <w:r w:rsidR="00013C4F" w:rsidRPr="001E5185">
          <w:rPr>
            <w:rStyle w:val="Hyperlink"/>
          </w:rPr>
          <w:t>lclfconsultation@infrastructure.gov.au</w:t>
        </w:r>
      </w:hyperlink>
      <w:r w:rsidR="00013C4F">
        <w:t xml:space="preserve"> </w:t>
      </w:r>
    </w:p>
    <w:p w:rsidR="00D11DC7" w:rsidRDefault="00D11DC7" w:rsidP="00D11DC7">
      <w:pPr>
        <w:spacing w:before="120"/>
        <w:rPr>
          <w:kern w:val="12"/>
          <w:highlight w:val="yellow"/>
        </w:rPr>
      </w:pPr>
      <w:r w:rsidRPr="000E5674">
        <w:rPr>
          <w:lang w:val="x-none"/>
        </w:rPr>
        <w:t>Website:</w:t>
      </w:r>
      <w:r>
        <w:rPr>
          <w:lang w:val="en-US"/>
        </w:rPr>
        <w:t xml:space="preserve"> </w:t>
      </w:r>
      <w:hyperlink r:id="rId23" w:history="1">
        <w:r w:rsidR="00C846E9" w:rsidRPr="00E1766E">
          <w:rPr>
            <w:rStyle w:val="Hyperlink"/>
            <w:lang w:val="en-US"/>
          </w:rPr>
          <w:t>www.infrastructure.gov.au/lclf-consultation</w:t>
        </w:r>
      </w:hyperlink>
      <w:r w:rsidR="00C846E9">
        <w:rPr>
          <w:lang w:val="en-US"/>
        </w:rPr>
        <w:t xml:space="preserve"> </w:t>
      </w:r>
    </w:p>
    <w:p w:rsidR="00D11DC7" w:rsidRDefault="00D11DC7" w:rsidP="00544D71">
      <w:pPr>
        <w:spacing w:after="0"/>
      </w:pPr>
    </w:p>
    <w:p w:rsidR="000F763A" w:rsidRDefault="000F763A" w:rsidP="00544D71">
      <w:pPr>
        <w:spacing w:after="0"/>
      </w:pPr>
    </w:p>
    <w:p w:rsidR="00042E4E" w:rsidRDefault="00042E4E">
      <w:pPr>
        <w:rPr>
          <w:rFonts w:asciiTheme="majorHAnsi" w:eastAsiaTheme="majorEastAsia" w:hAnsiTheme="majorHAnsi" w:cstheme="majorBidi"/>
          <w:b/>
          <w:color w:val="081E3E"/>
          <w:sz w:val="48"/>
          <w:szCs w:val="32"/>
        </w:rPr>
      </w:pPr>
      <w:bookmarkStart w:id="16" w:name="_Toc168993930"/>
      <w:bookmarkStart w:id="17" w:name="_Toc168994018"/>
      <w:r>
        <w:br w:type="page"/>
      </w:r>
    </w:p>
    <w:p w:rsidR="00721591" w:rsidRDefault="00721591" w:rsidP="00721591">
      <w:pPr>
        <w:pStyle w:val="Heading1"/>
      </w:pPr>
      <w:bookmarkStart w:id="18" w:name="_GoBack"/>
      <w:bookmarkEnd w:id="18"/>
      <w:r>
        <w:t>Acknowledgement of Country</w:t>
      </w:r>
      <w:bookmarkEnd w:id="16"/>
      <w:bookmarkEnd w:id="17"/>
      <w:r>
        <w:t xml:space="preserve"> </w:t>
      </w:r>
    </w:p>
    <w:p w:rsidR="00737E0C" w:rsidRDefault="00737E0C" w:rsidP="00544D71">
      <w:pPr>
        <w:spacing w:after="0"/>
        <w:rPr>
          <w:b/>
        </w:rPr>
      </w:pPr>
    </w:p>
    <w:p w:rsidR="00B67D7F" w:rsidRDefault="00B67D7F" w:rsidP="00544D71">
      <w:pPr>
        <w:spacing w:after="0"/>
      </w:pPr>
      <w:r>
        <w:lastRenderedPageBreak/>
        <w:t xml:space="preserve">First Nations people have the oldest continuing cultures in the world. It is fitting to reflect on the thousands of generations of traditional knowledges that First Nations people hold, and generously share. </w:t>
      </w:r>
    </w:p>
    <w:p w:rsidR="00B67D7F" w:rsidRDefault="00B67D7F" w:rsidP="00544D71">
      <w:pPr>
        <w:spacing w:after="0"/>
      </w:pPr>
    </w:p>
    <w:p w:rsidR="00B67D7F" w:rsidRDefault="00B67D7F" w:rsidP="00544D71">
      <w:pPr>
        <w:spacing w:after="0"/>
      </w:pPr>
      <w:r>
        <w:t xml:space="preserve">We acknowledge the diversity of First Nations cultures, languages and practices across the country and the resilience of First Nations people in keeping these alive. In delivering this consultation paper, we recognise the importance of listening to the voices and perspectives of local First Nations people and responding to the uniqueness of each place. </w:t>
      </w:r>
    </w:p>
    <w:p w:rsidR="00B67D7F" w:rsidRDefault="00B67D7F" w:rsidP="00544D71">
      <w:pPr>
        <w:spacing w:after="0"/>
      </w:pPr>
    </w:p>
    <w:p w:rsidR="00B67D7F" w:rsidRPr="00B67D7F" w:rsidRDefault="00B67D7F" w:rsidP="00544D71">
      <w:pPr>
        <w:spacing w:after="0"/>
      </w:pPr>
      <w:r>
        <w:t xml:space="preserve">We thank First Nations people for their continuing custodianship of, and care for, the Country that we live and work on today. </w:t>
      </w:r>
    </w:p>
    <w:p w:rsidR="000833D6" w:rsidRPr="00737E0C" w:rsidRDefault="000833D6" w:rsidP="00544D71">
      <w:pPr>
        <w:spacing w:after="0"/>
        <w:rPr>
          <w:b/>
        </w:rPr>
      </w:pPr>
      <w:r>
        <w:br w:type="page"/>
      </w:r>
    </w:p>
    <w:sdt>
      <w:sdtPr>
        <w:rPr>
          <w:rFonts w:asciiTheme="minorHAnsi" w:eastAsiaTheme="minorHAnsi" w:hAnsiTheme="minorHAnsi" w:cstheme="minorBidi"/>
          <w:b w:val="0"/>
          <w:color w:val="auto"/>
          <w:sz w:val="22"/>
          <w:szCs w:val="22"/>
          <w:lang w:val="en-AU"/>
        </w:rPr>
        <w:id w:val="-865519670"/>
        <w:docPartObj>
          <w:docPartGallery w:val="Table of Contents"/>
          <w:docPartUnique/>
        </w:docPartObj>
      </w:sdtPr>
      <w:sdtEndPr>
        <w:rPr>
          <w:bCs/>
          <w:noProof/>
        </w:rPr>
      </w:sdtEndPr>
      <w:sdtContent>
        <w:p w:rsidR="00B26015" w:rsidRDefault="000833D6" w:rsidP="00B26015">
          <w:pPr>
            <w:pStyle w:val="TOCHeading"/>
            <w:rPr>
              <w:rFonts w:eastAsiaTheme="minorEastAsia"/>
              <w:noProof/>
              <w:lang w:eastAsia="en-AU"/>
            </w:rPr>
          </w:pPr>
          <w:r w:rsidRPr="00D94145">
            <w:rPr>
              <w:rStyle w:val="Heading1Char"/>
              <w:b/>
            </w:rPr>
            <w:t>Contents</w:t>
          </w:r>
          <w:r>
            <w:fldChar w:fldCharType="begin"/>
          </w:r>
          <w:r>
            <w:instrText xml:space="preserve"> TOC \o "1-3" \h \z \u </w:instrText>
          </w:r>
          <w:r>
            <w:fldChar w:fldCharType="separate"/>
          </w:r>
        </w:p>
        <w:p w:rsidR="00B26015" w:rsidRDefault="00874D4A">
          <w:pPr>
            <w:pStyle w:val="TOC1"/>
            <w:tabs>
              <w:tab w:val="right" w:leader="dot" w:pos="9350"/>
            </w:tabs>
            <w:rPr>
              <w:rFonts w:eastAsiaTheme="minorEastAsia"/>
              <w:noProof/>
              <w:lang w:eastAsia="en-AU"/>
            </w:rPr>
          </w:pPr>
          <w:hyperlink w:anchor="_Toc168994019" w:history="1">
            <w:r w:rsidR="00B26015" w:rsidRPr="000D3F40">
              <w:rPr>
                <w:rStyle w:val="Hyperlink"/>
                <w:rFonts w:eastAsia="Calibri"/>
                <w:noProof/>
              </w:rPr>
              <w:t>Introduction</w:t>
            </w:r>
            <w:r w:rsidR="00B26015">
              <w:rPr>
                <w:noProof/>
                <w:webHidden/>
              </w:rPr>
              <w:tab/>
            </w:r>
            <w:r w:rsidR="00B26015">
              <w:rPr>
                <w:noProof/>
                <w:webHidden/>
              </w:rPr>
              <w:fldChar w:fldCharType="begin"/>
            </w:r>
            <w:r w:rsidR="00B26015">
              <w:rPr>
                <w:noProof/>
                <w:webHidden/>
              </w:rPr>
              <w:instrText xml:space="preserve"> PAGEREF _Toc168994019 \h </w:instrText>
            </w:r>
            <w:r w:rsidR="00B26015">
              <w:rPr>
                <w:noProof/>
                <w:webHidden/>
              </w:rPr>
            </w:r>
            <w:r w:rsidR="00B26015">
              <w:rPr>
                <w:noProof/>
                <w:webHidden/>
              </w:rPr>
              <w:fldChar w:fldCharType="separate"/>
            </w:r>
            <w:r w:rsidR="00B26015">
              <w:rPr>
                <w:noProof/>
                <w:webHidden/>
              </w:rPr>
              <w:t>5</w:t>
            </w:r>
            <w:r w:rsidR="00B26015">
              <w:rPr>
                <w:noProof/>
                <w:webHidden/>
              </w:rPr>
              <w:fldChar w:fldCharType="end"/>
            </w:r>
          </w:hyperlink>
        </w:p>
        <w:p w:rsidR="00B26015" w:rsidRDefault="00874D4A">
          <w:pPr>
            <w:pStyle w:val="TOC2"/>
            <w:tabs>
              <w:tab w:val="right" w:leader="dot" w:pos="9350"/>
            </w:tabs>
            <w:rPr>
              <w:rFonts w:eastAsiaTheme="minorEastAsia"/>
              <w:noProof/>
              <w:lang w:eastAsia="en-AU"/>
            </w:rPr>
          </w:pPr>
          <w:hyperlink w:anchor="_Toc168994020" w:history="1">
            <w:r w:rsidR="00B26015" w:rsidRPr="000D3F40">
              <w:rPr>
                <w:rStyle w:val="Hyperlink"/>
                <w:noProof/>
              </w:rPr>
              <w:t>Low carbon liquid fuels are part of a Future Made in Australia</w:t>
            </w:r>
            <w:r w:rsidR="00B26015">
              <w:rPr>
                <w:noProof/>
                <w:webHidden/>
              </w:rPr>
              <w:tab/>
            </w:r>
            <w:r w:rsidR="00B26015">
              <w:rPr>
                <w:noProof/>
                <w:webHidden/>
              </w:rPr>
              <w:fldChar w:fldCharType="begin"/>
            </w:r>
            <w:r w:rsidR="00B26015">
              <w:rPr>
                <w:noProof/>
                <w:webHidden/>
              </w:rPr>
              <w:instrText xml:space="preserve"> PAGEREF _Toc168994020 \h </w:instrText>
            </w:r>
            <w:r w:rsidR="00B26015">
              <w:rPr>
                <w:noProof/>
                <w:webHidden/>
              </w:rPr>
            </w:r>
            <w:r w:rsidR="00B26015">
              <w:rPr>
                <w:noProof/>
                <w:webHidden/>
              </w:rPr>
              <w:fldChar w:fldCharType="separate"/>
            </w:r>
            <w:r w:rsidR="00B26015">
              <w:rPr>
                <w:noProof/>
                <w:webHidden/>
              </w:rPr>
              <w:t>5</w:t>
            </w:r>
            <w:r w:rsidR="00B26015">
              <w:rPr>
                <w:noProof/>
                <w:webHidden/>
              </w:rPr>
              <w:fldChar w:fldCharType="end"/>
            </w:r>
          </w:hyperlink>
        </w:p>
        <w:p w:rsidR="00B26015" w:rsidRDefault="00874D4A">
          <w:pPr>
            <w:pStyle w:val="TOC2"/>
            <w:tabs>
              <w:tab w:val="right" w:leader="dot" w:pos="9350"/>
            </w:tabs>
            <w:rPr>
              <w:rFonts w:eastAsiaTheme="minorEastAsia"/>
              <w:noProof/>
              <w:lang w:eastAsia="en-AU"/>
            </w:rPr>
          </w:pPr>
          <w:hyperlink w:anchor="_Toc168994021" w:history="1">
            <w:r w:rsidR="00B26015" w:rsidRPr="000D3F40">
              <w:rPr>
                <w:rStyle w:val="Hyperlink"/>
                <w:noProof/>
              </w:rPr>
              <w:t>Purpose of this paper</w:t>
            </w:r>
            <w:r w:rsidR="00B26015">
              <w:rPr>
                <w:noProof/>
                <w:webHidden/>
              </w:rPr>
              <w:tab/>
            </w:r>
            <w:r w:rsidR="00B26015">
              <w:rPr>
                <w:noProof/>
                <w:webHidden/>
              </w:rPr>
              <w:fldChar w:fldCharType="begin"/>
            </w:r>
            <w:r w:rsidR="00B26015">
              <w:rPr>
                <w:noProof/>
                <w:webHidden/>
              </w:rPr>
              <w:instrText xml:space="preserve"> PAGEREF _Toc168994021 \h </w:instrText>
            </w:r>
            <w:r w:rsidR="00B26015">
              <w:rPr>
                <w:noProof/>
                <w:webHidden/>
              </w:rPr>
            </w:r>
            <w:r w:rsidR="00B26015">
              <w:rPr>
                <w:noProof/>
                <w:webHidden/>
              </w:rPr>
              <w:fldChar w:fldCharType="separate"/>
            </w:r>
            <w:r w:rsidR="00B26015">
              <w:rPr>
                <w:noProof/>
                <w:webHidden/>
              </w:rPr>
              <w:t>5</w:t>
            </w:r>
            <w:r w:rsidR="00B26015">
              <w:rPr>
                <w:noProof/>
                <w:webHidden/>
              </w:rPr>
              <w:fldChar w:fldCharType="end"/>
            </w:r>
          </w:hyperlink>
        </w:p>
        <w:p w:rsidR="00B26015" w:rsidRDefault="00874D4A">
          <w:pPr>
            <w:pStyle w:val="TOC2"/>
            <w:tabs>
              <w:tab w:val="right" w:leader="dot" w:pos="9350"/>
            </w:tabs>
            <w:rPr>
              <w:rFonts w:eastAsiaTheme="minorEastAsia"/>
              <w:noProof/>
              <w:lang w:eastAsia="en-AU"/>
            </w:rPr>
          </w:pPr>
          <w:hyperlink w:anchor="_Toc168994022" w:history="1">
            <w:r w:rsidR="00B26015" w:rsidRPr="000D3F40">
              <w:rPr>
                <w:rStyle w:val="Hyperlink"/>
                <w:rFonts w:eastAsia="Calibri"/>
                <w:noProof/>
              </w:rPr>
              <w:t>The low carbon liquid fuels opportunity</w:t>
            </w:r>
            <w:r w:rsidR="00B26015">
              <w:rPr>
                <w:noProof/>
                <w:webHidden/>
              </w:rPr>
              <w:tab/>
            </w:r>
            <w:r w:rsidR="00B26015">
              <w:rPr>
                <w:noProof/>
                <w:webHidden/>
              </w:rPr>
              <w:fldChar w:fldCharType="begin"/>
            </w:r>
            <w:r w:rsidR="00B26015">
              <w:rPr>
                <w:noProof/>
                <w:webHidden/>
              </w:rPr>
              <w:instrText xml:space="preserve"> PAGEREF _Toc168994022 \h </w:instrText>
            </w:r>
            <w:r w:rsidR="00B26015">
              <w:rPr>
                <w:noProof/>
                <w:webHidden/>
              </w:rPr>
            </w:r>
            <w:r w:rsidR="00B26015">
              <w:rPr>
                <w:noProof/>
                <w:webHidden/>
              </w:rPr>
              <w:fldChar w:fldCharType="separate"/>
            </w:r>
            <w:r w:rsidR="00B26015">
              <w:rPr>
                <w:noProof/>
                <w:webHidden/>
              </w:rPr>
              <w:t>6</w:t>
            </w:r>
            <w:r w:rsidR="00B26015">
              <w:rPr>
                <w:noProof/>
                <w:webHidden/>
              </w:rPr>
              <w:fldChar w:fldCharType="end"/>
            </w:r>
          </w:hyperlink>
        </w:p>
        <w:p w:rsidR="00B26015" w:rsidRDefault="00874D4A">
          <w:pPr>
            <w:pStyle w:val="TOC3"/>
            <w:tabs>
              <w:tab w:val="right" w:leader="dot" w:pos="9350"/>
            </w:tabs>
            <w:rPr>
              <w:rFonts w:eastAsiaTheme="minorEastAsia"/>
              <w:noProof/>
              <w:lang w:eastAsia="en-AU"/>
            </w:rPr>
          </w:pPr>
          <w:hyperlink w:anchor="_Toc168994023" w:history="1">
            <w:r w:rsidR="00B26015" w:rsidRPr="000D3F40">
              <w:rPr>
                <w:rStyle w:val="Hyperlink"/>
                <w:noProof/>
              </w:rPr>
              <w:t>International jurisdictions already have a mix of demand- and supply-side supports in place</w:t>
            </w:r>
            <w:r w:rsidR="00B26015">
              <w:rPr>
                <w:noProof/>
                <w:webHidden/>
              </w:rPr>
              <w:tab/>
            </w:r>
            <w:r w:rsidR="00B26015">
              <w:rPr>
                <w:noProof/>
                <w:webHidden/>
              </w:rPr>
              <w:fldChar w:fldCharType="begin"/>
            </w:r>
            <w:r w:rsidR="00B26015">
              <w:rPr>
                <w:noProof/>
                <w:webHidden/>
              </w:rPr>
              <w:instrText xml:space="preserve"> PAGEREF _Toc168994023 \h </w:instrText>
            </w:r>
            <w:r w:rsidR="00B26015">
              <w:rPr>
                <w:noProof/>
                <w:webHidden/>
              </w:rPr>
            </w:r>
            <w:r w:rsidR="00B26015">
              <w:rPr>
                <w:noProof/>
                <w:webHidden/>
              </w:rPr>
              <w:fldChar w:fldCharType="separate"/>
            </w:r>
            <w:r w:rsidR="00B26015">
              <w:rPr>
                <w:noProof/>
                <w:webHidden/>
              </w:rPr>
              <w:t>11</w:t>
            </w:r>
            <w:r w:rsidR="00B26015">
              <w:rPr>
                <w:noProof/>
                <w:webHidden/>
              </w:rPr>
              <w:fldChar w:fldCharType="end"/>
            </w:r>
          </w:hyperlink>
        </w:p>
        <w:p w:rsidR="00B26015" w:rsidRDefault="00874D4A">
          <w:pPr>
            <w:pStyle w:val="TOC3"/>
            <w:tabs>
              <w:tab w:val="right" w:leader="dot" w:pos="9350"/>
            </w:tabs>
            <w:rPr>
              <w:rFonts w:eastAsiaTheme="minorEastAsia"/>
              <w:noProof/>
              <w:lang w:eastAsia="en-AU"/>
            </w:rPr>
          </w:pPr>
          <w:hyperlink w:anchor="_Toc168994024" w:history="1">
            <w:r w:rsidR="00B26015" w:rsidRPr="000D3F40">
              <w:rPr>
                <w:rStyle w:val="Hyperlink"/>
                <w:noProof/>
              </w:rPr>
              <w:t>Thriving industries support thriving communities and workers</w:t>
            </w:r>
            <w:r w:rsidR="00B26015">
              <w:rPr>
                <w:noProof/>
                <w:webHidden/>
              </w:rPr>
              <w:tab/>
            </w:r>
            <w:r w:rsidR="00B26015">
              <w:rPr>
                <w:noProof/>
                <w:webHidden/>
              </w:rPr>
              <w:fldChar w:fldCharType="begin"/>
            </w:r>
            <w:r w:rsidR="00B26015">
              <w:rPr>
                <w:noProof/>
                <w:webHidden/>
              </w:rPr>
              <w:instrText xml:space="preserve"> PAGEREF _Toc168994024 \h </w:instrText>
            </w:r>
            <w:r w:rsidR="00B26015">
              <w:rPr>
                <w:noProof/>
                <w:webHidden/>
              </w:rPr>
            </w:r>
            <w:r w:rsidR="00B26015">
              <w:rPr>
                <w:noProof/>
                <w:webHidden/>
              </w:rPr>
              <w:fldChar w:fldCharType="separate"/>
            </w:r>
            <w:r w:rsidR="00B26015">
              <w:rPr>
                <w:noProof/>
                <w:webHidden/>
              </w:rPr>
              <w:t>12</w:t>
            </w:r>
            <w:r w:rsidR="00B26015">
              <w:rPr>
                <w:noProof/>
                <w:webHidden/>
              </w:rPr>
              <w:fldChar w:fldCharType="end"/>
            </w:r>
          </w:hyperlink>
        </w:p>
        <w:p w:rsidR="00B26015" w:rsidRDefault="00874D4A">
          <w:pPr>
            <w:pStyle w:val="TOC2"/>
            <w:tabs>
              <w:tab w:val="right" w:leader="dot" w:pos="9350"/>
            </w:tabs>
            <w:rPr>
              <w:rFonts w:eastAsiaTheme="minorEastAsia"/>
              <w:noProof/>
              <w:lang w:eastAsia="en-AU"/>
            </w:rPr>
          </w:pPr>
          <w:hyperlink w:anchor="_Toc168994025" w:history="1">
            <w:r w:rsidR="00B26015" w:rsidRPr="000D3F40">
              <w:rPr>
                <w:rStyle w:val="Hyperlink"/>
                <w:noProof/>
              </w:rPr>
              <w:t>Government Actions</w:t>
            </w:r>
            <w:r w:rsidR="00B26015">
              <w:rPr>
                <w:noProof/>
                <w:webHidden/>
              </w:rPr>
              <w:tab/>
            </w:r>
            <w:r w:rsidR="00B26015">
              <w:rPr>
                <w:noProof/>
                <w:webHidden/>
              </w:rPr>
              <w:fldChar w:fldCharType="begin"/>
            </w:r>
            <w:r w:rsidR="00B26015">
              <w:rPr>
                <w:noProof/>
                <w:webHidden/>
              </w:rPr>
              <w:instrText xml:space="preserve"> PAGEREF _Toc168994025 \h </w:instrText>
            </w:r>
            <w:r w:rsidR="00B26015">
              <w:rPr>
                <w:noProof/>
                <w:webHidden/>
              </w:rPr>
            </w:r>
            <w:r w:rsidR="00B26015">
              <w:rPr>
                <w:noProof/>
                <w:webHidden/>
              </w:rPr>
              <w:fldChar w:fldCharType="separate"/>
            </w:r>
            <w:r w:rsidR="00B26015">
              <w:rPr>
                <w:noProof/>
                <w:webHidden/>
              </w:rPr>
              <w:t>13</w:t>
            </w:r>
            <w:r w:rsidR="00B26015">
              <w:rPr>
                <w:noProof/>
                <w:webHidden/>
              </w:rPr>
              <w:fldChar w:fldCharType="end"/>
            </w:r>
          </w:hyperlink>
        </w:p>
        <w:p w:rsidR="00B26015" w:rsidRDefault="00874D4A">
          <w:pPr>
            <w:pStyle w:val="TOC3"/>
            <w:tabs>
              <w:tab w:val="right" w:leader="dot" w:pos="9350"/>
            </w:tabs>
            <w:rPr>
              <w:rFonts w:eastAsiaTheme="minorEastAsia"/>
              <w:noProof/>
              <w:lang w:eastAsia="en-AU"/>
            </w:rPr>
          </w:pPr>
          <w:hyperlink w:anchor="_Toc168994026" w:history="1">
            <w:r w:rsidR="00B26015" w:rsidRPr="000D3F40">
              <w:rPr>
                <w:rStyle w:val="Hyperlink"/>
                <w:rFonts w:eastAsia="MS PGothic"/>
                <w:noProof/>
              </w:rPr>
              <w:t>The Government has sought views on policy settings to drive a domestic low carbon liquid fuel industry</w:t>
            </w:r>
            <w:r w:rsidR="00B26015">
              <w:rPr>
                <w:noProof/>
                <w:webHidden/>
              </w:rPr>
              <w:tab/>
            </w:r>
            <w:r w:rsidR="00B26015">
              <w:rPr>
                <w:noProof/>
                <w:webHidden/>
              </w:rPr>
              <w:fldChar w:fldCharType="begin"/>
            </w:r>
            <w:r w:rsidR="00B26015">
              <w:rPr>
                <w:noProof/>
                <w:webHidden/>
              </w:rPr>
              <w:instrText xml:space="preserve"> PAGEREF _Toc168994026 \h </w:instrText>
            </w:r>
            <w:r w:rsidR="00B26015">
              <w:rPr>
                <w:noProof/>
                <w:webHidden/>
              </w:rPr>
            </w:r>
            <w:r w:rsidR="00B26015">
              <w:rPr>
                <w:noProof/>
                <w:webHidden/>
              </w:rPr>
              <w:fldChar w:fldCharType="separate"/>
            </w:r>
            <w:r w:rsidR="00B26015">
              <w:rPr>
                <w:noProof/>
                <w:webHidden/>
              </w:rPr>
              <w:t>13</w:t>
            </w:r>
            <w:r w:rsidR="00B26015">
              <w:rPr>
                <w:noProof/>
                <w:webHidden/>
              </w:rPr>
              <w:fldChar w:fldCharType="end"/>
            </w:r>
          </w:hyperlink>
        </w:p>
        <w:p w:rsidR="00B26015" w:rsidRDefault="00874D4A">
          <w:pPr>
            <w:pStyle w:val="TOC3"/>
            <w:tabs>
              <w:tab w:val="right" w:leader="dot" w:pos="9350"/>
            </w:tabs>
            <w:rPr>
              <w:rFonts w:eastAsiaTheme="minorEastAsia"/>
              <w:noProof/>
              <w:lang w:eastAsia="en-AU"/>
            </w:rPr>
          </w:pPr>
          <w:hyperlink w:anchor="_Toc168994027" w:history="1">
            <w:r w:rsidR="00B26015" w:rsidRPr="000D3F40">
              <w:rPr>
                <w:rStyle w:val="Hyperlink"/>
                <w:rFonts w:eastAsia="MS PGothic"/>
                <w:noProof/>
              </w:rPr>
              <w:t>Overview of announcements in the 2024-25 Budget</w:t>
            </w:r>
            <w:r w:rsidR="00B26015">
              <w:rPr>
                <w:noProof/>
                <w:webHidden/>
              </w:rPr>
              <w:tab/>
            </w:r>
            <w:r w:rsidR="00B26015">
              <w:rPr>
                <w:noProof/>
                <w:webHidden/>
              </w:rPr>
              <w:fldChar w:fldCharType="begin"/>
            </w:r>
            <w:r w:rsidR="00B26015">
              <w:rPr>
                <w:noProof/>
                <w:webHidden/>
              </w:rPr>
              <w:instrText xml:space="preserve"> PAGEREF _Toc168994027 \h </w:instrText>
            </w:r>
            <w:r w:rsidR="00B26015">
              <w:rPr>
                <w:noProof/>
                <w:webHidden/>
              </w:rPr>
            </w:r>
            <w:r w:rsidR="00B26015">
              <w:rPr>
                <w:noProof/>
                <w:webHidden/>
              </w:rPr>
              <w:fldChar w:fldCharType="separate"/>
            </w:r>
            <w:r w:rsidR="00B26015">
              <w:rPr>
                <w:noProof/>
                <w:webHidden/>
              </w:rPr>
              <w:t>13</w:t>
            </w:r>
            <w:r w:rsidR="00B26015">
              <w:rPr>
                <w:noProof/>
                <w:webHidden/>
              </w:rPr>
              <w:fldChar w:fldCharType="end"/>
            </w:r>
          </w:hyperlink>
        </w:p>
        <w:p w:rsidR="00B26015" w:rsidRDefault="00874D4A">
          <w:pPr>
            <w:pStyle w:val="TOC3"/>
            <w:tabs>
              <w:tab w:val="right" w:leader="dot" w:pos="9350"/>
            </w:tabs>
            <w:rPr>
              <w:rFonts w:eastAsiaTheme="minorEastAsia"/>
              <w:noProof/>
              <w:lang w:eastAsia="en-AU"/>
            </w:rPr>
          </w:pPr>
          <w:hyperlink w:anchor="_Toc168994028" w:history="1">
            <w:r w:rsidR="00B26015" w:rsidRPr="000D3F40">
              <w:rPr>
                <w:rStyle w:val="Hyperlink"/>
                <w:rFonts w:eastAsia="MS PGothic"/>
                <w:noProof/>
              </w:rPr>
              <w:t>Existing Policy</w:t>
            </w:r>
            <w:r w:rsidR="00B26015">
              <w:rPr>
                <w:noProof/>
                <w:webHidden/>
              </w:rPr>
              <w:tab/>
            </w:r>
            <w:r w:rsidR="00B26015">
              <w:rPr>
                <w:noProof/>
                <w:webHidden/>
              </w:rPr>
              <w:fldChar w:fldCharType="begin"/>
            </w:r>
            <w:r w:rsidR="00B26015">
              <w:rPr>
                <w:noProof/>
                <w:webHidden/>
              </w:rPr>
              <w:instrText xml:space="preserve"> PAGEREF _Toc168994028 \h </w:instrText>
            </w:r>
            <w:r w:rsidR="00B26015">
              <w:rPr>
                <w:noProof/>
                <w:webHidden/>
              </w:rPr>
            </w:r>
            <w:r w:rsidR="00B26015">
              <w:rPr>
                <w:noProof/>
                <w:webHidden/>
              </w:rPr>
              <w:fldChar w:fldCharType="separate"/>
            </w:r>
            <w:r w:rsidR="00B26015">
              <w:rPr>
                <w:noProof/>
                <w:webHidden/>
              </w:rPr>
              <w:t>14</w:t>
            </w:r>
            <w:r w:rsidR="00B26015">
              <w:rPr>
                <w:noProof/>
                <w:webHidden/>
              </w:rPr>
              <w:fldChar w:fldCharType="end"/>
            </w:r>
          </w:hyperlink>
        </w:p>
        <w:p w:rsidR="00B26015" w:rsidRDefault="00874D4A">
          <w:pPr>
            <w:pStyle w:val="TOC2"/>
            <w:tabs>
              <w:tab w:val="right" w:leader="dot" w:pos="9350"/>
            </w:tabs>
            <w:rPr>
              <w:rFonts w:eastAsiaTheme="minorEastAsia"/>
              <w:noProof/>
              <w:lang w:eastAsia="en-AU"/>
            </w:rPr>
          </w:pPr>
          <w:hyperlink w:anchor="_Toc168994029" w:history="1">
            <w:r w:rsidR="00B26015" w:rsidRPr="000D3F40">
              <w:rPr>
                <w:rStyle w:val="Hyperlink"/>
                <w:rFonts w:cstheme="minorHAnsi"/>
                <w:noProof/>
              </w:rPr>
              <w:t>Next Steps</w:t>
            </w:r>
            <w:r w:rsidR="00B26015">
              <w:rPr>
                <w:noProof/>
                <w:webHidden/>
              </w:rPr>
              <w:tab/>
            </w:r>
            <w:r w:rsidR="00B26015">
              <w:rPr>
                <w:noProof/>
                <w:webHidden/>
              </w:rPr>
              <w:fldChar w:fldCharType="begin"/>
            </w:r>
            <w:r w:rsidR="00B26015">
              <w:rPr>
                <w:noProof/>
                <w:webHidden/>
              </w:rPr>
              <w:instrText xml:space="preserve"> PAGEREF _Toc168994029 \h </w:instrText>
            </w:r>
            <w:r w:rsidR="00B26015">
              <w:rPr>
                <w:noProof/>
                <w:webHidden/>
              </w:rPr>
            </w:r>
            <w:r w:rsidR="00B26015">
              <w:rPr>
                <w:noProof/>
                <w:webHidden/>
              </w:rPr>
              <w:fldChar w:fldCharType="separate"/>
            </w:r>
            <w:r w:rsidR="00B26015">
              <w:rPr>
                <w:noProof/>
                <w:webHidden/>
              </w:rPr>
              <w:t>14</w:t>
            </w:r>
            <w:r w:rsidR="00B26015">
              <w:rPr>
                <w:noProof/>
                <w:webHidden/>
              </w:rPr>
              <w:fldChar w:fldCharType="end"/>
            </w:r>
          </w:hyperlink>
        </w:p>
        <w:p w:rsidR="00B26015" w:rsidRDefault="00874D4A">
          <w:pPr>
            <w:pStyle w:val="TOC1"/>
            <w:tabs>
              <w:tab w:val="right" w:leader="dot" w:pos="9350"/>
            </w:tabs>
            <w:rPr>
              <w:rFonts w:eastAsiaTheme="minorEastAsia"/>
              <w:noProof/>
              <w:lang w:eastAsia="en-AU"/>
            </w:rPr>
          </w:pPr>
          <w:hyperlink w:anchor="_Toc168994030" w:history="1">
            <w:r w:rsidR="00B26015" w:rsidRPr="000D3F40">
              <w:rPr>
                <w:rStyle w:val="Hyperlink"/>
                <w:rFonts w:eastAsia="Calibri"/>
                <w:noProof/>
              </w:rPr>
              <w:t>Domestic low carbon liquid fuel production support options</w:t>
            </w:r>
            <w:r w:rsidR="00B26015">
              <w:rPr>
                <w:noProof/>
                <w:webHidden/>
              </w:rPr>
              <w:tab/>
            </w:r>
            <w:r w:rsidR="00B26015">
              <w:rPr>
                <w:noProof/>
                <w:webHidden/>
              </w:rPr>
              <w:fldChar w:fldCharType="begin"/>
            </w:r>
            <w:r w:rsidR="00B26015">
              <w:rPr>
                <w:noProof/>
                <w:webHidden/>
              </w:rPr>
              <w:instrText xml:space="preserve"> PAGEREF _Toc168994030 \h </w:instrText>
            </w:r>
            <w:r w:rsidR="00B26015">
              <w:rPr>
                <w:noProof/>
                <w:webHidden/>
              </w:rPr>
            </w:r>
            <w:r w:rsidR="00B26015">
              <w:rPr>
                <w:noProof/>
                <w:webHidden/>
              </w:rPr>
              <w:fldChar w:fldCharType="separate"/>
            </w:r>
            <w:r w:rsidR="00B26015">
              <w:rPr>
                <w:noProof/>
                <w:webHidden/>
              </w:rPr>
              <w:t>15</w:t>
            </w:r>
            <w:r w:rsidR="00B26015">
              <w:rPr>
                <w:noProof/>
                <w:webHidden/>
              </w:rPr>
              <w:fldChar w:fldCharType="end"/>
            </w:r>
          </w:hyperlink>
        </w:p>
        <w:p w:rsidR="00B26015" w:rsidRDefault="00874D4A">
          <w:pPr>
            <w:pStyle w:val="TOC3"/>
            <w:tabs>
              <w:tab w:val="right" w:leader="dot" w:pos="9350"/>
            </w:tabs>
            <w:rPr>
              <w:rFonts w:eastAsiaTheme="minorEastAsia"/>
              <w:noProof/>
              <w:lang w:eastAsia="en-AU"/>
            </w:rPr>
          </w:pPr>
          <w:hyperlink w:anchor="_Toc168994031" w:history="1">
            <w:r w:rsidR="00B26015" w:rsidRPr="000D3F40">
              <w:rPr>
                <w:rStyle w:val="Hyperlink"/>
                <w:rFonts w:eastAsia="MS PGothic"/>
                <w:noProof/>
              </w:rPr>
              <w:t>Supply side options to enable a low carbon liquid fuels market in Australia</w:t>
            </w:r>
            <w:r w:rsidR="00B26015">
              <w:rPr>
                <w:noProof/>
                <w:webHidden/>
              </w:rPr>
              <w:tab/>
            </w:r>
            <w:r w:rsidR="00B26015">
              <w:rPr>
                <w:noProof/>
                <w:webHidden/>
              </w:rPr>
              <w:fldChar w:fldCharType="begin"/>
            </w:r>
            <w:r w:rsidR="00B26015">
              <w:rPr>
                <w:noProof/>
                <w:webHidden/>
              </w:rPr>
              <w:instrText xml:space="preserve"> PAGEREF _Toc168994031 \h </w:instrText>
            </w:r>
            <w:r w:rsidR="00B26015">
              <w:rPr>
                <w:noProof/>
                <w:webHidden/>
              </w:rPr>
            </w:r>
            <w:r w:rsidR="00B26015">
              <w:rPr>
                <w:noProof/>
                <w:webHidden/>
              </w:rPr>
              <w:fldChar w:fldCharType="separate"/>
            </w:r>
            <w:r w:rsidR="00B26015">
              <w:rPr>
                <w:noProof/>
                <w:webHidden/>
              </w:rPr>
              <w:t>15</w:t>
            </w:r>
            <w:r w:rsidR="00B26015">
              <w:rPr>
                <w:noProof/>
                <w:webHidden/>
              </w:rPr>
              <w:fldChar w:fldCharType="end"/>
            </w:r>
          </w:hyperlink>
        </w:p>
        <w:p w:rsidR="00B26015" w:rsidRDefault="00874D4A">
          <w:pPr>
            <w:pStyle w:val="TOC3"/>
            <w:tabs>
              <w:tab w:val="right" w:leader="dot" w:pos="9350"/>
            </w:tabs>
            <w:rPr>
              <w:rFonts w:eastAsiaTheme="minorEastAsia"/>
              <w:noProof/>
              <w:lang w:eastAsia="en-AU"/>
            </w:rPr>
          </w:pPr>
          <w:hyperlink w:anchor="_Toc168994032" w:history="1">
            <w:r w:rsidR="00B26015" w:rsidRPr="000D3F40">
              <w:rPr>
                <w:rStyle w:val="Hyperlink"/>
                <w:rFonts w:eastAsia="MS PGothic"/>
                <w:noProof/>
              </w:rPr>
              <w:t>Why should Australia have an LCLF production industry?</w:t>
            </w:r>
            <w:r w:rsidR="00B26015">
              <w:rPr>
                <w:noProof/>
                <w:webHidden/>
              </w:rPr>
              <w:tab/>
            </w:r>
            <w:r w:rsidR="00B26015">
              <w:rPr>
                <w:noProof/>
                <w:webHidden/>
              </w:rPr>
              <w:fldChar w:fldCharType="begin"/>
            </w:r>
            <w:r w:rsidR="00B26015">
              <w:rPr>
                <w:noProof/>
                <w:webHidden/>
              </w:rPr>
              <w:instrText xml:space="preserve"> PAGEREF _Toc168994032 \h </w:instrText>
            </w:r>
            <w:r w:rsidR="00B26015">
              <w:rPr>
                <w:noProof/>
                <w:webHidden/>
              </w:rPr>
            </w:r>
            <w:r w:rsidR="00B26015">
              <w:rPr>
                <w:noProof/>
                <w:webHidden/>
              </w:rPr>
              <w:fldChar w:fldCharType="separate"/>
            </w:r>
            <w:r w:rsidR="00B26015">
              <w:rPr>
                <w:noProof/>
                <w:webHidden/>
              </w:rPr>
              <w:t>15</w:t>
            </w:r>
            <w:r w:rsidR="00B26015">
              <w:rPr>
                <w:noProof/>
                <w:webHidden/>
              </w:rPr>
              <w:fldChar w:fldCharType="end"/>
            </w:r>
          </w:hyperlink>
        </w:p>
        <w:p w:rsidR="00B26015" w:rsidRDefault="00874D4A">
          <w:pPr>
            <w:pStyle w:val="TOC3"/>
            <w:tabs>
              <w:tab w:val="right" w:leader="dot" w:pos="9350"/>
            </w:tabs>
            <w:rPr>
              <w:rFonts w:eastAsiaTheme="minorEastAsia"/>
              <w:noProof/>
              <w:lang w:eastAsia="en-AU"/>
            </w:rPr>
          </w:pPr>
          <w:hyperlink w:anchor="_Toc168994033" w:history="1">
            <w:r w:rsidR="00B26015" w:rsidRPr="000D3F40">
              <w:rPr>
                <w:rStyle w:val="Hyperlink"/>
                <w:rFonts w:eastAsia="MS PGothic"/>
                <w:noProof/>
              </w:rPr>
              <w:t>How best to deliver production incentive support?</w:t>
            </w:r>
            <w:r w:rsidR="00B26015">
              <w:rPr>
                <w:noProof/>
                <w:webHidden/>
              </w:rPr>
              <w:tab/>
            </w:r>
            <w:r w:rsidR="00B26015">
              <w:rPr>
                <w:noProof/>
                <w:webHidden/>
              </w:rPr>
              <w:fldChar w:fldCharType="begin"/>
            </w:r>
            <w:r w:rsidR="00B26015">
              <w:rPr>
                <w:noProof/>
                <w:webHidden/>
              </w:rPr>
              <w:instrText xml:space="preserve"> PAGEREF _Toc168994033 \h </w:instrText>
            </w:r>
            <w:r w:rsidR="00B26015">
              <w:rPr>
                <w:noProof/>
                <w:webHidden/>
              </w:rPr>
            </w:r>
            <w:r w:rsidR="00B26015">
              <w:rPr>
                <w:noProof/>
                <w:webHidden/>
              </w:rPr>
              <w:fldChar w:fldCharType="separate"/>
            </w:r>
            <w:r w:rsidR="00B26015">
              <w:rPr>
                <w:noProof/>
                <w:webHidden/>
              </w:rPr>
              <w:t>16</w:t>
            </w:r>
            <w:r w:rsidR="00B26015">
              <w:rPr>
                <w:noProof/>
                <w:webHidden/>
              </w:rPr>
              <w:fldChar w:fldCharType="end"/>
            </w:r>
          </w:hyperlink>
        </w:p>
        <w:p w:rsidR="00B26015" w:rsidRDefault="00874D4A">
          <w:pPr>
            <w:pStyle w:val="TOC3"/>
            <w:tabs>
              <w:tab w:val="right" w:leader="dot" w:pos="9350"/>
            </w:tabs>
            <w:rPr>
              <w:rFonts w:eastAsiaTheme="minorEastAsia"/>
              <w:noProof/>
              <w:lang w:eastAsia="en-AU"/>
            </w:rPr>
          </w:pPr>
          <w:hyperlink w:anchor="_Toc168994034" w:history="1">
            <w:r w:rsidR="00B26015" w:rsidRPr="000D3F40">
              <w:rPr>
                <w:rStyle w:val="Hyperlink"/>
                <w:rFonts w:eastAsia="MS PGothic"/>
                <w:noProof/>
              </w:rPr>
              <w:t>Eligibility criteria</w:t>
            </w:r>
            <w:r w:rsidR="00B26015">
              <w:rPr>
                <w:noProof/>
                <w:webHidden/>
              </w:rPr>
              <w:tab/>
            </w:r>
            <w:r w:rsidR="00B26015">
              <w:rPr>
                <w:noProof/>
                <w:webHidden/>
              </w:rPr>
              <w:fldChar w:fldCharType="begin"/>
            </w:r>
            <w:r w:rsidR="00B26015">
              <w:rPr>
                <w:noProof/>
                <w:webHidden/>
              </w:rPr>
              <w:instrText xml:space="preserve"> PAGEREF _Toc168994034 \h </w:instrText>
            </w:r>
            <w:r w:rsidR="00B26015">
              <w:rPr>
                <w:noProof/>
                <w:webHidden/>
              </w:rPr>
            </w:r>
            <w:r w:rsidR="00B26015">
              <w:rPr>
                <w:noProof/>
                <w:webHidden/>
              </w:rPr>
              <w:fldChar w:fldCharType="separate"/>
            </w:r>
            <w:r w:rsidR="00B26015">
              <w:rPr>
                <w:noProof/>
                <w:webHidden/>
              </w:rPr>
              <w:t>21</w:t>
            </w:r>
            <w:r w:rsidR="00B26015">
              <w:rPr>
                <w:noProof/>
                <w:webHidden/>
              </w:rPr>
              <w:fldChar w:fldCharType="end"/>
            </w:r>
          </w:hyperlink>
        </w:p>
        <w:p w:rsidR="00B26015" w:rsidRDefault="00874D4A">
          <w:pPr>
            <w:pStyle w:val="TOC3"/>
            <w:tabs>
              <w:tab w:val="right" w:leader="dot" w:pos="9350"/>
            </w:tabs>
            <w:rPr>
              <w:rFonts w:eastAsiaTheme="minorEastAsia"/>
              <w:noProof/>
              <w:lang w:eastAsia="en-AU"/>
            </w:rPr>
          </w:pPr>
          <w:hyperlink w:anchor="_Toc168994035" w:history="1">
            <w:r w:rsidR="00B26015" w:rsidRPr="000D3F40">
              <w:rPr>
                <w:rStyle w:val="Hyperlink"/>
                <w:rFonts w:eastAsia="MS PGothic"/>
                <w:noProof/>
              </w:rPr>
              <w:t>Demand-side options to enable a low carbon liquid fuels market in Australia</w:t>
            </w:r>
            <w:r w:rsidR="00B26015">
              <w:rPr>
                <w:noProof/>
                <w:webHidden/>
              </w:rPr>
              <w:tab/>
            </w:r>
            <w:r w:rsidR="00B26015">
              <w:rPr>
                <w:noProof/>
                <w:webHidden/>
              </w:rPr>
              <w:fldChar w:fldCharType="begin"/>
            </w:r>
            <w:r w:rsidR="00B26015">
              <w:rPr>
                <w:noProof/>
                <w:webHidden/>
              </w:rPr>
              <w:instrText xml:space="preserve"> PAGEREF _Toc168994035 \h </w:instrText>
            </w:r>
            <w:r w:rsidR="00B26015">
              <w:rPr>
                <w:noProof/>
                <w:webHidden/>
              </w:rPr>
            </w:r>
            <w:r w:rsidR="00B26015">
              <w:rPr>
                <w:noProof/>
                <w:webHidden/>
              </w:rPr>
              <w:fldChar w:fldCharType="separate"/>
            </w:r>
            <w:r w:rsidR="00B26015">
              <w:rPr>
                <w:noProof/>
                <w:webHidden/>
              </w:rPr>
              <w:t>22</w:t>
            </w:r>
            <w:r w:rsidR="00B26015">
              <w:rPr>
                <w:noProof/>
                <w:webHidden/>
              </w:rPr>
              <w:fldChar w:fldCharType="end"/>
            </w:r>
          </w:hyperlink>
        </w:p>
        <w:p w:rsidR="00B26015" w:rsidRDefault="00874D4A">
          <w:pPr>
            <w:pStyle w:val="TOC2"/>
            <w:tabs>
              <w:tab w:val="right" w:leader="dot" w:pos="9350"/>
            </w:tabs>
            <w:rPr>
              <w:rFonts w:eastAsiaTheme="minorEastAsia"/>
              <w:noProof/>
              <w:lang w:eastAsia="en-AU"/>
            </w:rPr>
          </w:pPr>
          <w:hyperlink w:anchor="_Toc168994036" w:history="1">
            <w:r w:rsidR="00B26015" w:rsidRPr="000D3F40">
              <w:rPr>
                <w:rStyle w:val="Hyperlink"/>
                <w:rFonts w:cstheme="minorHAnsi"/>
                <w:noProof/>
              </w:rPr>
              <w:t>Next steps</w:t>
            </w:r>
            <w:r w:rsidR="00B26015">
              <w:rPr>
                <w:noProof/>
                <w:webHidden/>
              </w:rPr>
              <w:tab/>
            </w:r>
            <w:r w:rsidR="00B26015">
              <w:rPr>
                <w:noProof/>
                <w:webHidden/>
              </w:rPr>
              <w:fldChar w:fldCharType="begin"/>
            </w:r>
            <w:r w:rsidR="00B26015">
              <w:rPr>
                <w:noProof/>
                <w:webHidden/>
              </w:rPr>
              <w:instrText xml:space="preserve"> PAGEREF _Toc168994036 \h </w:instrText>
            </w:r>
            <w:r w:rsidR="00B26015">
              <w:rPr>
                <w:noProof/>
                <w:webHidden/>
              </w:rPr>
            </w:r>
            <w:r w:rsidR="00B26015">
              <w:rPr>
                <w:noProof/>
                <w:webHidden/>
              </w:rPr>
              <w:fldChar w:fldCharType="separate"/>
            </w:r>
            <w:r w:rsidR="00B26015">
              <w:rPr>
                <w:noProof/>
                <w:webHidden/>
              </w:rPr>
              <w:t>26</w:t>
            </w:r>
            <w:r w:rsidR="00B26015">
              <w:rPr>
                <w:noProof/>
                <w:webHidden/>
              </w:rPr>
              <w:fldChar w:fldCharType="end"/>
            </w:r>
          </w:hyperlink>
        </w:p>
        <w:p w:rsidR="00B26015" w:rsidRDefault="00874D4A">
          <w:pPr>
            <w:pStyle w:val="TOC1"/>
            <w:tabs>
              <w:tab w:val="right" w:leader="dot" w:pos="9350"/>
            </w:tabs>
            <w:rPr>
              <w:rFonts w:eastAsiaTheme="minorEastAsia"/>
              <w:noProof/>
              <w:lang w:eastAsia="en-AU"/>
            </w:rPr>
          </w:pPr>
          <w:hyperlink w:anchor="_Toc168994037" w:history="1">
            <w:r w:rsidR="00B26015" w:rsidRPr="000D3F40">
              <w:rPr>
                <w:rStyle w:val="Hyperlink"/>
                <w:noProof/>
              </w:rPr>
              <w:t>Consultation questions</w:t>
            </w:r>
            <w:r w:rsidR="00B26015">
              <w:rPr>
                <w:noProof/>
                <w:webHidden/>
              </w:rPr>
              <w:tab/>
            </w:r>
            <w:r w:rsidR="00B26015">
              <w:rPr>
                <w:noProof/>
                <w:webHidden/>
              </w:rPr>
              <w:fldChar w:fldCharType="begin"/>
            </w:r>
            <w:r w:rsidR="00B26015">
              <w:rPr>
                <w:noProof/>
                <w:webHidden/>
              </w:rPr>
              <w:instrText xml:space="preserve"> PAGEREF _Toc168994037 \h </w:instrText>
            </w:r>
            <w:r w:rsidR="00B26015">
              <w:rPr>
                <w:noProof/>
                <w:webHidden/>
              </w:rPr>
            </w:r>
            <w:r w:rsidR="00B26015">
              <w:rPr>
                <w:noProof/>
                <w:webHidden/>
              </w:rPr>
              <w:fldChar w:fldCharType="separate"/>
            </w:r>
            <w:r w:rsidR="00B26015">
              <w:rPr>
                <w:noProof/>
                <w:webHidden/>
              </w:rPr>
              <w:t>27</w:t>
            </w:r>
            <w:r w:rsidR="00B26015">
              <w:rPr>
                <w:noProof/>
                <w:webHidden/>
              </w:rPr>
              <w:fldChar w:fldCharType="end"/>
            </w:r>
          </w:hyperlink>
        </w:p>
        <w:p w:rsidR="000833D6" w:rsidRDefault="000833D6">
          <w:r>
            <w:rPr>
              <w:b/>
              <w:bCs/>
              <w:noProof/>
            </w:rPr>
            <w:fldChar w:fldCharType="end"/>
          </w:r>
        </w:p>
      </w:sdtContent>
    </w:sdt>
    <w:p w:rsidR="000833D6" w:rsidRDefault="000833D6" w:rsidP="000833D6">
      <w:r>
        <w:br w:type="page"/>
      </w:r>
    </w:p>
    <w:p w:rsidR="0080630D" w:rsidRPr="0039415B" w:rsidRDefault="0080630D" w:rsidP="00D94145">
      <w:pPr>
        <w:pStyle w:val="Heading1"/>
        <w:rPr>
          <w:rFonts w:eastAsia="Calibri"/>
        </w:rPr>
      </w:pPr>
      <w:bookmarkStart w:id="19" w:name="_Toc168994019"/>
      <w:r w:rsidRPr="00D94145">
        <w:rPr>
          <w:rFonts w:eastAsia="Calibri"/>
        </w:rPr>
        <w:lastRenderedPageBreak/>
        <w:t>Introduction</w:t>
      </w:r>
      <w:bookmarkEnd w:id="19"/>
    </w:p>
    <w:p w:rsidR="00261D6C" w:rsidRDefault="00261D6C" w:rsidP="00261D6C">
      <w:pPr>
        <w:rPr>
          <w:rStyle w:val="normaltextrun"/>
        </w:rPr>
      </w:pPr>
      <w:bookmarkStart w:id="20" w:name="_Toc168994020"/>
    </w:p>
    <w:p w:rsidR="00106237" w:rsidRPr="00AE5108" w:rsidRDefault="008653E6" w:rsidP="00261D6C">
      <w:pPr>
        <w:pStyle w:val="Heading2"/>
        <w:spacing w:line="276" w:lineRule="auto"/>
        <w:rPr>
          <w:rStyle w:val="normaltextrun"/>
        </w:rPr>
      </w:pPr>
      <w:r w:rsidRPr="00AE5108">
        <w:rPr>
          <w:rStyle w:val="normaltextrun"/>
        </w:rPr>
        <w:t>Low carbon liquid fuels</w:t>
      </w:r>
      <w:r w:rsidR="00106237" w:rsidRPr="00AE5108">
        <w:rPr>
          <w:rStyle w:val="normaltextrun"/>
        </w:rPr>
        <w:t xml:space="preserve"> </w:t>
      </w:r>
      <w:r w:rsidR="0080630D" w:rsidRPr="00AE5108">
        <w:rPr>
          <w:rStyle w:val="normaltextrun"/>
        </w:rPr>
        <w:t>are part of a Future Made in Australia</w:t>
      </w:r>
      <w:bookmarkEnd w:id="20"/>
    </w:p>
    <w:p w:rsidR="0080630D" w:rsidRDefault="0080630D" w:rsidP="0080630D">
      <w:pPr>
        <w:spacing w:after="120"/>
        <w:rPr>
          <w:rFonts w:eastAsia="MS PGothic" w:cstheme="minorHAnsi"/>
        </w:rPr>
      </w:pPr>
      <w:r>
        <w:rPr>
          <w:rFonts w:eastAsia="MS PGothic" w:cstheme="minorHAnsi"/>
        </w:rPr>
        <w:t>The Australian Government has announced a new</w:t>
      </w:r>
      <w:r>
        <w:rPr>
          <w:rFonts w:eastAsia="MS PGothic" w:cstheme="minorHAnsi"/>
          <w:i/>
        </w:rPr>
        <w:t xml:space="preserve"> Future Made in Australia Act </w:t>
      </w:r>
      <w:r>
        <w:rPr>
          <w:rFonts w:eastAsia="MS PGothic" w:cstheme="minorHAnsi"/>
        </w:rPr>
        <w:t xml:space="preserve">to anchor a coordinated package of reforms and initiatives </w:t>
      </w:r>
      <w:r w:rsidR="00D40994">
        <w:rPr>
          <w:rFonts w:eastAsia="MS PGothic" w:cstheme="minorHAnsi"/>
        </w:rPr>
        <w:t xml:space="preserve">which </w:t>
      </w:r>
      <w:r>
        <w:rPr>
          <w:rFonts w:eastAsia="MS PGothic" w:cstheme="minorHAnsi"/>
        </w:rPr>
        <w:t xml:space="preserve">will support the growth of new industries that will benefit communities and workers. The Future Made in Australia legislative package will boost investment, create jobs, capitalise on our comparative advantages and build sovereign capability in areas </w:t>
      </w:r>
      <w:r w:rsidR="00181559">
        <w:rPr>
          <w:rFonts w:eastAsia="MS PGothic" w:cstheme="minorHAnsi"/>
        </w:rPr>
        <w:t>that are in the national interest</w:t>
      </w:r>
      <w:r>
        <w:rPr>
          <w:rFonts w:eastAsia="MS PGothic" w:cstheme="minorHAnsi"/>
        </w:rPr>
        <w:t xml:space="preserve">. </w:t>
      </w:r>
    </w:p>
    <w:p w:rsidR="0080630D" w:rsidRDefault="00181559" w:rsidP="0080630D">
      <w:pPr>
        <w:spacing w:after="120"/>
        <w:rPr>
          <w:rFonts w:eastAsia="MS PGothic" w:cstheme="minorHAnsi"/>
        </w:rPr>
      </w:pPr>
      <w:r>
        <w:rPr>
          <w:rFonts w:eastAsia="MS PGothic" w:cstheme="minorHAnsi"/>
        </w:rPr>
        <w:t>The l</w:t>
      </w:r>
      <w:r w:rsidR="008653E6">
        <w:rPr>
          <w:rFonts w:eastAsia="MS PGothic" w:cstheme="minorHAnsi"/>
        </w:rPr>
        <w:t xml:space="preserve">ow </w:t>
      </w:r>
      <w:r w:rsidR="00320745">
        <w:rPr>
          <w:rFonts w:eastAsia="MS PGothic" w:cstheme="minorHAnsi"/>
        </w:rPr>
        <w:t>carbon liquid fuels (LCLF)</w:t>
      </w:r>
      <w:r w:rsidR="00AA564E">
        <w:rPr>
          <w:rFonts w:eastAsia="MS PGothic" w:cstheme="minorHAnsi"/>
        </w:rPr>
        <w:t xml:space="preserve"> industry </w:t>
      </w:r>
      <w:r w:rsidR="0080630D" w:rsidRPr="00DC4C44">
        <w:rPr>
          <w:rFonts w:eastAsia="MS PGothic" w:cstheme="minorHAnsi"/>
        </w:rPr>
        <w:t>ha</w:t>
      </w:r>
      <w:r w:rsidR="00AA564E">
        <w:rPr>
          <w:rFonts w:eastAsia="MS PGothic" w:cstheme="minorHAnsi"/>
        </w:rPr>
        <w:t>s</w:t>
      </w:r>
      <w:r w:rsidR="0080630D" w:rsidRPr="00DC4C44">
        <w:rPr>
          <w:rFonts w:eastAsia="MS PGothic" w:cstheme="minorHAnsi"/>
        </w:rPr>
        <w:t xml:space="preserve"> been identified as </w:t>
      </w:r>
      <w:r w:rsidR="00D41B46">
        <w:rPr>
          <w:rFonts w:eastAsia="MS PGothic" w:cstheme="minorHAnsi"/>
        </w:rPr>
        <w:t xml:space="preserve">a </w:t>
      </w:r>
      <w:r w:rsidR="0080630D" w:rsidRPr="00DC4C44">
        <w:rPr>
          <w:rFonts w:eastAsia="MS PGothic" w:cstheme="minorHAnsi"/>
        </w:rPr>
        <w:t>priority</w:t>
      </w:r>
      <w:r>
        <w:rPr>
          <w:rFonts w:eastAsia="MS PGothic" w:cstheme="minorHAnsi"/>
        </w:rPr>
        <w:t xml:space="preserve"> </w:t>
      </w:r>
      <w:r w:rsidR="0080630D" w:rsidRPr="00DC4C44">
        <w:rPr>
          <w:rFonts w:eastAsia="MS PGothic" w:cstheme="minorHAnsi"/>
        </w:rPr>
        <w:t>as part of</w:t>
      </w:r>
      <w:r w:rsidR="0080630D">
        <w:rPr>
          <w:rFonts w:eastAsia="MS PGothic" w:cstheme="minorHAnsi"/>
        </w:rPr>
        <w:t xml:space="preserve"> </w:t>
      </w:r>
      <w:r>
        <w:rPr>
          <w:rFonts w:eastAsia="MS PGothic" w:cstheme="minorHAnsi"/>
        </w:rPr>
        <w:t>the Government’s</w:t>
      </w:r>
      <w:r w:rsidR="0080630D">
        <w:rPr>
          <w:rFonts w:eastAsia="MS PGothic" w:cstheme="minorHAnsi"/>
        </w:rPr>
        <w:t xml:space="preserve"> Future Made in Australia</w:t>
      </w:r>
      <w:r>
        <w:rPr>
          <w:rFonts w:eastAsia="MS PGothic" w:cstheme="minorHAnsi"/>
        </w:rPr>
        <w:t xml:space="preserve"> agenda.</w:t>
      </w:r>
      <w:r w:rsidR="00FD2441">
        <w:rPr>
          <w:rFonts w:eastAsia="MS PGothic" w:cstheme="minorHAnsi"/>
        </w:rPr>
        <w:t xml:space="preserve"> </w:t>
      </w:r>
      <w:r>
        <w:rPr>
          <w:rFonts w:eastAsia="MS PGothic" w:cstheme="minorHAnsi"/>
        </w:rPr>
        <w:t xml:space="preserve">This is because of </w:t>
      </w:r>
      <w:r w:rsidR="00CD6CF8">
        <w:rPr>
          <w:rFonts w:eastAsia="MS PGothic" w:cstheme="minorHAnsi"/>
        </w:rPr>
        <w:t>the important role</w:t>
      </w:r>
      <w:r w:rsidR="00A57551">
        <w:rPr>
          <w:rFonts w:eastAsia="MS PGothic" w:cstheme="minorHAnsi"/>
        </w:rPr>
        <w:t xml:space="preserve"> these fuels</w:t>
      </w:r>
      <w:r w:rsidR="00CD6CF8">
        <w:rPr>
          <w:rFonts w:eastAsia="MS PGothic" w:cstheme="minorHAnsi"/>
        </w:rPr>
        <w:t xml:space="preserve"> will play in Australia’s net zero transformation</w:t>
      </w:r>
      <w:r>
        <w:rPr>
          <w:rFonts w:eastAsia="MS PGothic" w:cstheme="minorHAnsi"/>
        </w:rPr>
        <w:t>,</w:t>
      </w:r>
      <w:r w:rsidR="00CD6CF8">
        <w:rPr>
          <w:rFonts w:eastAsia="MS PGothic" w:cstheme="minorHAnsi"/>
        </w:rPr>
        <w:t xml:space="preserve"> </w:t>
      </w:r>
      <w:r>
        <w:rPr>
          <w:rFonts w:eastAsia="MS PGothic" w:cstheme="minorHAnsi"/>
        </w:rPr>
        <w:t xml:space="preserve">potential </w:t>
      </w:r>
      <w:r w:rsidR="00FD2441">
        <w:rPr>
          <w:rFonts w:eastAsia="MS PGothic" w:cstheme="minorHAnsi"/>
        </w:rPr>
        <w:t>competitive advantage in Australian domestic LCLF production</w:t>
      </w:r>
      <w:r w:rsidR="004936F8">
        <w:rPr>
          <w:rFonts w:eastAsia="MS PGothic" w:cstheme="minorHAnsi"/>
        </w:rPr>
        <w:t>,</w:t>
      </w:r>
      <w:r w:rsidR="005F08C5">
        <w:rPr>
          <w:rFonts w:eastAsia="MS PGothic" w:cstheme="minorHAnsi"/>
        </w:rPr>
        <w:t xml:space="preserve"> and the need for public investment </w:t>
      </w:r>
      <w:r w:rsidR="00C078AD">
        <w:rPr>
          <w:rFonts w:eastAsia="MS PGothic" w:cstheme="minorHAnsi"/>
        </w:rPr>
        <w:t xml:space="preserve">in order </w:t>
      </w:r>
      <w:r w:rsidR="005F08C5">
        <w:rPr>
          <w:rFonts w:eastAsia="MS PGothic" w:cstheme="minorHAnsi"/>
        </w:rPr>
        <w:t>to align economic incentives with the national interest and unlock private investment at scale.</w:t>
      </w:r>
      <w:r w:rsidR="0000719D">
        <w:rPr>
          <w:rFonts w:eastAsia="MS PGothic" w:cstheme="minorHAnsi"/>
        </w:rPr>
        <w:t xml:space="preserve"> LCLFs will also strengthen Australia’s </w:t>
      </w:r>
      <w:r w:rsidR="00E8449F">
        <w:rPr>
          <w:rFonts w:eastAsia="MS PGothic" w:cstheme="minorHAnsi"/>
        </w:rPr>
        <w:t xml:space="preserve">industrial capabilities, including in </w:t>
      </w:r>
      <w:r w:rsidR="00FD2441">
        <w:rPr>
          <w:rFonts w:eastAsia="MS PGothic" w:cstheme="minorHAnsi"/>
        </w:rPr>
        <w:t>Australia’s regions</w:t>
      </w:r>
      <w:r w:rsidR="00E8449F">
        <w:rPr>
          <w:rFonts w:eastAsia="MS PGothic" w:cstheme="minorHAnsi"/>
        </w:rPr>
        <w:t xml:space="preserve">. It is supported by </w:t>
      </w:r>
      <w:r w:rsidR="008A204F">
        <w:rPr>
          <w:rFonts w:eastAsia="MS PGothic" w:cstheme="minorHAnsi"/>
        </w:rPr>
        <w:t>identified</w:t>
      </w:r>
      <w:r w:rsidR="0092261D">
        <w:rPr>
          <w:rFonts w:eastAsia="MS PGothic" w:cstheme="minorHAnsi"/>
        </w:rPr>
        <w:t xml:space="preserve"> private sector</w:t>
      </w:r>
      <w:r w:rsidR="008A204F">
        <w:rPr>
          <w:rFonts w:eastAsia="MS PGothic" w:cstheme="minorHAnsi"/>
        </w:rPr>
        <w:t xml:space="preserve"> interest in </w:t>
      </w:r>
      <w:r w:rsidR="0092261D">
        <w:rPr>
          <w:rFonts w:eastAsia="MS PGothic" w:cstheme="minorHAnsi"/>
        </w:rPr>
        <w:t>investing</w:t>
      </w:r>
      <w:r w:rsidR="008A204F">
        <w:rPr>
          <w:rFonts w:eastAsia="MS PGothic" w:cstheme="minorHAnsi"/>
        </w:rPr>
        <w:t xml:space="preserve"> in LCLF </w:t>
      </w:r>
      <w:r w:rsidR="0092261D">
        <w:rPr>
          <w:rFonts w:eastAsia="MS PGothic" w:cstheme="minorHAnsi"/>
        </w:rPr>
        <w:t>production</w:t>
      </w:r>
      <w:r w:rsidR="008A204F">
        <w:rPr>
          <w:rFonts w:eastAsia="MS PGothic" w:cstheme="minorHAnsi"/>
        </w:rPr>
        <w:t xml:space="preserve"> in Australia, </w:t>
      </w:r>
      <w:r w:rsidR="0045671F">
        <w:rPr>
          <w:rFonts w:eastAsia="MS PGothic" w:cstheme="minorHAnsi"/>
        </w:rPr>
        <w:t xml:space="preserve">and </w:t>
      </w:r>
      <w:r w:rsidR="00860606">
        <w:rPr>
          <w:rFonts w:eastAsia="MS PGothic" w:cstheme="minorHAnsi"/>
        </w:rPr>
        <w:t xml:space="preserve">expressions of </w:t>
      </w:r>
      <w:r w:rsidR="0045671F">
        <w:rPr>
          <w:rFonts w:eastAsia="MS PGothic" w:cstheme="minorHAnsi"/>
        </w:rPr>
        <w:t>interest from commercial customers</w:t>
      </w:r>
      <w:r w:rsidR="00FD2441">
        <w:rPr>
          <w:rFonts w:eastAsia="MS PGothic" w:cstheme="minorHAnsi"/>
        </w:rPr>
        <w:t xml:space="preserve">. </w:t>
      </w:r>
    </w:p>
    <w:p w:rsidR="00464772" w:rsidRDefault="008653E6" w:rsidP="00464772">
      <w:bookmarkStart w:id="21" w:name="_Hlk167351988"/>
      <w:r>
        <w:t>LCLF</w:t>
      </w:r>
      <w:r w:rsidR="00464772">
        <w:t xml:space="preserve"> can be produced sustainably from waste materials, biomass, or by combining hydrogen from low or zero</w:t>
      </w:r>
      <w:r w:rsidR="00130486">
        <w:t xml:space="preserve"> </w:t>
      </w:r>
      <w:r w:rsidR="00464772">
        <w:t xml:space="preserve">carbon feedstocks with captured carbon dioxide. Some examples include </w:t>
      </w:r>
      <w:r w:rsidR="0039082D">
        <w:t>S</w:t>
      </w:r>
      <w:r w:rsidR="00464772">
        <w:t xml:space="preserve">ustainable </w:t>
      </w:r>
      <w:r w:rsidR="0039082D">
        <w:t>A</w:t>
      </w:r>
      <w:r w:rsidR="00464772">
        <w:t xml:space="preserve">viation </w:t>
      </w:r>
      <w:r w:rsidR="0039082D">
        <w:t>F</w:t>
      </w:r>
      <w:r w:rsidR="00464772">
        <w:t>uel</w:t>
      </w:r>
      <w:r w:rsidR="0039082D">
        <w:t>s</w:t>
      </w:r>
      <w:r w:rsidR="00464772">
        <w:t xml:space="preserve"> (SAF), renewable diesel, and e-fuels. </w:t>
      </w:r>
      <w:r w:rsidR="003F247C">
        <w:t>They</w:t>
      </w:r>
      <w:r w:rsidR="00464772">
        <w:t xml:space="preserve"> can be produced in different ways with different resulting fuel properties.</w:t>
      </w:r>
    </w:p>
    <w:p w:rsidR="00D40994" w:rsidRDefault="00635070" w:rsidP="00635070">
      <w:r>
        <w:t xml:space="preserve">The LCLF being considered in </w:t>
      </w:r>
      <w:r w:rsidR="00A073B9">
        <w:t>this</w:t>
      </w:r>
      <w:r>
        <w:t xml:space="preserve"> paper consist of ‘advanced biofuels’</w:t>
      </w:r>
      <w:r w:rsidR="00996A78">
        <w:t xml:space="preserve"> and synthetic or e-fuels</w:t>
      </w:r>
      <w:r w:rsidR="008A635B">
        <w:t xml:space="preserve">, namely </w:t>
      </w:r>
      <w:r w:rsidR="008A635B" w:rsidRPr="00A57551">
        <w:rPr>
          <w:u w:val="single"/>
        </w:rPr>
        <w:t>renewable diesel and SAF</w:t>
      </w:r>
      <w:r>
        <w:t xml:space="preserve">. </w:t>
      </w:r>
      <w:r w:rsidR="00A57551">
        <w:t>One of the key benefits of a</w:t>
      </w:r>
      <w:r>
        <w:t>dvanced biofuels</w:t>
      </w:r>
      <w:r w:rsidR="002D7F82">
        <w:t>,</w:t>
      </w:r>
      <w:r w:rsidR="008653E6">
        <w:t xml:space="preserve"> </w:t>
      </w:r>
      <w:r w:rsidR="00A57551">
        <w:t xml:space="preserve">as opposed to </w:t>
      </w:r>
      <w:r w:rsidR="008653E6">
        <w:t>conventional biofuels (also known as ‘first generation biofuels’)</w:t>
      </w:r>
      <w:r w:rsidR="002D7F82">
        <w:t>,</w:t>
      </w:r>
      <w:r w:rsidR="008A635B">
        <w:t xml:space="preserve"> i</w:t>
      </w:r>
      <w:r w:rsidR="00A57551">
        <w:t>s</w:t>
      </w:r>
      <w:r w:rsidR="008A635B">
        <w:t xml:space="preserve"> that they are</w:t>
      </w:r>
      <w:r w:rsidR="008A635B" w:rsidRPr="008A635B">
        <w:t xml:space="preserve"> </w:t>
      </w:r>
      <w:r w:rsidR="008A635B">
        <w:t xml:space="preserve">drop-in fuels, meaning they are compatible with existing fuel infrastructure. </w:t>
      </w:r>
      <w:r w:rsidR="005D2871">
        <w:t xml:space="preserve"> </w:t>
      </w:r>
    </w:p>
    <w:bookmarkEnd w:id="21"/>
    <w:p w:rsidR="00A57551" w:rsidRDefault="005D2871" w:rsidP="00CA0A16">
      <w:r>
        <w:t>Conventional biofuels</w:t>
      </w:r>
      <w:r w:rsidR="008653E6">
        <w:t xml:space="preserve"> are generally considered to be </w:t>
      </w:r>
      <w:r w:rsidR="00635070">
        <w:t>biodiesel produced from vegetable oils, or ethanol produced from sugarcane, corn or wheat</w:t>
      </w:r>
      <w:r>
        <w:t xml:space="preserve"> and </w:t>
      </w:r>
      <w:r w:rsidR="00635070">
        <w:t>are not typically 100 per cent compatible with existing fuel infrastructure or with existing vehicles, ships and planes</w:t>
      </w:r>
      <w:r w:rsidR="00623792">
        <w:t>.</w:t>
      </w:r>
      <w:r w:rsidR="00A073B9">
        <w:t xml:space="preserve"> </w:t>
      </w:r>
    </w:p>
    <w:p w:rsidR="00D906AF" w:rsidRPr="00A57551" w:rsidRDefault="00A073B9" w:rsidP="00261D6C">
      <w:r>
        <w:t>Advanced biofuels include renewable diesel, green diesel, Fisher-Tropsch (FT) diesel, SAF and bio-gasoline. They can also be referred to as second-, third- and fourth- generation fuels, depending on</w:t>
      </w:r>
      <w:r w:rsidR="00945D85">
        <w:t xml:space="preserve"> </w:t>
      </w:r>
      <w:r>
        <w:t>the feedstock used, and can be produced from non-food feedstocks, such as municipal solid wastes and agricultural wastes and non-food crops.</w:t>
      </w:r>
      <w:r w:rsidR="0007577F">
        <w:rPr>
          <w:rStyle w:val="FootnoteReference"/>
        </w:rPr>
        <w:footnoteReference w:id="2"/>
      </w:r>
    </w:p>
    <w:p w:rsidR="00E729C1" w:rsidRPr="00596E95" w:rsidRDefault="00E729C1" w:rsidP="00261D6C">
      <w:pPr>
        <w:pStyle w:val="Heading2"/>
        <w:spacing w:line="276" w:lineRule="auto"/>
        <w:rPr>
          <w:rStyle w:val="normaltextrun"/>
        </w:rPr>
      </w:pPr>
      <w:bookmarkStart w:id="22" w:name="_Toc168994021"/>
      <w:r w:rsidRPr="00596E95">
        <w:rPr>
          <w:rStyle w:val="normaltextrun"/>
        </w:rPr>
        <w:t>Purpose of this paper</w:t>
      </w:r>
      <w:bookmarkEnd w:id="22"/>
    </w:p>
    <w:p w:rsidR="008B107E" w:rsidRDefault="0039415B" w:rsidP="00E729C1">
      <w:r>
        <w:t>This paper builds</w:t>
      </w:r>
      <w:r w:rsidR="0007577F">
        <w:t xml:space="preserve"> </w:t>
      </w:r>
      <w:r>
        <w:t>on</w:t>
      </w:r>
      <w:r w:rsidR="0007577F">
        <w:t xml:space="preserve"> </w:t>
      </w:r>
      <w:r>
        <w:t>public consultations on the Aviation Green Paper, renewable diesel fuel quality standard</w:t>
      </w:r>
      <w:r w:rsidR="00045B7A">
        <w:t>s,</w:t>
      </w:r>
      <w:r>
        <w:t xml:space="preserve"> the Electricity and Energy Sector Plan</w:t>
      </w:r>
      <w:r w:rsidR="00045B7A">
        <w:t xml:space="preserve"> and</w:t>
      </w:r>
      <w:r w:rsidR="004719A8">
        <w:t xml:space="preserve"> will support</w:t>
      </w:r>
      <w:r w:rsidR="00045B7A">
        <w:t xml:space="preserve"> </w:t>
      </w:r>
      <w:r w:rsidR="0007577F">
        <w:t xml:space="preserve">current consultation on the </w:t>
      </w:r>
      <w:r w:rsidR="00045B7A">
        <w:t>Transport and Infrastructure Net Zero Roadmap</w:t>
      </w:r>
      <w:r w:rsidR="008B107E">
        <w:t xml:space="preserve"> – the Transport Sector Plan</w:t>
      </w:r>
      <w:r>
        <w:t>.</w:t>
      </w:r>
      <w:r w:rsidR="00045B7A">
        <w:t xml:space="preserve"> </w:t>
      </w:r>
    </w:p>
    <w:p w:rsidR="008B107E" w:rsidRDefault="008B107E" w:rsidP="00E729C1">
      <w:r>
        <w:lastRenderedPageBreak/>
        <w:t>Feedback received through this consultation process will be considered in development of the Electricity and Energy Sector Plan and the Transport and Infrastructure Net Zero Roadmap.</w:t>
      </w:r>
    </w:p>
    <w:p w:rsidR="004B2F98" w:rsidRDefault="00045B7A" w:rsidP="00E729C1">
      <w:r>
        <w:t xml:space="preserve">In response to consultation to date, the Australian Government has announced that </w:t>
      </w:r>
      <w:r w:rsidR="00D41B46">
        <w:t xml:space="preserve">it </w:t>
      </w:r>
      <w:r>
        <w:t>is:</w:t>
      </w:r>
    </w:p>
    <w:p w:rsidR="00045B7A" w:rsidRDefault="00045B7A" w:rsidP="00207920">
      <w:pPr>
        <w:pStyle w:val="ListParagraph"/>
        <w:numPr>
          <w:ilvl w:val="0"/>
          <w:numId w:val="4"/>
        </w:numPr>
      </w:pPr>
      <w:r>
        <w:t xml:space="preserve">Expanding the </w:t>
      </w:r>
      <w:r w:rsidR="00BB364A">
        <w:t>Gu</w:t>
      </w:r>
      <w:r>
        <w:t xml:space="preserve">arantee of </w:t>
      </w:r>
      <w:r w:rsidR="00BB364A">
        <w:t>O</w:t>
      </w:r>
      <w:r>
        <w:t>rigin scheme to track and verify emissions from the production of LCLFs – a key building block to the u</w:t>
      </w:r>
      <w:r w:rsidR="00826A09">
        <w:t>s</w:t>
      </w:r>
      <w:r>
        <w:t>e of LCLFs in Australia;</w:t>
      </w:r>
      <w:r w:rsidR="00826A09">
        <w:t xml:space="preserve"> and</w:t>
      </w:r>
    </w:p>
    <w:p w:rsidR="00826A09" w:rsidRDefault="00B95D07" w:rsidP="00207920">
      <w:pPr>
        <w:pStyle w:val="ListParagraph"/>
        <w:numPr>
          <w:ilvl w:val="0"/>
          <w:numId w:val="4"/>
        </w:numPr>
      </w:pPr>
      <w:r>
        <w:t>Establishing the $1.7 billion</w:t>
      </w:r>
      <w:r w:rsidR="00045B7A">
        <w:t xml:space="preserve"> Future Made in Australia </w:t>
      </w:r>
      <w:r>
        <w:t>I</w:t>
      </w:r>
      <w:r w:rsidR="00045B7A">
        <w:t xml:space="preserve">nnovation </w:t>
      </w:r>
      <w:r>
        <w:t>F</w:t>
      </w:r>
      <w:r w:rsidR="00045B7A">
        <w:t>und</w:t>
      </w:r>
      <w:r>
        <w:t xml:space="preserve"> for priority sectors, including</w:t>
      </w:r>
      <w:r w:rsidR="00045B7A">
        <w:t xml:space="preserve"> to support the development of nascent LCLF production pathways</w:t>
      </w:r>
      <w:r w:rsidR="00826A09">
        <w:t>.</w:t>
      </w:r>
    </w:p>
    <w:p w:rsidR="009571F6" w:rsidRDefault="00826A09" w:rsidP="009571F6">
      <w:r>
        <w:t xml:space="preserve">The Australian Government </w:t>
      </w:r>
      <w:r w:rsidR="001B0E88">
        <w:t xml:space="preserve">recognises the importance of </w:t>
      </w:r>
      <w:r w:rsidR="00AE5AA9">
        <w:t xml:space="preserve">effective policy </w:t>
      </w:r>
      <w:r w:rsidR="00CF2E92">
        <w:t xml:space="preserve">to </w:t>
      </w:r>
      <w:r w:rsidR="009571F6">
        <w:t xml:space="preserve">support the </w:t>
      </w:r>
      <w:r w:rsidR="00D82966">
        <w:t xml:space="preserve">development </w:t>
      </w:r>
      <w:r w:rsidR="009571F6">
        <w:t>of an Australian LCLF industry. This consultation paper</w:t>
      </w:r>
      <w:r w:rsidR="00181559">
        <w:t xml:space="preserve"> focusses on policy approaches to accelerate investment and incentiv</w:t>
      </w:r>
      <w:r w:rsidR="00B84361">
        <w:t>is</w:t>
      </w:r>
      <w:r w:rsidR="00181559">
        <w:t>e efficient production of</w:t>
      </w:r>
      <w:r w:rsidR="003E7897">
        <w:t xml:space="preserve"> </w:t>
      </w:r>
      <w:r w:rsidR="00C804E6">
        <w:t>LCLFs</w:t>
      </w:r>
      <w:r w:rsidR="00181559">
        <w:t xml:space="preserve">. It </w:t>
      </w:r>
      <w:r w:rsidR="009571F6">
        <w:t xml:space="preserve">seeks views on the </w:t>
      </w:r>
      <w:r w:rsidR="00C82A44">
        <w:t xml:space="preserve">optimal policy mix, </w:t>
      </w:r>
      <w:r w:rsidR="00270927">
        <w:t xml:space="preserve">including </w:t>
      </w:r>
      <w:r w:rsidR="00BC18D1">
        <w:t xml:space="preserve">the </w:t>
      </w:r>
      <w:r w:rsidR="009571F6">
        <w:t xml:space="preserve">design of production incentives and demand-side </w:t>
      </w:r>
      <w:r w:rsidR="00BC18D1">
        <w:t>options</w:t>
      </w:r>
      <w:r w:rsidR="00D41B46">
        <w:t xml:space="preserve"> and </w:t>
      </w:r>
      <w:r w:rsidR="009571F6">
        <w:t>the interaction of the</w:t>
      </w:r>
      <w:r w:rsidR="00D41B46">
        <w:t>se</w:t>
      </w:r>
      <w:r w:rsidR="009571F6">
        <w:t xml:space="preserve"> measures, to ensure Australia has appropriate policy setting</w:t>
      </w:r>
      <w:r w:rsidR="008E30E3">
        <w:t>s</w:t>
      </w:r>
      <w:r w:rsidR="009571F6">
        <w:t xml:space="preserve"> to encourage </w:t>
      </w:r>
      <w:r w:rsidR="00D40994">
        <w:t xml:space="preserve">the growth of </w:t>
      </w:r>
      <w:r w:rsidR="009E2FD2">
        <w:t>this important</w:t>
      </w:r>
      <w:r w:rsidR="009571F6">
        <w:t xml:space="preserve"> industry </w:t>
      </w:r>
      <w:r w:rsidR="009E2FD2">
        <w:t xml:space="preserve">in a way that delivers compelling public value </w:t>
      </w:r>
      <w:r w:rsidR="009571F6">
        <w:t>while minimising price impacts</w:t>
      </w:r>
      <w:r w:rsidR="004D5C19">
        <w:t xml:space="preserve"> and </w:t>
      </w:r>
      <w:r w:rsidR="006D22A0">
        <w:t>promoting competition</w:t>
      </w:r>
      <w:r w:rsidR="009571F6">
        <w:t>.</w:t>
      </w:r>
      <w:r w:rsidR="0082434D">
        <w:t xml:space="preserve"> </w:t>
      </w:r>
    </w:p>
    <w:p w:rsidR="0086166B" w:rsidRDefault="00E729C1" w:rsidP="002D360F">
      <w:pPr>
        <w:spacing w:after="0"/>
      </w:pPr>
      <w:r>
        <w:t xml:space="preserve">Government is seeking informed views, data and analysis, including from industry, unions, trading partners, </w:t>
      </w:r>
      <w:r w:rsidR="008279D8">
        <w:t xml:space="preserve">and </w:t>
      </w:r>
      <w:r>
        <w:t xml:space="preserve">state and local governments. </w:t>
      </w:r>
      <w:r>
        <w:rPr>
          <w:rFonts w:eastAsia="MS PGothic" w:cstheme="minorHAnsi"/>
        </w:rPr>
        <w:t xml:space="preserve">Your response will inform </w:t>
      </w:r>
      <w:r w:rsidR="00D40994">
        <w:rPr>
          <w:rFonts w:eastAsia="MS PGothic" w:cstheme="minorHAnsi"/>
        </w:rPr>
        <w:t xml:space="preserve">how an </w:t>
      </w:r>
      <w:r>
        <w:rPr>
          <w:rFonts w:eastAsia="MS PGothic" w:cstheme="minorHAnsi"/>
        </w:rPr>
        <w:t>Australian LCLF industry</w:t>
      </w:r>
      <w:r w:rsidR="00D40994">
        <w:rPr>
          <w:rFonts w:eastAsia="MS PGothic" w:cstheme="minorHAnsi"/>
        </w:rPr>
        <w:t xml:space="preserve"> will be supported</w:t>
      </w:r>
      <w:r w:rsidR="00162022">
        <w:rPr>
          <w:rFonts w:eastAsia="MS PGothic" w:cstheme="minorHAnsi"/>
        </w:rPr>
        <w:t xml:space="preserve">, and be considered alongside </w:t>
      </w:r>
      <w:r w:rsidR="005C456C">
        <w:rPr>
          <w:rFonts w:eastAsia="MS PGothic" w:cstheme="minorHAnsi"/>
        </w:rPr>
        <w:t xml:space="preserve">responses </w:t>
      </w:r>
      <w:r w:rsidR="00162022">
        <w:rPr>
          <w:rFonts w:eastAsia="MS PGothic" w:cstheme="minorHAnsi"/>
        </w:rPr>
        <w:t>received through existing consultation processes</w:t>
      </w:r>
      <w:r>
        <w:rPr>
          <w:rStyle w:val="normaltextrun"/>
          <w:color w:val="000000" w:themeColor="text1"/>
          <w:shd w:val="clear" w:color="auto" w:fill="FFFFFF"/>
        </w:rPr>
        <w:t xml:space="preserve">. Insights from the consultation will </w:t>
      </w:r>
      <w:r>
        <w:t xml:space="preserve">inform the </w:t>
      </w:r>
      <w:r w:rsidR="00EE2659">
        <w:t xml:space="preserve">Government’s </w:t>
      </w:r>
      <w:r w:rsidR="0039102A">
        <w:t>development of</w:t>
      </w:r>
      <w:r w:rsidR="00452B96">
        <w:t xml:space="preserve"> </w:t>
      </w:r>
      <w:r w:rsidR="009323EC">
        <w:t xml:space="preserve">the Electricity and Energy Sector Plan and </w:t>
      </w:r>
      <w:r w:rsidR="00452B96">
        <w:t>a</w:t>
      </w:r>
      <w:r w:rsidR="0039102A">
        <w:t xml:space="preserve"> </w:t>
      </w:r>
      <w:r>
        <w:t xml:space="preserve">Transport and Infrastructure Net Zero Roadmap, and </w:t>
      </w:r>
      <w:r w:rsidR="003A33CD">
        <w:t xml:space="preserve">further </w:t>
      </w:r>
      <w:r>
        <w:t>regulatory impact analysis on the introduction of an LCLF mandate or other demand measures to support an LCLF industry.</w:t>
      </w:r>
    </w:p>
    <w:p w:rsidR="002D360F" w:rsidRPr="00596E95" w:rsidRDefault="002D360F" w:rsidP="002D360F">
      <w:pPr>
        <w:spacing w:after="0"/>
      </w:pPr>
    </w:p>
    <w:p w:rsidR="00464772" w:rsidRPr="00992DB6" w:rsidRDefault="00464772" w:rsidP="00261D6C">
      <w:pPr>
        <w:pStyle w:val="Heading2"/>
        <w:spacing w:line="276" w:lineRule="auto"/>
        <w:rPr>
          <w:rFonts w:eastAsia="Calibri"/>
        </w:rPr>
      </w:pPr>
      <w:bookmarkStart w:id="23" w:name="_Toc168994022"/>
      <w:r w:rsidRPr="00992DB6">
        <w:rPr>
          <w:rFonts w:eastAsia="Calibri"/>
        </w:rPr>
        <w:t xml:space="preserve">The </w:t>
      </w:r>
      <w:r w:rsidR="008653E6" w:rsidRPr="00992DB6">
        <w:rPr>
          <w:rFonts w:eastAsia="Calibri"/>
        </w:rPr>
        <w:t>low carbon liquid fuels</w:t>
      </w:r>
      <w:r w:rsidRPr="00992DB6">
        <w:rPr>
          <w:rFonts w:eastAsia="Calibri"/>
        </w:rPr>
        <w:t xml:space="preserve"> opportunity</w:t>
      </w:r>
      <w:bookmarkEnd w:id="23"/>
    </w:p>
    <w:p w:rsidR="00E729C1" w:rsidRDefault="00E729C1" w:rsidP="00E729C1">
      <w:r>
        <w:t xml:space="preserve">Today, Australia relies on liquid fuels for more than half of our final energy demand. This is particularly the case for transport, which accounts for around 70 per cent of Australia’s consumption of refined liquid fuel products. To achieve </w:t>
      </w:r>
      <w:r w:rsidR="00181559">
        <w:t xml:space="preserve">Australia’s legislated commitment </w:t>
      </w:r>
      <w:r>
        <w:t>to reach net zero</w:t>
      </w:r>
      <w:r w:rsidR="00181559">
        <w:t xml:space="preserve"> emissions</w:t>
      </w:r>
      <w:r>
        <w:t xml:space="preserve"> by 2050 and to reach emissions levels of 43 per cent below 2005 levels by 2030, Australia needs a pathway to decarbonise sectors of the economy reliant on fossil liquid fuels. </w:t>
      </w:r>
    </w:p>
    <w:p w:rsidR="00E729C1" w:rsidRDefault="00E729C1" w:rsidP="00E729C1">
      <w:r>
        <w:t>For many sectors, including medium</w:t>
      </w:r>
      <w:r w:rsidR="008279D8">
        <w:t>-</w:t>
      </w:r>
      <w:r>
        <w:t>long</w:t>
      </w:r>
      <w:r w:rsidR="00CF4A78">
        <w:t xml:space="preserve"> </w:t>
      </w:r>
      <w:r>
        <w:t>distance aviation, heavy road and domestic maritime transport, and non-transport sectors such as mining, agriculture and construction</w:t>
      </w:r>
      <w:r w:rsidR="001B6651">
        <w:t>,</w:t>
      </w:r>
      <w:r>
        <w:t xml:space="preserve"> electrification and in some cases renewable hydrogen, are not an option. These sectors (excluding international aviation) are projected to represent close to 20 per cent of Australia’s emissions out to 2030</w:t>
      </w:r>
      <w:r>
        <w:rPr>
          <w:rStyle w:val="FootnoteReference"/>
        </w:rPr>
        <w:footnoteReference w:id="3"/>
      </w:r>
      <w:r>
        <w:t xml:space="preserve"> and are projected to remain reliant on liquid fuels – particularly aviation fuel and diesel – out to 2050.</w:t>
      </w:r>
    </w:p>
    <w:p w:rsidR="00E729C1" w:rsidRDefault="00E729C1" w:rsidP="00E729C1">
      <w:r>
        <w:t>LCLF</w:t>
      </w:r>
      <w:r w:rsidR="00BA4076">
        <w:t>s</w:t>
      </w:r>
      <w:r>
        <w:t xml:space="preserve"> offer an alternate decarbonisation pathway for these sectors.</w:t>
      </w:r>
    </w:p>
    <w:p w:rsidR="00E729C1" w:rsidRDefault="00E729C1" w:rsidP="0039415B">
      <w:r>
        <w:t>LCLFs are</w:t>
      </w:r>
      <w:r w:rsidR="00885380">
        <w:t xml:space="preserve"> currently</w:t>
      </w:r>
      <w:r>
        <w:t xml:space="preserve"> estimated to be between 2 and 5 times</w:t>
      </w:r>
      <w:r w:rsidR="005C0154">
        <w:t xml:space="preserve"> higher in cost than</w:t>
      </w:r>
      <w:r>
        <w:t xml:space="preserve"> their unabated fossil fuel counterpart</w:t>
      </w:r>
      <w:r w:rsidR="000550A6">
        <w:t>, but provide the cheapest available approach to abatement for the aviation industry</w:t>
      </w:r>
      <w:r w:rsidR="005C0154">
        <w:t xml:space="preserve"> and </w:t>
      </w:r>
      <w:r w:rsidR="005C0154">
        <w:lastRenderedPageBreak/>
        <w:t xml:space="preserve">the </w:t>
      </w:r>
      <w:r>
        <w:t>costs are expected to decrease over time as technology and scale improves</w:t>
      </w:r>
      <w:r w:rsidR="005C0154">
        <w:t>.</w:t>
      </w:r>
      <w:r>
        <w:t xml:space="preserve"> </w:t>
      </w:r>
      <w:r w:rsidR="005C0154">
        <w:t>T</w:t>
      </w:r>
      <w:r>
        <w:t xml:space="preserve">hese fuels are expected to be utilised by sectors where performance requirements are high and few alternative emissions abatement options </w:t>
      </w:r>
      <w:r w:rsidR="00013E4F">
        <w:t xml:space="preserve">are </w:t>
      </w:r>
      <w:r>
        <w:t xml:space="preserve">likely to become available. </w:t>
      </w:r>
    </w:p>
    <w:p w:rsidR="006B29F7" w:rsidRDefault="006B29F7" w:rsidP="006B29F7">
      <w:r>
        <w:t xml:space="preserve">CSIRO’s Sustainable Aviation Fuel Roadmap (2023) notes Australia’s large landmass, temperate climates, advanced farming practices, access to renewable feedstocks, established supply chains and renewable energy potential are all assets in developing a range of feedstocks to support a domestic SAF and renewable diesel industry. </w:t>
      </w:r>
    </w:p>
    <w:p w:rsidR="00DB6AF1" w:rsidRDefault="00DB6AF1" w:rsidP="006B29F7">
      <w:r>
        <w:t xml:space="preserve">Australia is already a competitive producer of feedstocks used for LCLFs, exporting 400 </w:t>
      </w:r>
      <w:proofErr w:type="spellStart"/>
      <w:r>
        <w:t>kt</w:t>
      </w:r>
      <w:proofErr w:type="spellEnd"/>
      <w:r>
        <w:t xml:space="preserve"> of tallow and approximately 3.4 Mt of canola seed to Europe in 2022. Competitiveness in this segment of the supply chain contributes to broader cost competitiveness as feedstock costs are a primary driver of the total costs of producing LCLFs. </w:t>
      </w:r>
    </w:p>
    <w:p w:rsidR="00DB6AF1" w:rsidRDefault="00DB6AF1" w:rsidP="006B29F7">
      <w:r>
        <w:t>One of the principal challenges of achieving commerciality is aligning sufficient offtake agreements with feedstock providers with demand for sustainable fuels, at a scale that supports establishing a production facility. However, the Australian aviation industry is large enough to provide demand for commercial-scale refineries, provided there is broad adoption of SAF as part of the transition to net zero.</w:t>
      </w:r>
    </w:p>
    <w:p w:rsidR="00215551" w:rsidRDefault="00AB00B4" w:rsidP="006B29F7">
      <w:r>
        <w:t xml:space="preserve">Insufficient alignment of decarbonisation and </w:t>
      </w:r>
      <w:r w:rsidR="004C08D7">
        <w:t>economic incentives currently poses a barrier to the d</w:t>
      </w:r>
      <w:r w:rsidR="00936BFF">
        <w:t>evelopment of Australia’s LCLF industry</w:t>
      </w:r>
      <w:r w:rsidR="004C08D7">
        <w:t xml:space="preserve">. The purchasing of Australian Carbon Credit Units is currently a cost-effective approach for fuel-intensive facilities that are captured under the Safeguard Mechanism to reduce their emissions. However, </w:t>
      </w:r>
      <w:r w:rsidR="003A0193">
        <w:t xml:space="preserve">reaching net zero across Australia’s economy by 2050 will require greater investment in direct abatement by these industries. </w:t>
      </w:r>
    </w:p>
    <w:p w:rsidR="00A543ED" w:rsidRDefault="00E810EA" w:rsidP="00261D6C">
      <w:pPr>
        <w:spacing w:before="120" w:after="0"/>
      </w:pPr>
      <w:r>
        <w:t xml:space="preserve">Better aligned </w:t>
      </w:r>
      <w:r w:rsidR="007F300F">
        <w:t xml:space="preserve">demand requirements </w:t>
      </w:r>
      <w:r>
        <w:t xml:space="preserve">and production incentives </w:t>
      </w:r>
      <w:r w:rsidR="007A2388">
        <w:t>could create the conditions for commercially competitive production of LCLFs at scale in Australia</w:t>
      </w:r>
      <w:r w:rsidR="00782592">
        <w:t xml:space="preserve">. This would </w:t>
      </w:r>
      <w:r w:rsidR="00DB2DC6">
        <w:t xml:space="preserve">enable facilities </w:t>
      </w:r>
      <w:r w:rsidR="003B65A5">
        <w:t xml:space="preserve">where it is </w:t>
      </w:r>
      <w:r w:rsidR="00D03352">
        <w:t xml:space="preserve">difficult to substitute </w:t>
      </w:r>
      <w:r w:rsidR="00DB2DC6">
        <w:t xml:space="preserve">fuel </w:t>
      </w:r>
      <w:r w:rsidR="00F6169B">
        <w:t xml:space="preserve">demand </w:t>
      </w:r>
      <w:r w:rsidR="00782592">
        <w:t xml:space="preserve">to </w:t>
      </w:r>
      <w:r w:rsidR="00D03352">
        <w:t xml:space="preserve">make a greater contribution to </w:t>
      </w:r>
      <w:r w:rsidR="00DB2DC6">
        <w:t xml:space="preserve">emissions </w:t>
      </w:r>
      <w:r w:rsidR="00F6169B">
        <w:t xml:space="preserve">reduction, </w:t>
      </w:r>
      <w:r w:rsidR="00DB2DC6">
        <w:t>support</w:t>
      </w:r>
      <w:r w:rsidR="00F6169B">
        <w:t>ing</w:t>
      </w:r>
      <w:r w:rsidR="00DB2DC6">
        <w:t xml:space="preserve"> Australia’s overall commitment to </w:t>
      </w:r>
      <w:r w:rsidR="00215551">
        <w:t xml:space="preserve">achieve </w:t>
      </w:r>
      <w:r w:rsidR="00DB2DC6">
        <w:t xml:space="preserve">net zero </w:t>
      </w:r>
      <w:r w:rsidR="00215551">
        <w:t xml:space="preserve">emissions </w:t>
      </w:r>
      <w:r w:rsidR="00DB2DC6">
        <w:t>by 2050.</w:t>
      </w:r>
    </w:p>
    <w:p w:rsidR="00464772" w:rsidRPr="005C0154" w:rsidRDefault="003433E1" w:rsidP="00261D6C">
      <w:pPr>
        <w:spacing w:before="160" w:after="0"/>
      </w:pPr>
      <w:r w:rsidRPr="0039415B">
        <w:rPr>
          <w:rFonts w:eastAsia="MS PGothic" w:cstheme="minorHAnsi"/>
          <w:color w:val="085257"/>
          <w:sz w:val="28"/>
          <w:szCs w:val="28"/>
        </w:rPr>
        <w:t>In a global net zero economy, low carbon liquid fuels will be in high demand</w:t>
      </w:r>
    </w:p>
    <w:p w:rsidR="003433E1" w:rsidRDefault="003433E1" w:rsidP="003433E1">
      <w:r>
        <w:t xml:space="preserve">With transport sectors (aviation, heavy vehicles and maritime), </w:t>
      </w:r>
      <w:r w:rsidR="00780E80">
        <w:t xml:space="preserve">and construction, mining and agriculture sectors expected to continue to rely on liquid fuels in the medium term, demand for LCLF </w:t>
      </w:r>
      <w:r w:rsidR="18F2E889">
        <w:t xml:space="preserve">is </w:t>
      </w:r>
      <w:r w:rsidR="00780E80">
        <w:t>expected to grow.</w:t>
      </w:r>
    </w:p>
    <w:p w:rsidR="00A74837" w:rsidRDefault="00A74837" w:rsidP="00A74837">
      <w:r>
        <w:t xml:space="preserve">Currently, Australia does not produce </w:t>
      </w:r>
      <w:r w:rsidR="00996A78">
        <w:t xml:space="preserve">advanced biofuels or e-fuels including </w:t>
      </w:r>
      <w:r>
        <w:t xml:space="preserve">SAF or </w:t>
      </w:r>
      <w:r w:rsidR="006B29F7">
        <w:t>renewable diesel</w:t>
      </w:r>
      <w:r>
        <w:t xml:space="preserve"> (CSIRO</w:t>
      </w:r>
      <w:r w:rsidR="001B3CDA">
        <w:t>,</w:t>
      </w:r>
      <w:r>
        <w:t xml:space="preserve"> 2023</w:t>
      </w:r>
      <w:r w:rsidR="00CD0C87">
        <w:rPr>
          <w:rStyle w:val="FootnoteReference"/>
        </w:rPr>
        <w:footnoteReference w:id="4"/>
      </w:r>
      <w:r>
        <w:t xml:space="preserve">). Some airlines which operate in Australia and internationally use a small quantity of SAF in </w:t>
      </w:r>
      <w:r>
        <w:rPr>
          <w:i/>
        </w:rPr>
        <w:t>international</w:t>
      </w:r>
      <w:r>
        <w:t xml:space="preserve"> airports, totalling 18 ML in 2022 and 2023 (BNEF</w:t>
      </w:r>
      <w:r w:rsidR="001B3CDA">
        <w:t>,</w:t>
      </w:r>
      <w:r>
        <w:t xml:space="preserve"> 2023</w:t>
      </w:r>
      <w:r w:rsidR="00CD0C87">
        <w:rPr>
          <w:rStyle w:val="FootnoteReference"/>
        </w:rPr>
        <w:footnoteReference w:id="5"/>
      </w:r>
      <w:r>
        <w:t xml:space="preserve">). </w:t>
      </w:r>
    </w:p>
    <w:p w:rsidR="00A74837" w:rsidRPr="004B2F98" w:rsidRDefault="00A74837" w:rsidP="00A74837">
      <w:r>
        <w:t>The market for drop</w:t>
      </w:r>
      <w:r w:rsidR="2EC8210D">
        <w:t xml:space="preserve"> </w:t>
      </w:r>
      <w:r>
        <w:t xml:space="preserve">in </w:t>
      </w:r>
      <w:r w:rsidR="006B29F7">
        <w:t>LCLFs</w:t>
      </w:r>
      <w:r>
        <w:t xml:space="preserve"> is expanding rapidly. Production capacity is split across three main categories</w:t>
      </w:r>
      <w:r w:rsidRPr="004B2F98">
        <w:t xml:space="preserve">: SAF, </w:t>
      </w:r>
      <w:r w:rsidR="006B29F7">
        <w:t>renewable diesel</w:t>
      </w:r>
      <w:r w:rsidRPr="004B2F98">
        <w:t xml:space="preserve"> </w:t>
      </w:r>
      <w:r w:rsidR="008E765A">
        <w:t xml:space="preserve">(both in-scope for this consultation) </w:t>
      </w:r>
      <w:r w:rsidRPr="004B2F98">
        <w:t>and naphtha</w:t>
      </w:r>
      <w:r w:rsidR="0079252C">
        <w:t xml:space="preserve"> (another type of hydrocarbon fuel used in heavy crude oil dilution, as a cooking fuel and in the production of plastics</w:t>
      </w:r>
      <w:r w:rsidR="008A635B">
        <w:t xml:space="preserve">, not </w:t>
      </w:r>
      <w:r w:rsidR="008E765A">
        <w:t xml:space="preserve">in-scope for </w:t>
      </w:r>
      <w:r w:rsidR="008A635B">
        <w:t>this paper</w:t>
      </w:r>
      <w:r w:rsidR="0079252C">
        <w:t>)</w:t>
      </w:r>
      <w:r w:rsidRPr="004B2F98">
        <w:t xml:space="preserve">. </w:t>
      </w:r>
    </w:p>
    <w:p w:rsidR="00A74837" w:rsidRPr="004B2F98" w:rsidRDefault="00A74837" w:rsidP="00A74837">
      <w:r w:rsidRPr="004B2F98">
        <w:lastRenderedPageBreak/>
        <w:t>Global supply of LCLF is growing rapidly and total global production is expected to quadruple by the end of the decade (Figure</w:t>
      </w:r>
      <w:r w:rsidR="006B29F7">
        <w:t xml:space="preserve"> 1</w:t>
      </w:r>
      <w:r w:rsidRPr="004B2F98">
        <w:t xml:space="preserve">). In 2023, roughly 24,996 ML of </w:t>
      </w:r>
      <w:r w:rsidR="006B29F7">
        <w:t>renewable diesel</w:t>
      </w:r>
      <w:r w:rsidRPr="004B2F98">
        <w:t xml:space="preserve">, 3,425 ML of SAF and 1,758 ML of naphtha was estimated to be produced, totalling roughly 30,179 ML of </w:t>
      </w:r>
      <w:r w:rsidRPr="002F2611">
        <w:t>LCLF (BNEF global tracker</w:t>
      </w:r>
      <w:r w:rsidR="00CD0C87" w:rsidRPr="002F2611">
        <w:rPr>
          <w:rStyle w:val="FootnoteReference"/>
        </w:rPr>
        <w:footnoteReference w:id="6"/>
      </w:r>
      <w:r w:rsidRPr="002F2611">
        <w:t>).</w:t>
      </w:r>
      <w:r w:rsidRPr="004B2F98">
        <w:t xml:space="preserve"> An additional</w:t>
      </w:r>
      <w:r>
        <w:t xml:space="preserve"> </w:t>
      </w:r>
      <w:r w:rsidR="00996A78" w:rsidRPr="00996A78">
        <w:t>14</w:t>
      </w:r>
      <w:r w:rsidR="007D4906">
        <w:t>,</w:t>
      </w:r>
      <w:r w:rsidR="00996A78" w:rsidRPr="00996A78">
        <w:t>763</w:t>
      </w:r>
      <w:r w:rsidR="007D4906">
        <w:t xml:space="preserve"> ML</w:t>
      </w:r>
      <w:r w:rsidRPr="004B2F98">
        <w:t xml:space="preserve"> of LCLF is expected to be produced by new projects with no </w:t>
      </w:r>
      <w:r w:rsidR="2339EBB2">
        <w:t xml:space="preserve">current </w:t>
      </w:r>
      <w:r w:rsidRPr="004B2F98">
        <w:t xml:space="preserve">start date, or a start date after 2030. </w:t>
      </w:r>
    </w:p>
    <w:p w:rsidR="00A74837" w:rsidRDefault="00A74837" w:rsidP="00A543ED">
      <w:pPr>
        <w:spacing w:after="0"/>
      </w:pPr>
      <w:r w:rsidRPr="004B2F98">
        <w:t xml:space="preserve">A substantial proportion of LCLF production is aimed at producing </w:t>
      </w:r>
      <w:r w:rsidR="006B29F7">
        <w:t>renewable diesel</w:t>
      </w:r>
      <w:r w:rsidRPr="004B2F98">
        <w:t xml:space="preserve"> for</w:t>
      </w:r>
      <w:r w:rsidR="00A543ED">
        <w:t xml:space="preserve"> heavy</w:t>
      </w:r>
      <w:r w:rsidR="00F3575F">
        <w:t xml:space="preserve"> </w:t>
      </w:r>
      <w:r w:rsidR="00A543ED">
        <w:t>vehicle</w:t>
      </w:r>
      <w:r w:rsidRPr="004B2F98">
        <w:t xml:space="preserve"> on-road use (more than 82</w:t>
      </w:r>
      <w:r w:rsidR="0FBF8E4B">
        <w:t xml:space="preserve"> per cent</w:t>
      </w:r>
      <w:r w:rsidRPr="004B2F98">
        <w:t xml:space="preserve"> in 2023) but the number of projects producing SAF and the total quantity of SAF produced is expected to increase (Figure 2). Currently, SAF capacity at the end of 2023 is </w:t>
      </w:r>
      <w:r w:rsidR="00C61957">
        <w:t>9</w:t>
      </w:r>
      <w:r w:rsidR="186A299B">
        <w:t xml:space="preserve"> per cent</w:t>
      </w:r>
      <w:r w:rsidR="007B5574">
        <w:t xml:space="preserve"> of global supply</w:t>
      </w:r>
      <w:r w:rsidRPr="004B2F98">
        <w:t>, and this is on track to grow to 32</w:t>
      </w:r>
      <w:r w:rsidR="26F1F935">
        <w:t xml:space="preserve"> per cent</w:t>
      </w:r>
      <w:r w:rsidRPr="004B2F98">
        <w:t xml:space="preserve"> by 2030.</w:t>
      </w:r>
      <w:r>
        <w:t xml:space="preserve"> </w:t>
      </w:r>
    </w:p>
    <w:p w:rsidR="00A543ED" w:rsidRDefault="00A543ED" w:rsidP="00A543ED">
      <w:pPr>
        <w:spacing w:after="0"/>
      </w:pPr>
    </w:p>
    <w:p w:rsidR="00A74837" w:rsidRDefault="00A74837" w:rsidP="005D303C">
      <w:pPr>
        <w:keepNext/>
        <w:rPr>
          <w:b/>
        </w:rPr>
      </w:pPr>
      <w:r>
        <w:rPr>
          <w:b/>
        </w:rPr>
        <w:t xml:space="preserve">Figure 1: Global production of </w:t>
      </w:r>
      <w:r w:rsidR="00A04C2F">
        <w:rPr>
          <w:b/>
        </w:rPr>
        <w:t xml:space="preserve">LCLFs </w:t>
      </w:r>
      <w:r>
        <w:rPr>
          <w:b/>
        </w:rPr>
        <w:t>is increasing</w:t>
      </w:r>
    </w:p>
    <w:p w:rsidR="00A74837" w:rsidRDefault="00A74837" w:rsidP="005D303C">
      <w:pPr>
        <w:keepNext/>
        <w:rPr>
          <w:i/>
        </w:rPr>
      </w:pPr>
      <w:r>
        <w:rPr>
          <w:i/>
        </w:rPr>
        <w:t>Estimated cumulative global production of LCLF</w:t>
      </w:r>
    </w:p>
    <w:p w:rsidR="00A74837" w:rsidRDefault="00065DD9" w:rsidP="00065DD9">
      <w:pPr>
        <w:keepNext/>
      </w:pPr>
      <w:r>
        <w:rPr>
          <w:noProof/>
        </w:rPr>
        <w:drawing>
          <wp:inline distT="0" distB="0" distL="0" distR="0" wp14:anchorId="2DC8E28C" wp14:editId="4254472D">
            <wp:extent cx="5943600" cy="24149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CLF_Charts-0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2414905"/>
                    </a:xfrm>
                    <a:prstGeom prst="rect">
                      <a:avLst/>
                    </a:prstGeom>
                  </pic:spPr>
                </pic:pic>
              </a:graphicData>
            </a:graphic>
          </wp:inline>
        </w:drawing>
      </w:r>
      <w:r w:rsidR="00BE76E2">
        <w:rPr>
          <w:noProof/>
        </w:rPr>
        <w:t xml:space="preserve"> </w:t>
      </w:r>
    </w:p>
    <w:p w:rsidR="007F1D89" w:rsidRPr="00501159" w:rsidRDefault="007F1D89" w:rsidP="00C61957">
      <w:pPr>
        <w:spacing w:after="0"/>
        <w:rPr>
          <w:i/>
        </w:rPr>
      </w:pPr>
      <w:r>
        <w:rPr>
          <w:i/>
        </w:rPr>
        <w:t>*</w:t>
      </w:r>
      <w:r w:rsidR="00E3769F">
        <w:rPr>
          <w:i/>
        </w:rPr>
        <w:t xml:space="preserve"> ‘</w:t>
      </w:r>
      <w:r>
        <w:rPr>
          <w:i/>
        </w:rPr>
        <w:t>Unknown</w:t>
      </w:r>
      <w:r w:rsidR="00BE76E2">
        <w:rPr>
          <w:i/>
        </w:rPr>
        <w:t xml:space="preserve"> start date</w:t>
      </w:r>
      <w:r w:rsidR="00E3769F">
        <w:rPr>
          <w:i/>
        </w:rPr>
        <w:t>’</w:t>
      </w:r>
      <w:r>
        <w:t xml:space="preserve"> </w:t>
      </w:r>
      <w:r>
        <w:rPr>
          <w:i/>
        </w:rPr>
        <w:t xml:space="preserve">refers to </w:t>
      </w:r>
      <w:r w:rsidR="00A66682">
        <w:rPr>
          <w:i/>
        </w:rPr>
        <w:t>total additional expected production from projects where there is no announced start date</w:t>
      </w:r>
    </w:p>
    <w:p w:rsidR="00A74837" w:rsidRDefault="00A74837" w:rsidP="00A74837">
      <w:r>
        <w:t>Source: BNEF 202</w:t>
      </w:r>
      <w:r w:rsidR="00CE17E0">
        <w:t>3</w:t>
      </w:r>
      <w:r w:rsidR="00435BB6">
        <w:rPr>
          <w:rStyle w:val="FootnoteReference"/>
        </w:rPr>
        <w:footnoteReference w:id="7"/>
      </w:r>
    </w:p>
    <w:p w:rsidR="00A74837" w:rsidRPr="004B2F98" w:rsidRDefault="00A74837" w:rsidP="00A74837">
      <w:r>
        <w:t>Currently</w:t>
      </w:r>
      <w:r w:rsidR="001B6651">
        <w:t>,</w:t>
      </w:r>
      <w:r>
        <w:t xml:space="preserve"> 99 per cent of global commercial-scale production </w:t>
      </w:r>
      <w:r w:rsidR="006B29F7">
        <w:t xml:space="preserve">of LCLF </w:t>
      </w:r>
      <w:r>
        <w:t xml:space="preserve">utilises </w:t>
      </w:r>
      <w:r w:rsidR="006B29F7">
        <w:t xml:space="preserve">the most mature </w:t>
      </w:r>
      <w:r>
        <w:t>pathway,</w:t>
      </w:r>
      <w:r w:rsidR="006B29F7">
        <w:t xml:space="preserve"> </w:t>
      </w:r>
      <w:r w:rsidR="00CD0C87">
        <w:t>h</w:t>
      </w:r>
      <w:r w:rsidR="00387A71">
        <w:t>ydroprocessed esters and fatty acids (HEFA),</w:t>
      </w:r>
      <w:r>
        <w:t xml:space="preserve"> due to synergies with traditional oil refining. This</w:t>
      </w:r>
      <w:r w:rsidR="001B6651">
        <w:t> </w:t>
      </w:r>
      <w:r>
        <w:t xml:space="preserve">technology is expected to dominate for the foreseeable future, but other technologies are expected to </w:t>
      </w:r>
      <w:r w:rsidRPr="004B2F98">
        <w:t xml:space="preserve">grow in use over time. By 2030, alternatives like gas-to-liquids, </w:t>
      </w:r>
      <w:r w:rsidR="008B7E48" w:rsidRPr="004B2F98">
        <w:t>alcohol</w:t>
      </w:r>
      <w:r w:rsidR="008B7E48">
        <w:t>-</w:t>
      </w:r>
      <w:r w:rsidRPr="004B2F98">
        <w:t>to</w:t>
      </w:r>
      <w:r w:rsidR="008B7E48">
        <w:t>-</w:t>
      </w:r>
      <w:r w:rsidRPr="004B2F98">
        <w:t xml:space="preserve">jet and </w:t>
      </w:r>
      <w:r w:rsidR="008B7E48" w:rsidRPr="004B2F98">
        <w:t>power</w:t>
      </w:r>
      <w:r w:rsidR="008B7E48">
        <w:t>-</w:t>
      </w:r>
      <w:r w:rsidR="008B7E48" w:rsidRPr="004B2F98">
        <w:t>to</w:t>
      </w:r>
      <w:r w:rsidR="008B7E48">
        <w:t>-</w:t>
      </w:r>
      <w:r w:rsidRPr="004B2F98">
        <w:t xml:space="preserve">liquids are expected to account for 15 </w:t>
      </w:r>
      <w:r w:rsidRPr="00F55137">
        <w:t xml:space="preserve">per cent of production </w:t>
      </w:r>
      <w:r w:rsidRPr="002F2611">
        <w:t>(</w:t>
      </w:r>
      <w:r w:rsidR="00CC1FC2" w:rsidRPr="002F2611">
        <w:t>BNEF</w:t>
      </w:r>
      <w:r w:rsidR="001B3CDA" w:rsidRPr="002F2611">
        <w:t>,</w:t>
      </w:r>
      <w:r w:rsidR="00CC1FC2" w:rsidRPr="002F2611">
        <w:t xml:space="preserve"> 2023</w:t>
      </w:r>
      <w:r w:rsidR="00CD0C87" w:rsidRPr="002F2611">
        <w:rPr>
          <w:rStyle w:val="FootnoteReference"/>
        </w:rPr>
        <w:footnoteReference w:id="8"/>
      </w:r>
      <w:r w:rsidRPr="002F2611">
        <w:t>).</w:t>
      </w:r>
    </w:p>
    <w:p w:rsidR="00A74837" w:rsidRPr="004B2F98" w:rsidRDefault="00A74837" w:rsidP="00A74837">
      <w:r w:rsidRPr="004B2F98">
        <w:lastRenderedPageBreak/>
        <w:t>Currently, SAF use represents a very low proportion of total global aviation fuel – 0.2</w:t>
      </w:r>
      <w:r w:rsidR="00071F2E" w:rsidRPr="004B2F98">
        <w:t xml:space="preserve"> per cent </w:t>
      </w:r>
      <w:r w:rsidRPr="004B2F98">
        <w:t>in 202</w:t>
      </w:r>
      <w:r w:rsidR="004B2F98">
        <w:t>3</w:t>
      </w:r>
      <w:r w:rsidRPr="004B2F98">
        <w:t>. Renewable diesel use was roughly equivalent to 0.86</w:t>
      </w:r>
      <w:r w:rsidR="00387A71">
        <w:t xml:space="preserve"> per cent</w:t>
      </w:r>
      <w:r w:rsidRPr="004B2F98">
        <w:t xml:space="preserve"> of total global diesel use in 2021 (IEA 2022</w:t>
      </w:r>
      <w:r w:rsidR="00BA60AF" w:rsidRPr="004B2F98">
        <w:t>a</w:t>
      </w:r>
      <w:r w:rsidR="00CD0C87">
        <w:rPr>
          <w:rStyle w:val="FootnoteReference"/>
        </w:rPr>
        <w:footnoteReference w:id="9"/>
      </w:r>
      <w:r w:rsidR="00BA60AF" w:rsidRPr="004B2F98">
        <w:t>; IEA</w:t>
      </w:r>
      <w:r w:rsidRPr="004B2F98">
        <w:t xml:space="preserve"> 2022b</w:t>
      </w:r>
      <w:r w:rsidR="00CD0C87">
        <w:rPr>
          <w:rStyle w:val="FootnoteReference"/>
        </w:rPr>
        <w:footnoteReference w:id="10"/>
      </w:r>
      <w:r w:rsidRPr="004B2F98">
        <w:t xml:space="preserve">). </w:t>
      </w:r>
    </w:p>
    <w:p w:rsidR="00AE33F3" w:rsidRDefault="00A74837" w:rsidP="00A74837">
      <w:r w:rsidRPr="004B2F98">
        <w:t>For LCLF, high</w:t>
      </w:r>
      <w:r w:rsidR="00046724">
        <w:t>er</w:t>
      </w:r>
      <w:r w:rsidRPr="004B2F98">
        <w:t xml:space="preserve"> production costs </w:t>
      </w:r>
      <w:r w:rsidR="00046724">
        <w:t xml:space="preserve">compared to conventional fuels </w:t>
      </w:r>
      <w:r w:rsidRPr="004B2F98">
        <w:t>can be driven by difficulties in</w:t>
      </w:r>
      <w:r>
        <w:t xml:space="preserve"> collecting and aggregating sustainable feedstocks, extra processing steps, and lack of scale in production (CSIRO</w:t>
      </w:r>
      <w:r w:rsidR="001B3CDA">
        <w:t>,</w:t>
      </w:r>
      <w:r>
        <w:t xml:space="preserve"> 2023</w:t>
      </w:r>
      <w:r w:rsidR="00CD0C87">
        <w:rPr>
          <w:rStyle w:val="FootnoteReference"/>
        </w:rPr>
        <w:footnoteReference w:id="11"/>
      </w:r>
      <w:r>
        <w:t xml:space="preserve">). </w:t>
      </w:r>
      <w:r w:rsidR="00C011BC">
        <w:t xml:space="preserve">Under these conditions, </w:t>
      </w:r>
      <w:r>
        <w:t>SAF is currently estimated to be 2-5 times more expensive than standard jet fuel (or aviation turbine fuel) (Figure</w:t>
      </w:r>
      <w:r w:rsidR="004335FB">
        <w:t xml:space="preserve"> 2</w:t>
      </w:r>
      <w:r>
        <w:t xml:space="preserve">). </w:t>
      </w:r>
      <w:r w:rsidR="00013D39">
        <w:t>Similarly, renewable diesel is estimated to be roughly twice as expensive to produce as standard diesel (ACCC, 2019</w:t>
      </w:r>
      <w:r w:rsidR="00D30DE0">
        <w:rPr>
          <w:rStyle w:val="FootnoteReference"/>
        </w:rPr>
        <w:footnoteReference w:id="12"/>
      </w:r>
      <w:r w:rsidR="00013D39">
        <w:t>; DPIRD, 2023</w:t>
      </w:r>
      <w:r w:rsidR="00D30DE0">
        <w:rPr>
          <w:rStyle w:val="FootnoteReference"/>
        </w:rPr>
        <w:footnoteReference w:id="13"/>
      </w:r>
      <w:r w:rsidR="00013D39">
        <w:t xml:space="preserve">). </w:t>
      </w:r>
    </w:p>
    <w:p w:rsidR="00A74837" w:rsidRDefault="005971D4" w:rsidP="00A74837">
      <w:r>
        <w:t>Many steps in the production of LCLFs benefit from economies of scale, so achieving scale in demand for LCLFs will play a key role in unlocking cost-efficient crop production, transport, and fuel production.</w:t>
      </w:r>
      <w:r w:rsidR="003B65A5">
        <w:t xml:space="preserve"> </w:t>
      </w:r>
      <w:r w:rsidR="00A74837">
        <w:t xml:space="preserve">The </w:t>
      </w:r>
      <w:r w:rsidR="00046724">
        <w:t xml:space="preserve">higher cost </w:t>
      </w:r>
      <w:r w:rsidR="00A74837">
        <w:t xml:space="preserve">for SAF </w:t>
      </w:r>
      <w:r w:rsidR="00AE33F3">
        <w:t xml:space="preserve">also </w:t>
      </w:r>
      <w:r w:rsidR="00A74837">
        <w:t>depends on the type of feedstock used to produce it, and the technology pathway used. For example, SAF produced with low cost and a relatively simple technology pathway (such as vegetable oil using the HEFA process), is much cheaper than SAF produced through the high-tech Power-to-Liquid process, which includes hydrogen as a key input (Figure</w:t>
      </w:r>
      <w:r w:rsidR="00387A71">
        <w:t xml:space="preserve"> 2</w:t>
      </w:r>
      <w:r w:rsidR="00A74837">
        <w:t xml:space="preserve">). </w:t>
      </w:r>
      <w:r w:rsidR="006502F2">
        <w:t>Innovation that enables i</w:t>
      </w:r>
      <w:r w:rsidR="00013D39">
        <w:t>mproved production technologies</w:t>
      </w:r>
      <w:r w:rsidR="006502F2">
        <w:t xml:space="preserve"> and </w:t>
      </w:r>
      <w:r w:rsidR="0021798C">
        <w:t xml:space="preserve">greater </w:t>
      </w:r>
      <w:r w:rsidR="006502F2">
        <w:t>use of cost-effective feedstocks may reduce the cost of LCLFs over time.</w:t>
      </w:r>
    </w:p>
    <w:p w:rsidR="00A74837" w:rsidRDefault="00A74837" w:rsidP="005D303C">
      <w:pPr>
        <w:keepNext/>
        <w:rPr>
          <w:b/>
        </w:rPr>
      </w:pPr>
      <w:r>
        <w:rPr>
          <w:b/>
        </w:rPr>
        <w:t xml:space="preserve">Figure 2: SAF production costs are expected to decrease over time </w:t>
      </w:r>
    </w:p>
    <w:p w:rsidR="00A74837" w:rsidRDefault="00A74837" w:rsidP="005D303C">
      <w:pPr>
        <w:keepNext/>
        <w:rPr>
          <w:i/>
        </w:rPr>
      </w:pPr>
      <w:r>
        <w:rPr>
          <w:i/>
        </w:rPr>
        <w:t xml:space="preserve">Cost per </w:t>
      </w:r>
      <w:r w:rsidR="00DE7345">
        <w:rPr>
          <w:i/>
        </w:rPr>
        <w:t>l</w:t>
      </w:r>
      <w:r>
        <w:rPr>
          <w:i/>
        </w:rPr>
        <w:t>itre of SAF production, 2023 AUD</w:t>
      </w:r>
    </w:p>
    <w:p w:rsidR="00A74837" w:rsidRDefault="00A74837" w:rsidP="00A74837">
      <w:r>
        <w:rPr>
          <w:noProof/>
          <w:lang w:eastAsia="en-AU"/>
        </w:rPr>
        <w:drawing>
          <wp:inline distT="0" distB="0" distL="0" distR="0" wp14:anchorId="4831F939" wp14:editId="2F071E14">
            <wp:extent cx="5856739" cy="23795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856739" cy="2379521"/>
                    </a:xfrm>
                    <a:prstGeom prst="rect">
                      <a:avLst/>
                    </a:prstGeom>
                    <a:noFill/>
                    <a:ln>
                      <a:noFill/>
                    </a:ln>
                  </pic:spPr>
                </pic:pic>
              </a:graphicData>
            </a:graphic>
          </wp:inline>
        </w:drawing>
      </w:r>
    </w:p>
    <w:p w:rsidR="00A74837" w:rsidRDefault="00A74837" w:rsidP="00A74837">
      <w:r>
        <w:t>Source: CSIRO 2023</w:t>
      </w:r>
      <w:r w:rsidR="00DE7345">
        <w:rPr>
          <w:rStyle w:val="FootnoteReference"/>
        </w:rPr>
        <w:footnoteReference w:id="14"/>
      </w:r>
    </w:p>
    <w:p w:rsidR="00A74837" w:rsidRDefault="00A74837" w:rsidP="001B6651">
      <w:r>
        <w:t xml:space="preserve">Where market distortions like green premiums occur, governments can step in to reduce production costs with financial assistance or to facilitate demand through mandates. </w:t>
      </w:r>
    </w:p>
    <w:p w:rsidR="00A74837" w:rsidRDefault="00A74837" w:rsidP="00A74837">
      <w:r>
        <w:lastRenderedPageBreak/>
        <w:t>Estimates of Australia’s domestic capacity to produce SAF vary substantially, depending on the quantity of feedstocks allocated to SAF, growth rates in domestic feedstock production, and the technological efficiency of production pathways (</w:t>
      </w:r>
      <w:r w:rsidR="00520AE6">
        <w:t>e.g.</w:t>
      </w:r>
      <w:r>
        <w:t xml:space="preserve"> high or low jet fuel yield from feedstocks). </w:t>
      </w:r>
    </w:p>
    <w:p w:rsidR="00A74837" w:rsidRDefault="00A74837" w:rsidP="00A74837">
      <w:pPr>
        <w:keepNext/>
        <w:rPr>
          <w:b/>
        </w:rPr>
      </w:pPr>
      <w:r>
        <w:rPr>
          <w:b/>
        </w:rPr>
        <w:t xml:space="preserve">Table: Australia’s potential SAF production estimates </w:t>
      </w:r>
    </w:p>
    <w:tbl>
      <w:tblPr>
        <w:tblStyle w:val="TableGrid"/>
        <w:tblW w:w="0" w:type="auto"/>
        <w:tblInd w:w="0" w:type="dxa"/>
        <w:tblLook w:val="04A0" w:firstRow="1" w:lastRow="0" w:firstColumn="1" w:lastColumn="0" w:noHBand="0" w:noVBand="1"/>
      </w:tblPr>
      <w:tblGrid>
        <w:gridCol w:w="1838"/>
        <w:gridCol w:w="1276"/>
        <w:gridCol w:w="2977"/>
        <w:gridCol w:w="3145"/>
      </w:tblGrid>
      <w:tr w:rsidR="00A74837" w:rsidTr="00DE7345">
        <w:trPr>
          <w:trHeight w:val="470"/>
        </w:trPr>
        <w:tc>
          <w:tcPr>
            <w:tcW w:w="1838" w:type="dxa"/>
            <w:tcBorders>
              <w:top w:val="single" w:sz="4" w:space="0" w:color="auto"/>
              <w:left w:val="single" w:sz="4" w:space="0" w:color="auto"/>
              <w:bottom w:val="single" w:sz="4" w:space="0" w:color="auto"/>
              <w:right w:val="nil"/>
            </w:tcBorders>
          </w:tcPr>
          <w:p w:rsidR="00A74837" w:rsidRDefault="00A74837">
            <w:pPr>
              <w:rPr>
                <w:lang w:val="en-US"/>
              </w:rPr>
            </w:pPr>
          </w:p>
        </w:tc>
        <w:tc>
          <w:tcPr>
            <w:tcW w:w="1276" w:type="dxa"/>
            <w:tcBorders>
              <w:top w:val="single" w:sz="4" w:space="0" w:color="auto"/>
              <w:left w:val="nil"/>
              <w:bottom w:val="single" w:sz="4" w:space="0" w:color="auto"/>
              <w:right w:val="single" w:sz="4" w:space="0" w:color="auto"/>
            </w:tcBorders>
          </w:tcPr>
          <w:p w:rsidR="00A74837" w:rsidRDefault="00A74837">
            <w:pPr>
              <w:rPr>
                <w:lang w:val="en-US"/>
              </w:rPr>
            </w:pPr>
          </w:p>
        </w:tc>
        <w:tc>
          <w:tcPr>
            <w:tcW w:w="2977"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 xml:space="preserve">Potential domestic SAF production </w:t>
            </w:r>
          </w:p>
        </w:tc>
        <w:tc>
          <w:tcPr>
            <w:tcW w:w="3145"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Proportion of SAF for estimated total jet fuel demand</w:t>
            </w:r>
          </w:p>
        </w:tc>
      </w:tr>
      <w:tr w:rsidR="00547C61" w:rsidTr="00874D4A">
        <w:trPr>
          <w:trHeight w:val="355"/>
        </w:trPr>
        <w:tc>
          <w:tcPr>
            <w:tcW w:w="3114" w:type="dxa"/>
            <w:gridSpan w:val="2"/>
            <w:tcBorders>
              <w:top w:val="single" w:sz="4" w:space="0" w:color="auto"/>
              <w:left w:val="single" w:sz="4" w:space="0" w:color="auto"/>
              <w:bottom w:val="single" w:sz="4" w:space="0" w:color="auto"/>
              <w:right w:val="single" w:sz="4" w:space="0" w:color="auto"/>
            </w:tcBorders>
            <w:shd w:val="clear" w:color="auto" w:fill="E1E4E9"/>
            <w:hideMark/>
          </w:tcPr>
          <w:p w:rsidR="00547C61" w:rsidRDefault="00547C61">
            <w:pPr>
              <w:rPr>
                <w:lang w:val="en-US"/>
              </w:rPr>
            </w:pPr>
            <w:r>
              <w:rPr>
                <w:i/>
                <w:lang w:val="en-US"/>
              </w:rPr>
              <w:t>Low scenario</w:t>
            </w:r>
          </w:p>
        </w:tc>
        <w:tc>
          <w:tcPr>
            <w:tcW w:w="2977" w:type="dxa"/>
            <w:tcBorders>
              <w:top w:val="single" w:sz="4" w:space="0" w:color="auto"/>
              <w:left w:val="single" w:sz="4" w:space="0" w:color="auto"/>
              <w:bottom w:val="single" w:sz="4" w:space="0" w:color="auto"/>
              <w:right w:val="single" w:sz="4" w:space="0" w:color="auto"/>
            </w:tcBorders>
            <w:shd w:val="clear" w:color="auto" w:fill="E1E4E9"/>
          </w:tcPr>
          <w:p w:rsidR="00547C61" w:rsidRDefault="00547C61">
            <w:pPr>
              <w:rPr>
                <w:lang w:val="en-US"/>
              </w:rPr>
            </w:pPr>
          </w:p>
        </w:tc>
        <w:tc>
          <w:tcPr>
            <w:tcW w:w="3145" w:type="dxa"/>
            <w:tcBorders>
              <w:top w:val="single" w:sz="4" w:space="0" w:color="auto"/>
              <w:left w:val="single" w:sz="4" w:space="0" w:color="auto"/>
              <w:bottom w:val="single" w:sz="4" w:space="0" w:color="auto"/>
              <w:right w:val="single" w:sz="4" w:space="0" w:color="auto"/>
            </w:tcBorders>
            <w:shd w:val="clear" w:color="auto" w:fill="E1E4E9"/>
          </w:tcPr>
          <w:p w:rsidR="00547C61" w:rsidRDefault="00547C61">
            <w:pPr>
              <w:rPr>
                <w:lang w:val="en-US"/>
              </w:rPr>
            </w:pPr>
          </w:p>
        </w:tc>
      </w:tr>
      <w:tr w:rsidR="00A74837" w:rsidTr="00DE7345">
        <w:trPr>
          <w:trHeight w:val="355"/>
        </w:trPr>
        <w:tc>
          <w:tcPr>
            <w:tcW w:w="1838" w:type="dxa"/>
            <w:tcBorders>
              <w:top w:val="single" w:sz="4" w:space="0" w:color="auto"/>
              <w:left w:val="single" w:sz="4" w:space="0" w:color="auto"/>
              <w:bottom w:val="nil"/>
              <w:right w:val="single" w:sz="4" w:space="0" w:color="auto"/>
            </w:tcBorders>
          </w:tcPr>
          <w:p w:rsidR="00A74837" w:rsidRDefault="00A74837">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2025</w:t>
            </w:r>
          </w:p>
        </w:tc>
        <w:tc>
          <w:tcPr>
            <w:tcW w:w="2977"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964.77 ML</w:t>
            </w:r>
          </w:p>
        </w:tc>
        <w:tc>
          <w:tcPr>
            <w:tcW w:w="3145"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10.42%</w:t>
            </w:r>
          </w:p>
        </w:tc>
      </w:tr>
      <w:tr w:rsidR="00A74837" w:rsidTr="00DE7345">
        <w:trPr>
          <w:trHeight w:val="118"/>
        </w:trPr>
        <w:tc>
          <w:tcPr>
            <w:tcW w:w="1838" w:type="dxa"/>
            <w:tcBorders>
              <w:top w:val="nil"/>
              <w:left w:val="single" w:sz="4" w:space="0" w:color="auto"/>
              <w:bottom w:val="single" w:sz="4" w:space="0" w:color="auto"/>
              <w:right w:val="single" w:sz="4" w:space="0" w:color="auto"/>
            </w:tcBorders>
          </w:tcPr>
          <w:p w:rsidR="00A74837" w:rsidRDefault="00A74837">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2050</w:t>
            </w:r>
          </w:p>
        </w:tc>
        <w:tc>
          <w:tcPr>
            <w:tcW w:w="2977"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1,176.57 ML</w:t>
            </w:r>
          </w:p>
        </w:tc>
        <w:tc>
          <w:tcPr>
            <w:tcW w:w="3145"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7.57%</w:t>
            </w:r>
          </w:p>
        </w:tc>
      </w:tr>
      <w:tr w:rsidR="00547C61" w:rsidTr="00874D4A">
        <w:trPr>
          <w:trHeight w:val="351"/>
        </w:trPr>
        <w:tc>
          <w:tcPr>
            <w:tcW w:w="3114" w:type="dxa"/>
            <w:gridSpan w:val="2"/>
            <w:tcBorders>
              <w:top w:val="single" w:sz="4" w:space="0" w:color="auto"/>
              <w:left w:val="single" w:sz="4" w:space="0" w:color="auto"/>
              <w:bottom w:val="single" w:sz="4" w:space="0" w:color="auto"/>
              <w:right w:val="single" w:sz="4" w:space="0" w:color="auto"/>
            </w:tcBorders>
            <w:shd w:val="clear" w:color="auto" w:fill="E1E4E9"/>
            <w:hideMark/>
          </w:tcPr>
          <w:p w:rsidR="00547C61" w:rsidRDefault="00547C61">
            <w:pPr>
              <w:rPr>
                <w:lang w:val="en-US"/>
              </w:rPr>
            </w:pPr>
            <w:r>
              <w:rPr>
                <w:i/>
                <w:lang w:val="en-US"/>
              </w:rPr>
              <w:t>High scenario</w:t>
            </w:r>
          </w:p>
        </w:tc>
        <w:tc>
          <w:tcPr>
            <w:tcW w:w="2977" w:type="dxa"/>
            <w:tcBorders>
              <w:top w:val="single" w:sz="4" w:space="0" w:color="auto"/>
              <w:left w:val="single" w:sz="4" w:space="0" w:color="auto"/>
              <w:bottom w:val="single" w:sz="4" w:space="0" w:color="auto"/>
              <w:right w:val="single" w:sz="4" w:space="0" w:color="auto"/>
            </w:tcBorders>
            <w:shd w:val="clear" w:color="auto" w:fill="E1E4E9"/>
          </w:tcPr>
          <w:p w:rsidR="00547C61" w:rsidRDefault="00547C61">
            <w:pPr>
              <w:rPr>
                <w:lang w:val="en-US"/>
              </w:rPr>
            </w:pPr>
          </w:p>
        </w:tc>
        <w:tc>
          <w:tcPr>
            <w:tcW w:w="3145" w:type="dxa"/>
            <w:tcBorders>
              <w:top w:val="single" w:sz="4" w:space="0" w:color="auto"/>
              <w:left w:val="single" w:sz="4" w:space="0" w:color="auto"/>
              <w:bottom w:val="single" w:sz="4" w:space="0" w:color="auto"/>
              <w:right w:val="single" w:sz="4" w:space="0" w:color="auto"/>
            </w:tcBorders>
            <w:shd w:val="clear" w:color="auto" w:fill="E1E4E9"/>
          </w:tcPr>
          <w:p w:rsidR="00547C61" w:rsidRDefault="00547C61">
            <w:pPr>
              <w:rPr>
                <w:lang w:val="en-US"/>
              </w:rPr>
            </w:pPr>
          </w:p>
        </w:tc>
      </w:tr>
      <w:tr w:rsidR="00A74837" w:rsidTr="00DE7345">
        <w:trPr>
          <w:trHeight w:val="351"/>
        </w:trPr>
        <w:tc>
          <w:tcPr>
            <w:tcW w:w="1838" w:type="dxa"/>
            <w:tcBorders>
              <w:top w:val="single" w:sz="4" w:space="0" w:color="auto"/>
              <w:left w:val="single" w:sz="4" w:space="0" w:color="auto"/>
              <w:bottom w:val="nil"/>
              <w:right w:val="single" w:sz="4" w:space="0" w:color="auto"/>
            </w:tcBorders>
          </w:tcPr>
          <w:p w:rsidR="00A74837" w:rsidRDefault="00A74837">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2025</w:t>
            </w:r>
          </w:p>
        </w:tc>
        <w:tc>
          <w:tcPr>
            <w:tcW w:w="2977"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5,511.33 ML</w:t>
            </w:r>
          </w:p>
        </w:tc>
        <w:tc>
          <w:tcPr>
            <w:tcW w:w="3145"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59.54%</w:t>
            </w:r>
          </w:p>
        </w:tc>
      </w:tr>
      <w:tr w:rsidR="00A74837" w:rsidTr="00DE7345">
        <w:trPr>
          <w:trHeight w:val="118"/>
        </w:trPr>
        <w:tc>
          <w:tcPr>
            <w:tcW w:w="1838" w:type="dxa"/>
            <w:tcBorders>
              <w:top w:val="nil"/>
              <w:left w:val="single" w:sz="4" w:space="0" w:color="auto"/>
              <w:bottom w:val="single" w:sz="4" w:space="0" w:color="auto"/>
              <w:right w:val="single" w:sz="4" w:space="0" w:color="auto"/>
            </w:tcBorders>
          </w:tcPr>
          <w:p w:rsidR="00A74837" w:rsidRDefault="00A74837">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2050</w:t>
            </w:r>
          </w:p>
        </w:tc>
        <w:tc>
          <w:tcPr>
            <w:tcW w:w="2977"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13,939.54 ML</w:t>
            </w:r>
          </w:p>
        </w:tc>
        <w:tc>
          <w:tcPr>
            <w:tcW w:w="3145" w:type="dxa"/>
            <w:tcBorders>
              <w:top w:val="single" w:sz="4" w:space="0" w:color="auto"/>
              <w:left w:val="single" w:sz="4" w:space="0" w:color="auto"/>
              <w:bottom w:val="single" w:sz="4" w:space="0" w:color="auto"/>
              <w:right w:val="single" w:sz="4" w:space="0" w:color="auto"/>
            </w:tcBorders>
            <w:hideMark/>
          </w:tcPr>
          <w:p w:rsidR="00A74837" w:rsidRDefault="00A74837">
            <w:pPr>
              <w:rPr>
                <w:lang w:val="en-US"/>
              </w:rPr>
            </w:pPr>
            <w:r>
              <w:rPr>
                <w:lang w:val="en-US"/>
              </w:rPr>
              <w:t>89.72%</w:t>
            </w:r>
          </w:p>
        </w:tc>
      </w:tr>
    </w:tbl>
    <w:p w:rsidR="00C47897" w:rsidRDefault="00A74837" w:rsidP="00261D6C">
      <w:pPr>
        <w:rPr>
          <w:rFonts w:eastAsia="MS PGothic" w:cstheme="minorHAnsi"/>
          <w:color w:val="085257"/>
          <w:sz w:val="28"/>
          <w:szCs w:val="28"/>
        </w:rPr>
      </w:pPr>
      <w:r>
        <w:t>Source: CSIRO 2023</w:t>
      </w:r>
      <w:r w:rsidR="00DE7345">
        <w:rPr>
          <w:rStyle w:val="FootnoteReference"/>
        </w:rPr>
        <w:footnoteReference w:id="15"/>
      </w:r>
    </w:p>
    <w:p w:rsidR="004F58D0" w:rsidRPr="00CC12A5" w:rsidRDefault="004F58D0" w:rsidP="00261D6C">
      <w:pPr>
        <w:pStyle w:val="Heading3"/>
      </w:pPr>
      <w:bookmarkStart w:id="24" w:name="_Toc168994023"/>
      <w:r w:rsidRPr="00CC12A5">
        <w:t>International jurisdictions already have a mix of demand- and supply-side supports in place</w:t>
      </w:r>
      <w:bookmarkEnd w:id="24"/>
    </w:p>
    <w:p w:rsidR="004F58D0" w:rsidRDefault="00A621C2" w:rsidP="004F58D0">
      <w:r>
        <w:t>C</w:t>
      </w:r>
      <w:r w:rsidR="004F58D0">
        <w:t>ountries around the world have implemented their own set of policies to promote the uptake of LCLF</w:t>
      </w:r>
      <w:r>
        <w:t>, including the US, EU, Japan and Singapore</w:t>
      </w:r>
      <w:r w:rsidR="004F58D0">
        <w:t>. The</w:t>
      </w:r>
      <w:r>
        <w:t>ir</w:t>
      </w:r>
      <w:r w:rsidR="004F58D0">
        <w:t xml:space="preserve"> policy choices </w:t>
      </w:r>
      <w:r>
        <w:t xml:space="preserve">have been </w:t>
      </w:r>
      <w:r w:rsidR="004F58D0">
        <w:t xml:space="preserve">driven by each country's respective energy demands, environmental agendas, and economic priorities. </w:t>
      </w:r>
    </w:p>
    <w:p w:rsidR="0025514D" w:rsidRPr="004D49A3" w:rsidRDefault="004F58D0" w:rsidP="004F58D0">
      <w:pPr>
        <w:rPr>
          <w:i/>
        </w:rPr>
      </w:pPr>
      <w:r>
        <w:t xml:space="preserve">Governments have implemented various </w:t>
      </w:r>
      <w:r w:rsidR="00D41B46">
        <w:t>low carbon</w:t>
      </w:r>
      <w:r w:rsidR="00557CDA">
        <w:t xml:space="preserve"> </w:t>
      </w:r>
      <w:r>
        <w:t xml:space="preserve">liquid fuel policies to achieve these goals, utilising different mixes of policy levers such as carbon intensity standards, blending and volume mandates, tax incentives, and capital grants. </w:t>
      </w:r>
      <w:r w:rsidR="00AA564E">
        <w:t>T</w:t>
      </w:r>
      <w:r w:rsidR="00181559">
        <w:t xml:space="preserve">he </w:t>
      </w:r>
      <w:r>
        <w:t xml:space="preserve">Government </w:t>
      </w:r>
      <w:r w:rsidR="00181559">
        <w:t xml:space="preserve">is </w:t>
      </w:r>
      <w:r>
        <w:t>consider</w:t>
      </w:r>
      <w:r w:rsidR="00181559">
        <w:t>ing</w:t>
      </w:r>
      <w:r>
        <w:t xml:space="preserve"> the potential effectiveness and </w:t>
      </w:r>
      <w:r w:rsidR="00181559">
        <w:t xml:space="preserve">impacts </w:t>
      </w:r>
      <w:r>
        <w:t>of these policy levers in the Australian context.</w:t>
      </w:r>
    </w:p>
    <w:p w:rsidR="00A543ED" w:rsidRPr="00A543ED" w:rsidRDefault="004F58D0" w:rsidP="00A543ED">
      <w:pPr>
        <w:pStyle w:val="Heading4"/>
        <w:spacing w:after="120" w:line="276" w:lineRule="auto"/>
      </w:pPr>
      <w:r w:rsidRPr="00D55E45">
        <w:lastRenderedPageBreak/>
        <w:t>International policies examples:</w:t>
      </w:r>
    </w:p>
    <w:p w:rsidR="004F58D0" w:rsidRDefault="006E7346" w:rsidP="00A543ED">
      <w:pPr>
        <w:spacing w:after="240"/>
        <w:rPr>
          <w:b/>
        </w:rPr>
      </w:pPr>
      <w:r w:rsidRPr="006E7346">
        <w:rPr>
          <w:b/>
          <w:noProof/>
          <w:lang w:eastAsia="en-AU"/>
        </w:rPr>
        <mc:AlternateContent>
          <mc:Choice Requires="wps">
            <w:drawing>
              <wp:anchor distT="45720" distB="45720" distL="114300" distR="114300" simplePos="0" relativeHeight="251658241" behindDoc="0" locked="0" layoutInCell="1" allowOverlap="1" wp14:anchorId="08AD89CF" wp14:editId="06C9AF76">
                <wp:simplePos x="0" y="0"/>
                <wp:positionH relativeFrom="margin">
                  <wp:posOffset>0</wp:posOffset>
                </wp:positionH>
                <wp:positionV relativeFrom="paragraph">
                  <wp:posOffset>252730</wp:posOffset>
                </wp:positionV>
                <wp:extent cx="5915025" cy="1404620"/>
                <wp:effectExtent l="0" t="0" r="28575" b="1651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6666"/>
                          </a:solidFill>
                          <a:miter lim="800000"/>
                          <a:headEnd/>
                          <a:tailEnd/>
                        </a:ln>
                      </wps:spPr>
                      <wps:txbx>
                        <w:txbxContent>
                          <w:p w:rsidR="00874D4A" w:rsidRDefault="00874D4A" w:rsidP="009F2F46">
                            <w:r>
                              <w:t>Under the US Inflation Reduction Act, a SAF Credit was created to support the SAF Grand Challenge (a US Government wide approach working in collaboration with Industry to reduce cost, enhance sustainability and expand domestic production). The c</w:t>
                            </w:r>
                            <w:r w:rsidRPr="0076051C">
                              <w:t>redit incentivi</w:t>
                            </w:r>
                            <w:r>
                              <w:t>s</w:t>
                            </w:r>
                            <w:r w:rsidRPr="0076051C">
                              <w:t>es the production of SAF that achieves a lifecycle greenhouse gas emissions reduction of at least 50% as compared with petroleum-based jet fuel</w:t>
                            </w:r>
                            <w:r>
                              <w:t>, and the credit is available from 31 December 2022 to 1 January 2025.</w:t>
                            </w:r>
                          </w:p>
                          <w:p w:rsidR="00874D4A" w:rsidRDefault="00874D4A" w:rsidP="009F2F46">
                            <w:r>
                              <w:t>Producers of SAF are eligible for a tax credit of $1.25 USD to $1.75 USD per gallon. SAF that achieves a greenhouse gas (GHG) emissions reduction of 50% is eligible for the $1.25 USD credit per gallon amount, and SAF that achieves a GHG emissions reduction of more than 50% is eligible for an additional $0.01 USD per gallon for each percentage point the reduction exceeds 50%, up to $0.50 USD per gallon.</w:t>
                            </w:r>
                          </w:p>
                          <w:p w:rsidR="00874D4A" w:rsidRDefault="00874D4A" w:rsidP="009F2F46">
                            <w:r w:rsidRPr="006E7346">
                              <w:t>From 2025, SAF producers will instead be eligible for a Clean Fuel Production Credit, this is an extension of the above credit incentive, concluding in December 2027. Producers can demonstrate the lifecycle greenhouse gas emissions rates of their products for the purposes of the SAF Credit using the newly announced 40B SAF-GREET 2024 model or other designated mechanisms.</w:t>
                            </w:r>
                          </w:p>
                          <w:p w:rsidR="00874D4A" w:rsidRDefault="00874D4A" w:rsidP="009F2F46">
                            <w:pPr>
                              <w:spacing w:after="0"/>
                            </w:pPr>
                            <w:r w:rsidRPr="006E7346">
                              <w:t>To support this the US Department of Agriculture announced a pilot program to encourage use of certain Climate Smart Agriculture (CSA) practices for SAF feedstocks. Incorporating CSA practices into the production of SAF provides multiple benefits, including lower overall GHG emissions associated with SAF production and increased adoption of farming practices that are associated with other environmental benefits, such as improved water quality and soil 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D89CF" id="_x0000_t202" coordsize="21600,21600" o:spt="202" path="m,l,21600r21600,l21600,xe">
                <v:stroke joinstyle="miter"/>
                <v:path gradientshapeok="t" o:connecttype="rect"/>
              </v:shapetype>
              <v:shape id="_x0000_s1026" type="#_x0000_t202" style="position:absolute;margin-left:0;margin-top:19.9pt;width:465.7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" strokecolor="#066">
                <v:textbox style="mso-fit-shape-to-text:t">
                  <w:txbxContent>
                    <w:p w:rsidR="00874D4A" w:rsidRDefault="00874D4A" w:rsidP="009F2F46">
                      <w:r>
                        <w:t>Under the US Inflation Reduction Act, a SAF Credit was created to support the SAF Grand Challenge (a US Government wide approach working in collaboration with Industry to reduce cost, enhance sustainability and expand domestic production). The c</w:t>
                      </w:r>
                      <w:r w:rsidRPr="0076051C">
                        <w:t>redit incentivi</w:t>
                      </w:r>
                      <w:r>
                        <w:t>s</w:t>
                      </w:r>
                      <w:r w:rsidRPr="0076051C">
                        <w:t>es the production of SAF that achieves a lifecycle greenhouse gas emissions reduction of at least 50% as compared with petroleum-based jet fuel</w:t>
                      </w:r>
                      <w:r>
                        <w:t>, and the credit is available from 31 December 2022 to 1 January 2025.</w:t>
                      </w:r>
                    </w:p>
                    <w:p w:rsidR="00874D4A" w:rsidRDefault="00874D4A" w:rsidP="009F2F46">
                      <w:r>
                        <w:t>Producers of SAF are eligible for a tax credit of $1.25 USD to $1.75 USD per gallon. SAF that achieves a greenhouse gas (GHG) emissions reduction of 50% is eligible for the $1.25 USD credit per gallon amount, and SAF that achieves a GHG emissions reduction of more than 50% is eligible for an additional $0.01 USD per gallon for each percentage point the reduction exceeds 50%, up to $0.50 USD per gallon.</w:t>
                      </w:r>
                    </w:p>
                    <w:p w:rsidR="00874D4A" w:rsidRDefault="00874D4A" w:rsidP="009F2F46">
                      <w:r w:rsidRPr="006E7346">
                        <w:t>From 2025, SAF producers will instead be eligible for a Clean Fuel Production Credit, this is an extension of the above credit incentive, concluding in December 2027. Producers can demonstrate the lifecycle greenhouse gas emissions rates of their products for the purposes of the SAF Credit using the newly announced 40B SAF-GREET 2024 model or other designated mechanisms.</w:t>
                      </w:r>
                    </w:p>
                    <w:p w:rsidR="00874D4A" w:rsidRDefault="00874D4A" w:rsidP="009F2F46">
                      <w:pPr>
                        <w:spacing w:after="0"/>
                      </w:pPr>
                      <w:r w:rsidRPr="006E7346">
                        <w:t>To support this the US Department of Agriculture announced a pilot program to encourage use of certain Climate Smart Agriculture (CSA) practices for SAF feedstocks. Incorporating CSA practices into the production of SAF provides multiple benefits, including lower overall GHG emissions associated with SAF production and increased adoption of farming practices that are associated with other environmental benefits, such as improved water quality and soil health.</w:t>
                      </w:r>
                    </w:p>
                  </w:txbxContent>
                </v:textbox>
                <w10:wrap type="topAndBottom" anchorx="margin"/>
              </v:shape>
            </w:pict>
          </mc:Fallback>
        </mc:AlternateContent>
      </w:r>
      <w:r w:rsidR="004F58D0" w:rsidRPr="0039415B">
        <w:rPr>
          <w:b/>
        </w:rPr>
        <w:t>Example 1 - The US Inflation Reduction Act</w:t>
      </w:r>
    </w:p>
    <w:p w:rsidR="006E7346" w:rsidRDefault="006E7346" w:rsidP="006E7346">
      <w:pPr>
        <w:spacing w:after="0"/>
        <w:rPr>
          <w:b/>
        </w:rPr>
      </w:pPr>
    </w:p>
    <w:p w:rsidR="00146D24" w:rsidRPr="00A543ED" w:rsidRDefault="009F2F46" w:rsidP="00A543ED">
      <w:pPr>
        <w:rPr>
          <w:b/>
        </w:rPr>
      </w:pPr>
      <w:r w:rsidRPr="006E7346">
        <w:rPr>
          <w:b/>
          <w:noProof/>
          <w:lang w:eastAsia="en-AU"/>
        </w:rPr>
        <mc:AlternateContent>
          <mc:Choice Requires="wps">
            <w:drawing>
              <wp:anchor distT="45720" distB="45720" distL="114300" distR="114300" simplePos="0" relativeHeight="251658242" behindDoc="0" locked="0" layoutInCell="1" allowOverlap="1" wp14:anchorId="38E6F775" wp14:editId="7A58EE63">
                <wp:simplePos x="0" y="0"/>
                <wp:positionH relativeFrom="margin">
                  <wp:posOffset>0</wp:posOffset>
                </wp:positionH>
                <wp:positionV relativeFrom="paragraph">
                  <wp:posOffset>266065</wp:posOffset>
                </wp:positionV>
                <wp:extent cx="5915025" cy="1404620"/>
                <wp:effectExtent l="0" t="0" r="28575"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6666"/>
                          </a:solidFill>
                          <a:miter lim="800000"/>
                          <a:headEnd/>
                          <a:tailEnd/>
                        </a:ln>
                      </wps:spPr>
                      <wps:txbx>
                        <w:txbxContent>
                          <w:p w:rsidR="00874D4A" w:rsidRDefault="00874D4A" w:rsidP="009F2F46">
                            <w:pPr>
                              <w:spacing w:after="0"/>
                            </w:pPr>
                            <w:r w:rsidRPr="006E7346">
                              <w:t>ReFuel EU is an initiative to increase demand, investment and infrastructure for SAF while decreasing the dependency of fuels with high carbon emissions in the EU. The mandate, beginning in 2025, requires the fuel uptake at airports to be at least 2 per cent of SAF. This percentage will gradually increase each year, with the mandate increasing to 6 per cent by 2030, 20 per cent by 2035 and 70 per cent by 2050. These requirements will apply to all flights originating from the EU, regardless of destination.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6F775" id="_x0000_s1027" type="#_x0000_t202" style="position:absolute;margin-left:0;margin-top:20.95pt;width:465.7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" strokecolor="#066">
                <v:textbox style="mso-fit-shape-to-text:t">
                  <w:txbxContent>
                    <w:p w:rsidR="00874D4A" w:rsidRDefault="00874D4A" w:rsidP="009F2F46">
                      <w:pPr>
                        <w:spacing w:after="0"/>
                      </w:pPr>
                      <w:r w:rsidRPr="006E7346">
                        <w:t>ReFuel EU is an initiative to increase demand, investment and infrastructure for SAF while decreasing the dependency of fuels with high carbon emissions in the EU. The mandate, beginning in 2025, requires the fuel uptake at airports to be at least 2 per cent of SAF. This percentage will gradually increase each year, with the mandate increasing to 6 per cent by 2030, 20 per cent by 2035 and 70 per cent by 2050. These requirements will apply to all flights originating from the EU, regardless of destination.</w:t>
                      </w:r>
                    </w:p>
                  </w:txbxContent>
                </v:textbox>
                <w10:wrap type="topAndBottom" anchorx="margin"/>
              </v:shape>
            </w:pict>
          </mc:Fallback>
        </mc:AlternateContent>
      </w:r>
      <w:r w:rsidR="004F58D0" w:rsidRPr="0039415B">
        <w:rPr>
          <w:b/>
        </w:rPr>
        <w:t xml:space="preserve">Example 2 </w:t>
      </w:r>
      <w:r w:rsidR="001B3CDA">
        <w:rPr>
          <w:b/>
        </w:rPr>
        <w:t>–</w:t>
      </w:r>
      <w:r w:rsidR="004F58D0" w:rsidRPr="0039415B">
        <w:rPr>
          <w:b/>
        </w:rPr>
        <w:t xml:space="preserve"> E</w:t>
      </w:r>
      <w:r w:rsidR="001B3CDA">
        <w:rPr>
          <w:b/>
        </w:rPr>
        <w:t xml:space="preserve">uropean </w:t>
      </w:r>
      <w:r w:rsidR="004F58D0" w:rsidRPr="0039415B">
        <w:rPr>
          <w:b/>
        </w:rPr>
        <w:t>U</w:t>
      </w:r>
      <w:r w:rsidR="001B3CDA">
        <w:rPr>
          <w:b/>
        </w:rPr>
        <w:t>nion (EU)</w:t>
      </w:r>
      <w:r w:rsidR="004F58D0" w:rsidRPr="0039415B">
        <w:rPr>
          <w:b/>
        </w:rPr>
        <w:t xml:space="preserve"> SAF Mandate</w:t>
      </w:r>
    </w:p>
    <w:p w:rsidR="00146D24" w:rsidRPr="00146D24" w:rsidRDefault="00146D24" w:rsidP="00A543ED">
      <w:pPr>
        <w:spacing w:after="0"/>
      </w:pPr>
    </w:p>
    <w:p w:rsidR="00BF0D21" w:rsidRPr="00CC12A5" w:rsidRDefault="00E729C1" w:rsidP="00772552">
      <w:pPr>
        <w:pStyle w:val="Heading3"/>
        <w:spacing w:line="276" w:lineRule="auto"/>
      </w:pPr>
      <w:bookmarkStart w:id="25" w:name="_Toc168994024"/>
      <w:r w:rsidRPr="00CC12A5">
        <w:t>Thriving industries support thriving communities and workers</w:t>
      </w:r>
      <w:bookmarkEnd w:id="25"/>
    </w:p>
    <w:p w:rsidR="00066177" w:rsidRDefault="00DD69F1" w:rsidP="00261D6C">
      <w:pPr>
        <w:spacing w:after="120"/>
      </w:pPr>
      <w:r w:rsidRPr="00483587">
        <w:t>Submissions to the Aviation Green Paper process have highlighted the potential of a local SAF industry to create new jobs, many of which would be generated in regional communities. According to ICF modelling supplied by Qantas in response to the Aviation Green Paper, SAF production has the potential to contribute approximately $13 billion in GDP per year by 2040, while supporting nearly 13,000 jobs in the feedstock supply chain and creating 5,000 new high-value jobs to construct and run the facilities</w:t>
      </w:r>
      <w:r w:rsidR="00066177">
        <w:t>.</w:t>
      </w:r>
    </w:p>
    <w:p w:rsidR="00066177" w:rsidRDefault="00066177" w:rsidP="00DD69F1">
      <w:pPr>
        <w:spacing w:before="120" w:after="120"/>
      </w:pPr>
    </w:p>
    <w:p w:rsidR="00066177" w:rsidRDefault="00E729C1" w:rsidP="00066177">
      <w:pPr>
        <w:spacing w:before="120"/>
      </w:pPr>
      <w:r w:rsidRPr="00483587">
        <w:lastRenderedPageBreak/>
        <w:t xml:space="preserve">Modelling for Australia’s Bioenergy Roadmap estimates bioenergy could potentially support between 10,700 </w:t>
      </w:r>
      <w:r w:rsidR="007F1E5C">
        <w:t>-</w:t>
      </w:r>
      <w:r w:rsidRPr="00483587">
        <w:t xml:space="preserve"> 28,100 additional jobs by 2030 and 13,400 </w:t>
      </w:r>
      <w:r w:rsidR="007F1E5C">
        <w:t>-</w:t>
      </w:r>
      <w:r w:rsidRPr="00483587">
        <w:t xml:space="preserve"> 35,300 additional jobs by 2050 (depending on the level of industry and government intervention). The modelling for one of the more ambitious scenarios stated that at least one in four additional jobs are expected to be in regional areas. </w:t>
      </w:r>
      <w:bookmarkStart w:id="26" w:name="_Hlk165654508"/>
    </w:p>
    <w:p w:rsidR="009B58F6" w:rsidRDefault="00066177" w:rsidP="00DD69F1">
      <w:pPr>
        <w:spacing w:before="120" w:after="120"/>
      </w:pPr>
      <w:r>
        <w:rPr>
          <w:noProof/>
          <w:lang w:eastAsia="en-AU"/>
        </w:rPr>
        <mc:AlternateContent>
          <mc:Choice Requires="wps">
            <w:drawing>
              <wp:inline distT="0" distB="0" distL="0" distR="0" wp14:anchorId="0E52A46F" wp14:editId="137AEA41">
                <wp:extent cx="5915025" cy="1404620"/>
                <wp:effectExtent l="0" t="0" r="9525" b="82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E1E4E9"/>
                        </a:solidFill>
                        <a:ln w="9525">
                          <a:noFill/>
                          <a:miter lim="800000"/>
                          <a:headEnd/>
                          <a:tailEnd/>
                        </a:ln>
                      </wps:spPr>
                      <wps:txbx>
                        <w:txbxContent>
                          <w:p w:rsidR="00874D4A" w:rsidRPr="004D49A3" w:rsidRDefault="00874D4A" w:rsidP="00066177">
                            <w:pPr>
                              <w:widowControl w:val="0"/>
                              <w:autoSpaceDE w:val="0"/>
                              <w:autoSpaceDN w:val="0"/>
                              <w:spacing w:before="120" w:after="120" w:line="240" w:lineRule="auto"/>
                            </w:pPr>
                            <w:r w:rsidRPr="004D49A3">
                              <w:t xml:space="preserve">The Government notes it has recently sought views on the current state of Australia’s LCLF market through its consultation on the Electricity and Energy Sector Plan. However, we welcome additional insights into the market, for example: </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b/>
                                <w:i/>
                              </w:rPr>
                            </w:pPr>
                            <w:r w:rsidRPr="00AD5F47">
                              <w:rPr>
                                <w:rFonts w:cstheme="minorHAnsi"/>
                              </w:rPr>
                              <w:t>Pricing data and the ‘green premium’ of these fuels</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Production cost data</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Data on the differences between production cost and LCLF sale price</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Potential current and future demand for these fuels under different scenarios of Government intervention, such as the introduction of demand- and/or supply-side policies</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Potential production volumes for Australia under different scenarios of Government intervention, such as the introduction of demand- and/or supply-side policies</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Where fuels are currently being sourced from and used</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Current industry size, value and maturity – in Australia and overseas</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Capacity to source LCLF from global supply chains</w:t>
                            </w:r>
                          </w:p>
                          <w:p w:rsidR="00874D4A" w:rsidRDefault="00874D4A" w:rsidP="00066177">
                            <w:pPr>
                              <w:widowControl w:val="0"/>
                              <w:autoSpaceDE w:val="0"/>
                              <w:autoSpaceDN w:val="0"/>
                              <w:spacing w:before="120" w:after="120" w:line="240" w:lineRule="auto"/>
                              <w:rPr>
                                <w:rFonts w:cstheme="minorHAnsi"/>
                              </w:rPr>
                            </w:pPr>
                            <w:r w:rsidRPr="00E729C1">
                              <w:rPr>
                                <w:rFonts w:cstheme="minorHAnsi"/>
                              </w:rPr>
                              <w:t>What do you think are Australia’s comparative advantages as an LCLF producer? Where does Australia face international competition?</w:t>
                            </w:r>
                          </w:p>
                          <w:p w:rsidR="00874D4A" w:rsidRPr="006E7346" w:rsidRDefault="00874D4A" w:rsidP="00066177">
                            <w:pPr>
                              <w:widowControl w:val="0"/>
                              <w:autoSpaceDE w:val="0"/>
                              <w:autoSpaceDN w:val="0"/>
                              <w:spacing w:before="120" w:after="0" w:line="240" w:lineRule="auto"/>
                              <w:rPr>
                                <w:rFonts w:cstheme="minorHAnsi"/>
                              </w:rPr>
                            </w:pPr>
                            <w:r>
                              <w:rPr>
                                <w:rFonts w:cstheme="minorHAnsi"/>
                              </w:rPr>
                              <w:t xml:space="preserve">Based on the current policy and market environment, to what extent will Australia rely on imports of LCLF, as opposed to domestic production? </w:t>
                            </w:r>
                          </w:p>
                        </w:txbxContent>
                      </wps:txbx>
                      <wps:bodyPr rot="0" vert="horz" wrap="square" lIns="91440" tIns="45720" rIns="91440" bIns="45720" anchor="t" anchorCtr="0">
                        <a:spAutoFit/>
                      </wps:bodyPr>
                    </wps:wsp>
                  </a:graphicData>
                </a:graphic>
              </wp:inline>
            </w:drawing>
          </mc:Choice>
          <mc:Fallback>
            <w:pict>
              <v:shape w14:anchorId="0E52A46F" id="Text Box 2" o:spid="_x0000_s1028"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" fillcolor="#e1e4e9" stroked="f">
                <v:textbox style="mso-fit-shape-to-text:t">
                  <w:txbxContent>
                    <w:p w:rsidR="00874D4A" w:rsidRPr="004D49A3" w:rsidRDefault="00874D4A" w:rsidP="00066177">
                      <w:pPr>
                        <w:widowControl w:val="0"/>
                        <w:autoSpaceDE w:val="0"/>
                        <w:autoSpaceDN w:val="0"/>
                        <w:spacing w:before="120" w:after="120" w:line="240" w:lineRule="auto"/>
                      </w:pPr>
                      <w:r w:rsidRPr="004D49A3">
                        <w:t xml:space="preserve">The Government notes it has recently sought views on the current state of Australia’s LCLF market through its consultation on the Electricity and Energy Sector Plan. However, we welcome additional insights into the market, for example: </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b/>
                          <w:i/>
                        </w:rPr>
                      </w:pPr>
                      <w:r w:rsidRPr="00AD5F47">
                        <w:rPr>
                          <w:rFonts w:cstheme="minorHAnsi"/>
                        </w:rPr>
                        <w:t>Pricing data and the ‘green premium’ of these fuels</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Production cost data</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Data on the differences between production cost and LCLF sale price</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Potential current and future demand for these fuels under different scenarios of Government intervention, such as the introduction of demand- and/or supply-side policies</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Potential production volumes for Australia under different scenarios of Government intervention, such as the introduction of demand- and/or supply-side policies</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Where fuels are currently being sourced from and used</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Current industry size, value and maturity – in Australia and overseas</w:t>
                      </w:r>
                    </w:p>
                    <w:p w:rsidR="00874D4A" w:rsidRPr="00AD5F47" w:rsidRDefault="00874D4A" w:rsidP="00066177">
                      <w:pPr>
                        <w:pStyle w:val="ListParagraph"/>
                        <w:widowControl w:val="0"/>
                        <w:numPr>
                          <w:ilvl w:val="0"/>
                          <w:numId w:val="14"/>
                        </w:numPr>
                        <w:autoSpaceDE w:val="0"/>
                        <w:autoSpaceDN w:val="0"/>
                        <w:spacing w:before="120" w:after="120" w:line="240" w:lineRule="auto"/>
                        <w:rPr>
                          <w:rFonts w:cstheme="minorHAnsi"/>
                        </w:rPr>
                      </w:pPr>
                      <w:r w:rsidRPr="00AD5F47">
                        <w:rPr>
                          <w:rFonts w:cstheme="minorHAnsi"/>
                        </w:rPr>
                        <w:t>Capacity to source LCLF from global supply chains</w:t>
                      </w:r>
                    </w:p>
                    <w:p w:rsidR="00874D4A" w:rsidRDefault="00874D4A" w:rsidP="00066177">
                      <w:pPr>
                        <w:widowControl w:val="0"/>
                        <w:autoSpaceDE w:val="0"/>
                        <w:autoSpaceDN w:val="0"/>
                        <w:spacing w:before="120" w:after="120" w:line="240" w:lineRule="auto"/>
                        <w:rPr>
                          <w:rFonts w:cstheme="minorHAnsi"/>
                        </w:rPr>
                      </w:pPr>
                      <w:r w:rsidRPr="00E729C1">
                        <w:rPr>
                          <w:rFonts w:cstheme="minorHAnsi"/>
                        </w:rPr>
                        <w:t>What do you think are Australia’s comparative advantages as an LCLF producer? Where does Australia face international competition?</w:t>
                      </w:r>
                    </w:p>
                    <w:p w:rsidR="00874D4A" w:rsidRPr="006E7346" w:rsidRDefault="00874D4A" w:rsidP="00066177">
                      <w:pPr>
                        <w:widowControl w:val="0"/>
                        <w:autoSpaceDE w:val="0"/>
                        <w:autoSpaceDN w:val="0"/>
                        <w:spacing w:before="120" w:after="0" w:line="240" w:lineRule="auto"/>
                        <w:rPr>
                          <w:rFonts w:cstheme="minorHAnsi"/>
                        </w:rPr>
                      </w:pPr>
                      <w:r>
                        <w:rPr>
                          <w:rFonts w:cstheme="minorHAnsi"/>
                        </w:rPr>
                        <w:t xml:space="preserve">Based on the current policy and market environment, to what extent will Australia rely on imports of LCLF, as opposed to domestic production? </w:t>
                      </w:r>
                    </w:p>
                  </w:txbxContent>
                </v:textbox>
                <w10:anchorlock/>
              </v:shape>
            </w:pict>
          </mc:Fallback>
        </mc:AlternateContent>
      </w:r>
    </w:p>
    <w:p w:rsidR="00E729C1" w:rsidRPr="00E334DD" w:rsidRDefault="008E765A" w:rsidP="00261D6C">
      <w:pPr>
        <w:pStyle w:val="Heading2"/>
        <w:spacing w:before="0" w:line="240" w:lineRule="auto"/>
      </w:pPr>
      <w:bookmarkStart w:id="27" w:name="_Toc168994025"/>
      <w:r w:rsidRPr="00E334DD">
        <w:t>Government Actions</w:t>
      </w:r>
      <w:bookmarkEnd w:id="27"/>
    </w:p>
    <w:bookmarkEnd w:id="26"/>
    <w:p w:rsidR="00AF12A6" w:rsidRPr="00DD69F1" w:rsidRDefault="00E729C1" w:rsidP="00DD69F1">
      <w:pPr>
        <w:rPr>
          <w:color w:val="000000" w:themeColor="text1"/>
          <w:shd w:val="clear" w:color="auto" w:fill="FFFFFF"/>
        </w:rPr>
      </w:pPr>
      <w:r>
        <w:rPr>
          <w:rStyle w:val="normaltextrun"/>
          <w:color w:val="000000" w:themeColor="text1"/>
          <w:shd w:val="clear" w:color="auto" w:fill="FFFFFF"/>
        </w:rPr>
        <w:t>T</w:t>
      </w:r>
      <w:r w:rsidRPr="00ED1FBD">
        <w:rPr>
          <w:rStyle w:val="normaltextrun"/>
          <w:color w:val="000000" w:themeColor="text1"/>
          <w:shd w:val="clear" w:color="auto" w:fill="FFFFFF"/>
        </w:rPr>
        <w:t xml:space="preserve">he </w:t>
      </w:r>
      <w:r>
        <w:rPr>
          <w:rStyle w:val="normaltextrun"/>
          <w:color w:val="000000" w:themeColor="text1"/>
          <w:shd w:val="clear" w:color="auto" w:fill="FFFFFF"/>
        </w:rPr>
        <w:t xml:space="preserve">Australian </w:t>
      </w:r>
      <w:r w:rsidRPr="00ED1FBD">
        <w:rPr>
          <w:rStyle w:val="normaltextrun"/>
          <w:color w:val="000000" w:themeColor="text1"/>
          <w:shd w:val="clear" w:color="auto" w:fill="FFFFFF"/>
        </w:rPr>
        <w:t xml:space="preserve">Government is </w:t>
      </w:r>
      <w:r>
        <w:rPr>
          <w:rStyle w:val="normaltextrun"/>
          <w:color w:val="000000" w:themeColor="text1"/>
          <w:shd w:val="clear" w:color="auto" w:fill="FFFFFF"/>
        </w:rPr>
        <w:t>committed to reducing emissions and unlocking Australia’s renewable energy potential – driv</w:t>
      </w:r>
      <w:r w:rsidR="00181559">
        <w:rPr>
          <w:rStyle w:val="normaltextrun"/>
          <w:color w:val="000000" w:themeColor="text1"/>
          <w:shd w:val="clear" w:color="auto" w:fill="FFFFFF"/>
        </w:rPr>
        <w:t>ing</w:t>
      </w:r>
      <w:r>
        <w:rPr>
          <w:rStyle w:val="normaltextrun"/>
          <w:color w:val="000000" w:themeColor="text1"/>
          <w:shd w:val="clear" w:color="auto" w:fill="FFFFFF"/>
        </w:rPr>
        <w:t xml:space="preserve"> new manufacturing</w:t>
      </w:r>
      <w:r w:rsidR="00181559">
        <w:rPr>
          <w:rStyle w:val="normaltextrun"/>
          <w:color w:val="000000" w:themeColor="text1"/>
          <w:shd w:val="clear" w:color="auto" w:fill="FFFFFF"/>
        </w:rPr>
        <w:t xml:space="preserve"> opportunities</w:t>
      </w:r>
      <w:r>
        <w:rPr>
          <w:rStyle w:val="normaltextrun"/>
          <w:color w:val="000000" w:themeColor="text1"/>
          <w:shd w:val="clear" w:color="auto" w:fill="FFFFFF"/>
        </w:rPr>
        <w:t>, decarbonis</w:t>
      </w:r>
      <w:r w:rsidR="00181559">
        <w:rPr>
          <w:rStyle w:val="normaltextrun"/>
          <w:color w:val="000000" w:themeColor="text1"/>
          <w:shd w:val="clear" w:color="auto" w:fill="FFFFFF"/>
        </w:rPr>
        <w:t>ing</w:t>
      </w:r>
      <w:r>
        <w:rPr>
          <w:rStyle w:val="normaltextrun"/>
          <w:color w:val="000000" w:themeColor="text1"/>
          <w:shd w:val="clear" w:color="auto" w:fill="FFFFFF"/>
        </w:rPr>
        <w:t xml:space="preserve"> </w:t>
      </w:r>
      <w:r w:rsidR="00181559">
        <w:rPr>
          <w:rStyle w:val="normaltextrun"/>
          <w:color w:val="000000" w:themeColor="text1"/>
          <w:shd w:val="clear" w:color="auto" w:fill="FFFFFF"/>
        </w:rPr>
        <w:t xml:space="preserve">our </w:t>
      </w:r>
      <w:r>
        <w:rPr>
          <w:rStyle w:val="normaltextrun"/>
          <w:color w:val="000000" w:themeColor="text1"/>
          <w:shd w:val="clear" w:color="auto" w:fill="FFFFFF"/>
        </w:rPr>
        <w:t xml:space="preserve">economy, </w:t>
      </w:r>
      <w:r w:rsidR="00181559">
        <w:rPr>
          <w:rStyle w:val="normaltextrun"/>
          <w:color w:val="000000" w:themeColor="text1"/>
          <w:shd w:val="clear" w:color="auto" w:fill="FFFFFF"/>
        </w:rPr>
        <w:t>adding more value to agricultural products</w:t>
      </w:r>
      <w:r w:rsidR="00066177">
        <w:rPr>
          <w:rStyle w:val="normaltextrun"/>
          <w:color w:val="000000" w:themeColor="text1"/>
          <w:shd w:val="clear" w:color="auto" w:fill="FFFFFF"/>
        </w:rPr>
        <w:t>,</w:t>
      </w:r>
      <w:r w:rsidR="00181559">
        <w:rPr>
          <w:rStyle w:val="normaltextrun"/>
          <w:color w:val="000000" w:themeColor="text1"/>
          <w:shd w:val="clear" w:color="auto" w:fill="FFFFFF"/>
        </w:rPr>
        <w:t xml:space="preserve"> </w:t>
      </w:r>
      <w:r>
        <w:rPr>
          <w:rStyle w:val="normaltextrun"/>
          <w:color w:val="000000" w:themeColor="text1"/>
          <w:shd w:val="clear" w:color="auto" w:fill="FFFFFF"/>
        </w:rPr>
        <w:t>and enhanc</w:t>
      </w:r>
      <w:r w:rsidR="00181559">
        <w:rPr>
          <w:rStyle w:val="normaltextrun"/>
          <w:color w:val="000000" w:themeColor="text1"/>
          <w:shd w:val="clear" w:color="auto" w:fill="FFFFFF"/>
        </w:rPr>
        <w:t>ing</w:t>
      </w:r>
      <w:r>
        <w:rPr>
          <w:rStyle w:val="normaltextrun"/>
          <w:color w:val="000000" w:themeColor="text1"/>
          <w:shd w:val="clear" w:color="auto" w:fill="FFFFFF"/>
        </w:rPr>
        <w:t xml:space="preserve"> productivity. To achieve this, the Government is </w:t>
      </w:r>
      <w:r w:rsidRPr="00ED1FBD">
        <w:rPr>
          <w:rStyle w:val="normaltextrun"/>
          <w:color w:val="000000" w:themeColor="text1"/>
          <w:shd w:val="clear" w:color="auto" w:fill="FFFFFF"/>
        </w:rPr>
        <w:t>providing substantial investments and creating the enabling policy environment</w:t>
      </w:r>
      <w:r>
        <w:rPr>
          <w:rStyle w:val="normaltextrun"/>
          <w:color w:val="000000" w:themeColor="text1"/>
          <w:shd w:val="clear" w:color="auto" w:fill="FFFFFF"/>
        </w:rPr>
        <w:t>. This will help</w:t>
      </w:r>
      <w:r w:rsidRPr="00ED1FBD">
        <w:rPr>
          <w:rStyle w:val="normaltextrun"/>
          <w:color w:val="000000" w:themeColor="text1"/>
          <w:shd w:val="clear" w:color="auto" w:fill="FFFFFF"/>
        </w:rPr>
        <w:t xml:space="preserve"> accelerate the development of </w:t>
      </w:r>
      <w:r>
        <w:rPr>
          <w:rStyle w:val="normaltextrun"/>
          <w:color w:val="000000" w:themeColor="text1"/>
          <w:shd w:val="clear" w:color="auto" w:fill="FFFFFF"/>
        </w:rPr>
        <w:t>LCLF</w:t>
      </w:r>
      <w:r w:rsidRPr="00ED1FBD">
        <w:rPr>
          <w:rStyle w:val="normaltextrun"/>
          <w:color w:val="000000" w:themeColor="text1"/>
          <w:shd w:val="clear" w:color="auto" w:fill="FFFFFF"/>
        </w:rPr>
        <w:t xml:space="preserve"> production in Australia.</w:t>
      </w:r>
    </w:p>
    <w:p w:rsidR="00CE075C" w:rsidRPr="0039415B" w:rsidRDefault="00CE075C" w:rsidP="00066177">
      <w:pPr>
        <w:pStyle w:val="Heading3"/>
        <w:spacing w:before="120" w:line="276" w:lineRule="auto"/>
        <w:rPr>
          <w:rFonts w:eastAsia="MS PGothic"/>
        </w:rPr>
      </w:pPr>
      <w:bookmarkStart w:id="28" w:name="_Toc168994026"/>
      <w:r>
        <w:rPr>
          <w:rFonts w:eastAsia="MS PGothic"/>
        </w:rPr>
        <w:t>The Government has sought views on policy settings to drive a domestic low carbon liquid fuel industry</w:t>
      </w:r>
      <w:bookmarkEnd w:id="28"/>
    </w:p>
    <w:p w:rsidR="00CE075C" w:rsidRDefault="00CE075C" w:rsidP="00261D6C">
      <w:r>
        <w:t>The Electricity and Energy Sector Plan Discussion Paper, released March 14 2024, sought views on barriers and opportunities for building low carbon liquid fuel industries, policies required across supply chains to drive low carbon fuel industries in the short, medium and long term and different fuel production pathways, including biogenic and synthetic, and how these will change over time. Feedback on the paper closed on 26 April 2024.</w:t>
      </w:r>
    </w:p>
    <w:p w:rsidR="00CE075C" w:rsidRDefault="00CE075C" w:rsidP="00CE075C">
      <w:r>
        <w:t>Feedback on the Electricity and Energy Sector Plan Discussion Paper builds on feedback received on the Aviation Green Paper on challenges and barriers experienced by industry to establish Australian domestic low carbon liquid fuel production.</w:t>
      </w:r>
      <w:r w:rsidR="007B2FEF">
        <w:t xml:space="preserve"> Feedback on the Aviation Green Paper indicated an interaction of supply and demand interventions will need to be considered and calibrated. Feedback also indicated a range of different mechanisms could be used to deliver production support. This includes tax incentives and production credits, as well as providing support for capital costs. </w:t>
      </w:r>
    </w:p>
    <w:p w:rsidR="00EE2B51" w:rsidRDefault="00CE075C" w:rsidP="00CE075C">
      <w:pPr>
        <w:spacing w:before="120" w:after="120"/>
      </w:pPr>
      <w:r>
        <w:lastRenderedPageBreak/>
        <w:t xml:space="preserve">The feedback highlighted </w:t>
      </w:r>
      <w:r w:rsidR="00F65C8F">
        <w:t xml:space="preserve">that </w:t>
      </w:r>
      <w:r>
        <w:t xml:space="preserve">while aspiring </w:t>
      </w:r>
      <w:r w:rsidR="00EE2B51">
        <w:t xml:space="preserve">LCLF </w:t>
      </w:r>
      <w:r>
        <w:t>producers are keen to make investment in Australia, the key barrier</w:t>
      </w:r>
      <w:r w:rsidR="00EE2B51">
        <w:t>s are:</w:t>
      </w:r>
    </w:p>
    <w:p w:rsidR="00EE2B51" w:rsidRPr="00EE2B51" w:rsidRDefault="00CE075C" w:rsidP="00207920">
      <w:pPr>
        <w:pStyle w:val="ListParagraph"/>
        <w:numPr>
          <w:ilvl w:val="0"/>
          <w:numId w:val="12"/>
        </w:numPr>
        <w:spacing w:before="120" w:after="120"/>
        <w:rPr>
          <w:color w:val="000000" w:themeColor="text1"/>
          <w:shd w:val="clear" w:color="auto" w:fill="FFFFFF"/>
        </w:rPr>
      </w:pPr>
      <w:r>
        <w:t>a l</w:t>
      </w:r>
      <w:r w:rsidRPr="00BC6C25">
        <w:t>ack of certainty of demand</w:t>
      </w:r>
      <w:r w:rsidR="00EE2B51">
        <w:t xml:space="preserve"> </w:t>
      </w:r>
      <w:r w:rsidRPr="00BC6C25">
        <w:t>– making it hard to attract investment</w:t>
      </w:r>
    </w:p>
    <w:p w:rsidR="00EE2B51" w:rsidRPr="00EE2B51" w:rsidRDefault="00CE075C" w:rsidP="00207920">
      <w:pPr>
        <w:pStyle w:val="ListParagraph"/>
        <w:numPr>
          <w:ilvl w:val="0"/>
          <w:numId w:val="12"/>
        </w:numPr>
        <w:spacing w:before="120" w:after="120"/>
        <w:rPr>
          <w:color w:val="000000" w:themeColor="text1"/>
          <w:shd w:val="clear" w:color="auto" w:fill="FFFFFF"/>
        </w:rPr>
      </w:pPr>
      <w:r>
        <w:t>international subsidies make it hard for Australia to compete for production investment, despite potential to produce some types of LCLF more cheaply than overseas jurisdictions</w:t>
      </w:r>
    </w:p>
    <w:p w:rsidR="00EE2B51" w:rsidRPr="00EE2B51" w:rsidRDefault="00EE2B51" w:rsidP="00207920">
      <w:pPr>
        <w:pStyle w:val="ListParagraph"/>
        <w:numPr>
          <w:ilvl w:val="0"/>
          <w:numId w:val="12"/>
        </w:numPr>
        <w:spacing w:before="120" w:after="120"/>
        <w:rPr>
          <w:color w:val="000000" w:themeColor="text1"/>
          <w:shd w:val="clear" w:color="auto" w:fill="FFFFFF"/>
        </w:rPr>
      </w:pPr>
      <w:r>
        <w:t>clarity of the enabling policy, including how the emissions and sustainability of LCLF will be tracked and monitored and how accounting arrangements for emissions will operate, and</w:t>
      </w:r>
    </w:p>
    <w:p w:rsidR="00CE075C" w:rsidRPr="00EE2B51" w:rsidRDefault="00EE2B51" w:rsidP="00066177">
      <w:pPr>
        <w:pStyle w:val="ListParagraph"/>
        <w:numPr>
          <w:ilvl w:val="0"/>
          <w:numId w:val="12"/>
        </w:numPr>
        <w:ind w:left="765" w:hanging="357"/>
        <w:rPr>
          <w:rStyle w:val="normaltextrun"/>
          <w:color w:val="000000" w:themeColor="text1"/>
          <w:shd w:val="clear" w:color="auto" w:fill="FFFFFF"/>
        </w:rPr>
      </w:pPr>
      <w:r>
        <w:t>support for more nascent technology pathways to become commercial.</w:t>
      </w:r>
    </w:p>
    <w:p w:rsidR="00106237" w:rsidRPr="0039415B" w:rsidRDefault="001356C2" w:rsidP="00DD69F1">
      <w:pPr>
        <w:pStyle w:val="Heading3"/>
        <w:spacing w:line="276" w:lineRule="auto"/>
        <w:rPr>
          <w:rFonts w:eastAsia="MS PGothic"/>
        </w:rPr>
      </w:pPr>
      <w:bookmarkStart w:id="29" w:name="_Toc168994027"/>
      <w:r w:rsidRPr="0039415B">
        <w:rPr>
          <w:rFonts w:eastAsia="MS PGothic"/>
        </w:rPr>
        <w:t>Overview of announcements</w:t>
      </w:r>
      <w:r w:rsidR="00181559">
        <w:rPr>
          <w:rFonts w:eastAsia="MS PGothic"/>
        </w:rPr>
        <w:t xml:space="preserve"> in the 2024-25</w:t>
      </w:r>
      <w:r w:rsidRPr="0039415B">
        <w:rPr>
          <w:rFonts w:eastAsia="MS PGothic"/>
        </w:rPr>
        <w:t xml:space="preserve"> Budget</w:t>
      </w:r>
      <w:bookmarkEnd w:id="29"/>
    </w:p>
    <w:p w:rsidR="00FC5453" w:rsidRDefault="00EE2B51" w:rsidP="00261D6C">
      <w:r>
        <w:t>In response to the feedback, a</w:t>
      </w:r>
      <w:r w:rsidR="00FC5453">
        <w:t xml:space="preserve">t the 2024-25 Budget, the Australian Government announced a series of commitments to support a </w:t>
      </w:r>
      <w:r w:rsidR="77816700">
        <w:t>LCLF</w:t>
      </w:r>
      <w:r w:rsidR="00FC5453">
        <w:t xml:space="preserve"> market in Australia.</w:t>
      </w:r>
    </w:p>
    <w:p w:rsidR="00DD69F1" w:rsidRDefault="00FC5453" w:rsidP="00FC5453">
      <w:r>
        <w:t>This include</w:t>
      </w:r>
      <w:r w:rsidR="00181559">
        <w:t>d</w:t>
      </w:r>
      <w:r>
        <w:t xml:space="preserve"> a commitment to </w:t>
      </w:r>
      <w:r w:rsidR="00557CDA">
        <w:t>consult on</w:t>
      </w:r>
      <w:r w:rsidR="00181559">
        <w:t xml:space="preserve"> policy approaches to accelerate investment and incentivise efficient production of</w:t>
      </w:r>
      <w:r w:rsidR="00557CDA">
        <w:t xml:space="preserve"> </w:t>
      </w:r>
      <w:r w:rsidR="4E3B5232">
        <w:t>LCLF</w:t>
      </w:r>
      <w:r w:rsidR="00181559">
        <w:t>s</w:t>
      </w:r>
      <w:r>
        <w:t xml:space="preserve"> </w:t>
      </w:r>
      <w:r w:rsidR="008664D4">
        <w:t>with a key initial focus on producing SAF and renewable diesel</w:t>
      </w:r>
      <w:r>
        <w:t xml:space="preserve">. </w:t>
      </w:r>
      <w:r w:rsidR="0037010F">
        <w:t xml:space="preserve">A production </w:t>
      </w:r>
      <w:r>
        <w:t xml:space="preserve">incentive </w:t>
      </w:r>
      <w:r w:rsidR="0037010F">
        <w:t xml:space="preserve">could </w:t>
      </w:r>
      <w:r w:rsidR="00DD253B">
        <w:t>reduce the cost of LCLFs for Australian fuel users in a way that boosts demand</w:t>
      </w:r>
      <w:r w:rsidR="004D1547">
        <w:t xml:space="preserve"> and </w:t>
      </w:r>
      <w:r w:rsidR="00181559">
        <w:t xml:space="preserve">supports </w:t>
      </w:r>
      <w:r w:rsidR="00BF2F22">
        <w:t>more value being added to Australian agricultural products before they are used or exported</w:t>
      </w:r>
      <w:r w:rsidR="00181559">
        <w:t>, growing Australia’s domestic industry</w:t>
      </w:r>
      <w:r w:rsidR="004440EA">
        <w:t>.</w:t>
      </w:r>
      <w:r w:rsidR="00181559">
        <w:t xml:space="preserve"> </w:t>
      </w:r>
    </w:p>
    <w:p w:rsidR="00FC5453" w:rsidRDefault="00181559" w:rsidP="00FC5453">
      <w:r>
        <w:t>T</w:t>
      </w:r>
      <w:r w:rsidR="00557CDA">
        <w:t xml:space="preserve">his paper seeks views on </w:t>
      </w:r>
      <w:r>
        <w:t xml:space="preserve">potential production incentive mechanisms, including </w:t>
      </w:r>
      <w:r w:rsidR="00557CDA">
        <w:t>appropriate rate</w:t>
      </w:r>
      <w:r w:rsidR="00096563">
        <w:t>s</w:t>
      </w:r>
      <w:r w:rsidR="00557CDA">
        <w:t xml:space="preserve"> of </w:t>
      </w:r>
      <w:r w:rsidR="007B132F">
        <w:t>support</w:t>
      </w:r>
      <w:r w:rsidR="00557CDA">
        <w:t>, eligibility thresholds and other design features. Reducing the emissions intensity of liquid fuels will be a key design feature.</w:t>
      </w:r>
    </w:p>
    <w:p w:rsidR="00CC1FC2" w:rsidRDefault="00FC5453" w:rsidP="00FC5453">
      <w:r w:rsidRPr="0029081A">
        <w:t xml:space="preserve">The Government </w:t>
      </w:r>
      <w:r w:rsidR="0023433B" w:rsidRPr="0029081A">
        <w:t xml:space="preserve">has </w:t>
      </w:r>
      <w:r w:rsidRPr="0029081A">
        <w:t xml:space="preserve">also committed to undertake a regulatory impact analysis of the costs and benefits of introducing demand-side measures for </w:t>
      </w:r>
      <w:r w:rsidR="71DA00DE" w:rsidRPr="0029081A">
        <w:t>LCLF</w:t>
      </w:r>
      <w:r w:rsidRPr="0029081A">
        <w:t>.</w:t>
      </w:r>
      <w:r w:rsidR="00557CDA" w:rsidRPr="0029081A">
        <w:t xml:space="preserve"> </w:t>
      </w:r>
      <w:r w:rsidR="00CC1FC2" w:rsidRPr="0029081A">
        <w:t xml:space="preserve">As an initial first step in this process, the Government is seeking views in this paper on the scope of </w:t>
      </w:r>
      <w:r w:rsidR="001D35C1" w:rsidRPr="0029081A">
        <w:t>options that could be considered in the regulatory impact analysis</w:t>
      </w:r>
      <w:r w:rsidR="00CA2A03" w:rsidRPr="0029081A">
        <w:t>, and how these could interact with production incentives to make domestic production of LCLFs commercial</w:t>
      </w:r>
      <w:r w:rsidR="001D35C1" w:rsidRPr="0029081A">
        <w:t>. This will build on views presented from stakeholders through the Electricity and Energy Sector Plan consultation process.</w:t>
      </w:r>
    </w:p>
    <w:p w:rsidR="00FC5453" w:rsidRDefault="00FC5453" w:rsidP="00FC5453">
      <w:r>
        <w:t xml:space="preserve">The Australian Government has also committed </w:t>
      </w:r>
      <w:r w:rsidR="00DF4427">
        <w:t xml:space="preserve">funding </w:t>
      </w:r>
      <w:r>
        <w:t xml:space="preserve">to develop a certification scheme for </w:t>
      </w:r>
      <w:r w:rsidR="03ED90F1">
        <w:t>LCLF</w:t>
      </w:r>
      <w:r>
        <w:t xml:space="preserve"> through an expansion of the Guarantee of Origin scheme.</w:t>
      </w:r>
      <w:r w:rsidR="0039137F">
        <w:t xml:space="preserve"> This will enable Australian LCLF producers to accredit the emissions-content of their fuels, </w:t>
      </w:r>
      <w:r w:rsidR="00DF44E9">
        <w:t xml:space="preserve">boosting demand for these products and supporting Australian producers to earn a ‘green premium’ </w:t>
      </w:r>
      <w:r w:rsidR="00734487">
        <w:t>for their low-emissions products.</w:t>
      </w:r>
    </w:p>
    <w:p w:rsidR="007C78E0" w:rsidRDefault="00FC5453" w:rsidP="004A2338">
      <w:pPr>
        <w:spacing w:after="0"/>
      </w:pPr>
      <w:r>
        <w:t xml:space="preserve">The Government will </w:t>
      </w:r>
      <w:r w:rsidR="007C78E0">
        <w:t xml:space="preserve">build on </w:t>
      </w:r>
      <w:r>
        <w:t xml:space="preserve">the Australian Renewable Energy Agency (ARENA) SAF Funding Initiative, </w:t>
      </w:r>
      <w:r w:rsidR="00421923">
        <w:t xml:space="preserve">including </w:t>
      </w:r>
      <w:r>
        <w:t xml:space="preserve">through </w:t>
      </w:r>
      <w:r w:rsidR="00421923">
        <w:t>the</w:t>
      </w:r>
      <w:r>
        <w:t xml:space="preserve"> funding</w:t>
      </w:r>
      <w:r w:rsidR="00421923">
        <w:t xml:space="preserve"> allocated to</w:t>
      </w:r>
      <w:r w:rsidR="007C78E0">
        <w:t xml:space="preserve"> the Future Made in Australia Innovation </w:t>
      </w:r>
      <w:r w:rsidR="00421923">
        <w:t>F</w:t>
      </w:r>
      <w:r w:rsidR="007C78E0">
        <w:t>und</w:t>
      </w:r>
      <w:r>
        <w:t xml:space="preserve">. </w:t>
      </w:r>
      <w:r w:rsidR="00304D5F">
        <w:t xml:space="preserve">This </w:t>
      </w:r>
      <w:r w:rsidR="00421923">
        <w:t>is intended to further</w:t>
      </w:r>
      <w:r>
        <w:t xml:space="preserve"> support the development of more nascent LCLF production technologies, which will open up new feedstock sources</w:t>
      </w:r>
      <w:r w:rsidR="002B4618">
        <w:t>.</w:t>
      </w:r>
    </w:p>
    <w:p w:rsidR="004A2338" w:rsidRDefault="004A2338" w:rsidP="004A2338">
      <w:pPr>
        <w:spacing w:after="0"/>
      </w:pPr>
    </w:p>
    <w:p w:rsidR="00DD6F4E" w:rsidRPr="0039415B" w:rsidRDefault="00EE2B51" w:rsidP="00DD69F1">
      <w:pPr>
        <w:pStyle w:val="Heading3"/>
        <w:spacing w:line="276" w:lineRule="auto"/>
        <w:rPr>
          <w:rFonts w:eastAsia="MS PGothic"/>
        </w:rPr>
      </w:pPr>
      <w:bookmarkStart w:id="30" w:name="_Toc168994028"/>
      <w:r>
        <w:rPr>
          <w:rFonts w:eastAsia="MS PGothic"/>
        </w:rPr>
        <w:t>Existing</w:t>
      </w:r>
      <w:r w:rsidR="00DD6F4E" w:rsidRPr="0039415B">
        <w:rPr>
          <w:rFonts w:eastAsia="MS PGothic"/>
        </w:rPr>
        <w:t xml:space="preserve"> Policy</w:t>
      </w:r>
      <w:bookmarkEnd w:id="30"/>
      <w:r w:rsidR="00DD6F4E" w:rsidRPr="0039415B">
        <w:rPr>
          <w:rFonts w:eastAsia="MS PGothic"/>
        </w:rPr>
        <w:t xml:space="preserve"> </w:t>
      </w:r>
    </w:p>
    <w:p w:rsidR="000A41AB" w:rsidRPr="00261D6C" w:rsidRDefault="00CE075C" w:rsidP="00261D6C">
      <w:pPr>
        <w:spacing w:after="0"/>
        <w:rPr>
          <w:color w:val="000000" w:themeColor="text1"/>
          <w:shd w:val="clear" w:color="auto" w:fill="FFFFFF"/>
        </w:rPr>
      </w:pPr>
      <w:r>
        <w:rPr>
          <w:rStyle w:val="normaltextrun"/>
          <w:color w:val="000000" w:themeColor="text1"/>
          <w:shd w:val="clear" w:color="auto" w:fill="FFFFFF"/>
        </w:rPr>
        <w:t xml:space="preserve">Existing policy settings and new measures announced in the 2024-25 Budget create a framework to encourage investment in renewable and low carbon technologies. </w:t>
      </w:r>
      <w:r w:rsidR="009433EA">
        <w:rPr>
          <w:rStyle w:val="normaltextrun"/>
          <w:color w:val="000000" w:themeColor="text1"/>
          <w:shd w:val="clear" w:color="auto" w:fill="FFFFFF"/>
        </w:rPr>
        <w:t xml:space="preserve">Existing policy </w:t>
      </w:r>
      <w:r>
        <w:rPr>
          <w:rStyle w:val="normaltextrun"/>
          <w:color w:val="000000" w:themeColor="text1"/>
          <w:shd w:val="clear" w:color="auto" w:fill="FFFFFF"/>
        </w:rPr>
        <w:t xml:space="preserve">includes demand signals through the Safeguard Mechanism, financing support through the National Reconstruction Fund (NRF) and Clean Energy Finance Corporation (CEFC), measures to lower the cost of inputs, such as the Rewiring the Nation Fund, and certification and regulatory arrangements such as the Guarantee of </w:t>
      </w:r>
      <w:r>
        <w:rPr>
          <w:rStyle w:val="normaltextrun"/>
          <w:color w:val="000000" w:themeColor="text1"/>
          <w:shd w:val="clear" w:color="auto" w:fill="FFFFFF"/>
        </w:rPr>
        <w:lastRenderedPageBreak/>
        <w:t>Origin Scheme and renewable diesel fuel quality standard. Together, these measures aim to create an environment conducive to investment, encouraging demand certainty, lowering initial investment costs and creating the enabling the market for these products.</w:t>
      </w:r>
    </w:p>
    <w:p w:rsidR="00EE2B51" w:rsidRPr="00B26015" w:rsidRDefault="00EE2B51" w:rsidP="00261D6C">
      <w:pPr>
        <w:spacing w:before="120" w:after="0"/>
        <w:rPr>
          <w:rStyle w:val="Heading2Char"/>
          <w:rFonts w:cstheme="minorHAnsi"/>
        </w:rPr>
      </w:pPr>
      <w:bookmarkStart w:id="31" w:name="_Toc168994029"/>
      <w:r w:rsidRPr="00B26015">
        <w:rPr>
          <w:rStyle w:val="Heading2Char"/>
          <w:rFonts w:cstheme="minorHAnsi"/>
        </w:rPr>
        <w:t>Next Steps</w:t>
      </w:r>
      <w:bookmarkEnd w:id="31"/>
    </w:p>
    <w:p w:rsidR="00670139" w:rsidRDefault="00DF4427" w:rsidP="00012130">
      <w:pPr>
        <w:spacing w:after="120"/>
        <w:rPr>
          <w:rStyle w:val="normaltextrun"/>
          <w:color w:val="000000" w:themeColor="text1"/>
          <w:shd w:val="clear" w:color="auto" w:fill="FFFFFF"/>
        </w:rPr>
      </w:pPr>
      <w:r>
        <w:rPr>
          <w:rStyle w:val="normaltextrun"/>
          <w:color w:val="000000" w:themeColor="text1"/>
          <w:shd w:val="clear" w:color="auto" w:fill="FFFFFF"/>
        </w:rPr>
        <w:t xml:space="preserve">In addition to the </w:t>
      </w:r>
      <w:r w:rsidR="00EE2B51" w:rsidRPr="00670139">
        <w:rPr>
          <w:rStyle w:val="normaltextrun"/>
          <w:color w:val="000000" w:themeColor="text1"/>
          <w:shd w:val="clear" w:color="auto" w:fill="FFFFFF"/>
        </w:rPr>
        <w:t xml:space="preserve">measures agreed to at the 2024-25 Budget, the Australian Government </w:t>
      </w:r>
      <w:r w:rsidR="00670139">
        <w:rPr>
          <w:rStyle w:val="normaltextrun"/>
          <w:color w:val="000000" w:themeColor="text1"/>
          <w:shd w:val="clear" w:color="auto" w:fill="FFFFFF"/>
        </w:rPr>
        <w:t>is now seeking your views on:</w:t>
      </w:r>
    </w:p>
    <w:p w:rsidR="00670139" w:rsidRPr="00261D6C" w:rsidRDefault="00670139" w:rsidP="00261D6C">
      <w:pPr>
        <w:pStyle w:val="ListParagraph"/>
        <w:numPr>
          <w:ilvl w:val="0"/>
          <w:numId w:val="12"/>
        </w:numPr>
        <w:spacing w:before="120" w:after="120"/>
      </w:pPr>
      <w:r w:rsidRPr="00670139">
        <w:rPr>
          <w:rStyle w:val="normaltextrun"/>
          <w:color w:val="000000" w:themeColor="text1"/>
          <w:shd w:val="clear" w:color="auto" w:fill="FFFFFF"/>
        </w:rPr>
        <w:t>supply</w:t>
      </w:r>
      <w:r>
        <w:rPr>
          <w:rStyle w:val="normaltextrun"/>
          <w:color w:val="000000" w:themeColor="text1"/>
          <w:shd w:val="clear" w:color="auto" w:fill="FFFFFF"/>
        </w:rPr>
        <w:t xml:space="preserve"> </w:t>
      </w:r>
      <w:r w:rsidRPr="00261D6C">
        <w:t xml:space="preserve">side options, </w:t>
      </w:r>
      <w:r w:rsidR="00DF4427" w:rsidRPr="00261D6C">
        <w:t xml:space="preserve">such as </w:t>
      </w:r>
      <w:r w:rsidRPr="00261D6C">
        <w:t>a production incentive</w:t>
      </w:r>
      <w:r w:rsidR="00DF4427" w:rsidRPr="00261D6C">
        <w:t xml:space="preserve"> potentially</w:t>
      </w:r>
      <w:r w:rsidRPr="00261D6C">
        <w:t xml:space="preserve"> delivered</w:t>
      </w:r>
      <w:r w:rsidR="00AA564E" w:rsidRPr="00261D6C">
        <w:t xml:space="preserve"> through</w:t>
      </w:r>
      <w:r w:rsidRPr="00261D6C">
        <w:t>:</w:t>
      </w:r>
    </w:p>
    <w:p w:rsidR="00EE2B51" w:rsidRPr="00261D6C" w:rsidRDefault="00670139" w:rsidP="00261D6C">
      <w:pPr>
        <w:pStyle w:val="ListParagraph"/>
        <w:numPr>
          <w:ilvl w:val="1"/>
          <w:numId w:val="12"/>
        </w:numPr>
        <w:spacing w:before="120" w:after="120"/>
      </w:pPr>
      <w:r w:rsidRPr="00261D6C">
        <w:t>competitive-grant based production incentive (such as a contract for difference or fixed grant amount), or</w:t>
      </w:r>
    </w:p>
    <w:p w:rsidR="008A1EB4" w:rsidRPr="00261D6C" w:rsidRDefault="00670139" w:rsidP="00261D6C">
      <w:pPr>
        <w:pStyle w:val="ListParagraph"/>
        <w:numPr>
          <w:ilvl w:val="1"/>
          <w:numId w:val="12"/>
        </w:numPr>
        <w:spacing w:before="120" w:after="120"/>
      </w:pPr>
      <w:r w:rsidRPr="00261D6C">
        <w:t>production tax incentive, and</w:t>
      </w:r>
    </w:p>
    <w:p w:rsidR="00670139" w:rsidRPr="00261D6C" w:rsidRDefault="00670139" w:rsidP="00261D6C">
      <w:pPr>
        <w:pStyle w:val="ListParagraph"/>
        <w:numPr>
          <w:ilvl w:val="0"/>
          <w:numId w:val="12"/>
        </w:numPr>
        <w:spacing w:before="120" w:after="120"/>
      </w:pPr>
      <w:r w:rsidRPr="00261D6C">
        <w:t>demand-side options,</w:t>
      </w:r>
      <w:r w:rsidR="002A61F6" w:rsidRPr="00261D6C">
        <w:t xml:space="preserve"> </w:t>
      </w:r>
      <w:r w:rsidR="00D30523" w:rsidRPr="00261D6C">
        <w:t>including mandates</w:t>
      </w:r>
      <w:r w:rsidR="002A61F6" w:rsidRPr="00261D6C">
        <w:t xml:space="preserve"> or a low carbon fuel standard</w:t>
      </w:r>
      <w:r w:rsidR="0018086B" w:rsidRPr="00261D6C">
        <w:t>.</w:t>
      </w:r>
    </w:p>
    <w:p w:rsidR="00F65C8F" w:rsidRPr="00F65C8F" w:rsidRDefault="00F65C8F" w:rsidP="00F65C8F">
      <w:pPr>
        <w:spacing w:before="120" w:after="0" w:line="240" w:lineRule="auto"/>
        <w:rPr>
          <w:rFonts w:eastAsia="Times New Roman"/>
        </w:rPr>
      </w:pPr>
    </w:p>
    <w:p w:rsidR="00E05F77" w:rsidRPr="00DD69F1" w:rsidRDefault="00E05F77" w:rsidP="00DD69F1">
      <w:bookmarkStart w:id="32" w:name="_Hlk165654532"/>
    </w:p>
    <w:p w:rsidR="00261D6C" w:rsidRDefault="00261D6C">
      <w:pPr>
        <w:rPr>
          <w:rFonts w:asciiTheme="majorHAnsi" w:eastAsia="Calibri" w:hAnsiTheme="majorHAnsi" w:cstheme="majorBidi"/>
          <w:b/>
          <w:color w:val="081E3E"/>
          <w:sz w:val="48"/>
          <w:szCs w:val="32"/>
        </w:rPr>
      </w:pPr>
      <w:bookmarkStart w:id="33" w:name="_Toc168994030"/>
      <w:r>
        <w:rPr>
          <w:rFonts w:eastAsia="Calibri"/>
        </w:rPr>
        <w:br w:type="page"/>
      </w:r>
    </w:p>
    <w:p w:rsidR="001D78A5" w:rsidRPr="00F65C8F" w:rsidRDefault="00F65C8F" w:rsidP="00E05F77">
      <w:pPr>
        <w:pStyle w:val="Heading1"/>
        <w:rPr>
          <w:rFonts w:eastAsia="Calibri"/>
        </w:rPr>
      </w:pPr>
      <w:r>
        <w:rPr>
          <w:rFonts w:eastAsia="Calibri"/>
        </w:rPr>
        <w:lastRenderedPageBreak/>
        <w:t>D</w:t>
      </w:r>
      <w:r w:rsidR="006F00B9" w:rsidRPr="00F65C8F">
        <w:rPr>
          <w:rFonts w:eastAsia="Calibri"/>
        </w:rPr>
        <w:t>omestic low carbon liquid fuel production</w:t>
      </w:r>
      <w:r>
        <w:rPr>
          <w:rFonts w:eastAsia="Calibri"/>
        </w:rPr>
        <w:t xml:space="preserve"> support options</w:t>
      </w:r>
      <w:bookmarkEnd w:id="33"/>
    </w:p>
    <w:bookmarkEnd w:id="32"/>
    <w:p w:rsidR="000A41AB" w:rsidRDefault="000A41AB" w:rsidP="00E05F77">
      <w:pPr>
        <w:spacing w:after="0" w:line="240" w:lineRule="auto"/>
        <w:rPr>
          <w:rFonts w:ascii="Calibri" w:eastAsia="MS PGothic" w:hAnsi="Calibri" w:cs="Calibri"/>
          <w:color w:val="085257"/>
          <w:sz w:val="28"/>
          <w:szCs w:val="28"/>
        </w:rPr>
      </w:pPr>
    </w:p>
    <w:p w:rsidR="00F52473" w:rsidRPr="009443B9" w:rsidRDefault="00F52473" w:rsidP="00012130">
      <w:pPr>
        <w:pStyle w:val="Heading3"/>
        <w:spacing w:line="276" w:lineRule="auto"/>
        <w:rPr>
          <w:rFonts w:eastAsia="MS PGothic"/>
        </w:rPr>
      </w:pPr>
      <w:bookmarkStart w:id="34" w:name="_Toc168994031"/>
      <w:r w:rsidRPr="009443B9">
        <w:rPr>
          <w:rFonts w:eastAsia="MS PGothic"/>
        </w:rPr>
        <w:t>Supply side options</w:t>
      </w:r>
      <w:r w:rsidR="00FE7A28">
        <w:rPr>
          <w:rFonts w:eastAsia="MS PGothic"/>
        </w:rPr>
        <w:t xml:space="preserve"> to enable a low carbon </w:t>
      </w:r>
      <w:r w:rsidR="004E03AC">
        <w:rPr>
          <w:rFonts w:eastAsia="MS PGothic"/>
        </w:rPr>
        <w:t>liquid fuels market in Australia</w:t>
      </w:r>
      <w:bookmarkEnd w:id="34"/>
    </w:p>
    <w:p w:rsidR="00A5027D" w:rsidRDefault="00A5027D" w:rsidP="00A5027D">
      <w:r>
        <w:t xml:space="preserve">In the 2024-25 Budget, the Australian Government committed to </w:t>
      </w:r>
      <w:r w:rsidR="00DF4427">
        <w:t xml:space="preserve">consulting on and considering </w:t>
      </w:r>
      <w:r w:rsidR="00B609AF">
        <w:t xml:space="preserve">options to support </w:t>
      </w:r>
      <w:r w:rsidR="00EB3E11">
        <w:t>the development of a domestic LCLF industry</w:t>
      </w:r>
      <w:r>
        <w:t>.</w:t>
      </w:r>
    </w:p>
    <w:p w:rsidR="000A41AB" w:rsidRPr="00261D6C" w:rsidRDefault="00A5027D" w:rsidP="00261D6C">
      <w:r>
        <w:t xml:space="preserve">The Government is seeking views on the </w:t>
      </w:r>
      <w:r w:rsidR="00A772E6">
        <w:t xml:space="preserve">optimal policy mix and broad design of </w:t>
      </w:r>
      <w:r>
        <w:t>incentive</w:t>
      </w:r>
      <w:r w:rsidR="00795E18">
        <w:t xml:space="preserve"> options</w:t>
      </w:r>
      <w:r>
        <w:t xml:space="preserve">, including the </w:t>
      </w:r>
      <w:r w:rsidR="00DF4427">
        <w:t xml:space="preserve">potential </w:t>
      </w:r>
      <w:r>
        <w:t>mechanism to deliver support, the eligibility criteria that</w:t>
      </w:r>
      <w:r w:rsidR="00DF4427">
        <w:t xml:space="preserve"> would</w:t>
      </w:r>
      <w:r>
        <w:t xml:space="preserve"> need to be met to receive support and </w:t>
      </w:r>
      <w:r w:rsidR="00DF4427">
        <w:t xml:space="preserve">potential </w:t>
      </w:r>
      <w:r>
        <w:t xml:space="preserve">timeframes for the delivery of support. </w:t>
      </w:r>
    </w:p>
    <w:p w:rsidR="00D72287" w:rsidRDefault="00C147B2" w:rsidP="00012130">
      <w:pPr>
        <w:pStyle w:val="Heading3"/>
        <w:spacing w:line="276" w:lineRule="auto"/>
        <w:rPr>
          <w:rFonts w:eastAsia="MS PGothic"/>
        </w:rPr>
      </w:pPr>
      <w:bookmarkStart w:id="35" w:name="_Toc168994032"/>
      <w:r>
        <w:rPr>
          <w:rFonts w:eastAsia="MS PGothic"/>
        </w:rPr>
        <w:t xml:space="preserve">Why should </w:t>
      </w:r>
      <w:r w:rsidR="00D72287">
        <w:rPr>
          <w:rFonts w:eastAsia="MS PGothic"/>
        </w:rPr>
        <w:t xml:space="preserve">Australia </w:t>
      </w:r>
      <w:r>
        <w:rPr>
          <w:rFonts w:eastAsia="MS PGothic"/>
        </w:rPr>
        <w:t xml:space="preserve">have an </w:t>
      </w:r>
      <w:r w:rsidR="00D72287">
        <w:rPr>
          <w:rFonts w:eastAsia="MS PGothic"/>
        </w:rPr>
        <w:t>LCLF production</w:t>
      </w:r>
      <w:r>
        <w:rPr>
          <w:rFonts w:eastAsia="MS PGothic"/>
        </w:rPr>
        <w:t xml:space="preserve"> industry?</w:t>
      </w:r>
      <w:bookmarkEnd w:id="35"/>
    </w:p>
    <w:p w:rsidR="00501ABE" w:rsidRDefault="00501ABE" w:rsidP="006E015F">
      <w:r>
        <w:t xml:space="preserve">CSIRO’s </w:t>
      </w:r>
      <w:r w:rsidRPr="009443B9">
        <w:t xml:space="preserve">Sustainable Aviation Fuel Roadmap </w:t>
      </w:r>
      <w:r w:rsidRPr="006E015F">
        <w:t>(2023)</w:t>
      </w:r>
      <w:r>
        <w:t xml:space="preserve"> analysis suggests Australia can be a low-cost producer of SAF when compared with potential international competitors.</w:t>
      </w:r>
      <w:r w:rsidRPr="004E03AC">
        <w:rPr>
          <w:rStyle w:val="FootnoteReference"/>
        </w:rPr>
        <w:footnoteReference w:id="16"/>
      </w:r>
      <w:r>
        <w:t xml:space="preserve"> This is particularly the case across certain production methods, with production costs expected to fall over time as the industry scales up. CSIRO </w:t>
      </w:r>
      <w:r w:rsidRPr="006E015F">
        <w:t>notes Australia’s large landmass, temperate climates, advanced farming practices, access to</w:t>
      </w:r>
      <w:r>
        <w:t xml:space="preserve"> renewable feedstocks, established supply chains and renewable energy potential are all assets in developing a range of feedstocks to support a domestic LCLF industry. </w:t>
      </w:r>
    </w:p>
    <w:p w:rsidR="006008A6" w:rsidRDefault="006008A6" w:rsidP="00501ABE">
      <w:r>
        <w:t>Australia currently imports 90 per cent of its liquid fuels (via direct and indirect imports). Australia imported around 85 per cent of its jet fuel in 2023, and about 87 per cent of its diesel.</w:t>
      </w:r>
      <w:r w:rsidRPr="004E03AC">
        <w:rPr>
          <w:rStyle w:val="FootnoteReference"/>
        </w:rPr>
        <w:footnoteReference w:id="17"/>
      </w:r>
      <w:r>
        <w:t xml:space="preserve"> Domestic production </w:t>
      </w:r>
      <w:r w:rsidR="00F24CB3">
        <w:t xml:space="preserve">of LCLF’s would help </w:t>
      </w:r>
      <w:r>
        <w:t xml:space="preserve">mitigate the risks of supply interruptions and help diversify Australia’s liquid fuel security. </w:t>
      </w:r>
    </w:p>
    <w:p w:rsidR="006E015F" w:rsidRDefault="006E015F" w:rsidP="0039415B">
      <w:r>
        <w:t xml:space="preserve">With its advantages in feedstock production, Australia is </w:t>
      </w:r>
      <w:r w:rsidR="004E03AC">
        <w:t xml:space="preserve">already a significant </w:t>
      </w:r>
      <w:r>
        <w:t>producer of feedstocks. In</w:t>
      </w:r>
      <w:r w:rsidR="004E03AC">
        <w:t> </w:t>
      </w:r>
      <w:r>
        <w:t>the absence of an Australian LCLF production industry, these feedstocks will likely be exported for LCLF production overseas. In this scenario, Australia would be reliant on LCLF imports to meet demand.</w:t>
      </w:r>
    </w:p>
    <w:p w:rsidR="006008A6" w:rsidRDefault="004E03AC" w:rsidP="0039415B">
      <w:r>
        <w:t>A</w:t>
      </w:r>
      <w:r w:rsidRPr="004E03AC">
        <w:t xml:space="preserve"> domestic LCLF refining industry </w:t>
      </w:r>
      <w:r>
        <w:t xml:space="preserve">will likely </w:t>
      </w:r>
      <w:r w:rsidRPr="004E03AC">
        <w:t>lead to higher demand for agricultural feedstocks present</w:t>
      </w:r>
      <w:r>
        <w:t>ing</w:t>
      </w:r>
      <w:r w:rsidRPr="004E03AC">
        <w:t xml:space="preserve"> positive opportunities for the </w:t>
      </w:r>
      <w:r>
        <w:t xml:space="preserve">farming </w:t>
      </w:r>
      <w:r w:rsidRPr="004E03AC">
        <w:t>sector to diversify income streams and markets and gain value from otherwise underutilised resources such as marginal land or residues. The agriculture sector is also a prospective consumer of LCLF to decarbonise its on-farm heavy vehicle use.</w:t>
      </w:r>
      <w:r>
        <w:t xml:space="preserve"> However</w:t>
      </w:r>
      <w:r w:rsidR="009B1B3F">
        <w:t xml:space="preserve">, consideration will also need to be given to </w:t>
      </w:r>
      <w:r w:rsidR="006E015F">
        <w:t xml:space="preserve">how this changes demand for agricultural land and demand for crops that can also be used for food. Criteria to certify the sustainability attributes of LCLF </w:t>
      </w:r>
      <w:r w:rsidR="006008A6">
        <w:t xml:space="preserve">can be designed to include assessment of land use change impacts. For example, the scheme to certify SAF used by the International Civil Aviation Organization for its Carbon Offsetting and Reduction Scheme for </w:t>
      </w:r>
      <w:r w:rsidR="006008A6">
        <w:lastRenderedPageBreak/>
        <w:t>International Aviation considers aspects such as food security, water quality and availability, and soil health.</w:t>
      </w:r>
      <w:r w:rsidR="006008A6">
        <w:rPr>
          <w:rStyle w:val="FootnoteReference"/>
        </w:rPr>
        <w:footnoteReference w:id="18"/>
      </w:r>
    </w:p>
    <w:p w:rsidR="00F24CB3" w:rsidRDefault="00F24CB3" w:rsidP="0039415B">
      <w:r>
        <w:t>Some potential feedstocks, such a</w:t>
      </w:r>
      <w:r w:rsidR="009F401B">
        <w:t>s</w:t>
      </w:r>
      <w:r>
        <w:t xml:space="preserve"> </w:t>
      </w:r>
      <w:proofErr w:type="spellStart"/>
      <w:r>
        <w:t>pongamia</w:t>
      </w:r>
      <w:proofErr w:type="spellEnd"/>
      <w:r>
        <w:t>, have the potential to both increase land</w:t>
      </w:r>
      <w:r w:rsidR="00BE76E2">
        <w:t>-</w:t>
      </w:r>
      <w:r>
        <w:t>based sequestration and provide feedstock for LC</w:t>
      </w:r>
      <w:r w:rsidR="00BE76E2">
        <w:t>L</w:t>
      </w:r>
      <w:r>
        <w:t>F production, supporting regional jobs and opportunities and local supply chains.</w:t>
      </w:r>
      <w:r w:rsidR="006F0130">
        <w:t xml:space="preserve"> These sequestration opportunities are also considered through the Australian Carbon Credit Unit Scheme.</w:t>
      </w:r>
    </w:p>
    <w:p w:rsidR="004C1417" w:rsidRPr="0039415B" w:rsidRDefault="004C1417" w:rsidP="00012130">
      <w:pPr>
        <w:pStyle w:val="Heading3"/>
        <w:spacing w:line="276" w:lineRule="auto"/>
        <w:rPr>
          <w:rFonts w:eastAsia="MS PGothic"/>
        </w:rPr>
      </w:pPr>
      <w:bookmarkStart w:id="36" w:name="_Toc168994033"/>
      <w:r w:rsidRPr="0039415B">
        <w:rPr>
          <w:rFonts w:eastAsia="MS PGothic"/>
        </w:rPr>
        <w:t xml:space="preserve">How best to </w:t>
      </w:r>
      <w:r w:rsidR="0076051C" w:rsidRPr="0039415B">
        <w:rPr>
          <w:rFonts w:eastAsia="MS PGothic"/>
        </w:rPr>
        <w:t>deliver production incentive</w:t>
      </w:r>
      <w:r w:rsidRPr="0039415B">
        <w:rPr>
          <w:rFonts w:eastAsia="MS PGothic"/>
        </w:rPr>
        <w:t xml:space="preserve"> support?</w:t>
      </w:r>
      <w:bookmarkEnd w:id="36"/>
    </w:p>
    <w:p w:rsidR="00573CD2" w:rsidRDefault="00FB4521" w:rsidP="00520AE6">
      <w:r>
        <w:t>The Government is considering mechanism</w:t>
      </w:r>
      <w:r w:rsidR="0008141A">
        <w:t>s that could be used</w:t>
      </w:r>
      <w:r>
        <w:t xml:space="preserve"> to deliver production incentive support</w:t>
      </w:r>
      <w:r w:rsidR="00262444">
        <w:t xml:space="preserve"> to Australian </w:t>
      </w:r>
      <w:r w:rsidR="00320745">
        <w:t>sustainable liquid fuel</w:t>
      </w:r>
      <w:r w:rsidR="00262444">
        <w:t xml:space="preserve"> producers</w:t>
      </w:r>
      <w:r>
        <w:t xml:space="preserve">. Two mechanisms under consideration are a </w:t>
      </w:r>
      <w:r w:rsidR="009B7840">
        <w:t>c</w:t>
      </w:r>
      <w:r w:rsidR="009B7840" w:rsidRPr="009B7840">
        <w:t>ompetitive grant-based production incentive</w:t>
      </w:r>
      <w:r w:rsidR="009B7840">
        <w:t xml:space="preserve"> scheme such as a ‘</w:t>
      </w:r>
      <w:r>
        <w:t>contract for difference’ scheme</w:t>
      </w:r>
      <w:r w:rsidR="00262444">
        <w:t xml:space="preserve"> or a fixed grant amount per production unit</w:t>
      </w:r>
      <w:r w:rsidR="000113D7">
        <w:t xml:space="preserve"> and</w:t>
      </w:r>
      <w:r w:rsidR="000113D7" w:rsidRPr="000113D7">
        <w:t xml:space="preserve"> </w:t>
      </w:r>
      <w:r w:rsidR="000113D7">
        <w:t>a production tax incentive</w:t>
      </w:r>
      <w:r>
        <w:t>.</w:t>
      </w:r>
    </w:p>
    <w:p w:rsidR="003747EB" w:rsidRPr="001F7C08" w:rsidRDefault="003747EB" w:rsidP="00012130">
      <w:pPr>
        <w:pStyle w:val="Heading4"/>
        <w:spacing w:line="276" w:lineRule="auto"/>
      </w:pPr>
      <w:r w:rsidRPr="001F7C08">
        <w:t>Competitive grant-based production incentives</w:t>
      </w:r>
    </w:p>
    <w:p w:rsidR="003747EB" w:rsidRDefault="0008141A" w:rsidP="003747EB">
      <w:r>
        <w:t>Production i</w:t>
      </w:r>
      <w:r w:rsidR="003747EB">
        <w:t>ncentive</w:t>
      </w:r>
      <w:r>
        <w:t>s</w:t>
      </w:r>
      <w:r w:rsidR="003747EB">
        <w:t xml:space="preserve"> could be provided through a time-limited competitive grant-based production scheme, such as a contract for difference</w:t>
      </w:r>
      <w:r w:rsidR="003C0A3C">
        <w:t>, or fixed grant amount per production unit</w:t>
      </w:r>
      <w:r w:rsidR="003747EB">
        <w:t>.</w:t>
      </w:r>
    </w:p>
    <w:p w:rsidR="003747EB" w:rsidRDefault="003747EB" w:rsidP="003747EB">
      <w:r>
        <w:t xml:space="preserve">This would provide selected projects with supply side support to help cover the gap between local production costs and the price that they are selling their </w:t>
      </w:r>
      <w:r w:rsidR="008A0999">
        <w:t>LCLF</w:t>
      </w:r>
      <w:r>
        <w:t>.</w:t>
      </w:r>
    </w:p>
    <w:p w:rsidR="003747EB" w:rsidRPr="003747EB" w:rsidRDefault="003C0A3C" w:rsidP="003747EB">
      <w:r>
        <w:t>A c</w:t>
      </w:r>
      <w:r w:rsidR="003747EB" w:rsidRPr="003747EB">
        <w:t>ontract for difference (</w:t>
      </w:r>
      <w:proofErr w:type="spellStart"/>
      <w:r w:rsidR="003747EB" w:rsidRPr="003747EB">
        <w:t>CfD</w:t>
      </w:r>
      <w:proofErr w:type="spellEnd"/>
      <w:r w:rsidR="009B7840">
        <w:t xml:space="preserve">) </w:t>
      </w:r>
      <w:r>
        <w:t xml:space="preserve">is </w:t>
      </w:r>
      <w:r w:rsidR="003747EB" w:rsidRPr="003747EB">
        <w:t xml:space="preserve">an agreement between a producer and a second party, which </w:t>
      </w:r>
      <w:r w:rsidR="008A0999">
        <w:t xml:space="preserve">can </w:t>
      </w:r>
      <w:r w:rsidR="003747EB" w:rsidRPr="003747EB">
        <w:t xml:space="preserve">cover the difference between the market price for a product sold by the producer, and a ‘strike price’ agreed between the producer and second party (e.g. the government). If the ‘strike price’ is higher than the market price, the second party must pay the difference between the strike and market price. If the market price is higher than the strike price, </w:t>
      </w:r>
      <w:r w:rsidR="001472FA">
        <w:t xml:space="preserve">design options include </w:t>
      </w:r>
      <w:r w:rsidR="003747EB" w:rsidRPr="003747EB">
        <w:t xml:space="preserve">the producer </w:t>
      </w:r>
      <w:r w:rsidR="008209A5">
        <w:t>not receiv</w:t>
      </w:r>
      <w:r w:rsidR="001472FA">
        <w:t>ing</w:t>
      </w:r>
      <w:r w:rsidR="008209A5">
        <w:t xml:space="preserve"> a payment from Government</w:t>
      </w:r>
      <w:r w:rsidR="001472FA">
        <w:t>, or paying back the difference</w:t>
      </w:r>
      <w:r w:rsidR="003747EB" w:rsidRPr="003747EB">
        <w:t xml:space="preserve">. </w:t>
      </w:r>
      <w:proofErr w:type="spellStart"/>
      <w:r w:rsidR="00371383">
        <w:t>CfDs</w:t>
      </w:r>
      <w:proofErr w:type="spellEnd"/>
      <w:r w:rsidR="003747EB" w:rsidRPr="003747EB">
        <w:t xml:space="preserve"> provide revenue to producers where the production costs are greater than the market price.</w:t>
      </w:r>
    </w:p>
    <w:p w:rsidR="001E7D48" w:rsidRDefault="003747EB" w:rsidP="003747EB">
      <w:r w:rsidRPr="003747EB">
        <w:t xml:space="preserve">The strike price is generally set through a ‘competitive auction’ process. Producers bid against each other to enter a </w:t>
      </w:r>
      <w:proofErr w:type="spellStart"/>
      <w:r w:rsidRPr="003747EB">
        <w:t>CfD</w:t>
      </w:r>
      <w:proofErr w:type="spellEnd"/>
      <w:r w:rsidRPr="003747EB">
        <w:t xml:space="preserve"> by nominating their strike price. The buyer can offer the contract based on the lowest price, incentivising producers to bid for the lowest possible strike price.</w:t>
      </w:r>
    </w:p>
    <w:p w:rsidR="003747EB" w:rsidRDefault="0092535A" w:rsidP="006A283F">
      <w:r>
        <w:t xml:space="preserve">Delivering funding through a </w:t>
      </w:r>
      <w:proofErr w:type="spellStart"/>
      <w:r>
        <w:t>CfD</w:t>
      </w:r>
      <w:proofErr w:type="spellEnd"/>
      <w:r>
        <w:t xml:space="preserve"> scheme</w:t>
      </w:r>
      <w:r w:rsidR="006A283F">
        <w:t xml:space="preserve"> provides </w:t>
      </w:r>
      <w:r w:rsidR="003747EB" w:rsidRPr="003747EB">
        <w:t>revenue certainty for producers, where production costs exceed market prices, or where market prices are highly volatile.</w:t>
      </w:r>
    </w:p>
    <w:p w:rsidR="006A283F" w:rsidRDefault="009B1B3F" w:rsidP="006A283F">
      <w:r>
        <w:t xml:space="preserve">A </w:t>
      </w:r>
      <w:proofErr w:type="spellStart"/>
      <w:r>
        <w:t>CfD</w:t>
      </w:r>
      <w:proofErr w:type="spellEnd"/>
      <w:r>
        <w:t xml:space="preserve"> scheme</w:t>
      </w:r>
      <w:r w:rsidR="002870F7">
        <w:t xml:space="preserve"> </w:t>
      </w:r>
      <w:r w:rsidR="00776645" w:rsidRPr="003747EB">
        <w:t>prevent</w:t>
      </w:r>
      <w:r>
        <w:t>s</w:t>
      </w:r>
      <w:r w:rsidR="00776645" w:rsidRPr="003747EB">
        <w:t xml:space="preserve"> producers from continuing to rely on Government support where production prices fall below market prices</w:t>
      </w:r>
      <w:r w:rsidR="006A283F">
        <w:t xml:space="preserve"> (i.e. where businesses become profitable)</w:t>
      </w:r>
      <w:r w:rsidR="00776645" w:rsidRPr="003747EB">
        <w:t>.</w:t>
      </w:r>
      <w:r w:rsidR="006A283F">
        <w:t xml:space="preserve"> This provides</w:t>
      </w:r>
      <w:r w:rsidR="00776645" w:rsidRPr="003747EB">
        <w:t xml:space="preserve"> </w:t>
      </w:r>
      <w:r w:rsidR="006A283F">
        <w:t>g</w:t>
      </w:r>
      <w:r w:rsidR="006A283F" w:rsidRPr="003747EB">
        <w:t xml:space="preserve">overnments </w:t>
      </w:r>
      <w:r w:rsidR="00776645" w:rsidRPr="003747EB">
        <w:t>a clear exit strategy for support, both by preventing the ongoing support of producers as production prices fall below market prices, and by setting defined timeframes through contracts.</w:t>
      </w:r>
    </w:p>
    <w:p w:rsidR="0021437D" w:rsidRDefault="00F24CB3" w:rsidP="006A283F">
      <w:pPr>
        <w:rPr>
          <w:bCs/>
        </w:rPr>
      </w:pPr>
      <w:r>
        <w:t xml:space="preserve">There are a </w:t>
      </w:r>
      <w:r w:rsidR="00382B9A">
        <w:t>number of</w:t>
      </w:r>
      <w:r>
        <w:t xml:space="preserve"> examples of their use in Australia or equivalent underwriting schemes</w:t>
      </w:r>
      <w:r w:rsidR="0008141A">
        <w:t xml:space="preserve"> including </w:t>
      </w:r>
      <w:r>
        <w:t>NSW</w:t>
      </w:r>
      <w:r w:rsidR="007977E9">
        <w:t>’s</w:t>
      </w:r>
      <w:r>
        <w:t xml:space="preserve"> Long-Term Energy Service Agreements under their </w:t>
      </w:r>
      <w:r w:rsidR="000379A1">
        <w:t xml:space="preserve">Electricity Infrastructure </w:t>
      </w:r>
      <w:r>
        <w:t xml:space="preserve">Roadmap, </w:t>
      </w:r>
      <w:r>
        <w:rPr>
          <w:bCs/>
        </w:rPr>
        <w:t xml:space="preserve">Victoria’s </w:t>
      </w:r>
      <w:r w:rsidR="00FB5E0C">
        <w:rPr>
          <w:bCs/>
        </w:rPr>
        <w:t>e</w:t>
      </w:r>
      <w:r>
        <w:rPr>
          <w:bCs/>
        </w:rPr>
        <w:t>merging Offshore Wind Energy Scheme, the ACT’s Feed in Tariff scheme</w:t>
      </w:r>
      <w:r w:rsidR="0021437D">
        <w:rPr>
          <w:bCs/>
        </w:rPr>
        <w:t xml:space="preserve"> and</w:t>
      </w:r>
      <w:r>
        <w:rPr>
          <w:bCs/>
        </w:rPr>
        <w:t xml:space="preserve"> the</w:t>
      </w:r>
      <w:r w:rsidR="0021437D">
        <w:rPr>
          <w:bCs/>
        </w:rPr>
        <w:t xml:space="preserve"> Commonwealth Government’s</w:t>
      </w:r>
      <w:r>
        <w:rPr>
          <w:bCs/>
        </w:rPr>
        <w:t xml:space="preserve"> Capacity Investment Scheme and Hydrogen </w:t>
      </w:r>
      <w:proofErr w:type="spellStart"/>
      <w:r>
        <w:rPr>
          <w:bCs/>
        </w:rPr>
        <w:t>Headstart</w:t>
      </w:r>
      <w:proofErr w:type="spellEnd"/>
      <w:r w:rsidR="0021437D">
        <w:rPr>
          <w:bCs/>
        </w:rPr>
        <w:t xml:space="preserve"> program</w:t>
      </w:r>
      <w:r>
        <w:rPr>
          <w:bCs/>
        </w:rPr>
        <w:t>.</w:t>
      </w:r>
      <w:r w:rsidR="00E05343">
        <w:rPr>
          <w:bCs/>
        </w:rPr>
        <w:t xml:space="preserve"> </w:t>
      </w:r>
    </w:p>
    <w:p w:rsidR="003256F6" w:rsidRDefault="0021437D" w:rsidP="006A283F">
      <w:r>
        <w:lastRenderedPageBreak/>
        <w:t>There are also a number of other approaches to designing grant-based production incentives. For</w:t>
      </w:r>
      <w:r w:rsidR="00407B7B">
        <w:t> </w:t>
      </w:r>
      <w:r>
        <w:t>example</w:t>
      </w:r>
      <w:r w:rsidR="00407B7B">
        <w:t>,</w:t>
      </w:r>
      <w:r>
        <w:t xml:space="preserve"> t</w:t>
      </w:r>
      <w:r w:rsidR="003256F6">
        <w:t xml:space="preserve">he Government could also consider providing support through a fixed grant amount per production unit. </w:t>
      </w:r>
      <w:r w:rsidR="002B558A">
        <w:t xml:space="preserve">This could involve a process similar to the ‘competitive auction’ process under a </w:t>
      </w:r>
      <w:proofErr w:type="spellStart"/>
      <w:r w:rsidR="002B558A">
        <w:t>CfD</w:t>
      </w:r>
      <w:proofErr w:type="spellEnd"/>
      <w:r w:rsidR="002B558A">
        <w:t xml:space="preserve"> scheme, providing an incentive for producers to nominate the lowest support amount they need.</w:t>
      </w:r>
    </w:p>
    <w:p w:rsidR="005F7425" w:rsidRPr="00105EC7" w:rsidRDefault="002B558A" w:rsidP="0095393D">
      <w:r>
        <w:t>Alternatively, the Government could</w:t>
      </w:r>
      <w:r w:rsidR="0021437D">
        <w:t xml:space="preserve"> con</w:t>
      </w:r>
      <w:r w:rsidR="000379A1">
        <w:t>s</w:t>
      </w:r>
      <w:r w:rsidR="0021437D">
        <w:t>ider</w:t>
      </w:r>
      <w:r>
        <w:t xml:space="preserve"> set</w:t>
      </w:r>
      <w:r w:rsidR="0021437D">
        <w:t>ting a</w:t>
      </w:r>
      <w:r>
        <w:t xml:space="preserve"> fixed grant amount</w:t>
      </w:r>
      <w:r w:rsidR="00816DDF">
        <w:t>, based on an assessment of market conditions</w:t>
      </w:r>
      <w:r>
        <w:t>.</w:t>
      </w:r>
    </w:p>
    <w:p w:rsidR="004C1417" w:rsidRPr="00047796" w:rsidRDefault="5E3E5622" w:rsidP="00012130">
      <w:pPr>
        <w:pStyle w:val="Heading4"/>
        <w:spacing w:line="276" w:lineRule="auto"/>
      </w:pPr>
      <w:r w:rsidRPr="00047796">
        <w:t>Production Tax Incentive</w:t>
      </w:r>
    </w:p>
    <w:p w:rsidR="004C1417" w:rsidRPr="0039415B" w:rsidRDefault="00F729E5" w:rsidP="00012130">
      <w:pPr>
        <w:spacing w:after="120" w:line="252" w:lineRule="auto"/>
      </w:pPr>
      <w:r>
        <w:t>Production i</w:t>
      </w:r>
      <w:r w:rsidR="5E3E5622">
        <w:t>ncentive</w:t>
      </w:r>
      <w:r>
        <w:t>s</w:t>
      </w:r>
      <w:r w:rsidR="5E3E5622">
        <w:t xml:space="preserve"> could </w:t>
      </w:r>
      <w:r>
        <w:t xml:space="preserve">alternatively </w:t>
      </w:r>
      <w:r w:rsidR="5E3E5622">
        <w:t xml:space="preserve">be provided through the tax system as </w:t>
      </w:r>
      <w:r>
        <w:t xml:space="preserve">a time-limited incentive per unit of LCLF </w:t>
      </w:r>
      <w:r w:rsidR="5E3E5622">
        <w:t>produce</w:t>
      </w:r>
      <w:r>
        <w:t>d</w:t>
      </w:r>
      <w:r w:rsidR="5E3E5622">
        <w:t xml:space="preserve">. </w:t>
      </w:r>
      <w:r w:rsidR="0019616D">
        <w:t>For example, a production tax credit per litre of SAF or renewable diesel could be provided to the producer for the fuel, at a fixed rate or with increments for the lifecycle emissions of the fuel production as certified through the Guarantee of Origin</w:t>
      </w:r>
      <w:r>
        <w:t xml:space="preserve"> scheme</w:t>
      </w:r>
      <w:r w:rsidR="0019616D">
        <w:t>.</w:t>
      </w:r>
    </w:p>
    <w:p w:rsidR="004C1417" w:rsidRDefault="5E3E5622" w:rsidP="561B9C3C">
      <w:pPr>
        <w:spacing w:before="120" w:after="120" w:line="252" w:lineRule="auto"/>
      </w:pPr>
      <w:r>
        <w:t>Tax incentives</w:t>
      </w:r>
      <w:r w:rsidR="00F729E5">
        <w:t xml:space="preserve"> that</w:t>
      </w:r>
      <w:r>
        <w:t xml:space="preserve"> </w:t>
      </w:r>
      <w:r w:rsidR="00D34755">
        <w:t xml:space="preserve">are delivered through the tax system are more likely to be suitable when there are </w:t>
      </w:r>
      <w:r w:rsidR="007C62BB">
        <w:t>generally</w:t>
      </w:r>
      <w:r w:rsidR="00D34755">
        <w:t xml:space="preserve"> </w:t>
      </w:r>
      <w:r w:rsidR="007C62BB">
        <w:t xml:space="preserve">accepted criteria </w:t>
      </w:r>
      <w:r w:rsidR="00E24424">
        <w:t>that can be objectively verified</w:t>
      </w:r>
      <w:r w:rsidR="005B098B">
        <w:t xml:space="preserve"> and support does not need to be tailored to the specific circumstances of a producer</w:t>
      </w:r>
      <w:r w:rsidR="00E72F73">
        <w:t xml:space="preserve"> other than in broad terms (such as costs of </w:t>
      </w:r>
      <w:r w:rsidR="00275B4A">
        <w:t xml:space="preserve">production </w:t>
      </w:r>
      <w:r w:rsidR="00E72F73">
        <w:t>or size)</w:t>
      </w:r>
      <w:r w:rsidR="005B098B">
        <w:t xml:space="preserve">. </w:t>
      </w:r>
    </w:p>
    <w:p w:rsidR="004C1417" w:rsidRDefault="002870F7" w:rsidP="561B9C3C">
      <w:pPr>
        <w:spacing w:before="120" w:after="120" w:line="252" w:lineRule="auto"/>
      </w:pPr>
      <w:r>
        <w:t>As tax incentives allow all producers who meet criteria to access support, using a tax-based scheme may support a broader range of producers into the market, including those using new types of production methods and newer</w:t>
      </w:r>
      <w:r w:rsidR="001479D4">
        <w:t>, less-established</w:t>
      </w:r>
      <w:r>
        <w:t xml:space="preserve"> producers, encouraging diversity in the market.</w:t>
      </w:r>
      <w:r w:rsidR="00F729E5">
        <w:t xml:space="preserve"> T</w:t>
      </w:r>
      <w:r w:rsidR="00F729E5" w:rsidRPr="006D4EC8">
        <w:t>ax incentive</w:t>
      </w:r>
      <w:r w:rsidR="00F729E5">
        <w:t>s</w:t>
      </w:r>
      <w:r w:rsidR="00F729E5" w:rsidRPr="006D4EC8">
        <w:t xml:space="preserve"> allow uniform access across eligible entities, </w:t>
      </w:r>
      <w:r w:rsidR="00F729E5">
        <w:t xml:space="preserve">and </w:t>
      </w:r>
      <w:r w:rsidR="00F729E5" w:rsidRPr="006D4EC8">
        <w:t xml:space="preserve">providing certainty to businesses </w:t>
      </w:r>
      <w:r w:rsidR="00F729E5">
        <w:t xml:space="preserve">around </w:t>
      </w:r>
      <w:r w:rsidR="00F729E5" w:rsidRPr="006D4EC8">
        <w:t xml:space="preserve">the rebates </w:t>
      </w:r>
      <w:r w:rsidR="00F729E5">
        <w:t xml:space="preserve">they </w:t>
      </w:r>
      <w:r w:rsidR="00F729E5" w:rsidRPr="006D4EC8">
        <w:t xml:space="preserve">will </w:t>
      </w:r>
      <w:r w:rsidR="00F729E5">
        <w:t>receive</w:t>
      </w:r>
      <w:r w:rsidR="00F729E5" w:rsidRPr="006D4EC8">
        <w:t xml:space="preserve">. </w:t>
      </w:r>
      <w:r w:rsidR="00F729E5">
        <w:t>This approach promotes competitive market dynamics but does not provide scope to tailor the level of support to match</w:t>
      </w:r>
      <w:r w:rsidR="008209A5">
        <w:t xml:space="preserve"> </w:t>
      </w:r>
      <w:r w:rsidR="000379A1">
        <w:t>t</w:t>
      </w:r>
      <w:r w:rsidR="5E3E5622">
        <w:t>he gap between production costs and sale prices</w:t>
      </w:r>
      <w:r w:rsidR="00611318">
        <w:t xml:space="preserve"> for </w:t>
      </w:r>
      <w:r w:rsidR="00F729E5">
        <w:t>different</w:t>
      </w:r>
      <w:r w:rsidR="00611318">
        <w:t xml:space="preserve"> producers</w:t>
      </w:r>
      <w:r w:rsidR="5E3E5622">
        <w:t xml:space="preserve">. </w:t>
      </w:r>
    </w:p>
    <w:p w:rsidR="0019616D" w:rsidRDefault="0019616D" w:rsidP="561B9C3C">
      <w:pPr>
        <w:spacing w:before="120" w:after="120" w:line="252" w:lineRule="auto"/>
      </w:pPr>
      <w:r>
        <w:t xml:space="preserve">It is assumed that </w:t>
      </w:r>
      <w:r w:rsidR="0070274D">
        <w:t>production</w:t>
      </w:r>
      <w:r>
        <w:t xml:space="preserve"> incentives would operate alongside</w:t>
      </w:r>
      <w:r w:rsidR="00113320">
        <w:t xml:space="preserve"> targeted</w:t>
      </w:r>
      <w:r>
        <w:t xml:space="preserve"> innovation support, such a</w:t>
      </w:r>
      <w:r w:rsidR="00ED03B8">
        <w:t>s</w:t>
      </w:r>
      <w:r>
        <w:t xml:space="preserve"> provided by ARENA and the Future Made in Australia Innovation Fund.</w:t>
      </w:r>
    </w:p>
    <w:p w:rsidR="000D452C" w:rsidRPr="006637BF" w:rsidRDefault="00DD69F1" w:rsidP="006637BF">
      <w:pPr>
        <w:spacing w:before="280" w:after="0"/>
        <w:rPr>
          <w:rFonts w:eastAsiaTheme="majorEastAsia" w:cstheme="majorBidi"/>
          <w:i/>
          <w:iCs/>
          <w:color w:val="006666"/>
          <w:sz w:val="24"/>
        </w:rPr>
      </w:pPr>
      <w:r w:rsidRPr="006637BF">
        <w:rPr>
          <w:rFonts w:eastAsiaTheme="majorEastAsia" w:cstheme="majorBidi"/>
          <w:i/>
          <w:iCs/>
          <w:noProof/>
          <w:color w:val="006666"/>
          <w:sz w:val="24"/>
        </w:rPr>
        <w:lastRenderedPageBreak/>
        <mc:AlternateContent>
          <mc:Choice Requires="wps">
            <w:drawing>
              <wp:anchor distT="45720" distB="45720" distL="114300" distR="114300" simplePos="0" relativeHeight="251658243" behindDoc="0" locked="0" layoutInCell="1" allowOverlap="1" wp14:anchorId="41DE44E0" wp14:editId="0E13A7DE">
                <wp:simplePos x="0" y="0"/>
                <wp:positionH relativeFrom="margin">
                  <wp:posOffset>0</wp:posOffset>
                </wp:positionH>
                <wp:positionV relativeFrom="paragraph">
                  <wp:posOffset>0</wp:posOffset>
                </wp:positionV>
                <wp:extent cx="5915025" cy="1404620"/>
                <wp:effectExtent l="0" t="0" r="28575" b="2222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6666"/>
                          </a:solidFill>
                          <a:miter lim="800000"/>
                          <a:headEnd/>
                          <a:tailEnd/>
                        </a:ln>
                      </wps:spPr>
                      <wps:txbx>
                        <w:txbxContent>
                          <w:p w:rsidR="00874D4A" w:rsidRPr="004A4948" w:rsidRDefault="00874D4A" w:rsidP="004A4948">
                            <w:pPr>
                              <w:rPr>
                                <w:b/>
                              </w:rPr>
                            </w:pPr>
                            <w:r w:rsidRPr="004A4948">
                              <w:rPr>
                                <w:b/>
                              </w:rPr>
                              <w:t>Future Made in Australia Plan - Production Tax Incentives for Hydrogen and Critical Minerals Production</w:t>
                            </w:r>
                          </w:p>
                          <w:p w:rsidR="00874D4A" w:rsidRDefault="00874D4A" w:rsidP="004A4948">
                            <w:r>
                              <w:t>As part of the Future Made in Australia Plan, the 2024-25 Budget included targeted production incentives to scale up priority industries: aligning incentives to invest with the national interest, targeting ‘green premiums’ that are not yet reflected in market prices, and investing efficiently in mitigating the risks of excess supply chain concentration. Support for production is being delivered over timeframes that promote accelerated investment over the next decade, and in ways that are contingent on successful production.</w:t>
                            </w:r>
                          </w:p>
                          <w:p w:rsidR="00874D4A" w:rsidRDefault="00874D4A" w:rsidP="004A4948">
                            <w:r>
                              <w:t xml:space="preserve">The Hydrogen Production Tax Incentive will provide a $2 incentive per kilogram of renewable hydrogen produced for up to ten years per project, between 2027–28 and 2039–40 for projects that reach final investment decisions by 2030. This will operate alongside the expanded Hydrogen Headstart program, which supports the early movers investing in the industry’s development in a way that complements the support provided through the tax system. </w:t>
                            </w:r>
                          </w:p>
                          <w:p w:rsidR="00874D4A" w:rsidRDefault="00874D4A" w:rsidP="004A4948">
                            <w:r>
                              <w:t>The Critical Minerals Production Tax Incentive will provide a production incentive valued at 10 per cent of relevant processing and refining costs for Australia’s 31 critical minerals. This incentive will be applicable for up to 10 years per project, for production between 2027–28 and 2039–40 by projects that reach final investment decisions by 2030.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E44E0" id="_x0000_s1029" type="#_x0000_t202" style="position:absolute;margin-left:0;margin-top:0;width:465.7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" strokecolor="#066">
                <v:textbox style="mso-fit-shape-to-text:t">
                  <w:txbxContent>
                    <w:p w:rsidR="00874D4A" w:rsidRPr="004A4948" w:rsidRDefault="00874D4A" w:rsidP="004A4948">
                      <w:pPr>
                        <w:rPr>
                          <w:b/>
                        </w:rPr>
                      </w:pPr>
                      <w:r w:rsidRPr="004A4948">
                        <w:rPr>
                          <w:b/>
                        </w:rPr>
                        <w:t>Future Made in Australia Plan - Production Tax Incentives for Hydrogen and Critical Minerals Production</w:t>
                      </w:r>
                    </w:p>
                    <w:p w:rsidR="00874D4A" w:rsidRDefault="00874D4A" w:rsidP="004A4948">
                      <w:r>
                        <w:t>As part of the Future Made in Australia Plan, the 2024-25 Budget included targeted production incentives to scale up priority industries: aligning incentives to invest with the national interest, targeting ‘green premiums’ that are not yet reflected in market prices, and investing efficiently in mitigating the risks of excess supply chain concentration. Support for production is being delivered over timeframes that promote accelerated investment over the next decade, and in ways that are contingent on successful production.</w:t>
                      </w:r>
                    </w:p>
                    <w:p w:rsidR="00874D4A" w:rsidRDefault="00874D4A" w:rsidP="004A4948">
                      <w:r>
                        <w:t xml:space="preserve">The Hydrogen Production Tax Incentive will provide a $2 incentive per kilogram of renewable hydrogen produced for up to ten years per project, between 2027–28 and 2039–40 for projects that reach final investment decisions by 2030. This will operate alongside the expanded Hydrogen Headstart program, which supports the early movers investing in the industry’s development in a way that complements the support provided through the tax system. </w:t>
                      </w:r>
                    </w:p>
                    <w:p w:rsidR="00874D4A" w:rsidRDefault="00874D4A" w:rsidP="004A4948">
                      <w:r>
                        <w:t>The Critical Minerals Production Tax Incentive will provide a production incentive valued at 10 per cent of relevant processing and refining costs for Australia’s 31 critical minerals. This incentive will be applicable for up to 10 years per project, for production between 2027–28 and 2039–40 by projects that reach final investment decisions by 2030.</w:t>
                      </w:r>
                    </w:p>
                  </w:txbxContent>
                </v:textbox>
                <w10:wrap type="topAndBottom" anchorx="margin"/>
              </v:shape>
            </w:pict>
          </mc:Fallback>
        </mc:AlternateContent>
      </w:r>
      <w:r w:rsidR="000D452C" w:rsidRPr="006637BF">
        <w:rPr>
          <w:rFonts w:eastAsiaTheme="majorEastAsia" w:cstheme="majorBidi"/>
          <w:i/>
          <w:iCs/>
          <w:color w:val="006666"/>
          <w:sz w:val="24"/>
        </w:rPr>
        <w:t>Assessing different option</w:t>
      </w:r>
      <w:r w:rsidR="00F52D04" w:rsidRPr="006637BF">
        <w:rPr>
          <w:rFonts w:eastAsiaTheme="majorEastAsia" w:cstheme="majorBidi"/>
          <w:i/>
          <w:iCs/>
          <w:color w:val="006666"/>
          <w:sz w:val="24"/>
        </w:rPr>
        <w:t>s</w:t>
      </w:r>
    </w:p>
    <w:p w:rsidR="001E7D48" w:rsidRDefault="001E7D48" w:rsidP="00012130">
      <w:pPr>
        <w:spacing w:after="120" w:line="252" w:lineRule="auto"/>
      </w:pPr>
      <w:r>
        <w:t xml:space="preserve">Production tax incentives, </w:t>
      </w:r>
      <w:proofErr w:type="spellStart"/>
      <w:r>
        <w:t>CfDs</w:t>
      </w:r>
      <w:proofErr w:type="spellEnd"/>
      <w:r>
        <w:t xml:space="preserve"> and fixed-grant amount incentives all offer revenue certainty for producers, helping to provide confidence in establishing facilities.</w:t>
      </w:r>
    </w:p>
    <w:p w:rsidR="00C825E0" w:rsidRDefault="001E7D48" w:rsidP="00DD69F1">
      <w:pPr>
        <w:spacing w:before="120" w:after="120" w:line="252" w:lineRule="auto"/>
      </w:pPr>
      <w:r>
        <w:t>However, the differences in their design result</w:t>
      </w:r>
      <w:r w:rsidR="00F729E5">
        <w:t>s</w:t>
      </w:r>
      <w:r>
        <w:t xml:space="preserve"> in different impacts for industry.</w:t>
      </w:r>
      <w:r w:rsidR="00F729E5">
        <w:t xml:space="preserve"> The different options and their designs can be weighed according to some key dimensions, such as their technology neutrality, how they reduce the green premium and adapt over time, competition and financial impacts</w:t>
      </w:r>
      <w:r w:rsidR="00F60637">
        <w:t xml:space="preserve">. </w:t>
      </w:r>
    </w:p>
    <w:tbl>
      <w:tblPr>
        <w:tblStyle w:val="TableGrid"/>
        <w:tblW w:w="0" w:type="auto"/>
        <w:tblInd w:w="0" w:type="dxa"/>
        <w:tblLook w:val="04A0" w:firstRow="1" w:lastRow="0" w:firstColumn="1" w:lastColumn="0" w:noHBand="0" w:noVBand="1"/>
      </w:tblPr>
      <w:tblGrid>
        <w:gridCol w:w="9350"/>
      </w:tblGrid>
      <w:tr w:rsidR="008C370D" w:rsidTr="00D11DC7">
        <w:tc>
          <w:tcPr>
            <w:tcW w:w="9350" w:type="dxa"/>
            <w:shd w:val="clear" w:color="auto" w:fill="377B88"/>
          </w:tcPr>
          <w:p w:rsidR="008C370D" w:rsidRDefault="008C370D" w:rsidP="00DD69F1">
            <w:pPr>
              <w:spacing w:before="160" w:after="120" w:line="252" w:lineRule="auto"/>
            </w:pPr>
            <w:r w:rsidRPr="00CD73C9">
              <w:rPr>
                <w:b/>
                <w:color w:val="FFFFFF" w:themeColor="background1"/>
              </w:rPr>
              <w:t>Contract for difference schemes</w:t>
            </w:r>
          </w:p>
        </w:tc>
      </w:tr>
      <w:tr w:rsidR="008F61B1" w:rsidTr="004521AB">
        <w:trPr>
          <w:trHeight w:val="557"/>
        </w:trPr>
        <w:tc>
          <w:tcPr>
            <w:tcW w:w="9350" w:type="dxa"/>
          </w:tcPr>
          <w:p w:rsidR="008F61B1" w:rsidRDefault="008F61B1" w:rsidP="00A76A5A">
            <w:pPr>
              <w:pStyle w:val="ListParagraph"/>
              <w:numPr>
                <w:ilvl w:val="0"/>
                <w:numId w:val="12"/>
              </w:numPr>
              <w:spacing w:before="120" w:after="120" w:line="276" w:lineRule="auto"/>
            </w:pPr>
            <w:proofErr w:type="spellStart"/>
            <w:r>
              <w:t>CfD</w:t>
            </w:r>
            <w:proofErr w:type="spellEnd"/>
            <w:r>
              <w:t xml:space="preserve"> schemes allow producers to nominate an amount of incentive support that reflects their production costs, allowing support to meet their needs and offer more tailored revenue certainty.</w:t>
            </w:r>
          </w:p>
          <w:p w:rsidR="008F61B1" w:rsidRPr="008F61B1" w:rsidRDefault="008F61B1" w:rsidP="00A76A5A">
            <w:pPr>
              <w:pStyle w:val="ListParagraph"/>
              <w:numPr>
                <w:ilvl w:val="0"/>
                <w:numId w:val="12"/>
              </w:numPr>
              <w:spacing w:before="120" w:after="120" w:line="276" w:lineRule="auto"/>
            </w:pPr>
            <w:proofErr w:type="spellStart"/>
            <w:r>
              <w:t>CfD</w:t>
            </w:r>
            <w:proofErr w:type="spellEnd"/>
            <w:r>
              <w:t xml:space="preserve"> schemes </w:t>
            </w:r>
            <w:r w:rsidR="003F7FF2">
              <w:t xml:space="preserve">can be </w:t>
            </w:r>
            <w:r>
              <w:t>responsive to market conditions, providing greater revenue certainty to producers.</w:t>
            </w:r>
          </w:p>
          <w:p w:rsidR="008F61B1" w:rsidRDefault="008F61B1" w:rsidP="00A76A5A">
            <w:pPr>
              <w:pStyle w:val="ListParagraph"/>
              <w:numPr>
                <w:ilvl w:val="0"/>
                <w:numId w:val="12"/>
              </w:numPr>
              <w:spacing w:before="120" w:after="120" w:line="276" w:lineRule="auto"/>
            </w:pPr>
            <w:proofErr w:type="spellStart"/>
            <w:r>
              <w:t>CfD</w:t>
            </w:r>
            <w:proofErr w:type="spellEnd"/>
            <w:r>
              <w:t xml:space="preserve"> schemes require producers to pay the difference between the strike price and production price where market prices exceed the strike price. To ensure producers are able to retain sufficient profits as the industry becomes more sustainable, careful calibration of longer-term expected sale prices and production costs </w:t>
            </w:r>
            <w:r w:rsidR="00913721">
              <w:t>is</w:t>
            </w:r>
            <w:r>
              <w:t xml:space="preserve"> necessary during the competitive auction process. </w:t>
            </w:r>
          </w:p>
          <w:p w:rsidR="00C11B3D" w:rsidRPr="00DD69F1" w:rsidRDefault="008F61B1" w:rsidP="00A76A5A">
            <w:pPr>
              <w:pStyle w:val="ListParagraph"/>
              <w:numPr>
                <w:ilvl w:val="0"/>
                <w:numId w:val="12"/>
              </w:numPr>
              <w:spacing w:before="120" w:after="120" w:line="276" w:lineRule="auto"/>
            </w:pPr>
            <w:r>
              <w:t xml:space="preserve">In contrast to tax incentives, which apply broadly to all producers who meet eligibility criteria, a </w:t>
            </w:r>
            <w:proofErr w:type="spellStart"/>
            <w:r>
              <w:t>CfD</w:t>
            </w:r>
            <w:proofErr w:type="spellEnd"/>
            <w:r>
              <w:t xml:space="preserve"> scheme may favour established operators who have already commercialised operations elsewhere, or have existing refinery capacity, and can nominate lower strike </w:t>
            </w:r>
            <w:r>
              <w:lastRenderedPageBreak/>
              <w:t>prices</w:t>
            </w:r>
            <w:r w:rsidR="003802A3">
              <w:t xml:space="preserve"> and will be in a position to enter competitive auctions at the commencement of the contract for difference scheme</w:t>
            </w:r>
            <w:r>
              <w:t xml:space="preserve">. This may act as a barrier to entry for new producers </w:t>
            </w:r>
            <w:r w:rsidR="00913721">
              <w:t xml:space="preserve">relative to </w:t>
            </w:r>
            <w:r>
              <w:t>a more broadly available tax-based incentive</w:t>
            </w:r>
            <w:r w:rsidR="00DD69F1">
              <w:t>.</w:t>
            </w:r>
          </w:p>
        </w:tc>
      </w:tr>
      <w:tr w:rsidR="003C44DB" w:rsidTr="00D11DC7">
        <w:tc>
          <w:tcPr>
            <w:tcW w:w="9350" w:type="dxa"/>
            <w:shd w:val="clear" w:color="auto" w:fill="377B88"/>
          </w:tcPr>
          <w:p w:rsidR="003C44DB" w:rsidRPr="000E2640" w:rsidRDefault="00A53151" w:rsidP="003C44DB">
            <w:pPr>
              <w:spacing w:before="120" w:after="120" w:line="252" w:lineRule="auto"/>
              <w:rPr>
                <w:b/>
              </w:rPr>
            </w:pPr>
            <w:bookmarkStart w:id="37" w:name="_Hlk168997222"/>
            <w:r>
              <w:rPr>
                <w:b/>
                <w:color w:val="FFFFFF" w:themeColor="background1"/>
              </w:rPr>
              <w:lastRenderedPageBreak/>
              <w:t>Fixed-grant amount incentives</w:t>
            </w:r>
          </w:p>
        </w:tc>
      </w:tr>
      <w:bookmarkEnd w:id="37"/>
      <w:tr w:rsidR="003C44DB" w:rsidTr="00557CDA">
        <w:tc>
          <w:tcPr>
            <w:tcW w:w="9350" w:type="dxa"/>
          </w:tcPr>
          <w:p w:rsidR="00A53151" w:rsidRDefault="00A53151" w:rsidP="00A76A5A">
            <w:pPr>
              <w:pStyle w:val="ListParagraph"/>
              <w:numPr>
                <w:ilvl w:val="0"/>
                <w:numId w:val="12"/>
              </w:numPr>
              <w:spacing w:before="120" w:after="120" w:line="276" w:lineRule="auto"/>
            </w:pPr>
            <w:r>
              <w:t>Fixed-grant amount incentives are not responsive to market conditions, and may not be responsive to changing revenue needs of producers, and may not provide sufficient revenue support when market prices fall, or too much support if prices increase.</w:t>
            </w:r>
          </w:p>
          <w:p w:rsidR="00A53151" w:rsidRPr="003E7897" w:rsidRDefault="00A53151" w:rsidP="00A76A5A">
            <w:pPr>
              <w:pStyle w:val="ListParagraph"/>
              <w:numPr>
                <w:ilvl w:val="0"/>
                <w:numId w:val="12"/>
              </w:numPr>
              <w:spacing w:before="120" w:after="120" w:line="276" w:lineRule="auto"/>
            </w:pPr>
            <w:r>
              <w:t>Fixed-grant amount incentives require Government to select the most meritorious projects based on applications at the outset of the programs, which may favour more advanced and established operators and act as a barrier to new producers entering the market in the longer-term as they will not be able to receive support following the commencement of the program.</w:t>
            </w:r>
          </w:p>
        </w:tc>
      </w:tr>
      <w:tr w:rsidR="00786C70" w:rsidTr="001673F6">
        <w:trPr>
          <w:trHeight w:val="351"/>
        </w:trPr>
        <w:tc>
          <w:tcPr>
            <w:tcW w:w="9350" w:type="dxa"/>
            <w:shd w:val="clear" w:color="auto" w:fill="377B88"/>
          </w:tcPr>
          <w:p w:rsidR="00786C70" w:rsidRDefault="00A53151" w:rsidP="00786C70">
            <w:pPr>
              <w:spacing w:before="120" w:after="120" w:line="252" w:lineRule="auto"/>
            </w:pPr>
            <w:r w:rsidRPr="00CD73C9">
              <w:rPr>
                <w:b/>
                <w:color w:val="FFFFFF" w:themeColor="background1"/>
              </w:rPr>
              <w:t>Production tax incentives</w:t>
            </w:r>
          </w:p>
        </w:tc>
      </w:tr>
      <w:tr w:rsidR="00786C70" w:rsidTr="000E2640">
        <w:trPr>
          <w:trHeight w:val="351"/>
        </w:trPr>
        <w:tc>
          <w:tcPr>
            <w:tcW w:w="9350" w:type="dxa"/>
          </w:tcPr>
          <w:p w:rsidR="00A53151" w:rsidRDefault="00A53151" w:rsidP="00A76A5A">
            <w:pPr>
              <w:pStyle w:val="ListParagraph"/>
              <w:numPr>
                <w:ilvl w:val="0"/>
                <w:numId w:val="12"/>
              </w:numPr>
              <w:spacing w:before="120" w:after="120" w:line="276" w:lineRule="auto"/>
            </w:pPr>
            <w:bookmarkStart w:id="38" w:name="_Hlk167185901"/>
            <w:r>
              <w:t xml:space="preserve">A tax incentive model could allow uniform access across eligible entities, providing greater certainty to businesses of the rebates that will be available. </w:t>
            </w:r>
          </w:p>
          <w:bookmarkEnd w:id="38"/>
          <w:p w:rsidR="00A53151" w:rsidRDefault="00A53151" w:rsidP="00A76A5A">
            <w:pPr>
              <w:pStyle w:val="ListParagraph"/>
              <w:numPr>
                <w:ilvl w:val="0"/>
                <w:numId w:val="12"/>
              </w:numPr>
              <w:spacing w:before="120" w:after="120" w:line="276" w:lineRule="auto"/>
            </w:pPr>
            <w:r>
              <w:t xml:space="preserve">Could be designed as a refundable tax offset that is time-limited with defined eligibility thresholds for the production of LCLF. </w:t>
            </w:r>
            <w:r w:rsidRPr="004521AB">
              <w:t>Varying rates of incentive could apply to fuels that meet emissions intensity reduct</w:t>
            </w:r>
            <w:r w:rsidRPr="00F729E5">
              <w:t xml:space="preserve">ion thresholds. </w:t>
            </w:r>
          </w:p>
          <w:p w:rsidR="00786C70" w:rsidRPr="00A53151" w:rsidRDefault="00A53151" w:rsidP="00A76A5A">
            <w:pPr>
              <w:pStyle w:val="ListParagraph"/>
              <w:numPr>
                <w:ilvl w:val="0"/>
                <w:numId w:val="12"/>
              </w:numPr>
              <w:spacing w:before="120" w:after="120" w:line="276" w:lineRule="auto"/>
            </w:pPr>
            <w:r w:rsidRPr="000379A1">
              <w:t>How an incentive interacts with</w:t>
            </w:r>
            <w:r w:rsidRPr="004521AB">
              <w:t xml:space="preserve"> other incentives (such as those for hydrogen) would need to be considered to optimise the impact and efficiency of government funding</w:t>
            </w:r>
            <w:r w:rsidR="00A76A5A">
              <w:t>.</w:t>
            </w:r>
          </w:p>
        </w:tc>
      </w:tr>
    </w:tbl>
    <w:p w:rsidR="00FA6F9B" w:rsidRPr="00A26712" w:rsidRDefault="00DD69F1" w:rsidP="00A76A5A">
      <w:pPr>
        <w:pStyle w:val="Heading4"/>
        <w:spacing w:before="240"/>
      </w:pPr>
      <w:r>
        <w:rPr>
          <w:noProof/>
          <w:lang w:eastAsia="en-AU"/>
        </w:rPr>
        <w:lastRenderedPageBreak/>
        <mc:AlternateContent>
          <mc:Choice Requires="wps">
            <w:drawing>
              <wp:anchor distT="45720" distB="45720" distL="114300" distR="114300" simplePos="0" relativeHeight="251658244" behindDoc="0" locked="0" layoutInCell="1" allowOverlap="1" wp14:anchorId="6BB5841C" wp14:editId="4433EFDC">
                <wp:simplePos x="0" y="0"/>
                <wp:positionH relativeFrom="margin">
                  <wp:posOffset>0</wp:posOffset>
                </wp:positionH>
                <wp:positionV relativeFrom="paragraph">
                  <wp:posOffset>0</wp:posOffset>
                </wp:positionV>
                <wp:extent cx="5915025" cy="1404620"/>
                <wp:effectExtent l="0" t="0" r="9525" b="952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E1E4E9"/>
                        </a:solidFill>
                        <a:ln w="9525">
                          <a:noFill/>
                          <a:miter lim="800000"/>
                          <a:headEnd/>
                          <a:tailEnd/>
                        </a:ln>
                      </wps:spPr>
                      <wps:txbx>
                        <w:txbxContent>
                          <w:p w:rsidR="00874D4A" w:rsidRPr="00B65D85" w:rsidRDefault="00874D4A" w:rsidP="00B65D85">
                            <w:pPr>
                              <w:rPr>
                                <w:b/>
                              </w:rPr>
                            </w:pPr>
                            <w:r w:rsidRPr="00B65D85">
                              <w:rPr>
                                <w:b/>
                              </w:rPr>
                              <w:t>The Government is seeking your views on the design of a production incentive scheme</w:t>
                            </w:r>
                            <w:r>
                              <w:rPr>
                                <w:b/>
                              </w:rPr>
                              <w:t>:</w:t>
                            </w:r>
                          </w:p>
                          <w:p w:rsidR="00874D4A" w:rsidRDefault="00874D4A" w:rsidP="00B65D85">
                            <w:r>
                              <w:t>What mechanism do you think would best support production – through the tax system, contract for difference or grant based funding?</w:t>
                            </w:r>
                          </w:p>
                          <w:p w:rsidR="00874D4A" w:rsidRDefault="00874D4A" w:rsidP="00B65D85">
                            <w:r>
                              <w:t>Are there other mechanisms Government could consider to deliver production support, other than a production tax incentive or competitive grant-based payment? What do you think is the highest priority form of support?</w:t>
                            </w:r>
                          </w:p>
                          <w:p w:rsidR="00874D4A" w:rsidRDefault="00874D4A" w:rsidP="00B65D85">
                            <w:r>
                              <w:t>What are expected production costs of LCLF in Australia? How would you design production incentives to make production competitive in Australia?</w:t>
                            </w:r>
                          </w:p>
                          <w:p w:rsidR="00874D4A" w:rsidRDefault="00874D4A" w:rsidP="00B65D85">
                            <w:r>
                              <w:t>What would an expected rate of support be under a competitive grant-based production scheme (contract for difference or fixed grant amount per production unit)?</w:t>
                            </w:r>
                          </w:p>
                          <w:p w:rsidR="00874D4A" w:rsidRDefault="00874D4A" w:rsidP="00B65D85">
                            <w:r>
                              <w:t>How many producers would you expect a production incentive scheme to support in Australia?</w:t>
                            </w:r>
                          </w:p>
                          <w:p w:rsidR="00874D4A" w:rsidRDefault="00874D4A" w:rsidP="00B65D85">
                            <w:r>
                              <w:t>How could the introduction of a production incentive scheme affect competition in fuel production and supply markets, and also amongst fuel users?</w:t>
                            </w:r>
                          </w:p>
                          <w:p w:rsidR="00874D4A" w:rsidRDefault="00874D4A" w:rsidP="00B65D85">
                            <w:r>
                              <w:t xml:space="preserve">What are the expected timeframes for when an industry would be sustainable without support from Government? </w:t>
                            </w:r>
                          </w:p>
                          <w:p w:rsidR="00874D4A" w:rsidRDefault="00874D4A" w:rsidP="00B65D85">
                            <w:r>
                              <w:t>How should production support be funded, and how could this best be aligned with the beneficiaries of the production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5841C" id="_x0000_s1030" type="#_x0000_t202" style="position:absolute;margin-left:0;margin-top:0;width:465.7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" fillcolor="#e1e4e9" stroked="f">
                <v:textbox style="mso-fit-shape-to-text:t">
                  <w:txbxContent>
                    <w:p w:rsidR="00874D4A" w:rsidRPr="00B65D85" w:rsidRDefault="00874D4A" w:rsidP="00B65D85">
                      <w:pPr>
                        <w:rPr>
                          <w:b/>
                        </w:rPr>
                      </w:pPr>
                      <w:r w:rsidRPr="00B65D85">
                        <w:rPr>
                          <w:b/>
                        </w:rPr>
                        <w:t>The Government is seeking your views on the design of a production incentive scheme</w:t>
                      </w:r>
                      <w:r>
                        <w:rPr>
                          <w:b/>
                        </w:rPr>
                        <w:t>:</w:t>
                      </w:r>
                    </w:p>
                    <w:p w:rsidR="00874D4A" w:rsidRDefault="00874D4A" w:rsidP="00B65D85">
                      <w:r>
                        <w:t>What mechanism do you think would best support production – through the tax system, contract for difference or grant based funding?</w:t>
                      </w:r>
                    </w:p>
                    <w:p w:rsidR="00874D4A" w:rsidRDefault="00874D4A" w:rsidP="00B65D85">
                      <w:r>
                        <w:t>Are there other mechanisms Government could consider to deliver production support, other than a production tax incentive or competitive grant-based payment? What do you think is the highest priority form of support?</w:t>
                      </w:r>
                    </w:p>
                    <w:p w:rsidR="00874D4A" w:rsidRDefault="00874D4A" w:rsidP="00B65D85">
                      <w:r>
                        <w:t>What are expected production costs of LCLF in Australia? How would you design production incentives to make production competitive in Australia?</w:t>
                      </w:r>
                    </w:p>
                    <w:p w:rsidR="00874D4A" w:rsidRDefault="00874D4A" w:rsidP="00B65D85">
                      <w:r>
                        <w:t>What would an expected rate of support be under a competitive grant-based production scheme (contract for difference or fixed grant amount per production unit)?</w:t>
                      </w:r>
                    </w:p>
                    <w:p w:rsidR="00874D4A" w:rsidRDefault="00874D4A" w:rsidP="00B65D85">
                      <w:r>
                        <w:t>How many producers would you expect a production incentive scheme to support in Australia?</w:t>
                      </w:r>
                    </w:p>
                    <w:p w:rsidR="00874D4A" w:rsidRDefault="00874D4A" w:rsidP="00B65D85">
                      <w:r>
                        <w:t>How could the introduction of a production incentive scheme affect competition in fuel production and supply markets, and also amongst fuel users?</w:t>
                      </w:r>
                    </w:p>
                    <w:p w:rsidR="00874D4A" w:rsidRDefault="00874D4A" w:rsidP="00B65D85">
                      <w:r>
                        <w:t xml:space="preserve">What are the expected timeframes for when an industry would be sustainable without support from Government? </w:t>
                      </w:r>
                    </w:p>
                    <w:p w:rsidR="00874D4A" w:rsidRDefault="00874D4A" w:rsidP="00B65D85">
                      <w:r>
                        <w:t>How should production support be funded, and how could this best be aligned with the beneficiaries of the production support?</w:t>
                      </w:r>
                    </w:p>
                  </w:txbxContent>
                </v:textbox>
                <w10:wrap type="topAndBottom" anchorx="margin"/>
              </v:shape>
            </w:pict>
          </mc:Fallback>
        </mc:AlternateContent>
      </w:r>
      <w:r w:rsidR="00FA6F9B" w:rsidRPr="00A26712">
        <w:t>Supporting a range of fuels in the Australian market</w:t>
      </w:r>
    </w:p>
    <w:p w:rsidR="00FA6F9B" w:rsidRDefault="002F2B0F" w:rsidP="00FA6F9B">
      <w:r>
        <w:t>A</w:t>
      </w:r>
      <w:r w:rsidR="00FA6F9B">
        <w:t>n LCLF product neutral design of a production incentive or demand-side measure</w:t>
      </w:r>
      <w:r w:rsidR="00F729E5">
        <w:t xml:space="preserve"> would</w:t>
      </w:r>
      <w:r w:rsidR="00FA6F9B">
        <w:t xml:space="preserve"> likely favour production of renewable diesel over SAF due to cheaper production costs. However, aviation will likely require access to SAF in the longer term compared to sectors which rely on renewable diesel, as aviation is less able to rely on alternative abatement measures (such as electrification) in the longer term.</w:t>
      </w:r>
    </w:p>
    <w:p w:rsidR="00FA6F9B" w:rsidRDefault="00D52C0B" w:rsidP="00FA6F9B">
      <w:r>
        <w:t xml:space="preserve">Consideration is </w:t>
      </w:r>
      <w:r w:rsidR="0020070F">
        <w:t xml:space="preserve">being given to whether </w:t>
      </w:r>
      <w:r w:rsidR="00FA6F9B">
        <w:t>production incentives need to be designed to incentivise SAF production over renewable diesel production, or to require producers to dedicate specific proportions of their production to SAF over renewable diesel.</w:t>
      </w:r>
    </w:p>
    <w:p w:rsidR="00FA6F9B" w:rsidRDefault="00FA6F9B" w:rsidP="00FA6F9B">
      <w:r>
        <w:t>Additionally, emerging production pathways may have higher production costs than more established production pathways as these nascent production methods are not yet commercialised. However, fuels produced using these production pathways may offer greater emissions reduction benefits than those produced using more established pathways. Increasing the different types of pathways and feedstocks used towards sustainable liquid fuel production may help build the sustainability of Australia’s liquid fuel industry, by avoiding dependence on limited production pathways and feedstocks which may reach supply limits in the medium term.</w:t>
      </w:r>
    </w:p>
    <w:p w:rsidR="006637BF" w:rsidRDefault="00FA6F9B">
      <w:r>
        <w:t xml:space="preserve">Therefore, production incentives </w:t>
      </w:r>
      <w:r w:rsidR="008D5BEB">
        <w:t xml:space="preserve">may </w:t>
      </w:r>
      <w:r>
        <w:t xml:space="preserve">need to be designed to provide different levels of support for different production pathways, noting emerging production methods may not be able to compete with established pathways on a purely price-based approach in the shorter term. </w:t>
      </w:r>
      <w:bookmarkStart w:id="39" w:name="_Hlk165654581"/>
    </w:p>
    <w:p w:rsidR="00272BF8" w:rsidRPr="006637BF" w:rsidRDefault="006637BF" w:rsidP="006637BF">
      <w:pPr>
        <w:spacing w:after="0"/>
      </w:pPr>
      <w:r>
        <w:rPr>
          <w:noProof/>
          <w:lang w:eastAsia="en-AU"/>
        </w:rPr>
        <w:lastRenderedPageBreak/>
        <mc:AlternateContent>
          <mc:Choice Requires="wps">
            <w:drawing>
              <wp:anchor distT="45720" distB="45720" distL="114300" distR="114300" simplePos="0" relativeHeight="251658245" behindDoc="0" locked="0" layoutInCell="1" allowOverlap="1" wp14:anchorId="4076834E" wp14:editId="1B75852B">
                <wp:simplePos x="0" y="0"/>
                <wp:positionH relativeFrom="margin">
                  <wp:posOffset>-9525</wp:posOffset>
                </wp:positionH>
                <wp:positionV relativeFrom="paragraph">
                  <wp:posOffset>0</wp:posOffset>
                </wp:positionV>
                <wp:extent cx="5924550" cy="1404620"/>
                <wp:effectExtent l="0" t="0" r="0" b="254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E1E4E9"/>
                        </a:solidFill>
                        <a:ln w="9525">
                          <a:noFill/>
                          <a:miter lim="800000"/>
                          <a:headEnd/>
                          <a:tailEnd/>
                        </a:ln>
                      </wps:spPr>
                      <wps:txbx>
                        <w:txbxContent>
                          <w:p w:rsidR="00874D4A" w:rsidRPr="00473E68" w:rsidRDefault="00874D4A" w:rsidP="00671EC0">
                            <w:pPr>
                              <w:rPr>
                                <w:b/>
                              </w:rPr>
                            </w:pPr>
                            <w:r w:rsidRPr="00473E68">
                              <w:rPr>
                                <w:b/>
                              </w:rPr>
                              <w:t>The Government is seeking your views on the design of production incentives to appropriately incentivise the production of SAF and renewable diesel and different pathways to produce LCLF:</w:t>
                            </w:r>
                          </w:p>
                          <w:p w:rsidR="00874D4A" w:rsidRDefault="00874D4A" w:rsidP="00671EC0">
                            <w:r>
                              <w:t>Would production support need to offer a different rate of incentive for SAF and renewable diesel?</w:t>
                            </w:r>
                          </w:p>
                          <w:p w:rsidR="00874D4A" w:rsidRDefault="00874D4A" w:rsidP="00671EC0">
                            <w:r>
                              <w:t>Does a potential production support program need to prescribe certain proportions of production volumes towards SAF or renewable diesel?</w:t>
                            </w:r>
                          </w:p>
                          <w:p w:rsidR="00874D4A" w:rsidRDefault="00874D4A" w:rsidP="00671EC0">
                            <w:r>
                              <w:t>Would production support need to provide different levels of support for emerging and established production pathways? What are some of the design considerations Government should consider?</w:t>
                            </w:r>
                          </w:p>
                          <w:p w:rsidR="00874D4A" w:rsidRDefault="00874D4A" w:rsidP="00671EC0">
                            <w:r>
                              <w:t>What policy approaches are technology agnostic, applying efficiently to new technologies as they emerge?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76834E" id="_x0000_s1031" type="#_x0000_t202" style="position:absolute;margin-left:-.75pt;margin-top:0;width:466.5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" fillcolor="#e1e4e9" stroked="f">
                <v:textbox style="mso-fit-shape-to-text:t">
                  <w:txbxContent>
                    <w:p w:rsidR="00874D4A" w:rsidRPr="00473E68" w:rsidRDefault="00874D4A" w:rsidP="00671EC0">
                      <w:pPr>
                        <w:rPr>
                          <w:b/>
                        </w:rPr>
                      </w:pPr>
                      <w:r w:rsidRPr="00473E68">
                        <w:rPr>
                          <w:b/>
                        </w:rPr>
                        <w:t>The Government is seeking your views on the design of production incentives to appropriately incentivise the production of SAF and renewable diesel and different pathways to produce LCLF:</w:t>
                      </w:r>
                    </w:p>
                    <w:p w:rsidR="00874D4A" w:rsidRDefault="00874D4A" w:rsidP="00671EC0">
                      <w:r>
                        <w:t>Would production support need to offer a different rate of incentive for SAF and renewable diesel?</w:t>
                      </w:r>
                    </w:p>
                    <w:p w:rsidR="00874D4A" w:rsidRDefault="00874D4A" w:rsidP="00671EC0">
                      <w:r>
                        <w:t>Does a potential production support program need to prescribe certain proportions of production volumes towards SAF or renewable diesel?</w:t>
                      </w:r>
                    </w:p>
                    <w:p w:rsidR="00874D4A" w:rsidRDefault="00874D4A" w:rsidP="00671EC0">
                      <w:r>
                        <w:t>Would production support need to provide different levels of support for emerging and established production pathways? What are some of the design considerations Government should consider?</w:t>
                      </w:r>
                    </w:p>
                    <w:p w:rsidR="00874D4A" w:rsidRDefault="00874D4A" w:rsidP="00671EC0">
                      <w:r>
                        <w:t>What policy approaches are technology agnostic, applying efficiently to new technologies as they emerge?</w:t>
                      </w:r>
                    </w:p>
                  </w:txbxContent>
                </v:textbox>
                <w10:wrap type="topAndBottom" anchorx="margin"/>
              </v:shape>
            </w:pict>
          </mc:Fallback>
        </mc:AlternateContent>
      </w:r>
      <w:bookmarkStart w:id="40" w:name="_Hlk165654598"/>
      <w:bookmarkEnd w:id="39"/>
    </w:p>
    <w:p w:rsidR="00BB7EE0" w:rsidRPr="0039415B" w:rsidRDefault="00BB7EE0" w:rsidP="007272B0">
      <w:pPr>
        <w:pStyle w:val="Heading3"/>
        <w:spacing w:line="276" w:lineRule="auto"/>
        <w:rPr>
          <w:rFonts w:eastAsia="MS PGothic"/>
        </w:rPr>
      </w:pPr>
      <w:bookmarkStart w:id="41" w:name="_Toc168994034"/>
      <w:r w:rsidRPr="0039415B">
        <w:rPr>
          <w:rFonts w:eastAsia="MS PGothic"/>
        </w:rPr>
        <w:t>Eligibility criteria</w:t>
      </w:r>
      <w:bookmarkEnd w:id="41"/>
    </w:p>
    <w:bookmarkEnd w:id="40"/>
    <w:p w:rsidR="00CC652F" w:rsidRDefault="009B1B3F" w:rsidP="00BB7EE0">
      <w:r>
        <w:t>P</w:t>
      </w:r>
      <w:r w:rsidR="006C2C47">
        <w:t>roduction incentive</w:t>
      </w:r>
      <w:r>
        <w:t>s</w:t>
      </w:r>
      <w:r w:rsidR="006C2C47">
        <w:t xml:space="preserve"> w</w:t>
      </w:r>
      <w:r w:rsidR="00F729E5">
        <w:t>ould</w:t>
      </w:r>
      <w:r w:rsidR="006C2C47">
        <w:t xml:space="preserve"> need to be supported by eligibility </w:t>
      </w:r>
      <w:r w:rsidR="001778E9">
        <w:t xml:space="preserve">criteria </w:t>
      </w:r>
      <w:r w:rsidR="006C2C47">
        <w:t>s</w:t>
      </w:r>
      <w:r w:rsidR="001778E9">
        <w:t xml:space="preserve">etting out the entities who </w:t>
      </w:r>
      <w:r w:rsidR="006C2C47">
        <w:t xml:space="preserve">would </w:t>
      </w:r>
      <w:r w:rsidR="00CC652F">
        <w:t xml:space="preserve">be eligible to </w:t>
      </w:r>
      <w:r w:rsidR="001778E9">
        <w:t xml:space="preserve">receive </w:t>
      </w:r>
      <w:r w:rsidR="00CC652F">
        <w:t xml:space="preserve">production incentive </w:t>
      </w:r>
      <w:r w:rsidR="001778E9">
        <w:t>support.</w:t>
      </w:r>
    </w:p>
    <w:p w:rsidR="001778E9" w:rsidRDefault="006C2C47" w:rsidP="00BB7EE0">
      <w:r>
        <w:t>Eligibility</w:t>
      </w:r>
      <w:r w:rsidR="001778E9">
        <w:t xml:space="preserve"> criteria </w:t>
      </w:r>
      <w:r>
        <w:t xml:space="preserve">could </w:t>
      </w:r>
      <w:r w:rsidR="001778E9">
        <w:t xml:space="preserve">consider </w:t>
      </w:r>
      <w:r w:rsidR="000B1D46">
        <w:t>parameters including:</w:t>
      </w:r>
    </w:p>
    <w:p w:rsidR="000B1D46" w:rsidRDefault="000B1D46" w:rsidP="00207920">
      <w:pPr>
        <w:pStyle w:val="ListParagraph"/>
        <w:numPr>
          <w:ilvl w:val="0"/>
          <w:numId w:val="1"/>
        </w:numPr>
      </w:pPr>
      <w:r>
        <w:t>Emissions reductions offered by the fuels produced</w:t>
      </w:r>
      <w:r w:rsidR="00CC652F">
        <w:t>.</w:t>
      </w:r>
    </w:p>
    <w:p w:rsidR="000B1D46" w:rsidRDefault="000B1D46" w:rsidP="00207920">
      <w:pPr>
        <w:pStyle w:val="ListParagraph"/>
        <w:numPr>
          <w:ilvl w:val="0"/>
          <w:numId w:val="1"/>
        </w:numPr>
      </w:pPr>
      <w:r>
        <w:t xml:space="preserve">Other sustainability factors in the fuel’s </w:t>
      </w:r>
      <w:r w:rsidR="00747E37">
        <w:t>production</w:t>
      </w:r>
      <w:r w:rsidR="00CC652F">
        <w:t>.</w:t>
      </w:r>
    </w:p>
    <w:p w:rsidR="00747E37" w:rsidRPr="00493104" w:rsidRDefault="009533CF" w:rsidP="00493104">
      <w:pPr>
        <w:pStyle w:val="ListParagraph"/>
        <w:numPr>
          <w:ilvl w:val="0"/>
          <w:numId w:val="1"/>
        </w:numPr>
        <w:spacing w:after="0"/>
      </w:pPr>
      <w:r>
        <w:t xml:space="preserve">Community benefit criteria, consistent with the principles set out in the </w:t>
      </w:r>
      <w:r>
        <w:rPr>
          <w:i/>
        </w:rPr>
        <w:t>Future Made in Australia Act</w:t>
      </w:r>
      <w:r w:rsidR="00CC652F">
        <w:rPr>
          <w:i/>
        </w:rPr>
        <w:t>.</w:t>
      </w:r>
    </w:p>
    <w:p w:rsidR="00493104" w:rsidRDefault="00493104" w:rsidP="00493104">
      <w:pPr>
        <w:spacing w:after="0"/>
      </w:pPr>
    </w:p>
    <w:p w:rsidR="007122A6" w:rsidRPr="00C85349" w:rsidRDefault="007122A6" w:rsidP="007272B0">
      <w:pPr>
        <w:pStyle w:val="Heading4"/>
        <w:spacing w:line="276" w:lineRule="auto"/>
      </w:pPr>
      <w:r w:rsidRPr="00C85349">
        <w:t>Emissions and sustainability criteria</w:t>
      </w:r>
    </w:p>
    <w:p w:rsidR="00CC652F" w:rsidRDefault="006C2C47" w:rsidP="00CC652F">
      <w:r>
        <w:t xml:space="preserve">To provide assurance of the emissions reductions benefits of LCLF produced under a production scheme, the </w:t>
      </w:r>
      <w:r w:rsidR="00CC652F">
        <w:t xml:space="preserve">Government </w:t>
      </w:r>
      <w:r>
        <w:t xml:space="preserve">suggests </w:t>
      </w:r>
      <w:r w:rsidR="00CC652F">
        <w:t>fuels produced must demonstrate</w:t>
      </w:r>
      <w:r>
        <w:t xml:space="preserve"> they meet a</w:t>
      </w:r>
      <w:r w:rsidR="003378E8">
        <w:t xml:space="preserve"> minimum</w:t>
      </w:r>
      <w:r>
        <w:t xml:space="preserve"> emissions reduction threshold</w:t>
      </w:r>
      <w:r w:rsidR="00CC652F">
        <w:t xml:space="preserve"> </w:t>
      </w:r>
      <w:r w:rsidR="006E0050">
        <w:t>(for example</w:t>
      </w:r>
      <w:r w:rsidR="003378E8">
        <w:t>,</w:t>
      </w:r>
      <w:r w:rsidR="006E0050">
        <w:t xml:space="preserve"> </w:t>
      </w:r>
      <w:r w:rsidR="00CC652F">
        <w:t>at least a 50 per cent emissions reduction compared to conventional fuels</w:t>
      </w:r>
      <w:r w:rsidR="006E0050">
        <w:t>)</w:t>
      </w:r>
      <w:r w:rsidR="00CC652F">
        <w:t xml:space="preserve">. </w:t>
      </w:r>
    </w:p>
    <w:p w:rsidR="00C633D4" w:rsidRDefault="00CC652F" w:rsidP="00CC652F">
      <w:r>
        <w:t>In the 2024-25 Budget, the Australian Government announced an expansion of the Guarantee of Origin Scheme to certify the emissions and sustainability profile of low carbon liquid fuels, such as SAF, renewable diesel, ethanol and other synthetic fuels. The Guarantee of Origin Scheme is an assurance scheme being designed to track and veri</w:t>
      </w:r>
      <w:r w:rsidR="00C00596">
        <w:t>f</w:t>
      </w:r>
      <w:r>
        <w:t xml:space="preserve">y emissions associated with hydrogen, renewable electricity and other products over time. The Guarantee of Origin Scheme will show where a product has come from, how it was made, and its lifecycle carbon intensity. </w:t>
      </w:r>
    </w:p>
    <w:p w:rsidR="006637BF" w:rsidRDefault="00CC652F" w:rsidP="00CC652F">
      <w:r>
        <w:t xml:space="preserve">The Guarantee of Origin Scheme </w:t>
      </w:r>
      <w:r w:rsidR="001B3CDA">
        <w:t>may</w:t>
      </w:r>
      <w:r>
        <w:t xml:space="preserve"> include other sustainability factors, such as impacts of land use change. The Guarantee of Origin Scheme will provide the basis for emissions and sustainability criteria for </w:t>
      </w:r>
      <w:r w:rsidR="006E0050">
        <w:t>a</w:t>
      </w:r>
      <w:r w:rsidR="00F729E5">
        <w:t xml:space="preserve"> p</w:t>
      </w:r>
      <w:r w:rsidR="00F729E5" w:rsidRPr="006637BF">
        <w:t>otential</w:t>
      </w:r>
      <w:r w:rsidR="006E0050" w:rsidRPr="006637BF">
        <w:t xml:space="preserve"> production incentive </w:t>
      </w:r>
      <w:r w:rsidRPr="006637BF">
        <w:t xml:space="preserve">program. </w:t>
      </w:r>
    </w:p>
    <w:p w:rsidR="00C633D4" w:rsidRDefault="00557505" w:rsidP="006637BF">
      <w:r>
        <w:rPr>
          <w:noProof/>
          <w:lang w:eastAsia="en-AU"/>
        </w:rPr>
        <w:lastRenderedPageBreak/>
        <mc:AlternateContent>
          <mc:Choice Requires="wps">
            <w:drawing>
              <wp:anchor distT="45720" distB="45720" distL="114300" distR="114300" simplePos="0" relativeHeight="251658246" behindDoc="0" locked="0" layoutInCell="1" allowOverlap="1" wp14:anchorId="60C93F26" wp14:editId="68140F27">
                <wp:simplePos x="0" y="0"/>
                <wp:positionH relativeFrom="margin">
                  <wp:align>right</wp:align>
                </wp:positionH>
                <wp:positionV relativeFrom="paragraph">
                  <wp:posOffset>1203960</wp:posOffset>
                </wp:positionV>
                <wp:extent cx="59150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E1E4E9"/>
                        </a:solidFill>
                        <a:ln w="9525">
                          <a:noFill/>
                          <a:miter lim="800000"/>
                          <a:headEnd/>
                          <a:tailEnd/>
                        </a:ln>
                      </wps:spPr>
                      <wps:txbx>
                        <w:txbxContent>
                          <w:p w:rsidR="00874D4A" w:rsidRPr="00557505" w:rsidRDefault="00874D4A" w:rsidP="00557505">
                            <w:pPr>
                              <w:rPr>
                                <w:b/>
                              </w:rPr>
                            </w:pPr>
                            <w:r w:rsidRPr="00557505">
                              <w:rPr>
                                <w:b/>
                              </w:rPr>
                              <w:t>The Government is seeking your views on the following considerations regarding emissions and sustainability criteria:</w:t>
                            </w:r>
                          </w:p>
                          <w:p w:rsidR="00874D4A" w:rsidRDefault="00874D4A" w:rsidP="00557505">
                            <w:r>
                              <w:t>Do you support an emissions reduction threshold being included as part of eligibility criteria for fuels to receive support under a production incentive program? What threshold would you seek to be included in eligibility criteria (for example 50 per cent emissions reduction relative to conventional fuels, or another emissions reduction ratio)?</w:t>
                            </w:r>
                          </w:p>
                          <w:p w:rsidR="00874D4A" w:rsidRDefault="00874D4A" w:rsidP="00557505">
                            <w:r>
                              <w:t>Do you think any threshold should increase over time?</w:t>
                            </w:r>
                          </w:p>
                          <w:p w:rsidR="00874D4A" w:rsidRDefault="00874D4A" w:rsidP="00557505">
                            <w:r>
                              <w:t>Do you think incentives should be included to encourage emissions reduction in addition to a minimum eligibility threshold?</w:t>
                            </w:r>
                          </w:p>
                          <w:p w:rsidR="00874D4A" w:rsidRDefault="00874D4A" w:rsidP="00557505">
                            <w:r>
                              <w:t>If you don’t support a threshold, what emissions requirements do you think are better?</w:t>
                            </w:r>
                          </w:p>
                          <w:p w:rsidR="00874D4A" w:rsidRDefault="00874D4A" w:rsidP="00557505">
                            <w:r>
                              <w:t>Do you have views on the sustainability criteria under consideration as part of the criteria? What additional or alternative criteria would you want to see form part of the criteria?</w:t>
                            </w:r>
                          </w:p>
                          <w:p w:rsidR="00874D4A" w:rsidRDefault="00874D4A" w:rsidP="00557505">
                            <w:r>
                              <w:t>Do you have any other views on emissions and sustainability criteria?</w:t>
                            </w:r>
                          </w:p>
                          <w:p w:rsidR="00874D4A" w:rsidRDefault="00874D4A" w:rsidP="00557505">
                            <w:r>
                              <w:t>What are the community benefits associated with LCLF production in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C93F26" id="_x0000_s1032" type="#_x0000_t202" style="position:absolute;margin-left:414.55pt;margin-top:94.8pt;width:465.75pt;height:110.6pt;z-index:25165824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" fillcolor="#e1e4e9" stroked="f">
                <v:textbox style="mso-fit-shape-to-text:t">
                  <w:txbxContent>
                    <w:p w:rsidR="00874D4A" w:rsidRPr="00557505" w:rsidRDefault="00874D4A" w:rsidP="00557505">
                      <w:pPr>
                        <w:rPr>
                          <w:b/>
                        </w:rPr>
                      </w:pPr>
                      <w:r w:rsidRPr="00557505">
                        <w:rPr>
                          <w:b/>
                        </w:rPr>
                        <w:t>The Government is seeking your views on the following considerations regarding emissions and sustainability criteria:</w:t>
                      </w:r>
                    </w:p>
                    <w:p w:rsidR="00874D4A" w:rsidRDefault="00874D4A" w:rsidP="00557505">
                      <w:r>
                        <w:t>Do you support an emissions reduction threshold being included as part of eligibility criteria for fuels to receive support under a production incentive program? What threshold would you seek to be included in eligibility criteria (for example 50 per cent emissions reduction relative to conventional fuels, or another emissions reduction ratio)?</w:t>
                      </w:r>
                    </w:p>
                    <w:p w:rsidR="00874D4A" w:rsidRDefault="00874D4A" w:rsidP="00557505">
                      <w:r>
                        <w:t>Do you think any threshold should increase over time?</w:t>
                      </w:r>
                    </w:p>
                    <w:p w:rsidR="00874D4A" w:rsidRDefault="00874D4A" w:rsidP="00557505">
                      <w:r>
                        <w:t>Do you think incentives should be included to encourage emissions reduction in addition to a minimum eligibility threshold?</w:t>
                      </w:r>
                    </w:p>
                    <w:p w:rsidR="00874D4A" w:rsidRDefault="00874D4A" w:rsidP="00557505">
                      <w:r>
                        <w:t>If you don’t support a threshold, what emissions requirements do you think are better?</w:t>
                      </w:r>
                    </w:p>
                    <w:p w:rsidR="00874D4A" w:rsidRDefault="00874D4A" w:rsidP="00557505">
                      <w:r>
                        <w:t>Do you have views on the sustainability criteria under consideration as part of the criteria? What additional or alternative criteria would you want to see form part of the criteria?</w:t>
                      </w:r>
                    </w:p>
                    <w:p w:rsidR="00874D4A" w:rsidRDefault="00874D4A" w:rsidP="00557505">
                      <w:r>
                        <w:t>Do you have any other views on emissions and sustainability criteria?</w:t>
                      </w:r>
                    </w:p>
                    <w:p w:rsidR="00874D4A" w:rsidRDefault="00874D4A" w:rsidP="00557505">
                      <w:r>
                        <w:t>What are the community benefits associated with LCLF production in Australia?</w:t>
                      </w:r>
                    </w:p>
                  </w:txbxContent>
                </v:textbox>
                <w10:wrap type="topAndBottom" anchorx="margin"/>
              </v:shape>
            </w:pict>
          </mc:Fallback>
        </mc:AlternateContent>
      </w:r>
      <w:r w:rsidR="00C633D4">
        <w:t xml:space="preserve">The Australian Government expects to deliver certification arrangements of some </w:t>
      </w:r>
      <w:r w:rsidR="00320745">
        <w:t>production</w:t>
      </w:r>
      <w:r w:rsidR="00C633D4">
        <w:t xml:space="preserve"> pathways by mid-2028, and intends that certification arrangements will align with international schemes. For example, the International Civil Aviation Organization</w:t>
      </w:r>
      <w:r w:rsidR="00B47E49">
        <w:t xml:space="preserve"> (</w:t>
      </w:r>
      <w:r w:rsidR="00013730">
        <w:t>ICAO)</w:t>
      </w:r>
      <w:r w:rsidR="00C633D4">
        <w:t xml:space="preserve"> has developed criteria to assess fuels eligible under its </w:t>
      </w:r>
      <w:r w:rsidR="00013730" w:rsidRPr="00013730">
        <w:t xml:space="preserve">Carbon Offsetting and Reduction Scheme for International Aviation (CORSIA) </w:t>
      </w:r>
      <w:r w:rsidR="00C633D4">
        <w:t>scheme. CORSIA’s criteria includes emissions and sustainability criteria.</w:t>
      </w:r>
    </w:p>
    <w:p w:rsidR="00BF7B2D" w:rsidRDefault="00BF7B2D" w:rsidP="0036114D">
      <w:pPr>
        <w:spacing w:after="0"/>
      </w:pPr>
    </w:p>
    <w:p w:rsidR="00AF48A1" w:rsidRDefault="00AF48A1" w:rsidP="007272B0">
      <w:pPr>
        <w:pStyle w:val="Heading3"/>
        <w:spacing w:line="276" w:lineRule="auto"/>
        <w:rPr>
          <w:rFonts w:eastAsia="MS PGothic"/>
        </w:rPr>
      </w:pPr>
      <w:bookmarkStart w:id="42" w:name="_Toc168994035"/>
      <w:r w:rsidRPr="0039415B">
        <w:rPr>
          <w:rFonts w:eastAsia="MS PGothic"/>
        </w:rPr>
        <w:t xml:space="preserve">Demand-side </w:t>
      </w:r>
      <w:r>
        <w:rPr>
          <w:rFonts w:eastAsia="MS PGothic"/>
        </w:rPr>
        <w:t>options</w:t>
      </w:r>
      <w:r w:rsidRPr="0039415B">
        <w:rPr>
          <w:rFonts w:eastAsia="MS PGothic"/>
        </w:rPr>
        <w:t xml:space="preserve"> to enable a low carbon liquid fuels market in Australia</w:t>
      </w:r>
      <w:bookmarkEnd w:id="42"/>
    </w:p>
    <w:p w:rsidR="00251E9B" w:rsidRDefault="00251E9B" w:rsidP="00251E9B">
      <w:r>
        <w:t>In the 2024-25 Budget, the Australian Government committed to undertake a regulatory impact analysis of the costs and benefits of introducing demand-side measures for LCLF</w:t>
      </w:r>
      <w:r w:rsidR="006637BF">
        <w:t xml:space="preserve"> such as targets or mandates</w:t>
      </w:r>
      <w:r>
        <w:t xml:space="preserve">. </w:t>
      </w:r>
      <w:r w:rsidR="00870B88">
        <w:t xml:space="preserve">Demand-side policy incentives can support efficient demand for products that will be needed to achieve net zero emissions by 2050 and </w:t>
      </w:r>
      <w:r w:rsidR="00FA6834">
        <w:t xml:space="preserve">potentially impact the design of efficient production incentives. </w:t>
      </w:r>
      <w:r>
        <w:t>To inform the scope of the assessment, the Government is seeking initial views on the types of demand</w:t>
      </w:r>
      <w:r w:rsidR="00C00596">
        <w:t>-</w:t>
      </w:r>
      <w:r>
        <w:t>side options</w:t>
      </w:r>
      <w:r w:rsidR="005B361D">
        <w:t xml:space="preserve"> likely to support a</w:t>
      </w:r>
      <w:r w:rsidR="003B406A">
        <w:t>n efficient</w:t>
      </w:r>
      <w:r w:rsidR="005B361D">
        <w:t xml:space="preserve"> domestic LCLF industry</w:t>
      </w:r>
      <w:r>
        <w:t>.</w:t>
      </w:r>
    </w:p>
    <w:p w:rsidR="00AF48A1" w:rsidRDefault="00AF48A1" w:rsidP="00AF48A1">
      <w:r>
        <w:t xml:space="preserve">Demand-side interventions can encourage domestic LCLF production, by providing assurance to producers they will have a market for their product. </w:t>
      </w:r>
    </w:p>
    <w:p w:rsidR="00AF48A1" w:rsidRDefault="005B361D" w:rsidP="00AF48A1">
      <w:r>
        <w:t>T</w:t>
      </w:r>
      <w:r w:rsidR="00AF48A1">
        <w:t>he Government will consider different demand</w:t>
      </w:r>
      <w:r w:rsidR="00B54C01">
        <w:t>-side policy</w:t>
      </w:r>
      <w:r w:rsidR="00AF48A1">
        <w:t xml:space="preserve"> options</w:t>
      </w:r>
      <w:r>
        <w:t xml:space="preserve">, such as non-mandatory targets, trading schemes connected to low carbon fuel standards, or the introduction of mandates over time </w:t>
      </w:r>
      <w:r w:rsidR="00B54C01">
        <w:t>as supply chains mature</w:t>
      </w:r>
      <w:r w:rsidR="00AF48A1">
        <w:t xml:space="preserve">. </w:t>
      </w:r>
    </w:p>
    <w:p w:rsidR="006637BF" w:rsidRDefault="006637BF" w:rsidP="00AF48A1">
      <w:r>
        <w:t>Mandates or targets would involve a</w:t>
      </w:r>
      <w:r w:rsidR="00AF48A1">
        <w:t xml:space="preserve"> certain portion of fuel use to come from LCLF. </w:t>
      </w:r>
      <w:r>
        <w:t xml:space="preserve">Mandates and targets could be designed to apply to only segments of the economy – for example, only applying to the </w:t>
      </w:r>
      <w:r>
        <w:lastRenderedPageBreak/>
        <w:t xml:space="preserve">aviation market and not </w:t>
      </w:r>
      <w:r w:rsidR="00C00596">
        <w:t xml:space="preserve">to </w:t>
      </w:r>
      <w:r>
        <w:t>other sectors using liquid fuels, or applying only to operators meeting a certain volume, income, emissions or other operating threshold.</w:t>
      </w:r>
    </w:p>
    <w:p w:rsidR="00AF48A1" w:rsidRDefault="00AF48A1" w:rsidP="00AF48A1">
      <w:r>
        <w:t xml:space="preserve">For example, in the aviation sector, mandates could require fuel suppliers to ensure aviation fuels made available to aircraft operators </w:t>
      </w:r>
      <w:r w:rsidR="001B3CDA">
        <w:t xml:space="preserve">contain </w:t>
      </w:r>
      <w:r>
        <w:t>a minimum proportion of SAF</w:t>
      </w:r>
      <w:r w:rsidR="00A522AB">
        <w:t>, with the amount going up over time</w:t>
      </w:r>
      <w:r>
        <w:t>. The design of a mandate might look different depending on the sector</w:t>
      </w:r>
      <w:r w:rsidR="00F729E5">
        <w:t>, size of the business, and which fuels could be used to meet the mandate.</w:t>
      </w:r>
    </w:p>
    <w:p w:rsidR="00BB1843" w:rsidRDefault="006637BF" w:rsidP="00C00596">
      <w:r w:rsidRPr="006637BF">
        <w:rPr>
          <w:rFonts w:eastAsiaTheme="majorEastAsia" w:cstheme="majorBidi"/>
          <w:i/>
          <w:iCs/>
          <w:noProof/>
          <w:color w:val="006666"/>
          <w:sz w:val="24"/>
        </w:rPr>
        <mc:AlternateContent>
          <mc:Choice Requires="wps">
            <w:drawing>
              <wp:anchor distT="45720" distB="45720" distL="114300" distR="114300" simplePos="0" relativeHeight="251658248" behindDoc="0" locked="0" layoutInCell="1" allowOverlap="1" wp14:anchorId="2D308D19" wp14:editId="72A18F06">
                <wp:simplePos x="0" y="0"/>
                <wp:positionH relativeFrom="margin">
                  <wp:posOffset>0</wp:posOffset>
                </wp:positionH>
                <wp:positionV relativeFrom="paragraph">
                  <wp:posOffset>708660</wp:posOffset>
                </wp:positionV>
                <wp:extent cx="5915025" cy="1404620"/>
                <wp:effectExtent l="0" t="0" r="28575" b="2222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6666"/>
                          </a:solidFill>
                          <a:miter lim="800000"/>
                          <a:headEnd/>
                          <a:tailEnd/>
                        </a:ln>
                      </wps:spPr>
                      <wps:txbx>
                        <w:txbxContent>
                          <w:p w:rsidR="00874D4A" w:rsidRPr="00BB1843" w:rsidRDefault="00874D4A" w:rsidP="006637BF">
                            <w:pPr>
                              <w:rPr>
                                <w:b/>
                              </w:rPr>
                            </w:pPr>
                            <w:r w:rsidRPr="00BB1843">
                              <w:rPr>
                                <w:b/>
                              </w:rPr>
                              <w:t xml:space="preserve">Examples </w:t>
                            </w:r>
                          </w:p>
                          <w:p w:rsidR="00874D4A" w:rsidRDefault="00874D4A" w:rsidP="006637BF">
                            <w:pPr>
                              <w:spacing w:after="40"/>
                            </w:pPr>
                            <w:r>
                              <w:t>Mandates are already in place in overseas jurisdictions. This includes:</w:t>
                            </w:r>
                          </w:p>
                          <w:p w:rsidR="00874D4A" w:rsidRDefault="00874D4A" w:rsidP="006637BF">
                            <w:pPr>
                              <w:pStyle w:val="ListParagraph"/>
                              <w:numPr>
                                <w:ilvl w:val="0"/>
                                <w:numId w:val="9"/>
                              </w:numPr>
                              <w:spacing w:after="0"/>
                            </w:pPr>
                            <w:r>
                              <w:t>The EU’s ReFuel EU initiative. Beginning in 2025, it will require fuel uptake at airports to be at least 2 per cent SAF. This percentage will gradually increase each year, with the mandate increasing to 6 per cent by 2030, 20 per cent by 2035 and 70 per cent by 2050. The mandate puts an obligation on aviation fuel suppliers to ensure all aviation fuels made available to aircraft operators at EU airports contains the required minimum shares of SAF.</w:t>
                            </w:r>
                          </w:p>
                          <w:p w:rsidR="00874D4A" w:rsidRDefault="00874D4A" w:rsidP="006637BF">
                            <w:pPr>
                              <w:pStyle w:val="ListParagraph"/>
                              <w:numPr>
                                <w:ilvl w:val="0"/>
                                <w:numId w:val="9"/>
                              </w:numPr>
                            </w:pPr>
                            <w:r>
                              <w:t xml:space="preserve">The UK has announced a forthcoming mandate. The mandate will </w:t>
                            </w:r>
                            <w:r w:rsidRPr="00681322">
                              <w:t>start in 2025 at 2</w:t>
                            </w:r>
                            <w:r>
                              <w:t xml:space="preserve"> per cent</w:t>
                            </w:r>
                            <w:r w:rsidRPr="00681322">
                              <w:t xml:space="preserve"> of total UK jet fuel demand, increase on a linear basis to 10</w:t>
                            </w:r>
                            <w:r>
                              <w:t xml:space="preserve"> per cent</w:t>
                            </w:r>
                            <w:r w:rsidRPr="00681322">
                              <w:t xml:space="preserve"> in 2030 and then to 22</w:t>
                            </w:r>
                            <w:r>
                              <w:t xml:space="preserve"> per cent</w:t>
                            </w:r>
                            <w:r w:rsidRPr="00681322">
                              <w:t xml:space="preserve"> in 2040. From 2040, the obligation will remain at 22</w:t>
                            </w:r>
                            <w:r>
                              <w:t xml:space="preserve"> per cent</w:t>
                            </w:r>
                            <w:r w:rsidRPr="00681322">
                              <w:t xml:space="preserve"> until there is greater certainty regarding SAF supply.</w:t>
                            </w:r>
                          </w:p>
                          <w:p w:rsidR="00874D4A" w:rsidRDefault="00874D4A" w:rsidP="006637BF">
                            <w:pPr>
                              <w:pStyle w:val="ListParagraph"/>
                              <w:numPr>
                                <w:ilvl w:val="0"/>
                                <w:numId w:val="9"/>
                              </w:numPr>
                            </w:pPr>
                            <w:r>
                              <w:t xml:space="preserve">In Singapore, flights departing Singapore will be required to use SAF from 2026, with a </w:t>
                            </w:r>
                            <w:r w:rsidRPr="00681322">
                              <w:t>1</w:t>
                            </w:r>
                            <w:r>
                              <w:t xml:space="preserve"> per cent </w:t>
                            </w:r>
                            <w:r w:rsidRPr="00681322">
                              <w:t>SAF uplift target in 2026 and plans to subsequently raise it to 3</w:t>
                            </w:r>
                            <w:r>
                              <w:t xml:space="preserve">-5 </w:t>
                            </w:r>
                            <w:r w:rsidRPr="00681322">
                              <w:t>by 2030</w:t>
                            </w:r>
                            <w:r>
                              <w:t>.</w:t>
                            </w:r>
                          </w:p>
                          <w:p w:rsidR="00874D4A" w:rsidRDefault="00874D4A" w:rsidP="006637BF">
                            <w:pPr>
                              <w:pStyle w:val="ListParagraph"/>
                              <w:numPr>
                                <w:ilvl w:val="0"/>
                                <w:numId w:val="9"/>
                              </w:numPr>
                            </w:pPr>
                            <w:r>
                              <w:t>Japan has announced a mandate coming into effect in 2030, requiring at least 10 per cent of aviation fuel sold for international flights by wholesalers be SAF.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08D19" id="_x0000_s1033" type="#_x0000_t202" style="position:absolute;margin-left:0;margin-top:55.8pt;width:465.75pt;height:110.6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" strokecolor="#066">
                <v:textbox style="mso-fit-shape-to-text:t">
                  <w:txbxContent>
                    <w:p w:rsidR="00874D4A" w:rsidRPr="00BB1843" w:rsidRDefault="00874D4A" w:rsidP="006637BF">
                      <w:pPr>
                        <w:rPr>
                          <w:b/>
                        </w:rPr>
                      </w:pPr>
                      <w:r w:rsidRPr="00BB1843">
                        <w:rPr>
                          <w:b/>
                        </w:rPr>
                        <w:t xml:space="preserve">Examples </w:t>
                      </w:r>
                    </w:p>
                    <w:p w:rsidR="00874D4A" w:rsidRDefault="00874D4A" w:rsidP="006637BF">
                      <w:pPr>
                        <w:spacing w:after="40"/>
                      </w:pPr>
                      <w:r>
                        <w:t>Mandates are already in place in overseas jurisdictions. This includes:</w:t>
                      </w:r>
                    </w:p>
                    <w:p w:rsidR="00874D4A" w:rsidRDefault="00874D4A" w:rsidP="006637BF">
                      <w:pPr>
                        <w:pStyle w:val="ListParagraph"/>
                        <w:numPr>
                          <w:ilvl w:val="0"/>
                          <w:numId w:val="9"/>
                        </w:numPr>
                        <w:spacing w:after="0"/>
                      </w:pPr>
                      <w:r>
                        <w:t>The EU’s ReFuel EU initiative. Beginning in 2025, it will require fuel uptake at airports to be at least 2 per cent SAF. This percentage will gradually increase each year, with the mandate increasing to 6 per cent by 2030, 20 per cent by 2035 and 70 per cent by 2050. The mandate puts an obligation on aviation fuel suppliers to ensure all aviation fuels made available to aircraft operators at EU airports contains the required minimum shares of SAF.</w:t>
                      </w:r>
                    </w:p>
                    <w:p w:rsidR="00874D4A" w:rsidRDefault="00874D4A" w:rsidP="006637BF">
                      <w:pPr>
                        <w:pStyle w:val="ListParagraph"/>
                        <w:numPr>
                          <w:ilvl w:val="0"/>
                          <w:numId w:val="9"/>
                        </w:numPr>
                      </w:pPr>
                      <w:r>
                        <w:t xml:space="preserve">The UK has announced a forthcoming mandate. The mandate will </w:t>
                      </w:r>
                      <w:r w:rsidRPr="00681322">
                        <w:t>start in 2025 at 2</w:t>
                      </w:r>
                      <w:r>
                        <w:t xml:space="preserve"> per cent</w:t>
                      </w:r>
                      <w:r w:rsidRPr="00681322">
                        <w:t xml:space="preserve"> of total UK jet fuel demand, increase on a linear basis to 10</w:t>
                      </w:r>
                      <w:r>
                        <w:t xml:space="preserve"> per cent</w:t>
                      </w:r>
                      <w:r w:rsidRPr="00681322">
                        <w:t xml:space="preserve"> in 2030 and then to 22</w:t>
                      </w:r>
                      <w:r>
                        <w:t xml:space="preserve"> per cent</w:t>
                      </w:r>
                      <w:r w:rsidRPr="00681322">
                        <w:t xml:space="preserve"> in 2040. From 2040, the obligation will remain at 22</w:t>
                      </w:r>
                      <w:r>
                        <w:t xml:space="preserve"> per cent</w:t>
                      </w:r>
                      <w:r w:rsidRPr="00681322">
                        <w:t xml:space="preserve"> until there is greater certainty regarding SAF supply.</w:t>
                      </w:r>
                    </w:p>
                    <w:p w:rsidR="00874D4A" w:rsidRDefault="00874D4A" w:rsidP="006637BF">
                      <w:pPr>
                        <w:pStyle w:val="ListParagraph"/>
                        <w:numPr>
                          <w:ilvl w:val="0"/>
                          <w:numId w:val="9"/>
                        </w:numPr>
                      </w:pPr>
                      <w:r>
                        <w:t xml:space="preserve">In Singapore, flights departing Singapore will be required to use SAF from 2026, with a </w:t>
                      </w:r>
                      <w:r w:rsidRPr="00681322">
                        <w:t>1</w:t>
                      </w:r>
                      <w:r>
                        <w:t xml:space="preserve"> per cent </w:t>
                      </w:r>
                      <w:r w:rsidRPr="00681322">
                        <w:t>SAF uplift target in 2026 and plans to subsequently raise it to 3</w:t>
                      </w:r>
                      <w:r>
                        <w:t xml:space="preserve">-5 </w:t>
                      </w:r>
                      <w:r w:rsidRPr="00681322">
                        <w:t>by 2030</w:t>
                      </w:r>
                      <w:r>
                        <w:t>.</w:t>
                      </w:r>
                    </w:p>
                    <w:p w:rsidR="00874D4A" w:rsidRDefault="00874D4A" w:rsidP="006637BF">
                      <w:pPr>
                        <w:pStyle w:val="ListParagraph"/>
                        <w:numPr>
                          <w:ilvl w:val="0"/>
                          <w:numId w:val="9"/>
                        </w:numPr>
                      </w:pPr>
                      <w:r>
                        <w:t>Japan has announced a mandate coming into effect in 2030, requiring at least 10 per cent of aviation fuel sold for international flights by wholesalers be SAF.</w:t>
                      </w:r>
                    </w:p>
                  </w:txbxContent>
                </v:textbox>
                <w10:wrap type="topAndBottom" anchorx="margin"/>
              </v:shape>
            </w:pict>
          </mc:Fallback>
        </mc:AlternateContent>
      </w:r>
      <w:r>
        <w:t>Mandates and target design may also consider requirements related to the use of imported instead of domestically produced LCLF, noting such design arrangements would need to consider Australian trade law obligations.</w:t>
      </w:r>
    </w:p>
    <w:p w:rsidR="00AF48A1" w:rsidRDefault="00AF48A1" w:rsidP="00C00596">
      <w:pPr>
        <w:spacing w:before="240"/>
      </w:pPr>
      <w:r>
        <w:t xml:space="preserve">Unlike volumetric mandates, low-carbon fuel standards are performance standards that </w:t>
      </w:r>
      <w:r w:rsidR="00BB1843">
        <w:t xml:space="preserve">require </w:t>
      </w:r>
      <w:r>
        <w:t xml:space="preserve">a specific reduction in the carbon intensity of the average fuel mix over time. </w:t>
      </w:r>
      <w:r w:rsidR="00F729E5" w:rsidRPr="006B218F">
        <w:t>This allows sellers or producers (depending on who the standard is applied to) to flexibly choose their fuel mix, meeting their standard in the most economical way. Standards can also allow for credit trading between entities similar to the Safeguard Mechanism.</w:t>
      </w:r>
    </w:p>
    <w:p w:rsidR="00BB1843" w:rsidRDefault="00C00596" w:rsidP="00AF48A1">
      <w:r w:rsidRPr="006637BF">
        <w:rPr>
          <w:rFonts w:eastAsiaTheme="majorEastAsia" w:cstheme="majorBidi"/>
          <w:i/>
          <w:iCs/>
          <w:noProof/>
          <w:color w:val="006666"/>
          <w:sz w:val="24"/>
        </w:rPr>
        <mc:AlternateContent>
          <mc:Choice Requires="wps">
            <w:drawing>
              <wp:inline distT="0" distB="0" distL="0" distR="0" wp14:anchorId="5131B9EB" wp14:editId="7BB65F75">
                <wp:extent cx="5915025" cy="1404620"/>
                <wp:effectExtent l="0" t="0" r="28575" b="2095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6666"/>
                          </a:solidFill>
                          <a:miter lim="800000"/>
                          <a:headEnd/>
                          <a:tailEnd/>
                        </a:ln>
                      </wps:spPr>
                      <wps:txbx>
                        <w:txbxContent>
                          <w:p w:rsidR="00874D4A" w:rsidRPr="00BB1843" w:rsidRDefault="00874D4A" w:rsidP="00C00596">
                            <w:pPr>
                              <w:rPr>
                                <w:b/>
                              </w:rPr>
                            </w:pPr>
                            <w:r w:rsidRPr="00BB1843">
                              <w:rPr>
                                <w:b/>
                              </w:rPr>
                              <w:t>Example</w:t>
                            </w:r>
                          </w:p>
                          <w:p w:rsidR="00874D4A" w:rsidRDefault="00874D4A" w:rsidP="00C00596">
                            <w:r>
                              <w:t>The US state of California has a low carbon fuel standard in place. Fuel producers of higher carbon fuels are required to buy credits from companies selling cleaner fuels if the carbon intensity of their products exceeds mandated targets. Carbon intensity thresholds lower overtime, meaning some credit generating fuels may fall under carbon intensity thresholds, creating an incentive to deploy the lowest emissions fuels.</w:t>
                            </w:r>
                          </w:p>
                        </w:txbxContent>
                      </wps:txbx>
                      <wps:bodyPr rot="0" vert="horz" wrap="square" lIns="91440" tIns="45720" rIns="91440" bIns="45720" anchor="t" anchorCtr="0">
                        <a:spAutoFit/>
                      </wps:bodyPr>
                    </wps:wsp>
                  </a:graphicData>
                </a:graphic>
              </wp:inline>
            </w:drawing>
          </mc:Choice>
          <mc:Fallback>
            <w:pict>
              <v:shape w14:anchorId="5131B9EB" id="_x0000_s1034"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" strokecolor="#066">
                <v:textbox style="mso-fit-shape-to-text:t">
                  <w:txbxContent>
                    <w:p w:rsidR="00874D4A" w:rsidRPr="00BB1843" w:rsidRDefault="00874D4A" w:rsidP="00C00596">
                      <w:pPr>
                        <w:rPr>
                          <w:b/>
                        </w:rPr>
                      </w:pPr>
                      <w:r w:rsidRPr="00BB1843">
                        <w:rPr>
                          <w:b/>
                        </w:rPr>
                        <w:t>Example</w:t>
                      </w:r>
                    </w:p>
                    <w:p w:rsidR="00874D4A" w:rsidRDefault="00874D4A" w:rsidP="00C00596">
                      <w:r>
                        <w:t>The US state of California has a low carbon fuel standard in place. Fuel producers of higher carbon fuels are required to buy credits from companies selling cleaner fuels if the carbon intensity of their products exceeds mandated targets. Carbon intensity thresholds lower overtime, meaning some credit generating fuels may fall under carbon intensity thresholds, creating an incentive to deploy the lowest emissions fuels.</w:t>
                      </w:r>
                    </w:p>
                  </w:txbxContent>
                </v:textbox>
                <w10:anchorlock/>
              </v:shape>
            </w:pict>
          </mc:Fallback>
        </mc:AlternateContent>
      </w:r>
    </w:p>
    <w:p w:rsidR="00AF48A1" w:rsidRDefault="00AF48A1" w:rsidP="00AF48A1">
      <w:r>
        <w:t>The Government has already</w:t>
      </w:r>
      <w:r w:rsidR="00BB1843">
        <w:t xml:space="preserve"> </w:t>
      </w:r>
      <w:r>
        <w:t xml:space="preserve">received </w:t>
      </w:r>
      <w:r w:rsidR="0089271C">
        <w:t xml:space="preserve">some </w:t>
      </w:r>
      <w:r>
        <w:t>feedback on demand signals to establish a SAF industry through the Aviation Green Paper.</w:t>
      </w:r>
    </w:p>
    <w:p w:rsidR="00AF48A1" w:rsidRDefault="00AF48A1" w:rsidP="00AF48A1">
      <w:r>
        <w:lastRenderedPageBreak/>
        <w:t xml:space="preserve">For example, Brisbane Airport, </w:t>
      </w:r>
      <w:r w:rsidR="00B8010B">
        <w:t xml:space="preserve">the </w:t>
      </w:r>
      <w:r w:rsidR="00013730">
        <w:t>Government of New South Wales</w:t>
      </w:r>
      <w:r>
        <w:t>, W</w:t>
      </w:r>
      <w:r w:rsidR="00D30DE0">
        <w:t xml:space="preserve">estern </w:t>
      </w:r>
      <w:r>
        <w:t>S</w:t>
      </w:r>
      <w:r w:rsidR="00D30DE0">
        <w:t>ydney Airport</w:t>
      </w:r>
      <w:r>
        <w:t>, A</w:t>
      </w:r>
      <w:r w:rsidR="00D30DE0">
        <w:t xml:space="preserve">ustralian </w:t>
      </w:r>
      <w:r>
        <w:t>A</w:t>
      </w:r>
      <w:r w:rsidR="00D30DE0">
        <w:t xml:space="preserve">irports </w:t>
      </w:r>
      <w:r>
        <w:t>A</w:t>
      </w:r>
      <w:r w:rsidR="00D30DE0">
        <w:t>ssociation</w:t>
      </w:r>
      <w:r>
        <w:t xml:space="preserve">, </w:t>
      </w:r>
      <w:proofErr w:type="spellStart"/>
      <w:r>
        <w:t>SkyNRG</w:t>
      </w:r>
      <w:proofErr w:type="spellEnd"/>
      <w:r>
        <w:t>, Qantas Group, B</w:t>
      </w:r>
      <w:r w:rsidR="00D30DE0">
        <w:t xml:space="preserve">oard of </w:t>
      </w:r>
      <w:r>
        <w:t>A</w:t>
      </w:r>
      <w:r w:rsidR="00D30DE0">
        <w:t xml:space="preserve">irline </w:t>
      </w:r>
      <w:r>
        <w:t>R</w:t>
      </w:r>
      <w:r w:rsidR="00D30DE0">
        <w:t>epresentatives of Australia</w:t>
      </w:r>
      <w:r>
        <w:t xml:space="preserve">, Business Council of Australia, and others advocated for the introduction of </w:t>
      </w:r>
      <w:r w:rsidR="00A522AB">
        <w:t>the</w:t>
      </w:r>
      <w:r>
        <w:t xml:space="preserve"> mandated use of SAF and </w:t>
      </w:r>
      <w:r w:rsidR="00A522AB">
        <w:t xml:space="preserve">a </w:t>
      </w:r>
      <w:r>
        <w:t xml:space="preserve">target using a mix of measures to ensure supply meets demand. </w:t>
      </w:r>
      <w:r w:rsidR="004949AF" w:rsidRPr="004949AF">
        <w:t xml:space="preserve">Sustainable Aviation Fuels Alliance of Australia and New Zealand (SAFAANZ) </w:t>
      </w:r>
      <w:r>
        <w:t>advocated for a regulated demand side lever, tied to intensity.</w:t>
      </w:r>
    </w:p>
    <w:p w:rsidR="00AF48A1" w:rsidDel="00CC1FC2" w:rsidRDefault="00AF48A1" w:rsidP="00AF48A1">
      <w:r>
        <w:t>Analysis of demand options</w:t>
      </w:r>
      <w:r w:rsidDel="00CC1FC2">
        <w:t xml:space="preserve"> will consider elements such as changes in demand (including domestically produced low carbon liquid fuels),</w:t>
      </w:r>
      <w:r>
        <w:t xml:space="preserve"> operating impacts – including impacts on consumers such as through</w:t>
      </w:r>
      <w:r w:rsidDel="00CC1FC2">
        <w:t xml:space="preserve"> ticket price</w:t>
      </w:r>
      <w:r>
        <w:t>s</w:t>
      </w:r>
      <w:r w:rsidDel="00CC1FC2">
        <w:t xml:space="preserve">, emissions reductions, competition and specific impacts </w:t>
      </w:r>
      <w:r>
        <w:t>on specific market segments such as</w:t>
      </w:r>
      <w:r w:rsidDel="00CC1FC2">
        <w:t xml:space="preserve"> regional operations and consumers. </w:t>
      </w:r>
    </w:p>
    <w:p w:rsidR="00AF48A1" w:rsidDel="00CC1FC2" w:rsidRDefault="00AF48A1" w:rsidP="00AF48A1">
      <w:r>
        <w:t>Analysis</w:t>
      </w:r>
      <w:r w:rsidDel="00CC1FC2">
        <w:t xml:space="preserve"> will also consider how </w:t>
      </w:r>
      <w:r>
        <w:t>demand measures</w:t>
      </w:r>
      <w:r w:rsidR="00BB1843">
        <w:t xml:space="preserve"> </w:t>
      </w:r>
      <w:r w:rsidDel="00CC1FC2">
        <w:t>may interact with Safeguard Mechanism obligations. A mandate could potentially capture smaller businesses not covered by the Safeguard Mechanism, and may create a stronger ‘demand signal’ for LCLF production.</w:t>
      </w:r>
    </w:p>
    <w:p w:rsidR="00BB1843" w:rsidRPr="00BB1843" w:rsidRDefault="00AF48A1" w:rsidP="00C00596">
      <w:r>
        <w:t xml:space="preserve">However, a mandate may result in requiring abatement from sources more expensive than other options available (such as efficiency improvements or offsets), and reduce the opportunity for those subject to the mandate to choose to use offsets, even where offsets are cheaper than the LCLF required to achieve the same abatement. </w:t>
      </w:r>
      <w:r w:rsidR="00113320">
        <w:t>Greater use of LCLF’s would support the legislated safeguard outcome to provide a material in</w:t>
      </w:r>
      <w:r w:rsidR="00F65CAA">
        <w:t>c</w:t>
      </w:r>
      <w:r w:rsidR="00113320">
        <w:t>entive to invest in facility level abatement rather than offsets</w:t>
      </w:r>
      <w:r w:rsidR="00F65CAA">
        <w:t xml:space="preserve">, in a way that is </w:t>
      </w:r>
      <w:r w:rsidR="00F65CAA" w:rsidRPr="00BB1843">
        <w:t xml:space="preserve">consistent with an efficient pathway to achieve Australia’s overall objective of </w:t>
      </w:r>
      <w:r w:rsidR="00113320" w:rsidRPr="00BB1843">
        <w:t>net zero by 2050.</w:t>
      </w:r>
    </w:p>
    <w:p w:rsidR="005D696E" w:rsidRPr="00BB1843" w:rsidRDefault="00AF48A1" w:rsidP="007272B0">
      <w:pPr>
        <w:pStyle w:val="Heading4"/>
        <w:spacing w:line="276" w:lineRule="auto"/>
      </w:pPr>
      <w:r w:rsidRPr="00BB1843">
        <w:t>Assessing different options</w:t>
      </w:r>
    </w:p>
    <w:tbl>
      <w:tblPr>
        <w:tblStyle w:val="TableGrid"/>
        <w:tblW w:w="0" w:type="auto"/>
        <w:tblInd w:w="0" w:type="dxa"/>
        <w:tblLook w:val="04A0" w:firstRow="1" w:lastRow="0" w:firstColumn="1" w:lastColumn="0" w:noHBand="0" w:noVBand="1"/>
      </w:tblPr>
      <w:tblGrid>
        <w:gridCol w:w="9350"/>
      </w:tblGrid>
      <w:tr w:rsidR="00AF48A1" w:rsidTr="00D11DC7">
        <w:trPr>
          <w:trHeight w:val="217"/>
        </w:trPr>
        <w:tc>
          <w:tcPr>
            <w:tcW w:w="9350" w:type="dxa"/>
            <w:shd w:val="clear" w:color="auto" w:fill="377B88"/>
          </w:tcPr>
          <w:p w:rsidR="00AF48A1" w:rsidRPr="001B3CDA" w:rsidRDefault="00AF48A1" w:rsidP="001B3CDA">
            <w:pPr>
              <w:spacing w:before="120" w:after="120"/>
              <w:rPr>
                <w:b/>
              </w:rPr>
            </w:pPr>
            <w:r w:rsidRPr="00BB1843">
              <w:rPr>
                <w:b/>
                <w:color w:val="FFFFFF" w:themeColor="background1"/>
              </w:rPr>
              <w:t>Mandates</w:t>
            </w:r>
          </w:p>
        </w:tc>
      </w:tr>
      <w:tr w:rsidR="001B3CDA" w:rsidTr="00C00596">
        <w:trPr>
          <w:trHeight w:val="1712"/>
        </w:trPr>
        <w:tc>
          <w:tcPr>
            <w:tcW w:w="9350" w:type="dxa"/>
          </w:tcPr>
          <w:p w:rsidR="001B3CDA" w:rsidRPr="001B3CDA" w:rsidRDefault="001B3CDA" w:rsidP="00207920">
            <w:pPr>
              <w:pStyle w:val="ListParagraph"/>
              <w:numPr>
                <w:ilvl w:val="0"/>
                <w:numId w:val="10"/>
              </w:numPr>
              <w:spacing w:before="120"/>
              <w:ind w:left="714" w:hanging="357"/>
              <w:rPr>
                <w:b/>
              </w:rPr>
            </w:pPr>
            <w:r>
              <w:t>Mandates may create stronger demand signals than non-binding targets, as the uptake of LCLF is enforceable by regulatory arrangements. This may drive greater demand certainty than non-binding targets, and better support investment confidence in LCLF production.</w:t>
            </w:r>
          </w:p>
          <w:p w:rsidR="00557505" w:rsidRPr="00BB1843" w:rsidRDefault="001B3CDA" w:rsidP="00C00596">
            <w:pPr>
              <w:pStyle w:val="ListParagraph"/>
              <w:numPr>
                <w:ilvl w:val="0"/>
                <w:numId w:val="10"/>
              </w:numPr>
              <w:ind w:left="714" w:hanging="357"/>
              <w:rPr>
                <w:b/>
              </w:rPr>
            </w:pPr>
            <w:r>
              <w:t>Mandates can be designed to increase over time, providing industry with time to adapt operations to new requirements, and to allow increased supply into the market to meet new demand.</w:t>
            </w:r>
          </w:p>
        </w:tc>
      </w:tr>
      <w:tr w:rsidR="00AF48A1" w:rsidTr="00D11DC7">
        <w:tc>
          <w:tcPr>
            <w:tcW w:w="9350" w:type="dxa"/>
            <w:shd w:val="clear" w:color="auto" w:fill="377B88"/>
          </w:tcPr>
          <w:p w:rsidR="00AF48A1" w:rsidRPr="00792C17" w:rsidRDefault="00AF48A1" w:rsidP="001B3CDA">
            <w:pPr>
              <w:spacing w:before="120" w:after="120"/>
              <w:rPr>
                <w:b/>
              </w:rPr>
            </w:pPr>
            <w:r w:rsidRPr="00A60232">
              <w:rPr>
                <w:b/>
                <w:color w:val="FFFFFF" w:themeColor="background1"/>
              </w:rPr>
              <w:t>Low carbon fuel standards</w:t>
            </w:r>
          </w:p>
        </w:tc>
      </w:tr>
      <w:tr w:rsidR="00BB1843" w:rsidTr="00BB1843">
        <w:tc>
          <w:tcPr>
            <w:tcW w:w="9350" w:type="dxa"/>
            <w:shd w:val="clear" w:color="auto" w:fill="FFFFFF" w:themeFill="background1"/>
          </w:tcPr>
          <w:p w:rsidR="00BB1843" w:rsidRDefault="00BB1843" w:rsidP="00BB1843">
            <w:pPr>
              <w:pStyle w:val="ListParagraph"/>
              <w:numPr>
                <w:ilvl w:val="0"/>
                <w:numId w:val="10"/>
              </w:numPr>
              <w:spacing w:before="120"/>
            </w:pPr>
            <w:r>
              <w:t>Low carbon fuel standards allow more flexible compliance than mandates, as fuel producers can choose to comply by lowering the emissions intensity of their products, or purchasing credits from fuel producers whose fuels are below the emissions intensity threshold set under the standard.</w:t>
            </w:r>
          </w:p>
          <w:p w:rsidR="00BB1843" w:rsidRPr="00BB1843" w:rsidRDefault="00BB1843" w:rsidP="00BB1843">
            <w:pPr>
              <w:pStyle w:val="ListParagraph"/>
              <w:numPr>
                <w:ilvl w:val="0"/>
                <w:numId w:val="10"/>
              </w:numPr>
              <w:spacing w:before="120" w:after="160"/>
            </w:pPr>
            <w:r>
              <w:t>By setting emissions intensity thresholds, as opposed to volumetric thresholds, low carbon fuel standards may better drive emissions reductions than volumetric mandates. Low carbon fuel standards may also drive increased ongoing innovation in fuel technologies, as fuel producers are incentivised to continue to produce lower emissions fuels. However, this is dependent on the design of volumetric mandates, which could also be designed to require certain emissions reductions.</w:t>
            </w:r>
          </w:p>
        </w:tc>
      </w:tr>
      <w:tr w:rsidR="00AF48A1" w:rsidTr="00CA4917">
        <w:tc>
          <w:tcPr>
            <w:tcW w:w="9350" w:type="dxa"/>
            <w:shd w:val="clear" w:color="auto" w:fill="377B88"/>
          </w:tcPr>
          <w:p w:rsidR="00AF48A1" w:rsidRPr="00792C17" w:rsidRDefault="00AF48A1" w:rsidP="001B3CDA">
            <w:pPr>
              <w:spacing w:before="120" w:after="120"/>
              <w:rPr>
                <w:b/>
              </w:rPr>
            </w:pPr>
            <w:r w:rsidRPr="00A60232">
              <w:rPr>
                <w:b/>
                <w:color w:val="FFFFFF" w:themeColor="background1"/>
              </w:rPr>
              <w:t>Targets</w:t>
            </w:r>
          </w:p>
        </w:tc>
      </w:tr>
      <w:tr w:rsidR="00AF48A1" w:rsidTr="009B1B3F">
        <w:tc>
          <w:tcPr>
            <w:tcW w:w="9350" w:type="dxa"/>
          </w:tcPr>
          <w:p w:rsidR="00257D66" w:rsidRDefault="00257D66" w:rsidP="00207920">
            <w:pPr>
              <w:pStyle w:val="ListParagraph"/>
              <w:numPr>
                <w:ilvl w:val="0"/>
                <w:numId w:val="10"/>
              </w:numPr>
              <w:spacing w:before="120"/>
              <w:ind w:left="714" w:hanging="357"/>
            </w:pPr>
            <w:r>
              <w:lastRenderedPageBreak/>
              <w:t>With their non-binding nature, targets may encourage certainty without imposing additional regulatory costs on businesses. However, their lack of enforceability may not create sufficient demand outcomes, and may limit their effectiveness in driving confidence in LCLF production investment.</w:t>
            </w:r>
          </w:p>
          <w:p w:rsidR="00AF48A1" w:rsidRDefault="00E04961" w:rsidP="00207920">
            <w:pPr>
              <w:pStyle w:val="ListParagraph"/>
              <w:numPr>
                <w:ilvl w:val="0"/>
                <w:numId w:val="10"/>
              </w:numPr>
            </w:pPr>
            <w:r>
              <w:t xml:space="preserve">Targets may be effective in sectors where operators </w:t>
            </w:r>
            <w:r w:rsidR="006F6AA2">
              <w:t>will likely adhere to targets without requiring Government regulation</w:t>
            </w:r>
            <w:r w:rsidR="00D072FB">
              <w:t xml:space="preserve"> or </w:t>
            </w:r>
            <w:r w:rsidR="006F6AA2">
              <w:t>enforcement. For example,</w:t>
            </w:r>
            <w:r w:rsidR="00D072FB">
              <w:t xml:space="preserve"> targets may be more effective</w:t>
            </w:r>
            <w:r w:rsidR="006F6AA2">
              <w:t xml:space="preserve"> </w:t>
            </w:r>
            <w:r w:rsidR="00D072FB">
              <w:t>in sectors</w:t>
            </w:r>
            <w:r w:rsidR="006F6AA2">
              <w:t xml:space="preserve"> </w:t>
            </w:r>
            <w:r w:rsidR="001100F9">
              <w:t xml:space="preserve">where </w:t>
            </w:r>
            <w:r w:rsidR="006F6AA2">
              <w:t>there is likely to be strong consumer preferences to favour operators using LCLF</w:t>
            </w:r>
            <w:r w:rsidR="00D072FB">
              <w:t>.</w:t>
            </w:r>
          </w:p>
          <w:p w:rsidR="00AF48A1" w:rsidRPr="00BB1843" w:rsidRDefault="00257D66" w:rsidP="00C00596">
            <w:pPr>
              <w:pStyle w:val="ListParagraph"/>
              <w:numPr>
                <w:ilvl w:val="0"/>
                <w:numId w:val="10"/>
              </w:numPr>
              <w:ind w:left="714" w:hanging="357"/>
            </w:pPr>
            <w:r>
              <w:t>Targets may be more appropriate to sectors of the economy wher</w:t>
            </w:r>
            <w:r w:rsidRPr="00352FB9">
              <w:t xml:space="preserve">e </w:t>
            </w:r>
            <w:r w:rsidR="00E04961" w:rsidRPr="00352FB9">
              <w:t>LCLF uptake is less advanced, and mandates may impose higher operational impacts.</w:t>
            </w:r>
            <w:r w:rsidR="00F224F0" w:rsidRPr="00831E76">
              <w:t xml:space="preserve"> </w:t>
            </w:r>
            <w:r w:rsidR="00F224F0">
              <w:t xml:space="preserve">Targets may offer a starting point to increase LCLF uptake in these </w:t>
            </w:r>
            <w:r w:rsidR="00352FB9">
              <w:t>sectors</w:t>
            </w:r>
            <w:r w:rsidR="00F224F0">
              <w:t>, with the option to transition to mandates in future if needed.</w:t>
            </w:r>
          </w:p>
        </w:tc>
      </w:tr>
    </w:tbl>
    <w:p w:rsidR="00557505" w:rsidRPr="00557505" w:rsidRDefault="00BB1843" w:rsidP="00557505">
      <w:pPr>
        <w:spacing w:after="0"/>
        <w:rPr>
          <w:rStyle w:val="Heading2Char"/>
          <w:rFonts w:ascii="Calibri" w:eastAsia="Calibri" w:hAnsi="Calibri" w:cs="Calibri"/>
          <w:color w:val="auto"/>
          <w:spacing w:val="0"/>
          <w:sz w:val="22"/>
          <w:szCs w:val="22"/>
        </w:rPr>
      </w:pPr>
      <w:r w:rsidRPr="00557505">
        <w:rPr>
          <w:rStyle w:val="Heading2Char"/>
          <w:noProof/>
          <w:lang w:eastAsia="en-AU"/>
        </w:rPr>
        <mc:AlternateContent>
          <mc:Choice Requires="wps">
            <w:drawing>
              <wp:anchor distT="45720" distB="45720" distL="114300" distR="114300" simplePos="0" relativeHeight="251658247" behindDoc="0" locked="0" layoutInCell="1" allowOverlap="1" wp14:anchorId="366AB714" wp14:editId="0E54C9CA">
                <wp:simplePos x="0" y="0"/>
                <wp:positionH relativeFrom="margin">
                  <wp:posOffset>19050</wp:posOffset>
                </wp:positionH>
                <wp:positionV relativeFrom="paragraph">
                  <wp:posOffset>261620</wp:posOffset>
                </wp:positionV>
                <wp:extent cx="5924550" cy="1404620"/>
                <wp:effectExtent l="0" t="0" r="0" b="317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E1E4E9"/>
                        </a:solidFill>
                        <a:ln w="9525">
                          <a:noFill/>
                          <a:miter lim="800000"/>
                          <a:headEnd/>
                          <a:tailEnd/>
                        </a:ln>
                      </wps:spPr>
                      <wps:txbx>
                        <w:txbxContent>
                          <w:p w:rsidR="00874D4A" w:rsidRPr="00557505" w:rsidRDefault="00874D4A" w:rsidP="00557505">
                            <w:pPr>
                              <w:rPr>
                                <w:b/>
                              </w:rPr>
                            </w:pPr>
                            <w:r w:rsidRPr="00557505">
                              <w:rPr>
                                <w:b/>
                              </w:rPr>
                              <w:t>The Government is seeking your views on the design of demand-side mechanisms:</w:t>
                            </w:r>
                          </w:p>
                          <w:p w:rsidR="00874D4A" w:rsidRDefault="00874D4A" w:rsidP="00557505">
                            <w:r>
                              <w:t>What options should the Government consider in its regulatory impact analysis, such as a mandate introduced over time, low carbon fuel standard connected with a trading scheme, a non-binding target or other demand options?</w:t>
                            </w:r>
                          </w:p>
                          <w:p w:rsidR="00874D4A" w:rsidRPr="001817F4" w:rsidRDefault="00874D4A" w:rsidP="00557505">
                            <w:pPr>
                              <w:rPr>
                                <w:i/>
                              </w:rPr>
                            </w:pPr>
                            <w:r w:rsidRPr="001817F4">
                              <w:rPr>
                                <w:i/>
                              </w:rPr>
                              <w:t>When providing advice to Government, you may like to consider:</w:t>
                            </w:r>
                          </w:p>
                          <w:p w:rsidR="00874D4A" w:rsidRDefault="00874D4A" w:rsidP="00557505">
                            <w:r>
                              <w:t>What demand-signals would best drive confidence and certainty for a domestic LCLF production industry?</w:t>
                            </w:r>
                          </w:p>
                          <w:p w:rsidR="00874D4A" w:rsidRDefault="00874D4A" w:rsidP="00557505">
                            <w:r>
                              <w:t>How might demand measures interact with the Safeguard Mechanism for covered facilities?</w:t>
                            </w:r>
                          </w:p>
                          <w:p w:rsidR="00874D4A" w:rsidRDefault="00874D4A" w:rsidP="00557505">
                            <w:r>
                              <w:t>How would the application of a mandate affect your business/operations?</w:t>
                            </w:r>
                          </w:p>
                          <w:p w:rsidR="00874D4A" w:rsidRDefault="00874D4A" w:rsidP="00557505">
                            <w:r>
                              <w:t>Should demand-side interventions be designed to only apply to some areas of the market and not others? Which sectors or sub-sectors should demand-side interventions apply? How would the introduction of a mandate or other demand measures affect competition in your industry?</w:t>
                            </w:r>
                          </w:p>
                          <w:p w:rsidR="00874D4A" w:rsidRDefault="00874D4A" w:rsidP="00557505">
                            <w:r>
                              <w:t>Should design of a mandate, low carbon fuel standard, target or other demand option create requirements for a certain proportion of fuel use be drawn from Australian produced LCLF?</w:t>
                            </w:r>
                          </w:p>
                          <w:p w:rsidR="00874D4A" w:rsidRDefault="00874D4A" w:rsidP="00557505">
                            <w:r>
                              <w:t>How would the introduction of demand side measures impact the feasibility of domestic production of LCLFs, and what impact would this have on the appropriate design of any production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6AB714" id="_x0000_s1035" type="#_x0000_t202" style="position:absolute;margin-left:1.5pt;margin-top:20.6pt;width:466.5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" fillcolor="#e1e4e9" stroked="f">
                <v:textbox style="mso-fit-shape-to-text:t">
                  <w:txbxContent>
                    <w:p w:rsidR="00874D4A" w:rsidRPr="00557505" w:rsidRDefault="00874D4A" w:rsidP="00557505">
                      <w:pPr>
                        <w:rPr>
                          <w:b/>
                        </w:rPr>
                      </w:pPr>
                      <w:r w:rsidRPr="00557505">
                        <w:rPr>
                          <w:b/>
                        </w:rPr>
                        <w:t>The Government is seeking your views on the design of demand-side mechanisms:</w:t>
                      </w:r>
                    </w:p>
                    <w:p w:rsidR="00874D4A" w:rsidRDefault="00874D4A" w:rsidP="00557505">
                      <w:r>
                        <w:t>What options should the Government consider in its regulatory impact analysis, such as a mandate introduced over time, low carbon fuel standard connected with a trading scheme, a non-binding target or other demand options?</w:t>
                      </w:r>
                    </w:p>
                    <w:p w:rsidR="00874D4A" w:rsidRPr="001817F4" w:rsidRDefault="00874D4A" w:rsidP="00557505">
                      <w:pPr>
                        <w:rPr>
                          <w:i/>
                        </w:rPr>
                      </w:pPr>
                      <w:r w:rsidRPr="001817F4">
                        <w:rPr>
                          <w:i/>
                        </w:rPr>
                        <w:t>When providing advice to Government, you may like to consider:</w:t>
                      </w:r>
                    </w:p>
                    <w:p w:rsidR="00874D4A" w:rsidRDefault="00874D4A" w:rsidP="00557505">
                      <w:r>
                        <w:t>What demand-signals would best drive confidence and certainty for a domestic LCLF production industry?</w:t>
                      </w:r>
                    </w:p>
                    <w:p w:rsidR="00874D4A" w:rsidRDefault="00874D4A" w:rsidP="00557505">
                      <w:r>
                        <w:t>How might demand measures interact with the Safeguard Mechanism for covered facilities?</w:t>
                      </w:r>
                    </w:p>
                    <w:p w:rsidR="00874D4A" w:rsidRDefault="00874D4A" w:rsidP="00557505">
                      <w:r>
                        <w:t>How would the application of a mandate affect your business/operations?</w:t>
                      </w:r>
                    </w:p>
                    <w:p w:rsidR="00874D4A" w:rsidRDefault="00874D4A" w:rsidP="00557505">
                      <w:r>
                        <w:t>Should demand-side interventions be designed to only apply to some areas of the market and not others? Which sectors or sub-sectors should demand-side interventions apply? How would the introduction of a mandate or other demand measures affect competition in your industry?</w:t>
                      </w:r>
                    </w:p>
                    <w:p w:rsidR="00874D4A" w:rsidRDefault="00874D4A" w:rsidP="00557505">
                      <w:r>
                        <w:t>Should design of a mandate, low carbon fuel standard, target or other demand option create requirements for a certain proportion of fuel use be drawn from Australian produced LCLF?</w:t>
                      </w:r>
                    </w:p>
                    <w:p w:rsidR="00874D4A" w:rsidRDefault="00874D4A" w:rsidP="00557505">
                      <w:r>
                        <w:t>How would the introduction of demand side measures impact the feasibility of domestic production of LCLFs, and what impact would this have on the appropriate design of any production support?</w:t>
                      </w:r>
                    </w:p>
                  </w:txbxContent>
                </v:textbox>
                <w10:wrap type="topAndBottom" anchorx="margin"/>
              </v:shape>
            </w:pict>
          </mc:Fallback>
        </mc:AlternateContent>
      </w:r>
    </w:p>
    <w:p w:rsidR="00B26015" w:rsidRDefault="00B26015" w:rsidP="00B26015">
      <w:pPr>
        <w:spacing w:before="120" w:after="240"/>
        <w:rPr>
          <w:rStyle w:val="Heading2Char"/>
          <w:rFonts w:cstheme="minorHAnsi"/>
        </w:rPr>
      </w:pPr>
    </w:p>
    <w:p w:rsidR="001817F4" w:rsidRDefault="001817F4">
      <w:pPr>
        <w:rPr>
          <w:rStyle w:val="Heading2Char"/>
          <w:rFonts w:cstheme="minorHAnsi"/>
        </w:rPr>
      </w:pPr>
      <w:bookmarkStart w:id="43" w:name="_Toc168994036"/>
      <w:r>
        <w:rPr>
          <w:rStyle w:val="Heading2Char"/>
          <w:rFonts w:cstheme="minorHAnsi"/>
        </w:rPr>
        <w:br w:type="page"/>
      </w:r>
    </w:p>
    <w:p w:rsidR="002A0E26" w:rsidRPr="00152F57" w:rsidRDefault="002A0E26" w:rsidP="00B26015">
      <w:pPr>
        <w:spacing w:before="120" w:after="240"/>
        <w:rPr>
          <w:spacing w:val="-2"/>
        </w:rPr>
      </w:pPr>
      <w:r w:rsidRPr="0060001D">
        <w:rPr>
          <w:rStyle w:val="Heading2Char"/>
          <w:rFonts w:cstheme="minorHAnsi"/>
        </w:rPr>
        <w:lastRenderedPageBreak/>
        <w:t>Next steps</w:t>
      </w:r>
      <w:bookmarkEnd w:id="43"/>
      <w:r w:rsidR="00152F57">
        <w:rPr>
          <w:spacing w:val="-2"/>
        </w:rPr>
        <w:br/>
      </w:r>
      <w:r w:rsidRPr="00B26015">
        <w:rPr>
          <w:b/>
        </w:rPr>
        <w:t xml:space="preserve">Your input on this consultation paper provides crucial </w:t>
      </w:r>
      <w:r w:rsidRPr="00B26015">
        <w:rPr>
          <w:rStyle w:val="normaltextrun"/>
          <w:b/>
          <w:color w:val="000000" w:themeColor="text1"/>
          <w:shd w:val="clear" w:color="auto" w:fill="FFFFFF"/>
        </w:rPr>
        <w:t>information</w:t>
      </w:r>
      <w:r w:rsidRPr="00B26015">
        <w:rPr>
          <w:b/>
        </w:rPr>
        <w:t xml:space="preserve"> in developing the </w:t>
      </w:r>
      <w:r w:rsidR="00311BE0" w:rsidRPr="00B26015">
        <w:rPr>
          <w:b/>
        </w:rPr>
        <w:t>G</w:t>
      </w:r>
      <w:r w:rsidRPr="00B26015">
        <w:rPr>
          <w:b/>
        </w:rPr>
        <w:t xml:space="preserve">overnment’s future approach to </w:t>
      </w:r>
      <w:r w:rsidR="001D63A6" w:rsidRPr="00B26015">
        <w:rPr>
          <w:b/>
        </w:rPr>
        <w:t xml:space="preserve">supporting </w:t>
      </w:r>
      <w:r w:rsidRPr="00B26015">
        <w:rPr>
          <w:b/>
        </w:rPr>
        <w:t xml:space="preserve">an Australian </w:t>
      </w:r>
      <w:r w:rsidR="008653E6" w:rsidRPr="00B26015">
        <w:rPr>
          <w:b/>
        </w:rPr>
        <w:t>LCLF</w:t>
      </w:r>
      <w:r w:rsidRPr="00B26015">
        <w:rPr>
          <w:b/>
        </w:rPr>
        <w:t xml:space="preserve"> industry</w:t>
      </w:r>
      <w:r w:rsidRPr="00B26015">
        <w:t>.</w:t>
      </w:r>
      <w:r w:rsidRPr="00152F57">
        <w:rPr>
          <w:rStyle w:val="normaltextrun"/>
          <w:color w:val="000000" w:themeColor="text1"/>
          <w:shd w:val="clear" w:color="auto" w:fill="FFFFFF"/>
        </w:rPr>
        <w:t xml:space="preserve"> </w:t>
      </w:r>
    </w:p>
    <w:p w:rsidR="002A0E26" w:rsidRDefault="00152F57" w:rsidP="002A0E26">
      <w:pPr>
        <w:spacing w:before="120" w:after="120"/>
        <w:rPr>
          <w:rStyle w:val="normaltextrun"/>
          <w:color w:val="000000" w:themeColor="text1"/>
          <w:shd w:val="clear" w:color="auto" w:fill="FFFFFF"/>
        </w:rPr>
      </w:pPr>
      <w:r>
        <w:rPr>
          <w:rStyle w:val="normaltextrun"/>
          <w:color w:val="000000" w:themeColor="text1"/>
          <w:shd w:val="clear" w:color="auto" w:fill="FFFFFF"/>
        </w:rPr>
        <w:t>Responses will also inform the development of the Transport and Infrastructure Net Zero Roadmap and Action Plan</w:t>
      </w:r>
      <w:r w:rsidR="00FF2FC3">
        <w:rPr>
          <w:rStyle w:val="normaltextrun"/>
          <w:color w:val="000000" w:themeColor="text1"/>
          <w:shd w:val="clear" w:color="auto" w:fill="FFFFFF"/>
        </w:rPr>
        <w:t xml:space="preserve"> and the Electricity and Energy Sector Plan</w:t>
      </w:r>
      <w:r>
        <w:rPr>
          <w:rStyle w:val="normaltextrun"/>
          <w:color w:val="000000" w:themeColor="text1"/>
          <w:shd w:val="clear" w:color="auto" w:fill="FFFFFF"/>
        </w:rPr>
        <w:t>.</w:t>
      </w:r>
    </w:p>
    <w:p w:rsidR="000A41AB" w:rsidRDefault="00FF2FC3" w:rsidP="000A41AB">
      <w:pPr>
        <w:spacing w:before="120" w:after="120"/>
        <w:rPr>
          <w:rStyle w:val="normaltextrun"/>
          <w:color w:val="000000" w:themeColor="text1"/>
          <w:shd w:val="clear" w:color="auto" w:fill="FFFFFF"/>
        </w:rPr>
      </w:pPr>
      <w:r>
        <w:rPr>
          <w:rStyle w:val="normaltextrun"/>
          <w:color w:val="000000" w:themeColor="text1"/>
          <w:shd w:val="clear" w:color="auto" w:fill="FFFFFF"/>
        </w:rPr>
        <w:t>Feedback on this paper will also be sought through roundtables and other processes as part of Transport and Net Zero Roadmap and Action Plan consultation</w:t>
      </w:r>
      <w:r w:rsidR="007B2FEF">
        <w:rPr>
          <w:rStyle w:val="normaltextrun"/>
          <w:color w:val="000000" w:themeColor="text1"/>
          <w:shd w:val="clear" w:color="auto" w:fill="FFFFFF"/>
        </w:rPr>
        <w:t xml:space="preserve">, with consultation on this paper to be concluded by </w:t>
      </w:r>
      <w:r w:rsidR="001C38DC">
        <w:rPr>
          <w:rStyle w:val="normaltextrun"/>
          <w:color w:val="000000" w:themeColor="text1"/>
          <w:shd w:val="clear" w:color="auto" w:fill="FFFFFF"/>
        </w:rPr>
        <w:t>18</w:t>
      </w:r>
      <w:r w:rsidR="007B2FEF">
        <w:rPr>
          <w:rStyle w:val="normaltextrun"/>
          <w:color w:val="000000" w:themeColor="text1"/>
          <w:shd w:val="clear" w:color="auto" w:fill="FFFFFF"/>
        </w:rPr>
        <w:t xml:space="preserve"> Ju</w:t>
      </w:r>
      <w:r w:rsidR="00AB7031">
        <w:rPr>
          <w:rStyle w:val="normaltextrun"/>
          <w:color w:val="000000" w:themeColor="text1"/>
          <w:shd w:val="clear" w:color="auto" w:fill="FFFFFF"/>
        </w:rPr>
        <w:t>ly</w:t>
      </w:r>
      <w:r w:rsidR="007B2FEF">
        <w:rPr>
          <w:rStyle w:val="normaltextrun"/>
          <w:color w:val="000000" w:themeColor="text1"/>
          <w:shd w:val="clear" w:color="auto" w:fill="FFFFFF"/>
        </w:rPr>
        <w:t xml:space="preserve"> 2024.</w:t>
      </w:r>
    </w:p>
    <w:p w:rsidR="000A41AB" w:rsidRPr="000A41AB" w:rsidRDefault="000A41AB" w:rsidP="000A41AB">
      <w:pPr>
        <w:spacing w:before="120" w:after="120"/>
        <w:rPr>
          <w:rFonts w:asciiTheme="majorHAnsi" w:eastAsiaTheme="majorEastAsia" w:hAnsiTheme="majorHAnsi" w:cstheme="majorBidi"/>
          <w:b/>
          <w:color w:val="085257"/>
          <w:spacing w:val="-2"/>
          <w:sz w:val="48"/>
          <w:szCs w:val="26"/>
        </w:rPr>
      </w:pPr>
    </w:p>
    <w:p w:rsidR="00210349" w:rsidRDefault="00210349">
      <w:pPr>
        <w:rPr>
          <w:rFonts w:eastAsiaTheme="majorEastAsia" w:cstheme="majorBidi"/>
          <w:color w:val="085257"/>
          <w:spacing w:val="-2"/>
          <w:sz w:val="32"/>
          <w:szCs w:val="26"/>
        </w:rPr>
      </w:pPr>
      <w:r>
        <w:br w:type="page"/>
      </w:r>
    </w:p>
    <w:p w:rsidR="00152F57" w:rsidRDefault="00152F57" w:rsidP="00210349">
      <w:pPr>
        <w:pStyle w:val="Heading1"/>
      </w:pPr>
      <w:bookmarkStart w:id="44" w:name="_Toc168994037"/>
      <w:r>
        <w:lastRenderedPageBreak/>
        <w:t>Consultation questions</w:t>
      </w:r>
      <w:bookmarkEnd w:id="44"/>
    </w:p>
    <w:p w:rsidR="006C1238" w:rsidRPr="006C1238" w:rsidRDefault="006C1238" w:rsidP="006C1238">
      <w:pPr>
        <w:spacing w:after="0"/>
      </w:pPr>
    </w:p>
    <w:tbl>
      <w:tblPr>
        <w:tblStyle w:val="TableGrid"/>
        <w:tblW w:w="0" w:type="auto"/>
        <w:tblInd w:w="0" w:type="dxa"/>
        <w:tblLook w:val="04A0" w:firstRow="1" w:lastRow="0" w:firstColumn="1" w:lastColumn="0" w:noHBand="0" w:noVBand="1"/>
      </w:tblPr>
      <w:tblGrid>
        <w:gridCol w:w="9350"/>
      </w:tblGrid>
      <w:tr w:rsidR="00CE0555" w:rsidTr="00D11DC7">
        <w:trPr>
          <w:trHeight w:val="616"/>
        </w:trPr>
        <w:tc>
          <w:tcPr>
            <w:tcW w:w="9350" w:type="dxa"/>
            <w:shd w:val="clear" w:color="auto" w:fill="377B88"/>
          </w:tcPr>
          <w:p w:rsidR="00E05B8E" w:rsidRDefault="00CE0555" w:rsidP="00E05B8E">
            <w:pPr>
              <w:spacing w:before="240"/>
              <w:rPr>
                <w:b/>
                <w:color w:val="FFFFFF" w:themeColor="background1"/>
              </w:rPr>
            </w:pPr>
            <w:r w:rsidRPr="00517918">
              <w:rPr>
                <w:b/>
                <w:color w:val="FFFFFF" w:themeColor="background1"/>
              </w:rPr>
              <w:t>The low carbon liquid fuels opportunity</w:t>
            </w:r>
          </w:p>
          <w:p w:rsidR="001545D8" w:rsidRPr="00517918" w:rsidRDefault="001545D8" w:rsidP="001545D8">
            <w:pPr>
              <w:rPr>
                <w:b/>
                <w:color w:val="FFFFFF" w:themeColor="background1"/>
              </w:rPr>
            </w:pPr>
          </w:p>
        </w:tc>
      </w:tr>
      <w:tr w:rsidR="00CE0555" w:rsidTr="00CE0555">
        <w:tc>
          <w:tcPr>
            <w:tcW w:w="9350" w:type="dxa"/>
          </w:tcPr>
          <w:p w:rsidR="00CE0555" w:rsidRDefault="00CE0555" w:rsidP="005F0F67">
            <w:pPr>
              <w:spacing w:before="240" w:after="120"/>
            </w:pPr>
            <w:r>
              <w:t xml:space="preserve">The Government notes it has recently sought views on the current state of Australia’s LCLF market through its consultation on the Electricity and Energy Sector Plan. However, we welcome additional insights into the market, for example: </w:t>
            </w:r>
          </w:p>
          <w:p w:rsidR="00CE0555" w:rsidRDefault="00CE0555" w:rsidP="00207920">
            <w:pPr>
              <w:pStyle w:val="ListParagraph"/>
              <w:numPr>
                <w:ilvl w:val="0"/>
                <w:numId w:val="15"/>
              </w:numPr>
            </w:pPr>
            <w:r>
              <w:t>Pricing data and the ‘green premium’ of these fuels</w:t>
            </w:r>
          </w:p>
          <w:p w:rsidR="00CE0555" w:rsidRDefault="00CE0555" w:rsidP="00207920">
            <w:pPr>
              <w:pStyle w:val="ListParagraph"/>
              <w:numPr>
                <w:ilvl w:val="0"/>
                <w:numId w:val="15"/>
              </w:numPr>
            </w:pPr>
            <w:r>
              <w:t>Production cost data</w:t>
            </w:r>
          </w:p>
          <w:p w:rsidR="00CE0555" w:rsidRDefault="00CE0555" w:rsidP="00207920">
            <w:pPr>
              <w:pStyle w:val="ListParagraph"/>
              <w:numPr>
                <w:ilvl w:val="0"/>
                <w:numId w:val="15"/>
              </w:numPr>
            </w:pPr>
            <w:r>
              <w:t>Data on the differences between production cost and LCLF sale price</w:t>
            </w:r>
          </w:p>
          <w:p w:rsidR="00CE0555" w:rsidRDefault="00CE0555" w:rsidP="00207920">
            <w:pPr>
              <w:pStyle w:val="ListParagraph"/>
              <w:numPr>
                <w:ilvl w:val="0"/>
                <w:numId w:val="15"/>
              </w:numPr>
            </w:pPr>
            <w:r>
              <w:t>Potential current and future demand for these fuels under different scenarios of Government intervention, such as the introduction of demand- and/or supply-side policies</w:t>
            </w:r>
          </w:p>
          <w:p w:rsidR="00CE0555" w:rsidRDefault="00CE0555" w:rsidP="00207920">
            <w:pPr>
              <w:pStyle w:val="ListParagraph"/>
              <w:numPr>
                <w:ilvl w:val="0"/>
                <w:numId w:val="15"/>
              </w:numPr>
            </w:pPr>
            <w:r>
              <w:t>Potential production volumes for Australia under different scenarios of Government intervention, such as the introduction of demand- and/or supply-side policies</w:t>
            </w:r>
          </w:p>
          <w:p w:rsidR="00CE0555" w:rsidRDefault="00CE0555" w:rsidP="00207920">
            <w:pPr>
              <w:pStyle w:val="ListParagraph"/>
              <w:numPr>
                <w:ilvl w:val="0"/>
                <w:numId w:val="15"/>
              </w:numPr>
            </w:pPr>
            <w:r>
              <w:t>Where fuels are currently being sourced from and used</w:t>
            </w:r>
          </w:p>
          <w:p w:rsidR="00CE0555" w:rsidRDefault="00CE0555" w:rsidP="00207920">
            <w:pPr>
              <w:pStyle w:val="ListParagraph"/>
              <w:numPr>
                <w:ilvl w:val="0"/>
                <w:numId w:val="15"/>
              </w:numPr>
            </w:pPr>
            <w:r>
              <w:t>Current industry size, value and maturity – in Australia and overseas</w:t>
            </w:r>
          </w:p>
          <w:p w:rsidR="00CE0555" w:rsidRDefault="00CE0555" w:rsidP="005F0F67">
            <w:pPr>
              <w:pStyle w:val="ListParagraph"/>
              <w:numPr>
                <w:ilvl w:val="0"/>
                <w:numId w:val="15"/>
              </w:numPr>
            </w:pPr>
            <w:r>
              <w:t>Capacity to source LCLF from global supply chains</w:t>
            </w:r>
          </w:p>
          <w:p w:rsidR="00CE0555" w:rsidRDefault="00CE0555" w:rsidP="005F0F67">
            <w:pPr>
              <w:spacing w:before="120"/>
            </w:pPr>
            <w:r>
              <w:t>What do you think are Australia’s comparative advantages as an LCLF producer? Where does Australia face international competition?</w:t>
            </w:r>
          </w:p>
          <w:p w:rsidR="00207920" w:rsidRDefault="00CE0555" w:rsidP="005F0F67">
            <w:pPr>
              <w:spacing w:before="120" w:after="120"/>
            </w:pPr>
            <w:r>
              <w:t>Based on the current policy and market environment, to what extent will Australia rely on imports of LCLF, as opposed to domestic production?</w:t>
            </w:r>
          </w:p>
        </w:tc>
      </w:tr>
      <w:tr w:rsidR="00CE0555" w:rsidTr="00D11DC7">
        <w:tc>
          <w:tcPr>
            <w:tcW w:w="9350" w:type="dxa"/>
            <w:shd w:val="clear" w:color="auto" w:fill="377B88"/>
          </w:tcPr>
          <w:p w:rsidR="007C4AB1" w:rsidRDefault="00CE0555" w:rsidP="00E05B8E">
            <w:pPr>
              <w:spacing w:before="240"/>
              <w:rPr>
                <w:b/>
                <w:color w:val="FFFFFF" w:themeColor="background1"/>
              </w:rPr>
            </w:pPr>
            <w:r w:rsidRPr="00517918">
              <w:rPr>
                <w:b/>
                <w:color w:val="FFFFFF" w:themeColor="background1"/>
              </w:rPr>
              <w:t xml:space="preserve">Options to support an Australian domestic low carbon liquid fuel production </w:t>
            </w:r>
          </w:p>
          <w:p w:rsidR="007C4AB1" w:rsidRPr="00E05B8E" w:rsidRDefault="007C4AB1" w:rsidP="007C4AB1">
            <w:pPr>
              <w:rPr>
                <w:b/>
                <w:color w:val="FFFFFF" w:themeColor="background1"/>
              </w:rPr>
            </w:pPr>
          </w:p>
        </w:tc>
      </w:tr>
      <w:tr w:rsidR="00CE0555" w:rsidTr="00CE0555">
        <w:tc>
          <w:tcPr>
            <w:tcW w:w="9350" w:type="dxa"/>
            <w:shd w:val="clear" w:color="auto" w:fill="auto"/>
          </w:tcPr>
          <w:p w:rsidR="00CE0555" w:rsidRPr="005F0F67" w:rsidRDefault="00CE0555" w:rsidP="005F0F67">
            <w:pPr>
              <w:spacing w:before="240" w:after="120"/>
              <w:rPr>
                <w:b/>
              </w:rPr>
            </w:pPr>
            <w:r w:rsidRPr="00CE0555">
              <w:rPr>
                <w:b/>
              </w:rPr>
              <w:t>The Government is seeking your views on the options for a production incentive scheme</w:t>
            </w:r>
            <w:r w:rsidR="005F0F67">
              <w:rPr>
                <w:b/>
              </w:rPr>
              <w:t>:</w:t>
            </w:r>
          </w:p>
          <w:p w:rsidR="00CE0555" w:rsidRDefault="00CE0555" w:rsidP="005F0F67">
            <w:pPr>
              <w:spacing w:after="120"/>
            </w:pPr>
            <w:r>
              <w:t>What mechanism do you think would best support a production credit scheme – through the tax system, contract for difference or grant based funding?</w:t>
            </w:r>
          </w:p>
          <w:p w:rsidR="00CE0555" w:rsidRDefault="00CE0555" w:rsidP="005F0F67">
            <w:pPr>
              <w:spacing w:after="120"/>
            </w:pPr>
            <w:r>
              <w:t>Are there other mechanisms Government could consider to deliver production support, other than a production tax incentive or competitive grant-based payment? What do you think is the highest priority form of support?</w:t>
            </w:r>
          </w:p>
          <w:p w:rsidR="00CE0555" w:rsidRDefault="00CE0555" w:rsidP="005F0F67">
            <w:pPr>
              <w:spacing w:after="120"/>
            </w:pPr>
            <w:r>
              <w:t>What are expected production costs of LCLF in Australia? How would you design production incentives to make production competitive in Australia?</w:t>
            </w:r>
          </w:p>
          <w:p w:rsidR="00CE0555" w:rsidRDefault="00CE0555" w:rsidP="005F0F67">
            <w:pPr>
              <w:spacing w:after="120"/>
            </w:pPr>
            <w:r>
              <w:t>What would an expected rate of support be under a competitive grant-based production scheme (contract for difference or fixed grant amount per production unit)?</w:t>
            </w:r>
          </w:p>
          <w:p w:rsidR="00CE0555" w:rsidRDefault="00CE0555" w:rsidP="005F0F67">
            <w:pPr>
              <w:spacing w:after="120"/>
            </w:pPr>
            <w:r>
              <w:t>How many producers would you expect a production incentive scheme to support in Australia?</w:t>
            </w:r>
          </w:p>
          <w:p w:rsidR="00CE0555" w:rsidRDefault="00CE0555" w:rsidP="005F0F67">
            <w:pPr>
              <w:spacing w:after="120"/>
            </w:pPr>
            <w:r>
              <w:t>How could the introduction of a production incentive scheme affect competition in fuel production and supply markets, and also amongst fuel users?</w:t>
            </w:r>
          </w:p>
          <w:p w:rsidR="00CE0555" w:rsidRDefault="00CE0555" w:rsidP="005F0F67">
            <w:pPr>
              <w:spacing w:after="120"/>
            </w:pPr>
            <w:r>
              <w:lastRenderedPageBreak/>
              <w:t xml:space="preserve">What are the expected timeframes for when an industry would be sustainable without support from Government? </w:t>
            </w:r>
          </w:p>
          <w:p w:rsidR="00207920" w:rsidRDefault="00CE0555" w:rsidP="005F0F67">
            <w:pPr>
              <w:spacing w:after="120"/>
            </w:pPr>
            <w:r>
              <w:t>How should production support be funded, and how could this best be aligned with the beneficiaries of the production support?</w:t>
            </w:r>
          </w:p>
        </w:tc>
      </w:tr>
      <w:tr w:rsidR="00CE0555" w:rsidTr="00CE0555">
        <w:tc>
          <w:tcPr>
            <w:tcW w:w="9350" w:type="dxa"/>
          </w:tcPr>
          <w:p w:rsidR="00207920" w:rsidRPr="005F0F67" w:rsidRDefault="00207920" w:rsidP="005F0F67">
            <w:pPr>
              <w:spacing w:before="240" w:after="120"/>
              <w:rPr>
                <w:b/>
              </w:rPr>
            </w:pPr>
            <w:r w:rsidRPr="00207920">
              <w:rPr>
                <w:b/>
              </w:rPr>
              <w:lastRenderedPageBreak/>
              <w:t>The Government is seeking your views on the design of production incentives to appropriately incentivise the production of SAF and renewable diesel and different pathways to produce LCLF:</w:t>
            </w:r>
          </w:p>
          <w:p w:rsidR="00207920" w:rsidRDefault="00207920" w:rsidP="005F0F67">
            <w:pPr>
              <w:spacing w:after="120"/>
            </w:pPr>
            <w:r>
              <w:t>Would production support need to offer a different rate of incentive for SAF and renewable diesel?</w:t>
            </w:r>
          </w:p>
          <w:p w:rsidR="00207920" w:rsidRDefault="00207920" w:rsidP="005F0F67">
            <w:pPr>
              <w:spacing w:after="120"/>
            </w:pPr>
            <w:r>
              <w:t>Would a potential production support program need to prescribe certain proportions of production volumes towards SAF or renewable diesel?</w:t>
            </w:r>
          </w:p>
          <w:p w:rsidR="00207920" w:rsidRDefault="00207920" w:rsidP="005F0F67">
            <w:pPr>
              <w:spacing w:after="120"/>
            </w:pPr>
            <w:r>
              <w:t>Would production support need to provide different levels of support for emerging and established production pathways? What are some of the design considerations Government should consider?</w:t>
            </w:r>
          </w:p>
          <w:p w:rsidR="00207920" w:rsidRDefault="00207920" w:rsidP="005F0F67">
            <w:pPr>
              <w:spacing w:after="120"/>
            </w:pPr>
            <w:r>
              <w:t>What policy approaches are technology agnostic, applying efficiently to new technologies as they emerge?</w:t>
            </w:r>
          </w:p>
        </w:tc>
      </w:tr>
      <w:tr w:rsidR="00CE0555" w:rsidTr="00CE0555">
        <w:tc>
          <w:tcPr>
            <w:tcW w:w="9350" w:type="dxa"/>
          </w:tcPr>
          <w:p w:rsidR="00207920" w:rsidRPr="00207920" w:rsidRDefault="00207920" w:rsidP="005F0F67">
            <w:pPr>
              <w:spacing w:before="240" w:after="120"/>
              <w:rPr>
                <w:b/>
              </w:rPr>
            </w:pPr>
            <w:r w:rsidRPr="00207920">
              <w:rPr>
                <w:b/>
              </w:rPr>
              <w:t>The Government is seeking your views on the following considerations regarding emissions and sustainability criteria:</w:t>
            </w:r>
          </w:p>
          <w:p w:rsidR="00207920" w:rsidRDefault="00207920" w:rsidP="005F0F67">
            <w:pPr>
              <w:spacing w:after="120"/>
            </w:pPr>
            <w:r>
              <w:t>Do you support an emissions reduction threshold being included as part of eligibility criteria for fuels to receive support under a production incentive program? What threshold would you seek be included in eligibility criteria (for example 50 per cent emissions reduction relative to conventional fuels, or another emissions reduction ratio)?</w:t>
            </w:r>
          </w:p>
          <w:p w:rsidR="00207920" w:rsidRDefault="00207920" w:rsidP="005F0F67">
            <w:pPr>
              <w:spacing w:after="120"/>
            </w:pPr>
            <w:r>
              <w:t>Do you think any threshold should increase over time?</w:t>
            </w:r>
          </w:p>
          <w:p w:rsidR="00207920" w:rsidRDefault="00207920" w:rsidP="005F0F67">
            <w:pPr>
              <w:spacing w:after="120"/>
            </w:pPr>
            <w:r>
              <w:t>Do you think incentives should be included to encourage emissions reduction in addition to a minimum eligibility threshold?</w:t>
            </w:r>
          </w:p>
          <w:p w:rsidR="00207920" w:rsidRDefault="00207920" w:rsidP="005F0F67">
            <w:pPr>
              <w:spacing w:after="120"/>
            </w:pPr>
            <w:r>
              <w:t>If you don’t support a threshold, what emissions requirements do you think are better?</w:t>
            </w:r>
          </w:p>
          <w:p w:rsidR="00207920" w:rsidRDefault="00207920" w:rsidP="005F0F67">
            <w:pPr>
              <w:spacing w:after="120"/>
            </w:pPr>
            <w:r>
              <w:t>Do you have views on the sustainability criteria under consideration as part of the criteria? What additional or alternative criteria would you want to see form part of the criteria?</w:t>
            </w:r>
          </w:p>
          <w:p w:rsidR="00207920" w:rsidRDefault="00207920" w:rsidP="005F0F67">
            <w:pPr>
              <w:spacing w:after="120"/>
            </w:pPr>
            <w:r>
              <w:t>Do you have any other views on emissions and sustainability criteria?</w:t>
            </w:r>
          </w:p>
          <w:p w:rsidR="0049173A" w:rsidRDefault="00207920" w:rsidP="005F0F67">
            <w:pPr>
              <w:spacing w:after="120"/>
            </w:pPr>
            <w:r>
              <w:t>What are the community benefits associated with LCLF production in Australia?</w:t>
            </w:r>
          </w:p>
        </w:tc>
      </w:tr>
      <w:tr w:rsidR="00207920" w:rsidTr="00CE0555">
        <w:tc>
          <w:tcPr>
            <w:tcW w:w="9350" w:type="dxa"/>
          </w:tcPr>
          <w:p w:rsidR="00207920" w:rsidRDefault="00207920" w:rsidP="005F0F67">
            <w:pPr>
              <w:spacing w:before="240" w:after="120"/>
              <w:rPr>
                <w:b/>
              </w:rPr>
            </w:pPr>
            <w:r w:rsidRPr="00207920">
              <w:rPr>
                <w:b/>
              </w:rPr>
              <w:t>The Government is seeking your views on the design of demand-side mechanisms:</w:t>
            </w:r>
          </w:p>
          <w:p w:rsidR="00207920" w:rsidRPr="00207920" w:rsidRDefault="00207920" w:rsidP="005F0F67">
            <w:pPr>
              <w:spacing w:after="120"/>
            </w:pPr>
            <w:r w:rsidRPr="00207920">
              <w:t>What options should the Government consider in its regulatory impact analysis, such as a mandate introduced over time, low carbon fuel standard connected with a trading scheme, a non-binding target or other demand options?</w:t>
            </w:r>
          </w:p>
          <w:p w:rsidR="00207920" w:rsidRPr="00207920" w:rsidRDefault="00207920" w:rsidP="005F0F67">
            <w:pPr>
              <w:spacing w:after="120"/>
              <w:rPr>
                <w:i/>
              </w:rPr>
            </w:pPr>
            <w:r w:rsidRPr="00207920">
              <w:rPr>
                <w:i/>
              </w:rPr>
              <w:t>When providing advice to Government, you may like to consider:</w:t>
            </w:r>
          </w:p>
          <w:p w:rsidR="00207920" w:rsidRPr="00207920" w:rsidRDefault="00207920" w:rsidP="005F0F67">
            <w:pPr>
              <w:spacing w:after="120"/>
            </w:pPr>
            <w:r w:rsidRPr="00207920">
              <w:t>What demand-signals would best drive confidence and certainty for a domestic LCLF production industry?</w:t>
            </w:r>
          </w:p>
          <w:p w:rsidR="00207920" w:rsidRPr="00207920" w:rsidRDefault="00207920" w:rsidP="005F0F67">
            <w:pPr>
              <w:spacing w:after="120"/>
            </w:pPr>
            <w:r w:rsidRPr="00207920">
              <w:t>How might demand measures interact with the Safeguard Mechanism for covered facilities?</w:t>
            </w:r>
          </w:p>
          <w:p w:rsidR="00207920" w:rsidRPr="00207920" w:rsidRDefault="00207920" w:rsidP="005F0F67">
            <w:pPr>
              <w:spacing w:after="120"/>
            </w:pPr>
            <w:r w:rsidRPr="00207920">
              <w:t>How would the application of a mandate affect your business/operations?</w:t>
            </w:r>
          </w:p>
          <w:p w:rsidR="00207920" w:rsidRPr="00207920" w:rsidRDefault="00207920" w:rsidP="005F0F67">
            <w:pPr>
              <w:spacing w:after="120"/>
            </w:pPr>
            <w:r w:rsidRPr="00207920">
              <w:lastRenderedPageBreak/>
              <w:t>Should demand-side interventions be designed to only apply to some areas of the market and not others? Which sectors or sub-sectors should demand-side interventions apply? How would the introduction of a mandate or other demand measures affect competition in your industry?</w:t>
            </w:r>
          </w:p>
          <w:p w:rsidR="00207920" w:rsidRPr="00207920" w:rsidRDefault="00207920" w:rsidP="005F0F67">
            <w:pPr>
              <w:spacing w:after="120"/>
            </w:pPr>
            <w:r w:rsidRPr="00207920">
              <w:t>Should design of a mandate, low carbon fuel standard, target or other demand option create requirements for a certain proportion of fuel use be drawn from Australian produced LCLF?</w:t>
            </w:r>
          </w:p>
          <w:p w:rsidR="00207920" w:rsidRPr="005F0F67" w:rsidRDefault="00207920" w:rsidP="005F0F67">
            <w:pPr>
              <w:spacing w:after="120"/>
            </w:pPr>
            <w:r w:rsidRPr="00207920">
              <w:t>How would the introduction of demand side measures impact the feasibility of domestic production of LCLFs, and what impact would this have on the appropriate design of any production support?</w:t>
            </w:r>
          </w:p>
        </w:tc>
      </w:tr>
      <w:bookmarkEnd w:id="0"/>
    </w:tbl>
    <w:p w:rsidR="00CC43E3" w:rsidRPr="00E97024" w:rsidRDefault="00CC43E3" w:rsidP="00E97024">
      <w:pPr>
        <w:rPr>
          <w:rFonts w:eastAsiaTheme="majorEastAsia" w:cstheme="majorBidi"/>
          <w:color w:val="085257"/>
          <w:spacing w:val="-2"/>
          <w:sz w:val="32"/>
          <w:szCs w:val="26"/>
        </w:rPr>
      </w:pPr>
    </w:p>
    <w:sectPr w:rsidR="00CC43E3" w:rsidRPr="00E9702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38CD" w16cex:dateUtc="2024-05-31T01:53:00Z"/>
  <w16cex:commentExtensible w16cex:durableId="2A03F4FF" w16cex:dateUtc="2024-05-30T21:04:00Z"/>
  <w16cex:commentExtensible w16cex:durableId="2A042B4C" w16cex:dateUtc="2024-05-31T00:56:00Z"/>
  <w16cex:commentExtensible w16cex:durableId="2A042DE5" w16cex:dateUtc="2024-05-31T01:07:00Z"/>
  <w16cex:commentExtensible w16cex:durableId="2A042E59" w16cex:dateUtc="2024-05-31T01:09:00Z"/>
  <w16cex:commentExtensible w16cex:durableId="2A043145" w16cex:dateUtc="2024-05-31T01:21:00Z"/>
  <w16cex:commentExtensible w16cex:durableId="2A04336C" w16cex:dateUtc="2024-05-31T01: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D4A" w:rsidRDefault="00874D4A" w:rsidP="00106237">
      <w:pPr>
        <w:spacing w:after="0" w:line="240" w:lineRule="auto"/>
      </w:pPr>
      <w:r>
        <w:separator/>
      </w:r>
    </w:p>
  </w:endnote>
  <w:endnote w:type="continuationSeparator" w:id="0">
    <w:p w:rsidR="00874D4A" w:rsidRDefault="00874D4A" w:rsidP="00106237">
      <w:pPr>
        <w:spacing w:after="0" w:line="240" w:lineRule="auto"/>
      </w:pPr>
      <w:r>
        <w:continuationSeparator/>
      </w:r>
    </w:p>
  </w:endnote>
  <w:endnote w:type="continuationNotice" w:id="1">
    <w:p w:rsidR="00874D4A" w:rsidRDefault="00874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D4A" w:rsidRDefault="00874D4A" w:rsidP="00874D4A">
    <w:pPr>
      <w:pStyle w:val="SecurityClassificationFooter"/>
      <w:tabs>
        <w:tab w:val="left" w:pos="3261"/>
      </w:tabs>
    </w:pPr>
    <w:fldSimple w:instr=" DOCPROPERTY SecurityClassification \* MERGEFORMAT ">
      <w:r>
        <w:t>PROTECTED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739030"/>
      <w:docPartObj>
        <w:docPartGallery w:val="Page Numbers (Bottom of Page)"/>
        <w:docPartUnique/>
      </w:docPartObj>
    </w:sdtPr>
    <w:sdtEndPr>
      <w:rPr>
        <w:noProof/>
      </w:rPr>
    </w:sdtEndPr>
    <w:sdtContent>
      <w:p w:rsidR="00042E4E" w:rsidRDefault="00042E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D4A" w:rsidRDefault="00874D4A" w:rsidP="0056138D">
    <w:pPr>
      <w:pStyle w:val="SecurityClassificationFooter"/>
    </w:pPr>
    <w:fldSimple w:instr=" DOCPROPERTY SecurityClassification \* MERGEFORMAT ">
      <w:r>
        <w:t>PROTECTED</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D4A" w:rsidRDefault="00874D4A" w:rsidP="00106237">
      <w:pPr>
        <w:spacing w:after="0" w:line="240" w:lineRule="auto"/>
      </w:pPr>
      <w:r>
        <w:separator/>
      </w:r>
    </w:p>
  </w:footnote>
  <w:footnote w:type="continuationSeparator" w:id="0">
    <w:p w:rsidR="00874D4A" w:rsidRDefault="00874D4A" w:rsidP="00106237">
      <w:pPr>
        <w:spacing w:after="0" w:line="240" w:lineRule="auto"/>
      </w:pPr>
      <w:r>
        <w:continuationSeparator/>
      </w:r>
    </w:p>
  </w:footnote>
  <w:footnote w:type="continuationNotice" w:id="1">
    <w:p w:rsidR="00874D4A" w:rsidRDefault="00874D4A">
      <w:pPr>
        <w:spacing w:after="0" w:line="240" w:lineRule="auto"/>
      </w:pPr>
    </w:p>
  </w:footnote>
  <w:footnote w:id="2">
    <w:p w:rsidR="00874D4A" w:rsidRDefault="00874D4A" w:rsidP="00CF4A78">
      <w:pPr>
        <w:pStyle w:val="FootnoteText"/>
        <w:spacing w:before="0"/>
      </w:pPr>
      <w:r>
        <w:rPr>
          <w:rStyle w:val="FootnoteReference"/>
        </w:rPr>
        <w:footnoteRef/>
      </w:r>
      <w:r>
        <w:t xml:space="preserve"> ARENA and CEFC: Biofuels and Transport: An Australian Opportunity</w:t>
      </w:r>
    </w:p>
  </w:footnote>
  <w:footnote w:id="3">
    <w:p w:rsidR="00874D4A" w:rsidRDefault="00874D4A" w:rsidP="00CF4A78">
      <w:pPr>
        <w:pStyle w:val="FootnoteText"/>
        <w:spacing w:before="0"/>
      </w:pPr>
      <w:r>
        <w:rPr>
          <w:rStyle w:val="FootnoteReference"/>
        </w:rPr>
        <w:footnoteRef/>
      </w:r>
      <w:r>
        <w:t xml:space="preserve"> 68 Mt CO2-e totalled from: Transport sector (articulated trucks, rigid trucks, rail, domestic aviation and maritime) and stationery energy (mining, agriculture, forestry and fishing, petroleum refining and construction). Source: DCCEEW Australia’s emissions projections 2023: </w:t>
      </w:r>
      <w:hyperlink r:id="rId1" w:history="1">
        <w:r>
          <w:rPr>
            <w:rStyle w:val="Hyperlink"/>
            <w:rFonts w:eastAsiaTheme="majorEastAsia"/>
          </w:rPr>
          <w:t>Australia’s emissions projections 2023 - DCCEEW</w:t>
        </w:r>
      </w:hyperlink>
    </w:p>
  </w:footnote>
  <w:footnote w:id="4">
    <w:p w:rsidR="00874D4A" w:rsidRDefault="00874D4A" w:rsidP="00CD0C87">
      <w:pPr>
        <w:spacing w:after="0"/>
      </w:pPr>
      <w:r>
        <w:rPr>
          <w:rStyle w:val="FootnoteReference"/>
        </w:rPr>
        <w:footnoteRef/>
      </w:r>
      <w:r>
        <w:t xml:space="preserve"> </w:t>
      </w:r>
      <w:r w:rsidRPr="000C0E84">
        <w:rPr>
          <w:rFonts w:ascii="Calibri Light" w:eastAsia="Times New Roman" w:hAnsi="Calibri Light" w:cs="Times New Roman"/>
          <w:sz w:val="20"/>
          <w:szCs w:val="20"/>
          <w:lang w:eastAsia="en-AU"/>
        </w:rPr>
        <w:t>CSIRO (2023) Sustainable Aviation Fuel Roadmap</w:t>
      </w:r>
    </w:p>
  </w:footnote>
  <w:footnote w:id="5">
    <w:p w:rsidR="00874D4A" w:rsidRDefault="00874D4A" w:rsidP="00CD0C87">
      <w:pPr>
        <w:pStyle w:val="FootnoteText"/>
        <w:spacing w:before="0"/>
      </w:pPr>
      <w:r>
        <w:rPr>
          <w:rStyle w:val="FootnoteReference"/>
        </w:rPr>
        <w:footnoteRef/>
      </w:r>
      <w:r>
        <w:t xml:space="preserve"> BloombergNEF (2023) Airline SAF procurement agreement data</w:t>
      </w:r>
    </w:p>
  </w:footnote>
  <w:footnote w:id="6">
    <w:p w:rsidR="00874D4A" w:rsidRDefault="00874D4A" w:rsidP="00CD0C87">
      <w:pPr>
        <w:pStyle w:val="FootnoteText"/>
        <w:spacing w:before="0"/>
      </w:pPr>
      <w:r>
        <w:rPr>
          <w:rStyle w:val="FootnoteReference"/>
        </w:rPr>
        <w:footnoteRef/>
      </w:r>
      <w:r>
        <w:t xml:space="preserve"> BloombergNEF (2024) Global Renewable Fuel Projects Tracker (1.2.5)</w:t>
      </w:r>
    </w:p>
  </w:footnote>
  <w:footnote w:id="7">
    <w:p w:rsidR="00874D4A" w:rsidRDefault="00874D4A" w:rsidP="00CF4A78">
      <w:pPr>
        <w:pStyle w:val="FootnoteText"/>
        <w:spacing w:before="0"/>
      </w:pPr>
      <w:r>
        <w:rPr>
          <w:rStyle w:val="FootnoteReference"/>
        </w:rPr>
        <w:footnoteRef/>
      </w:r>
      <w:r>
        <w:t xml:space="preserve"> BloombergNEF (2023) Global Renewable Fuel Projects Tracker (1.2.5)</w:t>
      </w:r>
    </w:p>
  </w:footnote>
  <w:footnote w:id="8">
    <w:p w:rsidR="00874D4A" w:rsidRDefault="00874D4A" w:rsidP="00CD0C87">
      <w:pPr>
        <w:pStyle w:val="FootnoteText"/>
        <w:spacing w:before="0"/>
      </w:pPr>
      <w:r>
        <w:rPr>
          <w:rStyle w:val="FootnoteReference"/>
        </w:rPr>
        <w:footnoteRef/>
      </w:r>
      <w:r>
        <w:t xml:space="preserve"> BloombergNEF (2024) Global Renewable Fuel Projects Tracker (1.2.5)</w:t>
      </w:r>
    </w:p>
  </w:footnote>
  <w:footnote w:id="9">
    <w:p w:rsidR="00874D4A" w:rsidRDefault="00874D4A" w:rsidP="00CD0C87">
      <w:pPr>
        <w:pStyle w:val="FootnoteText"/>
        <w:spacing w:before="0"/>
      </w:pPr>
      <w:r>
        <w:rPr>
          <w:rStyle w:val="FootnoteReference"/>
        </w:rPr>
        <w:footnoteRef/>
      </w:r>
      <w:r>
        <w:t xml:space="preserve"> International Energy Agency (2022) World Energy Outlook</w:t>
      </w:r>
    </w:p>
  </w:footnote>
  <w:footnote w:id="10">
    <w:p w:rsidR="00874D4A" w:rsidRDefault="00874D4A" w:rsidP="00CD0C87">
      <w:pPr>
        <w:pStyle w:val="FootnoteText"/>
        <w:spacing w:before="0"/>
      </w:pPr>
      <w:r>
        <w:rPr>
          <w:rStyle w:val="FootnoteReference"/>
        </w:rPr>
        <w:footnoteRef/>
      </w:r>
      <w:r>
        <w:t xml:space="preserve"> International Energy Agency (2022) Renewables</w:t>
      </w:r>
    </w:p>
  </w:footnote>
  <w:footnote w:id="11">
    <w:p w:rsidR="00874D4A" w:rsidRDefault="00874D4A" w:rsidP="00CD0C87">
      <w:pPr>
        <w:pStyle w:val="FootnoteText"/>
        <w:spacing w:before="0"/>
      </w:pPr>
      <w:r>
        <w:rPr>
          <w:rStyle w:val="FootnoteReference"/>
        </w:rPr>
        <w:footnoteRef/>
      </w:r>
      <w:r>
        <w:t xml:space="preserve"> </w:t>
      </w:r>
      <w:r w:rsidRPr="000C0E84">
        <w:t>CSIRO (2023) Sustainable Aviation Fuel Roadmap</w:t>
      </w:r>
    </w:p>
  </w:footnote>
  <w:footnote w:id="12">
    <w:p w:rsidR="00874D4A" w:rsidRDefault="00874D4A" w:rsidP="00CF4A78">
      <w:pPr>
        <w:pStyle w:val="FootnoteText"/>
        <w:spacing w:before="0"/>
      </w:pPr>
      <w:r>
        <w:rPr>
          <w:rStyle w:val="FootnoteReference"/>
        </w:rPr>
        <w:footnoteRef/>
      </w:r>
      <w:r>
        <w:t xml:space="preserve"> Australian Competition and Consumer Commission (2018) Report on the Australian petroleum market</w:t>
      </w:r>
    </w:p>
  </w:footnote>
  <w:footnote w:id="13">
    <w:p w:rsidR="00874D4A" w:rsidRDefault="00874D4A" w:rsidP="00CF4A78">
      <w:pPr>
        <w:pStyle w:val="FootnoteText"/>
        <w:spacing w:before="0"/>
      </w:pPr>
      <w:r>
        <w:rPr>
          <w:rStyle w:val="FootnoteReference"/>
        </w:rPr>
        <w:footnoteRef/>
      </w:r>
      <w:r>
        <w:t xml:space="preserve"> Department of Primary Industries and Regional Development (2023) Renewable Diesel Factsheet</w:t>
      </w:r>
    </w:p>
  </w:footnote>
  <w:footnote w:id="14">
    <w:p w:rsidR="00874D4A" w:rsidRDefault="00874D4A" w:rsidP="00DE7345">
      <w:pPr>
        <w:pStyle w:val="FootnoteText"/>
        <w:spacing w:before="0"/>
      </w:pPr>
      <w:r>
        <w:rPr>
          <w:rStyle w:val="FootnoteReference"/>
        </w:rPr>
        <w:footnoteRef/>
      </w:r>
      <w:r>
        <w:t xml:space="preserve"> </w:t>
      </w:r>
      <w:r w:rsidRPr="000C0E84">
        <w:t>CSIRO (2023) Sustainable Aviation Fuel Roadmap</w:t>
      </w:r>
    </w:p>
  </w:footnote>
  <w:footnote w:id="15">
    <w:p w:rsidR="00874D4A" w:rsidRDefault="00874D4A" w:rsidP="00DE7345">
      <w:pPr>
        <w:pStyle w:val="FootnoteText"/>
        <w:spacing w:before="0"/>
      </w:pPr>
      <w:r>
        <w:rPr>
          <w:rStyle w:val="FootnoteReference"/>
        </w:rPr>
        <w:footnoteRef/>
      </w:r>
      <w:r>
        <w:t xml:space="preserve"> </w:t>
      </w:r>
      <w:r w:rsidRPr="000C0E84">
        <w:t>CSIRO (2023) Sustainable Aviation Fuel Roadmap</w:t>
      </w:r>
    </w:p>
  </w:footnote>
  <w:footnote w:id="16">
    <w:p w:rsidR="00874D4A" w:rsidRDefault="00874D4A" w:rsidP="00CF4A78">
      <w:pPr>
        <w:pStyle w:val="FootnoteText"/>
        <w:spacing w:before="0"/>
      </w:pPr>
      <w:r>
        <w:rPr>
          <w:rStyle w:val="FootnoteReference"/>
        </w:rPr>
        <w:footnoteRef/>
      </w:r>
      <w:r>
        <w:t xml:space="preserve"> For example, some analysis has suggested Australia could be a lower cost producer using the hydroprocessed esters and fatty acids pathway (compared with US, Brazil, EU and Singapore), Fischer Tropsch pathway (when compared with Canada, Brazil, EU, Singapore, US and Spain) and Power to Liquid pathway (when compared with the EU, Singapore and UK). </w:t>
      </w:r>
    </w:p>
  </w:footnote>
  <w:footnote w:id="17">
    <w:p w:rsidR="00874D4A" w:rsidRDefault="00874D4A" w:rsidP="00CF4A78">
      <w:pPr>
        <w:pStyle w:val="FootnoteText"/>
        <w:spacing w:before="0"/>
      </w:pPr>
      <w:r>
        <w:rPr>
          <w:rStyle w:val="FootnoteReference"/>
        </w:rPr>
        <w:footnoteRef/>
      </w:r>
      <w:r>
        <w:t xml:space="preserve"> Australian Petroleum Statistics – Data Extract February 2024</w:t>
      </w:r>
    </w:p>
  </w:footnote>
  <w:footnote w:id="18">
    <w:p w:rsidR="00874D4A" w:rsidRDefault="00874D4A" w:rsidP="00CF4A78">
      <w:pPr>
        <w:pStyle w:val="FootnoteText"/>
        <w:spacing w:before="0"/>
      </w:pPr>
      <w:r>
        <w:rPr>
          <w:rStyle w:val="FootnoteReference"/>
        </w:rPr>
        <w:footnoteRef/>
      </w:r>
      <w:r>
        <w:t xml:space="preserve"> International Civil Aviation Organization (2022), CORSIA Sustainability Criteria for CORSIA Eligible Fuels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D4A" w:rsidRDefault="00874D4A" w:rsidP="0056138D">
    <w:pPr>
      <w:pStyle w:val="SecurityClassificationHeader"/>
    </w:pPr>
    <w:fldSimple w:instr=" DOCPROPERTY SecurityClassification \* MERGEFORMAT "/>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218" w:rsidRDefault="006E4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D4A" w:rsidRDefault="00874D4A" w:rsidP="0056138D">
    <w:pPr>
      <w:pStyle w:val="SecurityClassificationHeader"/>
    </w:pPr>
    <w:fldSimple w:instr=" DOCPROPERTY SecurityClassification \* MERGEFORMAT ">
      <w:r>
        <w:t>PROTECTED</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1001"/>
    <w:multiLevelType w:val="hybridMultilevel"/>
    <w:tmpl w:val="F0D6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329CA"/>
    <w:multiLevelType w:val="multilevel"/>
    <w:tmpl w:val="C8B8BD98"/>
    <w:lvl w:ilvl="0">
      <w:start w:val="1"/>
      <w:numFmt w:val="bullet"/>
      <w:lvlText w:val="•"/>
      <w:lvlJc w:val="left"/>
      <w:pPr>
        <w:tabs>
          <w:tab w:val="num" w:pos="567"/>
        </w:tabs>
        <w:ind w:left="567" w:hanging="567"/>
      </w:pPr>
      <w:rPr>
        <w:rFonts w:ascii="Times New Roman" w:hAnsi="Times New Roman" w:cs="Times New Roman"/>
        <w:color w:val="auto"/>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8619EC"/>
    <w:multiLevelType w:val="hybridMultilevel"/>
    <w:tmpl w:val="A71C6038"/>
    <w:lvl w:ilvl="0" w:tplc="0C090001">
      <w:start w:val="1"/>
      <w:numFmt w:val="bullet"/>
      <w:lvlText w:val=""/>
      <w:lvlJc w:val="left"/>
      <w:pPr>
        <w:ind w:left="720" w:hanging="360"/>
      </w:pPr>
      <w:rPr>
        <w:rFonts w:ascii="Symbol" w:hAnsi="Symbol" w:hint="default"/>
      </w:rPr>
    </w:lvl>
    <w:lvl w:ilvl="1" w:tplc="C7D24982">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33847"/>
    <w:multiLevelType w:val="hybridMultilevel"/>
    <w:tmpl w:val="884A0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A4C60"/>
    <w:multiLevelType w:val="hybridMultilevel"/>
    <w:tmpl w:val="4670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A14023"/>
    <w:multiLevelType w:val="hybridMultilevel"/>
    <w:tmpl w:val="9F423186"/>
    <w:lvl w:ilvl="0" w:tplc="0C090001">
      <w:start w:val="1"/>
      <w:numFmt w:val="bullet"/>
      <w:lvlText w:val=""/>
      <w:lvlJc w:val="left"/>
      <w:pPr>
        <w:ind w:left="720" w:hanging="360"/>
      </w:pPr>
      <w:rPr>
        <w:rFonts w:ascii="Symbol" w:hAnsi="Symbo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E7639"/>
    <w:multiLevelType w:val="hybridMultilevel"/>
    <w:tmpl w:val="7AA22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DB6C42"/>
    <w:multiLevelType w:val="hybridMultilevel"/>
    <w:tmpl w:val="E556BC6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419D5F25"/>
    <w:multiLevelType w:val="multilevel"/>
    <w:tmpl w:val="7F041B1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BF0297"/>
    <w:multiLevelType w:val="hybridMultilevel"/>
    <w:tmpl w:val="1674BAF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4F566841"/>
    <w:multiLevelType w:val="hybridMultilevel"/>
    <w:tmpl w:val="C84ED7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243B8"/>
    <w:multiLevelType w:val="hybridMultilevel"/>
    <w:tmpl w:val="D83E3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E7485E"/>
    <w:multiLevelType w:val="multilevel"/>
    <w:tmpl w:val="286C3F1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A02E46"/>
    <w:multiLevelType w:val="hybridMultilevel"/>
    <w:tmpl w:val="A254E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253F41"/>
    <w:multiLevelType w:val="hybridMultilevel"/>
    <w:tmpl w:val="E1C4B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9E43A3"/>
    <w:multiLevelType w:val="hybridMultilevel"/>
    <w:tmpl w:val="0C06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1"/>
  </w:num>
  <w:num w:numId="6">
    <w:abstractNumId w:val="14"/>
  </w:num>
  <w:num w:numId="7">
    <w:abstractNumId w:val="4"/>
  </w:num>
  <w:num w:numId="8">
    <w:abstractNumId w:val="0"/>
  </w:num>
  <w:num w:numId="9">
    <w:abstractNumId w:val="6"/>
  </w:num>
  <w:num w:numId="10">
    <w:abstractNumId w:val="13"/>
  </w:num>
  <w:num w:numId="11">
    <w:abstractNumId w:val="2"/>
  </w:num>
  <w:num w:numId="12">
    <w:abstractNumId w:val="7"/>
  </w:num>
  <w:num w:numId="13">
    <w:abstractNumId w:val="9"/>
  </w:num>
  <w:num w:numId="14">
    <w:abstractNumId w:val="5"/>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229DA79A"/>
    <w:rsid w:val="0000091E"/>
    <w:rsid w:val="0000168F"/>
    <w:rsid w:val="00001B34"/>
    <w:rsid w:val="000033AF"/>
    <w:rsid w:val="00004B54"/>
    <w:rsid w:val="00004D51"/>
    <w:rsid w:val="00005E90"/>
    <w:rsid w:val="0000626C"/>
    <w:rsid w:val="00006494"/>
    <w:rsid w:val="0000719D"/>
    <w:rsid w:val="000076E0"/>
    <w:rsid w:val="0001058A"/>
    <w:rsid w:val="00010598"/>
    <w:rsid w:val="0001130C"/>
    <w:rsid w:val="000113D7"/>
    <w:rsid w:val="00012130"/>
    <w:rsid w:val="0001305A"/>
    <w:rsid w:val="00013730"/>
    <w:rsid w:val="00013C4F"/>
    <w:rsid w:val="00013D39"/>
    <w:rsid w:val="00013E4F"/>
    <w:rsid w:val="0001670B"/>
    <w:rsid w:val="0001782D"/>
    <w:rsid w:val="00020103"/>
    <w:rsid w:val="000201D6"/>
    <w:rsid w:val="00021238"/>
    <w:rsid w:val="00021E2D"/>
    <w:rsid w:val="00022590"/>
    <w:rsid w:val="00022F76"/>
    <w:rsid w:val="0002462B"/>
    <w:rsid w:val="00024F72"/>
    <w:rsid w:val="00027665"/>
    <w:rsid w:val="00030B5E"/>
    <w:rsid w:val="00032757"/>
    <w:rsid w:val="0003700B"/>
    <w:rsid w:val="000370C5"/>
    <w:rsid w:val="000379A1"/>
    <w:rsid w:val="00042540"/>
    <w:rsid w:val="00042A50"/>
    <w:rsid w:val="00042E4E"/>
    <w:rsid w:val="00045B7A"/>
    <w:rsid w:val="00046724"/>
    <w:rsid w:val="00047796"/>
    <w:rsid w:val="00047836"/>
    <w:rsid w:val="00047B14"/>
    <w:rsid w:val="000505BF"/>
    <w:rsid w:val="0005236E"/>
    <w:rsid w:val="00053355"/>
    <w:rsid w:val="00053692"/>
    <w:rsid w:val="0005440F"/>
    <w:rsid w:val="00054537"/>
    <w:rsid w:val="000550A6"/>
    <w:rsid w:val="000576E3"/>
    <w:rsid w:val="00062134"/>
    <w:rsid w:val="00065DD9"/>
    <w:rsid w:val="00066177"/>
    <w:rsid w:val="00066A11"/>
    <w:rsid w:val="00066B00"/>
    <w:rsid w:val="00066D2D"/>
    <w:rsid w:val="000677BF"/>
    <w:rsid w:val="00071BDB"/>
    <w:rsid w:val="00071F2E"/>
    <w:rsid w:val="0007445F"/>
    <w:rsid w:val="0007577F"/>
    <w:rsid w:val="00076346"/>
    <w:rsid w:val="00077B4D"/>
    <w:rsid w:val="000806B4"/>
    <w:rsid w:val="00080ABC"/>
    <w:rsid w:val="00081175"/>
    <w:rsid w:val="0008141A"/>
    <w:rsid w:val="00081C0B"/>
    <w:rsid w:val="00081CAC"/>
    <w:rsid w:val="0008210C"/>
    <w:rsid w:val="00082A48"/>
    <w:rsid w:val="000833D6"/>
    <w:rsid w:val="000851F8"/>
    <w:rsid w:val="000853AE"/>
    <w:rsid w:val="00085C88"/>
    <w:rsid w:val="0008642F"/>
    <w:rsid w:val="0009024B"/>
    <w:rsid w:val="00092F10"/>
    <w:rsid w:val="000930B1"/>
    <w:rsid w:val="00093F5F"/>
    <w:rsid w:val="0009408D"/>
    <w:rsid w:val="00095D66"/>
    <w:rsid w:val="00096563"/>
    <w:rsid w:val="00096C26"/>
    <w:rsid w:val="0009737F"/>
    <w:rsid w:val="000A08D6"/>
    <w:rsid w:val="000A1484"/>
    <w:rsid w:val="000A175E"/>
    <w:rsid w:val="000A2040"/>
    <w:rsid w:val="000A41AB"/>
    <w:rsid w:val="000A42F1"/>
    <w:rsid w:val="000A5577"/>
    <w:rsid w:val="000A598E"/>
    <w:rsid w:val="000A7DA8"/>
    <w:rsid w:val="000B002A"/>
    <w:rsid w:val="000B0392"/>
    <w:rsid w:val="000B03D1"/>
    <w:rsid w:val="000B1D24"/>
    <w:rsid w:val="000B1D46"/>
    <w:rsid w:val="000B20A0"/>
    <w:rsid w:val="000B2B62"/>
    <w:rsid w:val="000B366B"/>
    <w:rsid w:val="000B6068"/>
    <w:rsid w:val="000B60BE"/>
    <w:rsid w:val="000B6A15"/>
    <w:rsid w:val="000C04C6"/>
    <w:rsid w:val="000C0E84"/>
    <w:rsid w:val="000C38E9"/>
    <w:rsid w:val="000C3A25"/>
    <w:rsid w:val="000C67A7"/>
    <w:rsid w:val="000D2A87"/>
    <w:rsid w:val="000D452C"/>
    <w:rsid w:val="000D7A69"/>
    <w:rsid w:val="000D7B72"/>
    <w:rsid w:val="000E0382"/>
    <w:rsid w:val="000E1626"/>
    <w:rsid w:val="000E2050"/>
    <w:rsid w:val="000E2640"/>
    <w:rsid w:val="000E29DC"/>
    <w:rsid w:val="000E488C"/>
    <w:rsid w:val="000E5112"/>
    <w:rsid w:val="000E5737"/>
    <w:rsid w:val="000E60C2"/>
    <w:rsid w:val="000E71BF"/>
    <w:rsid w:val="000E7820"/>
    <w:rsid w:val="000F0AAA"/>
    <w:rsid w:val="000F19CC"/>
    <w:rsid w:val="000F2552"/>
    <w:rsid w:val="000F2C52"/>
    <w:rsid w:val="000F336C"/>
    <w:rsid w:val="000F4CB9"/>
    <w:rsid w:val="000F5541"/>
    <w:rsid w:val="000F763A"/>
    <w:rsid w:val="000F76F5"/>
    <w:rsid w:val="0010074D"/>
    <w:rsid w:val="00101565"/>
    <w:rsid w:val="00103345"/>
    <w:rsid w:val="0010357A"/>
    <w:rsid w:val="0010466C"/>
    <w:rsid w:val="001053B0"/>
    <w:rsid w:val="001059EE"/>
    <w:rsid w:val="00105B54"/>
    <w:rsid w:val="00105EC7"/>
    <w:rsid w:val="00106237"/>
    <w:rsid w:val="00106B57"/>
    <w:rsid w:val="001075A1"/>
    <w:rsid w:val="00107FDC"/>
    <w:rsid w:val="001100F9"/>
    <w:rsid w:val="00113320"/>
    <w:rsid w:val="00115D35"/>
    <w:rsid w:val="001161A5"/>
    <w:rsid w:val="001170DB"/>
    <w:rsid w:val="001176C0"/>
    <w:rsid w:val="00120336"/>
    <w:rsid w:val="00120426"/>
    <w:rsid w:val="00121EC7"/>
    <w:rsid w:val="001221FD"/>
    <w:rsid w:val="00124EE9"/>
    <w:rsid w:val="00126E85"/>
    <w:rsid w:val="0012751E"/>
    <w:rsid w:val="00130486"/>
    <w:rsid w:val="00132F9F"/>
    <w:rsid w:val="001336F3"/>
    <w:rsid w:val="00134576"/>
    <w:rsid w:val="00135292"/>
    <w:rsid w:val="001356C2"/>
    <w:rsid w:val="0013798E"/>
    <w:rsid w:val="00140BD2"/>
    <w:rsid w:val="00140E85"/>
    <w:rsid w:val="00141AB6"/>
    <w:rsid w:val="00143F10"/>
    <w:rsid w:val="00146D24"/>
    <w:rsid w:val="001472FA"/>
    <w:rsid w:val="00147792"/>
    <w:rsid w:val="001479D4"/>
    <w:rsid w:val="0015062F"/>
    <w:rsid w:val="001517CD"/>
    <w:rsid w:val="00152F57"/>
    <w:rsid w:val="001536AA"/>
    <w:rsid w:val="0015441B"/>
    <w:rsid w:val="001545D8"/>
    <w:rsid w:val="00154ECA"/>
    <w:rsid w:val="001612D8"/>
    <w:rsid w:val="00162022"/>
    <w:rsid w:val="00163CA6"/>
    <w:rsid w:val="001643D3"/>
    <w:rsid w:val="0016559F"/>
    <w:rsid w:val="00165EF2"/>
    <w:rsid w:val="0016649F"/>
    <w:rsid w:val="00167054"/>
    <w:rsid w:val="001673F6"/>
    <w:rsid w:val="00167AAA"/>
    <w:rsid w:val="00167C13"/>
    <w:rsid w:val="00170F29"/>
    <w:rsid w:val="001720D9"/>
    <w:rsid w:val="0017335D"/>
    <w:rsid w:val="00175124"/>
    <w:rsid w:val="001778E9"/>
    <w:rsid w:val="00177AC1"/>
    <w:rsid w:val="0018086B"/>
    <w:rsid w:val="00180C11"/>
    <w:rsid w:val="00181559"/>
    <w:rsid w:val="001817F4"/>
    <w:rsid w:val="00181BDF"/>
    <w:rsid w:val="001823BA"/>
    <w:rsid w:val="00182C7F"/>
    <w:rsid w:val="001853EB"/>
    <w:rsid w:val="00186A91"/>
    <w:rsid w:val="00190A65"/>
    <w:rsid w:val="00190F4A"/>
    <w:rsid w:val="001919FD"/>
    <w:rsid w:val="0019219F"/>
    <w:rsid w:val="0019380E"/>
    <w:rsid w:val="00193D14"/>
    <w:rsid w:val="0019616D"/>
    <w:rsid w:val="00197BBB"/>
    <w:rsid w:val="001A1144"/>
    <w:rsid w:val="001A3A1C"/>
    <w:rsid w:val="001A3DC1"/>
    <w:rsid w:val="001A3DF1"/>
    <w:rsid w:val="001A5216"/>
    <w:rsid w:val="001A7185"/>
    <w:rsid w:val="001A7A5C"/>
    <w:rsid w:val="001A7D5B"/>
    <w:rsid w:val="001B0E88"/>
    <w:rsid w:val="001B1250"/>
    <w:rsid w:val="001B1393"/>
    <w:rsid w:val="001B1A9F"/>
    <w:rsid w:val="001B320D"/>
    <w:rsid w:val="001B3230"/>
    <w:rsid w:val="001B36C6"/>
    <w:rsid w:val="001B3CDA"/>
    <w:rsid w:val="001B443D"/>
    <w:rsid w:val="001B6223"/>
    <w:rsid w:val="001B6246"/>
    <w:rsid w:val="001B655C"/>
    <w:rsid w:val="001B6651"/>
    <w:rsid w:val="001B7A68"/>
    <w:rsid w:val="001C1905"/>
    <w:rsid w:val="001C31E5"/>
    <w:rsid w:val="001C38DC"/>
    <w:rsid w:val="001C44BD"/>
    <w:rsid w:val="001C4821"/>
    <w:rsid w:val="001C6B7A"/>
    <w:rsid w:val="001C6FD3"/>
    <w:rsid w:val="001C75D1"/>
    <w:rsid w:val="001D0159"/>
    <w:rsid w:val="001D1556"/>
    <w:rsid w:val="001D35C1"/>
    <w:rsid w:val="001D4122"/>
    <w:rsid w:val="001D5626"/>
    <w:rsid w:val="001D63A6"/>
    <w:rsid w:val="001D658D"/>
    <w:rsid w:val="001D76DF"/>
    <w:rsid w:val="001D78A5"/>
    <w:rsid w:val="001E7CDA"/>
    <w:rsid w:val="001E7D48"/>
    <w:rsid w:val="001F2D3D"/>
    <w:rsid w:val="001F3C00"/>
    <w:rsid w:val="001F5227"/>
    <w:rsid w:val="001F57B3"/>
    <w:rsid w:val="001F6886"/>
    <w:rsid w:val="001F78DA"/>
    <w:rsid w:val="001F7C08"/>
    <w:rsid w:val="0020070F"/>
    <w:rsid w:val="00201A20"/>
    <w:rsid w:val="00203237"/>
    <w:rsid w:val="00207920"/>
    <w:rsid w:val="00207DA2"/>
    <w:rsid w:val="00210349"/>
    <w:rsid w:val="00213BFF"/>
    <w:rsid w:val="00213C29"/>
    <w:rsid w:val="0021437D"/>
    <w:rsid w:val="00215551"/>
    <w:rsid w:val="0021798C"/>
    <w:rsid w:val="0022198D"/>
    <w:rsid w:val="00222251"/>
    <w:rsid w:val="00223D12"/>
    <w:rsid w:val="00223F76"/>
    <w:rsid w:val="002252E9"/>
    <w:rsid w:val="002258A3"/>
    <w:rsid w:val="00227EB0"/>
    <w:rsid w:val="00230348"/>
    <w:rsid w:val="0023074A"/>
    <w:rsid w:val="00231C94"/>
    <w:rsid w:val="00231D6C"/>
    <w:rsid w:val="002325D2"/>
    <w:rsid w:val="00233E07"/>
    <w:rsid w:val="0023433B"/>
    <w:rsid w:val="0023524C"/>
    <w:rsid w:val="00237471"/>
    <w:rsid w:val="002412DA"/>
    <w:rsid w:val="0024180D"/>
    <w:rsid w:val="00242C66"/>
    <w:rsid w:val="00242F9C"/>
    <w:rsid w:val="002465DF"/>
    <w:rsid w:val="0024711B"/>
    <w:rsid w:val="00247DE3"/>
    <w:rsid w:val="00250DD0"/>
    <w:rsid w:val="00251E9B"/>
    <w:rsid w:val="00252EB0"/>
    <w:rsid w:val="00253A19"/>
    <w:rsid w:val="00254653"/>
    <w:rsid w:val="0025514D"/>
    <w:rsid w:val="002551E4"/>
    <w:rsid w:val="00257A6F"/>
    <w:rsid w:val="00257D66"/>
    <w:rsid w:val="002606D6"/>
    <w:rsid w:val="00261D6C"/>
    <w:rsid w:val="00262444"/>
    <w:rsid w:val="002628C5"/>
    <w:rsid w:val="00262997"/>
    <w:rsid w:val="002637EA"/>
    <w:rsid w:val="00265E87"/>
    <w:rsid w:val="0026709C"/>
    <w:rsid w:val="0027080D"/>
    <w:rsid w:val="00270927"/>
    <w:rsid w:val="0027174E"/>
    <w:rsid w:val="00272BF8"/>
    <w:rsid w:val="0027355E"/>
    <w:rsid w:val="00273AAE"/>
    <w:rsid w:val="00275B4A"/>
    <w:rsid w:val="0027731B"/>
    <w:rsid w:val="00280C44"/>
    <w:rsid w:val="00281470"/>
    <w:rsid w:val="00285898"/>
    <w:rsid w:val="002860D6"/>
    <w:rsid w:val="002870F7"/>
    <w:rsid w:val="0029081A"/>
    <w:rsid w:val="0029165B"/>
    <w:rsid w:val="0029207D"/>
    <w:rsid w:val="002928D9"/>
    <w:rsid w:val="002940B5"/>
    <w:rsid w:val="0029686C"/>
    <w:rsid w:val="002970BE"/>
    <w:rsid w:val="002972B1"/>
    <w:rsid w:val="00297613"/>
    <w:rsid w:val="002979FB"/>
    <w:rsid w:val="002A0E26"/>
    <w:rsid w:val="002A17FA"/>
    <w:rsid w:val="002A1C71"/>
    <w:rsid w:val="002A25EA"/>
    <w:rsid w:val="002A2BC4"/>
    <w:rsid w:val="002A3ACE"/>
    <w:rsid w:val="002A5AF5"/>
    <w:rsid w:val="002A61F6"/>
    <w:rsid w:val="002A722A"/>
    <w:rsid w:val="002B076D"/>
    <w:rsid w:val="002B412A"/>
    <w:rsid w:val="002B41B8"/>
    <w:rsid w:val="002B4499"/>
    <w:rsid w:val="002B4618"/>
    <w:rsid w:val="002B558A"/>
    <w:rsid w:val="002B618F"/>
    <w:rsid w:val="002B7BC9"/>
    <w:rsid w:val="002C231C"/>
    <w:rsid w:val="002C584C"/>
    <w:rsid w:val="002D0032"/>
    <w:rsid w:val="002D1B74"/>
    <w:rsid w:val="002D3392"/>
    <w:rsid w:val="002D360F"/>
    <w:rsid w:val="002D4024"/>
    <w:rsid w:val="002D4032"/>
    <w:rsid w:val="002D43A2"/>
    <w:rsid w:val="002D4E03"/>
    <w:rsid w:val="002D50A5"/>
    <w:rsid w:val="002D5987"/>
    <w:rsid w:val="002D69E0"/>
    <w:rsid w:val="002D7F82"/>
    <w:rsid w:val="002E016C"/>
    <w:rsid w:val="002E1EB7"/>
    <w:rsid w:val="002E44F3"/>
    <w:rsid w:val="002E4D0B"/>
    <w:rsid w:val="002E508C"/>
    <w:rsid w:val="002E56B7"/>
    <w:rsid w:val="002E6776"/>
    <w:rsid w:val="002E6AE6"/>
    <w:rsid w:val="002E6CCD"/>
    <w:rsid w:val="002F03B8"/>
    <w:rsid w:val="002F0435"/>
    <w:rsid w:val="002F2611"/>
    <w:rsid w:val="002F2B0F"/>
    <w:rsid w:val="002F3E12"/>
    <w:rsid w:val="002F4C60"/>
    <w:rsid w:val="002F60B7"/>
    <w:rsid w:val="002F6550"/>
    <w:rsid w:val="002F6879"/>
    <w:rsid w:val="002F76D0"/>
    <w:rsid w:val="003004AF"/>
    <w:rsid w:val="003022E7"/>
    <w:rsid w:val="003026CA"/>
    <w:rsid w:val="003037DF"/>
    <w:rsid w:val="00304380"/>
    <w:rsid w:val="00304D5F"/>
    <w:rsid w:val="00305C38"/>
    <w:rsid w:val="00305EE6"/>
    <w:rsid w:val="00307507"/>
    <w:rsid w:val="0030795A"/>
    <w:rsid w:val="00310FEC"/>
    <w:rsid w:val="00311BE0"/>
    <w:rsid w:val="00312FA7"/>
    <w:rsid w:val="00313528"/>
    <w:rsid w:val="00315E7B"/>
    <w:rsid w:val="003171BC"/>
    <w:rsid w:val="00320745"/>
    <w:rsid w:val="003209BD"/>
    <w:rsid w:val="003232F2"/>
    <w:rsid w:val="003240D8"/>
    <w:rsid w:val="003249A4"/>
    <w:rsid w:val="003256F6"/>
    <w:rsid w:val="00330681"/>
    <w:rsid w:val="00330B2E"/>
    <w:rsid w:val="0033113B"/>
    <w:rsid w:val="00333E42"/>
    <w:rsid w:val="00335AC2"/>
    <w:rsid w:val="003378E8"/>
    <w:rsid w:val="003379D3"/>
    <w:rsid w:val="00341619"/>
    <w:rsid w:val="00341B69"/>
    <w:rsid w:val="00342047"/>
    <w:rsid w:val="00342056"/>
    <w:rsid w:val="0034228F"/>
    <w:rsid w:val="003433E1"/>
    <w:rsid w:val="003439A4"/>
    <w:rsid w:val="00343FCA"/>
    <w:rsid w:val="00345478"/>
    <w:rsid w:val="003463D9"/>
    <w:rsid w:val="00346E53"/>
    <w:rsid w:val="0035232B"/>
    <w:rsid w:val="00352FB9"/>
    <w:rsid w:val="0035449F"/>
    <w:rsid w:val="00356CA0"/>
    <w:rsid w:val="00360E68"/>
    <w:rsid w:val="0036114D"/>
    <w:rsid w:val="003633FA"/>
    <w:rsid w:val="00366A75"/>
    <w:rsid w:val="00366C5A"/>
    <w:rsid w:val="00367706"/>
    <w:rsid w:val="0037010F"/>
    <w:rsid w:val="00371383"/>
    <w:rsid w:val="00373CF9"/>
    <w:rsid w:val="003747EB"/>
    <w:rsid w:val="00377D7A"/>
    <w:rsid w:val="003802A3"/>
    <w:rsid w:val="003810B0"/>
    <w:rsid w:val="00381D11"/>
    <w:rsid w:val="00382831"/>
    <w:rsid w:val="00382B9A"/>
    <w:rsid w:val="00382F81"/>
    <w:rsid w:val="003833C9"/>
    <w:rsid w:val="003840F5"/>
    <w:rsid w:val="00384BFB"/>
    <w:rsid w:val="00384CCB"/>
    <w:rsid w:val="0038560D"/>
    <w:rsid w:val="00385C96"/>
    <w:rsid w:val="003862F5"/>
    <w:rsid w:val="00387A71"/>
    <w:rsid w:val="0039082D"/>
    <w:rsid w:val="00390921"/>
    <w:rsid w:val="0039102A"/>
    <w:rsid w:val="0039137F"/>
    <w:rsid w:val="0039173E"/>
    <w:rsid w:val="0039415B"/>
    <w:rsid w:val="003944E3"/>
    <w:rsid w:val="0039473D"/>
    <w:rsid w:val="00397FEC"/>
    <w:rsid w:val="003A0193"/>
    <w:rsid w:val="003A03E0"/>
    <w:rsid w:val="003A2B43"/>
    <w:rsid w:val="003A3373"/>
    <w:rsid w:val="003A33CD"/>
    <w:rsid w:val="003A35AD"/>
    <w:rsid w:val="003A67AE"/>
    <w:rsid w:val="003A74C0"/>
    <w:rsid w:val="003B0186"/>
    <w:rsid w:val="003B0B79"/>
    <w:rsid w:val="003B1653"/>
    <w:rsid w:val="003B3B81"/>
    <w:rsid w:val="003B406A"/>
    <w:rsid w:val="003B421E"/>
    <w:rsid w:val="003B652E"/>
    <w:rsid w:val="003B65A5"/>
    <w:rsid w:val="003B74A3"/>
    <w:rsid w:val="003B7A55"/>
    <w:rsid w:val="003C0A3C"/>
    <w:rsid w:val="003C0BB4"/>
    <w:rsid w:val="003C292A"/>
    <w:rsid w:val="003C4383"/>
    <w:rsid w:val="003C44DB"/>
    <w:rsid w:val="003C6043"/>
    <w:rsid w:val="003C6FFD"/>
    <w:rsid w:val="003D017B"/>
    <w:rsid w:val="003D1E7C"/>
    <w:rsid w:val="003D5196"/>
    <w:rsid w:val="003D66AA"/>
    <w:rsid w:val="003E3154"/>
    <w:rsid w:val="003E400C"/>
    <w:rsid w:val="003E4449"/>
    <w:rsid w:val="003E5068"/>
    <w:rsid w:val="003E5737"/>
    <w:rsid w:val="003E738A"/>
    <w:rsid w:val="003E7897"/>
    <w:rsid w:val="003F247C"/>
    <w:rsid w:val="003F2495"/>
    <w:rsid w:val="003F3B76"/>
    <w:rsid w:val="003F5801"/>
    <w:rsid w:val="003F5D0C"/>
    <w:rsid w:val="003F6114"/>
    <w:rsid w:val="003F64A2"/>
    <w:rsid w:val="003F6E9D"/>
    <w:rsid w:val="003F7FF2"/>
    <w:rsid w:val="00400792"/>
    <w:rsid w:val="00401619"/>
    <w:rsid w:val="00403733"/>
    <w:rsid w:val="00403965"/>
    <w:rsid w:val="0040408F"/>
    <w:rsid w:val="004052A1"/>
    <w:rsid w:val="004053CD"/>
    <w:rsid w:val="004061C3"/>
    <w:rsid w:val="00406B1E"/>
    <w:rsid w:val="00407B7B"/>
    <w:rsid w:val="00410CDB"/>
    <w:rsid w:val="00412808"/>
    <w:rsid w:val="00412F0B"/>
    <w:rsid w:val="00413979"/>
    <w:rsid w:val="00415849"/>
    <w:rsid w:val="004177F2"/>
    <w:rsid w:val="0042159B"/>
    <w:rsid w:val="00421923"/>
    <w:rsid w:val="00423C93"/>
    <w:rsid w:val="0042406B"/>
    <w:rsid w:val="00424DED"/>
    <w:rsid w:val="004335FB"/>
    <w:rsid w:val="00435BB6"/>
    <w:rsid w:val="0043650E"/>
    <w:rsid w:val="004368EB"/>
    <w:rsid w:val="00440498"/>
    <w:rsid w:val="00442426"/>
    <w:rsid w:val="00443FA6"/>
    <w:rsid w:val="004440EA"/>
    <w:rsid w:val="00444A6F"/>
    <w:rsid w:val="00446253"/>
    <w:rsid w:val="004467B2"/>
    <w:rsid w:val="004521AB"/>
    <w:rsid w:val="00452B96"/>
    <w:rsid w:val="004538B5"/>
    <w:rsid w:val="00454721"/>
    <w:rsid w:val="00455D2E"/>
    <w:rsid w:val="0045671F"/>
    <w:rsid w:val="00460913"/>
    <w:rsid w:val="00461803"/>
    <w:rsid w:val="00461B7D"/>
    <w:rsid w:val="00462F2C"/>
    <w:rsid w:val="00463F2B"/>
    <w:rsid w:val="00463FA8"/>
    <w:rsid w:val="00464772"/>
    <w:rsid w:val="0046505A"/>
    <w:rsid w:val="00465E11"/>
    <w:rsid w:val="004660C5"/>
    <w:rsid w:val="00466BED"/>
    <w:rsid w:val="00471265"/>
    <w:rsid w:val="004719A8"/>
    <w:rsid w:val="00472C40"/>
    <w:rsid w:val="004735F7"/>
    <w:rsid w:val="0047369A"/>
    <w:rsid w:val="00473E68"/>
    <w:rsid w:val="004743D5"/>
    <w:rsid w:val="00476153"/>
    <w:rsid w:val="00476EA9"/>
    <w:rsid w:val="004771AA"/>
    <w:rsid w:val="00477BE1"/>
    <w:rsid w:val="004806CA"/>
    <w:rsid w:val="004831F4"/>
    <w:rsid w:val="00483AA6"/>
    <w:rsid w:val="004844B9"/>
    <w:rsid w:val="004853F3"/>
    <w:rsid w:val="00485D1F"/>
    <w:rsid w:val="00485FAA"/>
    <w:rsid w:val="00490A19"/>
    <w:rsid w:val="0049173A"/>
    <w:rsid w:val="00492D23"/>
    <w:rsid w:val="00493104"/>
    <w:rsid w:val="004936F8"/>
    <w:rsid w:val="00493FF7"/>
    <w:rsid w:val="004949AF"/>
    <w:rsid w:val="004A023B"/>
    <w:rsid w:val="004A2338"/>
    <w:rsid w:val="004A3628"/>
    <w:rsid w:val="004A44B5"/>
    <w:rsid w:val="004A45DD"/>
    <w:rsid w:val="004A4948"/>
    <w:rsid w:val="004A638B"/>
    <w:rsid w:val="004A65DE"/>
    <w:rsid w:val="004A696B"/>
    <w:rsid w:val="004A70E4"/>
    <w:rsid w:val="004B068E"/>
    <w:rsid w:val="004B2F98"/>
    <w:rsid w:val="004B4C54"/>
    <w:rsid w:val="004B72B4"/>
    <w:rsid w:val="004C08D7"/>
    <w:rsid w:val="004C127B"/>
    <w:rsid w:val="004C1417"/>
    <w:rsid w:val="004C265E"/>
    <w:rsid w:val="004C454B"/>
    <w:rsid w:val="004C4D5A"/>
    <w:rsid w:val="004C53F6"/>
    <w:rsid w:val="004C764B"/>
    <w:rsid w:val="004D0BA4"/>
    <w:rsid w:val="004D1005"/>
    <w:rsid w:val="004D1547"/>
    <w:rsid w:val="004D18A3"/>
    <w:rsid w:val="004D2EF3"/>
    <w:rsid w:val="004D30A9"/>
    <w:rsid w:val="004D3BC4"/>
    <w:rsid w:val="004D49A3"/>
    <w:rsid w:val="004D5C19"/>
    <w:rsid w:val="004D6C34"/>
    <w:rsid w:val="004D7850"/>
    <w:rsid w:val="004D7FAB"/>
    <w:rsid w:val="004E03AC"/>
    <w:rsid w:val="004E4943"/>
    <w:rsid w:val="004E5D22"/>
    <w:rsid w:val="004E6E33"/>
    <w:rsid w:val="004F20EE"/>
    <w:rsid w:val="004F58D0"/>
    <w:rsid w:val="004F736E"/>
    <w:rsid w:val="00501159"/>
    <w:rsid w:val="00501762"/>
    <w:rsid w:val="00501ABE"/>
    <w:rsid w:val="00501FE3"/>
    <w:rsid w:val="00504B1A"/>
    <w:rsid w:val="00505106"/>
    <w:rsid w:val="005068EB"/>
    <w:rsid w:val="00506D16"/>
    <w:rsid w:val="00510573"/>
    <w:rsid w:val="00510B7A"/>
    <w:rsid w:val="00510CB8"/>
    <w:rsid w:val="0051132D"/>
    <w:rsid w:val="00512993"/>
    <w:rsid w:val="005139C9"/>
    <w:rsid w:val="00514285"/>
    <w:rsid w:val="005149D0"/>
    <w:rsid w:val="0051645D"/>
    <w:rsid w:val="00517918"/>
    <w:rsid w:val="00517BCF"/>
    <w:rsid w:val="00517ED8"/>
    <w:rsid w:val="005202FC"/>
    <w:rsid w:val="00520AE6"/>
    <w:rsid w:val="00520E62"/>
    <w:rsid w:val="00521D97"/>
    <w:rsid w:val="00523288"/>
    <w:rsid w:val="00526903"/>
    <w:rsid w:val="00526C18"/>
    <w:rsid w:val="0052767C"/>
    <w:rsid w:val="00527901"/>
    <w:rsid w:val="00530231"/>
    <w:rsid w:val="00531B5A"/>
    <w:rsid w:val="00532816"/>
    <w:rsid w:val="00537911"/>
    <w:rsid w:val="005409A2"/>
    <w:rsid w:val="00542647"/>
    <w:rsid w:val="005428B6"/>
    <w:rsid w:val="00544D71"/>
    <w:rsid w:val="00546387"/>
    <w:rsid w:val="0054702D"/>
    <w:rsid w:val="00547C61"/>
    <w:rsid w:val="0055040A"/>
    <w:rsid w:val="0055138E"/>
    <w:rsid w:val="00551943"/>
    <w:rsid w:val="00551F84"/>
    <w:rsid w:val="00557505"/>
    <w:rsid w:val="00557CDA"/>
    <w:rsid w:val="00560B89"/>
    <w:rsid w:val="0056138D"/>
    <w:rsid w:val="0056440F"/>
    <w:rsid w:val="005652FE"/>
    <w:rsid w:val="00565C05"/>
    <w:rsid w:val="00572F5A"/>
    <w:rsid w:val="00573CD2"/>
    <w:rsid w:val="00577A11"/>
    <w:rsid w:val="005812B5"/>
    <w:rsid w:val="00581A8D"/>
    <w:rsid w:val="005836A1"/>
    <w:rsid w:val="0058495A"/>
    <w:rsid w:val="00591574"/>
    <w:rsid w:val="005940F7"/>
    <w:rsid w:val="00596264"/>
    <w:rsid w:val="00596E95"/>
    <w:rsid w:val="005971D4"/>
    <w:rsid w:val="005A04B8"/>
    <w:rsid w:val="005A2357"/>
    <w:rsid w:val="005A520A"/>
    <w:rsid w:val="005A55C2"/>
    <w:rsid w:val="005A5627"/>
    <w:rsid w:val="005A5C49"/>
    <w:rsid w:val="005A5CD2"/>
    <w:rsid w:val="005A7500"/>
    <w:rsid w:val="005B0498"/>
    <w:rsid w:val="005B07F9"/>
    <w:rsid w:val="005B098B"/>
    <w:rsid w:val="005B0F84"/>
    <w:rsid w:val="005B1D62"/>
    <w:rsid w:val="005B1FB2"/>
    <w:rsid w:val="005B361D"/>
    <w:rsid w:val="005B3861"/>
    <w:rsid w:val="005B3E01"/>
    <w:rsid w:val="005B4864"/>
    <w:rsid w:val="005B53AF"/>
    <w:rsid w:val="005B6D05"/>
    <w:rsid w:val="005C0154"/>
    <w:rsid w:val="005C1035"/>
    <w:rsid w:val="005C3145"/>
    <w:rsid w:val="005C3FAB"/>
    <w:rsid w:val="005C456C"/>
    <w:rsid w:val="005C4FB7"/>
    <w:rsid w:val="005C784F"/>
    <w:rsid w:val="005D0EC7"/>
    <w:rsid w:val="005D0EFC"/>
    <w:rsid w:val="005D2871"/>
    <w:rsid w:val="005D2B9A"/>
    <w:rsid w:val="005D303C"/>
    <w:rsid w:val="005D4549"/>
    <w:rsid w:val="005D5BED"/>
    <w:rsid w:val="005D6293"/>
    <w:rsid w:val="005D64B9"/>
    <w:rsid w:val="005D6852"/>
    <w:rsid w:val="005D696E"/>
    <w:rsid w:val="005D6C5C"/>
    <w:rsid w:val="005E01A4"/>
    <w:rsid w:val="005E1036"/>
    <w:rsid w:val="005E2337"/>
    <w:rsid w:val="005E2E12"/>
    <w:rsid w:val="005E4618"/>
    <w:rsid w:val="005E69DD"/>
    <w:rsid w:val="005E6A14"/>
    <w:rsid w:val="005F08C5"/>
    <w:rsid w:val="005F0E81"/>
    <w:rsid w:val="005F0F67"/>
    <w:rsid w:val="005F3ED7"/>
    <w:rsid w:val="005F4F79"/>
    <w:rsid w:val="005F7425"/>
    <w:rsid w:val="005F7853"/>
    <w:rsid w:val="005F796D"/>
    <w:rsid w:val="0060001D"/>
    <w:rsid w:val="0060038D"/>
    <w:rsid w:val="006008A6"/>
    <w:rsid w:val="0060101D"/>
    <w:rsid w:val="00604EB8"/>
    <w:rsid w:val="00607826"/>
    <w:rsid w:val="00611318"/>
    <w:rsid w:val="00612B66"/>
    <w:rsid w:val="00621194"/>
    <w:rsid w:val="00622F64"/>
    <w:rsid w:val="00623792"/>
    <w:rsid w:val="00624902"/>
    <w:rsid w:val="00624C33"/>
    <w:rsid w:val="00630899"/>
    <w:rsid w:val="006329D4"/>
    <w:rsid w:val="00635070"/>
    <w:rsid w:val="006370A4"/>
    <w:rsid w:val="00637B49"/>
    <w:rsid w:val="00642705"/>
    <w:rsid w:val="00643C8D"/>
    <w:rsid w:val="00646253"/>
    <w:rsid w:val="006464AC"/>
    <w:rsid w:val="0064717A"/>
    <w:rsid w:val="00647411"/>
    <w:rsid w:val="0064761D"/>
    <w:rsid w:val="00647B72"/>
    <w:rsid w:val="006502F2"/>
    <w:rsid w:val="00650F1F"/>
    <w:rsid w:val="0065200A"/>
    <w:rsid w:val="00653792"/>
    <w:rsid w:val="00655F40"/>
    <w:rsid w:val="00656353"/>
    <w:rsid w:val="00661603"/>
    <w:rsid w:val="006618A8"/>
    <w:rsid w:val="006637BF"/>
    <w:rsid w:val="00664A80"/>
    <w:rsid w:val="00665E23"/>
    <w:rsid w:val="00666200"/>
    <w:rsid w:val="00666943"/>
    <w:rsid w:val="00667748"/>
    <w:rsid w:val="006679E5"/>
    <w:rsid w:val="00670139"/>
    <w:rsid w:val="00671EC0"/>
    <w:rsid w:val="0067260E"/>
    <w:rsid w:val="00672E09"/>
    <w:rsid w:val="00675923"/>
    <w:rsid w:val="00675B2A"/>
    <w:rsid w:val="00675C87"/>
    <w:rsid w:val="00675D87"/>
    <w:rsid w:val="00675F2A"/>
    <w:rsid w:val="006775BB"/>
    <w:rsid w:val="00680385"/>
    <w:rsid w:val="00680746"/>
    <w:rsid w:val="00681322"/>
    <w:rsid w:val="00681A9B"/>
    <w:rsid w:val="00682113"/>
    <w:rsid w:val="00684834"/>
    <w:rsid w:val="00684A91"/>
    <w:rsid w:val="00684BA3"/>
    <w:rsid w:val="00685F4E"/>
    <w:rsid w:val="00686968"/>
    <w:rsid w:val="00690315"/>
    <w:rsid w:val="00691BA1"/>
    <w:rsid w:val="00692D23"/>
    <w:rsid w:val="00692E51"/>
    <w:rsid w:val="00692EB6"/>
    <w:rsid w:val="00692F1B"/>
    <w:rsid w:val="006939E8"/>
    <w:rsid w:val="00693F26"/>
    <w:rsid w:val="00694965"/>
    <w:rsid w:val="006A0D5A"/>
    <w:rsid w:val="006A0E21"/>
    <w:rsid w:val="006A11A4"/>
    <w:rsid w:val="006A283F"/>
    <w:rsid w:val="006A4388"/>
    <w:rsid w:val="006A6774"/>
    <w:rsid w:val="006A71DA"/>
    <w:rsid w:val="006B0FC2"/>
    <w:rsid w:val="006B1E7A"/>
    <w:rsid w:val="006B29F7"/>
    <w:rsid w:val="006B2BB4"/>
    <w:rsid w:val="006B3CA6"/>
    <w:rsid w:val="006B3F40"/>
    <w:rsid w:val="006B4772"/>
    <w:rsid w:val="006B496B"/>
    <w:rsid w:val="006B4F8D"/>
    <w:rsid w:val="006C1238"/>
    <w:rsid w:val="006C2C47"/>
    <w:rsid w:val="006C36B0"/>
    <w:rsid w:val="006C380E"/>
    <w:rsid w:val="006C3AC1"/>
    <w:rsid w:val="006C42DA"/>
    <w:rsid w:val="006C4F1F"/>
    <w:rsid w:val="006C5564"/>
    <w:rsid w:val="006C6A47"/>
    <w:rsid w:val="006C6BDB"/>
    <w:rsid w:val="006C6D45"/>
    <w:rsid w:val="006C6DA3"/>
    <w:rsid w:val="006D1EEF"/>
    <w:rsid w:val="006D22A0"/>
    <w:rsid w:val="006D2946"/>
    <w:rsid w:val="006D2EB4"/>
    <w:rsid w:val="006E0050"/>
    <w:rsid w:val="006E015F"/>
    <w:rsid w:val="006E03BC"/>
    <w:rsid w:val="006E0887"/>
    <w:rsid w:val="006E1AD5"/>
    <w:rsid w:val="006E2D9A"/>
    <w:rsid w:val="006E2DFC"/>
    <w:rsid w:val="006E4218"/>
    <w:rsid w:val="006E59A2"/>
    <w:rsid w:val="006E6CAF"/>
    <w:rsid w:val="006E7346"/>
    <w:rsid w:val="006F00B9"/>
    <w:rsid w:val="006F0130"/>
    <w:rsid w:val="006F12CD"/>
    <w:rsid w:val="006F18CE"/>
    <w:rsid w:val="006F2548"/>
    <w:rsid w:val="006F41CB"/>
    <w:rsid w:val="006F4F09"/>
    <w:rsid w:val="006F6547"/>
    <w:rsid w:val="006F6AA2"/>
    <w:rsid w:val="006F7337"/>
    <w:rsid w:val="0070185F"/>
    <w:rsid w:val="0070274D"/>
    <w:rsid w:val="007044EC"/>
    <w:rsid w:val="007072B4"/>
    <w:rsid w:val="00711A82"/>
    <w:rsid w:val="00711D9F"/>
    <w:rsid w:val="00711EE1"/>
    <w:rsid w:val="007122A6"/>
    <w:rsid w:val="00713A0C"/>
    <w:rsid w:val="007142CC"/>
    <w:rsid w:val="00716F26"/>
    <w:rsid w:val="0071718D"/>
    <w:rsid w:val="00720194"/>
    <w:rsid w:val="00721591"/>
    <w:rsid w:val="007229E6"/>
    <w:rsid w:val="00722D59"/>
    <w:rsid w:val="0072582E"/>
    <w:rsid w:val="007272B0"/>
    <w:rsid w:val="00730F7F"/>
    <w:rsid w:val="00731675"/>
    <w:rsid w:val="007320C9"/>
    <w:rsid w:val="007334FA"/>
    <w:rsid w:val="00734487"/>
    <w:rsid w:val="00734C41"/>
    <w:rsid w:val="00737E0C"/>
    <w:rsid w:val="0074138E"/>
    <w:rsid w:val="007418CD"/>
    <w:rsid w:val="00741B23"/>
    <w:rsid w:val="00741F3C"/>
    <w:rsid w:val="0074243E"/>
    <w:rsid w:val="007424CC"/>
    <w:rsid w:val="00742FD9"/>
    <w:rsid w:val="0074336C"/>
    <w:rsid w:val="00743751"/>
    <w:rsid w:val="00746854"/>
    <w:rsid w:val="00747E37"/>
    <w:rsid w:val="007517E1"/>
    <w:rsid w:val="00751AAA"/>
    <w:rsid w:val="00751B5F"/>
    <w:rsid w:val="0075255F"/>
    <w:rsid w:val="00752CD4"/>
    <w:rsid w:val="00755FBB"/>
    <w:rsid w:val="0075631F"/>
    <w:rsid w:val="0075763E"/>
    <w:rsid w:val="0076051C"/>
    <w:rsid w:val="0076186C"/>
    <w:rsid w:val="00763688"/>
    <w:rsid w:val="0076494F"/>
    <w:rsid w:val="00764E9B"/>
    <w:rsid w:val="007661D3"/>
    <w:rsid w:val="00766297"/>
    <w:rsid w:val="007678C9"/>
    <w:rsid w:val="00771824"/>
    <w:rsid w:val="00772552"/>
    <w:rsid w:val="00772A47"/>
    <w:rsid w:val="00773BDC"/>
    <w:rsid w:val="00773CDA"/>
    <w:rsid w:val="007751CE"/>
    <w:rsid w:val="00775596"/>
    <w:rsid w:val="00776645"/>
    <w:rsid w:val="00777807"/>
    <w:rsid w:val="00780D49"/>
    <w:rsid w:val="00780E34"/>
    <w:rsid w:val="00780E80"/>
    <w:rsid w:val="00782592"/>
    <w:rsid w:val="007837DA"/>
    <w:rsid w:val="00784BFE"/>
    <w:rsid w:val="0078520E"/>
    <w:rsid w:val="007859D2"/>
    <w:rsid w:val="0078659F"/>
    <w:rsid w:val="00786C70"/>
    <w:rsid w:val="0079252C"/>
    <w:rsid w:val="00792AFA"/>
    <w:rsid w:val="00792C17"/>
    <w:rsid w:val="0079528C"/>
    <w:rsid w:val="00795AD1"/>
    <w:rsid w:val="00795E18"/>
    <w:rsid w:val="007960B8"/>
    <w:rsid w:val="00796BA9"/>
    <w:rsid w:val="007977E9"/>
    <w:rsid w:val="00797ACD"/>
    <w:rsid w:val="007A0088"/>
    <w:rsid w:val="007A050E"/>
    <w:rsid w:val="007A2388"/>
    <w:rsid w:val="007A2397"/>
    <w:rsid w:val="007A3BE0"/>
    <w:rsid w:val="007A40B4"/>
    <w:rsid w:val="007A52A4"/>
    <w:rsid w:val="007A564D"/>
    <w:rsid w:val="007A7400"/>
    <w:rsid w:val="007B132F"/>
    <w:rsid w:val="007B1C0C"/>
    <w:rsid w:val="007B1D07"/>
    <w:rsid w:val="007B2FEF"/>
    <w:rsid w:val="007B3782"/>
    <w:rsid w:val="007B5574"/>
    <w:rsid w:val="007B5A6E"/>
    <w:rsid w:val="007B695B"/>
    <w:rsid w:val="007C25A6"/>
    <w:rsid w:val="007C4158"/>
    <w:rsid w:val="007C4AB1"/>
    <w:rsid w:val="007C50D8"/>
    <w:rsid w:val="007C5FE4"/>
    <w:rsid w:val="007C62BB"/>
    <w:rsid w:val="007C654F"/>
    <w:rsid w:val="007C78E0"/>
    <w:rsid w:val="007C7C66"/>
    <w:rsid w:val="007D1F92"/>
    <w:rsid w:val="007D3832"/>
    <w:rsid w:val="007D3C79"/>
    <w:rsid w:val="007D3D9E"/>
    <w:rsid w:val="007D4906"/>
    <w:rsid w:val="007D6E5A"/>
    <w:rsid w:val="007D7085"/>
    <w:rsid w:val="007E263B"/>
    <w:rsid w:val="007E2BF1"/>
    <w:rsid w:val="007E4A48"/>
    <w:rsid w:val="007E4B0F"/>
    <w:rsid w:val="007E521D"/>
    <w:rsid w:val="007E7461"/>
    <w:rsid w:val="007F0CD9"/>
    <w:rsid w:val="007F1D89"/>
    <w:rsid w:val="007F1E5C"/>
    <w:rsid w:val="007F2B54"/>
    <w:rsid w:val="007F300F"/>
    <w:rsid w:val="007F413D"/>
    <w:rsid w:val="007F4391"/>
    <w:rsid w:val="007F6C10"/>
    <w:rsid w:val="00800A9C"/>
    <w:rsid w:val="00800C1F"/>
    <w:rsid w:val="008022BF"/>
    <w:rsid w:val="008024F0"/>
    <w:rsid w:val="008027FB"/>
    <w:rsid w:val="0080319F"/>
    <w:rsid w:val="0080355C"/>
    <w:rsid w:val="00803967"/>
    <w:rsid w:val="0080630D"/>
    <w:rsid w:val="00806565"/>
    <w:rsid w:val="0080675D"/>
    <w:rsid w:val="008138D3"/>
    <w:rsid w:val="00813C16"/>
    <w:rsid w:val="00816DDF"/>
    <w:rsid w:val="00817518"/>
    <w:rsid w:val="00820491"/>
    <w:rsid w:val="008205B0"/>
    <w:rsid w:val="008209A5"/>
    <w:rsid w:val="008231F1"/>
    <w:rsid w:val="00823877"/>
    <w:rsid w:val="0082434D"/>
    <w:rsid w:val="00825196"/>
    <w:rsid w:val="00826026"/>
    <w:rsid w:val="008264E0"/>
    <w:rsid w:val="00826A09"/>
    <w:rsid w:val="0082749C"/>
    <w:rsid w:val="008279D8"/>
    <w:rsid w:val="00833D63"/>
    <w:rsid w:val="00836416"/>
    <w:rsid w:val="008424D2"/>
    <w:rsid w:val="00844125"/>
    <w:rsid w:val="00844B9F"/>
    <w:rsid w:val="008455A9"/>
    <w:rsid w:val="00850727"/>
    <w:rsid w:val="008539B8"/>
    <w:rsid w:val="008564CF"/>
    <w:rsid w:val="0085765E"/>
    <w:rsid w:val="00860606"/>
    <w:rsid w:val="00860E0B"/>
    <w:rsid w:val="0086166B"/>
    <w:rsid w:val="008616B9"/>
    <w:rsid w:val="00861B47"/>
    <w:rsid w:val="008638A1"/>
    <w:rsid w:val="008653E6"/>
    <w:rsid w:val="00865BF7"/>
    <w:rsid w:val="008664D4"/>
    <w:rsid w:val="0086714F"/>
    <w:rsid w:val="00870B88"/>
    <w:rsid w:val="00871145"/>
    <w:rsid w:val="0087142D"/>
    <w:rsid w:val="0087322E"/>
    <w:rsid w:val="00873543"/>
    <w:rsid w:val="00874D4A"/>
    <w:rsid w:val="00874E0C"/>
    <w:rsid w:val="00875948"/>
    <w:rsid w:val="00876EE6"/>
    <w:rsid w:val="00877E02"/>
    <w:rsid w:val="00881CA1"/>
    <w:rsid w:val="00882B06"/>
    <w:rsid w:val="00882D2C"/>
    <w:rsid w:val="00885380"/>
    <w:rsid w:val="00885AF6"/>
    <w:rsid w:val="008876D9"/>
    <w:rsid w:val="008909D0"/>
    <w:rsid w:val="00891D1D"/>
    <w:rsid w:val="0089271C"/>
    <w:rsid w:val="00894D43"/>
    <w:rsid w:val="008A0999"/>
    <w:rsid w:val="008A1EB4"/>
    <w:rsid w:val="008A204F"/>
    <w:rsid w:val="008A3846"/>
    <w:rsid w:val="008A635B"/>
    <w:rsid w:val="008A6647"/>
    <w:rsid w:val="008B004B"/>
    <w:rsid w:val="008B107E"/>
    <w:rsid w:val="008B2D2E"/>
    <w:rsid w:val="008B42D6"/>
    <w:rsid w:val="008B725D"/>
    <w:rsid w:val="008B74CB"/>
    <w:rsid w:val="008B7812"/>
    <w:rsid w:val="008B7E48"/>
    <w:rsid w:val="008C13F0"/>
    <w:rsid w:val="008C219F"/>
    <w:rsid w:val="008C2ACA"/>
    <w:rsid w:val="008C370D"/>
    <w:rsid w:val="008C3C0E"/>
    <w:rsid w:val="008C430E"/>
    <w:rsid w:val="008C5DD6"/>
    <w:rsid w:val="008C6E79"/>
    <w:rsid w:val="008D03BB"/>
    <w:rsid w:val="008D22E1"/>
    <w:rsid w:val="008D2ACC"/>
    <w:rsid w:val="008D2F9B"/>
    <w:rsid w:val="008D3197"/>
    <w:rsid w:val="008D3DF6"/>
    <w:rsid w:val="008D4146"/>
    <w:rsid w:val="008D502D"/>
    <w:rsid w:val="008D5BEB"/>
    <w:rsid w:val="008D6B50"/>
    <w:rsid w:val="008D7A05"/>
    <w:rsid w:val="008E1A8C"/>
    <w:rsid w:val="008E30E3"/>
    <w:rsid w:val="008E59D4"/>
    <w:rsid w:val="008E765A"/>
    <w:rsid w:val="008F102D"/>
    <w:rsid w:val="008F155E"/>
    <w:rsid w:val="008F384C"/>
    <w:rsid w:val="008F46AD"/>
    <w:rsid w:val="008F4C59"/>
    <w:rsid w:val="008F61B1"/>
    <w:rsid w:val="00900532"/>
    <w:rsid w:val="00900E31"/>
    <w:rsid w:val="00901AAD"/>
    <w:rsid w:val="00902229"/>
    <w:rsid w:val="0090570D"/>
    <w:rsid w:val="0090609A"/>
    <w:rsid w:val="00910CB8"/>
    <w:rsid w:val="00911F18"/>
    <w:rsid w:val="00913721"/>
    <w:rsid w:val="009138C7"/>
    <w:rsid w:val="009143FA"/>
    <w:rsid w:val="0092261D"/>
    <w:rsid w:val="009245C5"/>
    <w:rsid w:val="009246F0"/>
    <w:rsid w:val="0092535A"/>
    <w:rsid w:val="00925D00"/>
    <w:rsid w:val="00926656"/>
    <w:rsid w:val="00926827"/>
    <w:rsid w:val="009323EC"/>
    <w:rsid w:val="009337E4"/>
    <w:rsid w:val="009346ED"/>
    <w:rsid w:val="00935DE7"/>
    <w:rsid w:val="00936BFF"/>
    <w:rsid w:val="00937792"/>
    <w:rsid w:val="00937F5D"/>
    <w:rsid w:val="00940EC5"/>
    <w:rsid w:val="009423BB"/>
    <w:rsid w:val="009433EA"/>
    <w:rsid w:val="009443B9"/>
    <w:rsid w:val="00945172"/>
    <w:rsid w:val="00945D85"/>
    <w:rsid w:val="0095109A"/>
    <w:rsid w:val="00951465"/>
    <w:rsid w:val="00951F30"/>
    <w:rsid w:val="009533CF"/>
    <w:rsid w:val="0095393D"/>
    <w:rsid w:val="0095668C"/>
    <w:rsid w:val="0095692B"/>
    <w:rsid w:val="009571F6"/>
    <w:rsid w:val="00957DBE"/>
    <w:rsid w:val="00960E09"/>
    <w:rsid w:val="00961CFE"/>
    <w:rsid w:val="009660D9"/>
    <w:rsid w:val="009666B9"/>
    <w:rsid w:val="00966CDD"/>
    <w:rsid w:val="009671BC"/>
    <w:rsid w:val="009736ED"/>
    <w:rsid w:val="00974F2C"/>
    <w:rsid w:val="009750AD"/>
    <w:rsid w:val="00975487"/>
    <w:rsid w:val="00977058"/>
    <w:rsid w:val="00982EF3"/>
    <w:rsid w:val="00983B66"/>
    <w:rsid w:val="00984330"/>
    <w:rsid w:val="00987D86"/>
    <w:rsid w:val="00992DB6"/>
    <w:rsid w:val="00992EF1"/>
    <w:rsid w:val="009930AA"/>
    <w:rsid w:val="009950F2"/>
    <w:rsid w:val="009965D5"/>
    <w:rsid w:val="00996A78"/>
    <w:rsid w:val="00997CD9"/>
    <w:rsid w:val="009A01EF"/>
    <w:rsid w:val="009A5488"/>
    <w:rsid w:val="009A6E59"/>
    <w:rsid w:val="009B0398"/>
    <w:rsid w:val="009B04FC"/>
    <w:rsid w:val="009B147A"/>
    <w:rsid w:val="009B1B3F"/>
    <w:rsid w:val="009B2303"/>
    <w:rsid w:val="009B26B3"/>
    <w:rsid w:val="009B58F6"/>
    <w:rsid w:val="009B740F"/>
    <w:rsid w:val="009B7840"/>
    <w:rsid w:val="009C2849"/>
    <w:rsid w:val="009C3D1A"/>
    <w:rsid w:val="009C6A80"/>
    <w:rsid w:val="009C7106"/>
    <w:rsid w:val="009D15B8"/>
    <w:rsid w:val="009D2FCE"/>
    <w:rsid w:val="009D41A4"/>
    <w:rsid w:val="009D41DC"/>
    <w:rsid w:val="009D5DAC"/>
    <w:rsid w:val="009D6B3B"/>
    <w:rsid w:val="009D7267"/>
    <w:rsid w:val="009D74A6"/>
    <w:rsid w:val="009E2EA6"/>
    <w:rsid w:val="009E2FD2"/>
    <w:rsid w:val="009E32FF"/>
    <w:rsid w:val="009E4F17"/>
    <w:rsid w:val="009E53B6"/>
    <w:rsid w:val="009E694D"/>
    <w:rsid w:val="009F2189"/>
    <w:rsid w:val="009F288F"/>
    <w:rsid w:val="009F2C8E"/>
    <w:rsid w:val="009F2F46"/>
    <w:rsid w:val="009F401B"/>
    <w:rsid w:val="009F52DB"/>
    <w:rsid w:val="009F5ADA"/>
    <w:rsid w:val="009F5B26"/>
    <w:rsid w:val="009F6070"/>
    <w:rsid w:val="009F619E"/>
    <w:rsid w:val="009F673E"/>
    <w:rsid w:val="009F7F1A"/>
    <w:rsid w:val="009F7FAA"/>
    <w:rsid w:val="00A00F37"/>
    <w:rsid w:val="00A01499"/>
    <w:rsid w:val="00A04C2F"/>
    <w:rsid w:val="00A05E04"/>
    <w:rsid w:val="00A060D7"/>
    <w:rsid w:val="00A06135"/>
    <w:rsid w:val="00A073B9"/>
    <w:rsid w:val="00A1056F"/>
    <w:rsid w:val="00A11428"/>
    <w:rsid w:val="00A1188C"/>
    <w:rsid w:val="00A119BD"/>
    <w:rsid w:val="00A11D9F"/>
    <w:rsid w:val="00A139C3"/>
    <w:rsid w:val="00A13BE4"/>
    <w:rsid w:val="00A152E0"/>
    <w:rsid w:val="00A16981"/>
    <w:rsid w:val="00A1725A"/>
    <w:rsid w:val="00A17BA7"/>
    <w:rsid w:val="00A21B95"/>
    <w:rsid w:val="00A226D3"/>
    <w:rsid w:val="00A26712"/>
    <w:rsid w:val="00A275C8"/>
    <w:rsid w:val="00A27DCD"/>
    <w:rsid w:val="00A317C3"/>
    <w:rsid w:val="00A31EF0"/>
    <w:rsid w:val="00A32218"/>
    <w:rsid w:val="00A32ADE"/>
    <w:rsid w:val="00A35B5F"/>
    <w:rsid w:val="00A35BC5"/>
    <w:rsid w:val="00A363C2"/>
    <w:rsid w:val="00A3657A"/>
    <w:rsid w:val="00A42370"/>
    <w:rsid w:val="00A4335E"/>
    <w:rsid w:val="00A44CB8"/>
    <w:rsid w:val="00A45691"/>
    <w:rsid w:val="00A45E5B"/>
    <w:rsid w:val="00A462F4"/>
    <w:rsid w:val="00A46D3D"/>
    <w:rsid w:val="00A5027D"/>
    <w:rsid w:val="00A515E6"/>
    <w:rsid w:val="00A522AB"/>
    <w:rsid w:val="00A53151"/>
    <w:rsid w:val="00A543ED"/>
    <w:rsid w:val="00A54D82"/>
    <w:rsid w:val="00A56247"/>
    <w:rsid w:val="00A5663C"/>
    <w:rsid w:val="00A57551"/>
    <w:rsid w:val="00A60232"/>
    <w:rsid w:val="00A61074"/>
    <w:rsid w:val="00A621C2"/>
    <w:rsid w:val="00A655F5"/>
    <w:rsid w:val="00A65D9C"/>
    <w:rsid w:val="00A66682"/>
    <w:rsid w:val="00A66ABB"/>
    <w:rsid w:val="00A67305"/>
    <w:rsid w:val="00A70C10"/>
    <w:rsid w:val="00A70C2B"/>
    <w:rsid w:val="00A71228"/>
    <w:rsid w:val="00A73676"/>
    <w:rsid w:val="00A73F3A"/>
    <w:rsid w:val="00A743D9"/>
    <w:rsid w:val="00A74837"/>
    <w:rsid w:val="00A756B6"/>
    <w:rsid w:val="00A766CC"/>
    <w:rsid w:val="00A76A5A"/>
    <w:rsid w:val="00A772E6"/>
    <w:rsid w:val="00A80850"/>
    <w:rsid w:val="00A83952"/>
    <w:rsid w:val="00A8772B"/>
    <w:rsid w:val="00A90649"/>
    <w:rsid w:val="00A90764"/>
    <w:rsid w:val="00A922BB"/>
    <w:rsid w:val="00A9277F"/>
    <w:rsid w:val="00A929A5"/>
    <w:rsid w:val="00A929FA"/>
    <w:rsid w:val="00A92B6A"/>
    <w:rsid w:val="00A931A1"/>
    <w:rsid w:val="00A974F3"/>
    <w:rsid w:val="00A979CF"/>
    <w:rsid w:val="00AA3824"/>
    <w:rsid w:val="00AA564E"/>
    <w:rsid w:val="00AA6E19"/>
    <w:rsid w:val="00AA792F"/>
    <w:rsid w:val="00AA7CC3"/>
    <w:rsid w:val="00AB00B4"/>
    <w:rsid w:val="00AB134F"/>
    <w:rsid w:val="00AB1EF6"/>
    <w:rsid w:val="00AB2DA4"/>
    <w:rsid w:val="00AB4104"/>
    <w:rsid w:val="00AB7031"/>
    <w:rsid w:val="00AB7520"/>
    <w:rsid w:val="00AC0770"/>
    <w:rsid w:val="00AC1E94"/>
    <w:rsid w:val="00AC30D0"/>
    <w:rsid w:val="00AC361C"/>
    <w:rsid w:val="00AC460F"/>
    <w:rsid w:val="00AC50AB"/>
    <w:rsid w:val="00AC5110"/>
    <w:rsid w:val="00AD0CEE"/>
    <w:rsid w:val="00AD4D9B"/>
    <w:rsid w:val="00AD55B4"/>
    <w:rsid w:val="00AD5F47"/>
    <w:rsid w:val="00AD760B"/>
    <w:rsid w:val="00AE1EAC"/>
    <w:rsid w:val="00AE33F3"/>
    <w:rsid w:val="00AE465A"/>
    <w:rsid w:val="00AE5108"/>
    <w:rsid w:val="00AE5AA9"/>
    <w:rsid w:val="00AE7A2B"/>
    <w:rsid w:val="00AF068B"/>
    <w:rsid w:val="00AF12A6"/>
    <w:rsid w:val="00AF3A12"/>
    <w:rsid w:val="00AF48A1"/>
    <w:rsid w:val="00AF4F4C"/>
    <w:rsid w:val="00AF5A10"/>
    <w:rsid w:val="00AF6F21"/>
    <w:rsid w:val="00AF7C24"/>
    <w:rsid w:val="00B03F12"/>
    <w:rsid w:val="00B0524B"/>
    <w:rsid w:val="00B05C9A"/>
    <w:rsid w:val="00B11EF2"/>
    <w:rsid w:val="00B123D6"/>
    <w:rsid w:val="00B15483"/>
    <w:rsid w:val="00B156FD"/>
    <w:rsid w:val="00B160F1"/>
    <w:rsid w:val="00B20037"/>
    <w:rsid w:val="00B20498"/>
    <w:rsid w:val="00B213E2"/>
    <w:rsid w:val="00B21808"/>
    <w:rsid w:val="00B22719"/>
    <w:rsid w:val="00B23208"/>
    <w:rsid w:val="00B234F4"/>
    <w:rsid w:val="00B23C90"/>
    <w:rsid w:val="00B25544"/>
    <w:rsid w:val="00B25F65"/>
    <w:rsid w:val="00B26015"/>
    <w:rsid w:val="00B30C40"/>
    <w:rsid w:val="00B316E7"/>
    <w:rsid w:val="00B36E9D"/>
    <w:rsid w:val="00B41AE2"/>
    <w:rsid w:val="00B42197"/>
    <w:rsid w:val="00B43F3D"/>
    <w:rsid w:val="00B45E44"/>
    <w:rsid w:val="00B47E49"/>
    <w:rsid w:val="00B50596"/>
    <w:rsid w:val="00B5141F"/>
    <w:rsid w:val="00B52782"/>
    <w:rsid w:val="00B52B06"/>
    <w:rsid w:val="00B52EE7"/>
    <w:rsid w:val="00B54C01"/>
    <w:rsid w:val="00B5544D"/>
    <w:rsid w:val="00B55665"/>
    <w:rsid w:val="00B609AF"/>
    <w:rsid w:val="00B60B66"/>
    <w:rsid w:val="00B60BF9"/>
    <w:rsid w:val="00B62656"/>
    <w:rsid w:val="00B63FA0"/>
    <w:rsid w:val="00B64463"/>
    <w:rsid w:val="00B64931"/>
    <w:rsid w:val="00B65D85"/>
    <w:rsid w:val="00B67D7F"/>
    <w:rsid w:val="00B67DCE"/>
    <w:rsid w:val="00B716E8"/>
    <w:rsid w:val="00B71733"/>
    <w:rsid w:val="00B720B3"/>
    <w:rsid w:val="00B7217E"/>
    <w:rsid w:val="00B7575A"/>
    <w:rsid w:val="00B769CF"/>
    <w:rsid w:val="00B772A5"/>
    <w:rsid w:val="00B776BF"/>
    <w:rsid w:val="00B8010B"/>
    <w:rsid w:val="00B815D2"/>
    <w:rsid w:val="00B82B29"/>
    <w:rsid w:val="00B8326D"/>
    <w:rsid w:val="00B84361"/>
    <w:rsid w:val="00B847CC"/>
    <w:rsid w:val="00B92621"/>
    <w:rsid w:val="00B92A1E"/>
    <w:rsid w:val="00B93653"/>
    <w:rsid w:val="00B93B46"/>
    <w:rsid w:val="00B95D07"/>
    <w:rsid w:val="00B973B7"/>
    <w:rsid w:val="00BA105C"/>
    <w:rsid w:val="00BA1503"/>
    <w:rsid w:val="00BA341B"/>
    <w:rsid w:val="00BA4076"/>
    <w:rsid w:val="00BA5E11"/>
    <w:rsid w:val="00BA60AF"/>
    <w:rsid w:val="00BA7954"/>
    <w:rsid w:val="00BB027D"/>
    <w:rsid w:val="00BB0C49"/>
    <w:rsid w:val="00BB1843"/>
    <w:rsid w:val="00BB2736"/>
    <w:rsid w:val="00BB2C29"/>
    <w:rsid w:val="00BB317A"/>
    <w:rsid w:val="00BB364A"/>
    <w:rsid w:val="00BB4F28"/>
    <w:rsid w:val="00BB6241"/>
    <w:rsid w:val="00BB6702"/>
    <w:rsid w:val="00BB7EE0"/>
    <w:rsid w:val="00BC0B6E"/>
    <w:rsid w:val="00BC18D1"/>
    <w:rsid w:val="00BC1E32"/>
    <w:rsid w:val="00BC4CE6"/>
    <w:rsid w:val="00BC4F04"/>
    <w:rsid w:val="00BC6A08"/>
    <w:rsid w:val="00BC6C25"/>
    <w:rsid w:val="00BD04CA"/>
    <w:rsid w:val="00BD2E7B"/>
    <w:rsid w:val="00BD38D1"/>
    <w:rsid w:val="00BD7959"/>
    <w:rsid w:val="00BE0F2B"/>
    <w:rsid w:val="00BE241E"/>
    <w:rsid w:val="00BE5471"/>
    <w:rsid w:val="00BE72CB"/>
    <w:rsid w:val="00BE76E2"/>
    <w:rsid w:val="00BE7709"/>
    <w:rsid w:val="00BF0D21"/>
    <w:rsid w:val="00BF1081"/>
    <w:rsid w:val="00BF132E"/>
    <w:rsid w:val="00BF277F"/>
    <w:rsid w:val="00BF2F22"/>
    <w:rsid w:val="00BF4040"/>
    <w:rsid w:val="00BF4277"/>
    <w:rsid w:val="00BF4E41"/>
    <w:rsid w:val="00BF7B2D"/>
    <w:rsid w:val="00C00596"/>
    <w:rsid w:val="00C008B8"/>
    <w:rsid w:val="00C011BC"/>
    <w:rsid w:val="00C02A8D"/>
    <w:rsid w:val="00C05124"/>
    <w:rsid w:val="00C057A7"/>
    <w:rsid w:val="00C07782"/>
    <w:rsid w:val="00C078AD"/>
    <w:rsid w:val="00C10646"/>
    <w:rsid w:val="00C10A2F"/>
    <w:rsid w:val="00C11B3D"/>
    <w:rsid w:val="00C13439"/>
    <w:rsid w:val="00C135EE"/>
    <w:rsid w:val="00C13B9E"/>
    <w:rsid w:val="00C147B2"/>
    <w:rsid w:val="00C17ED0"/>
    <w:rsid w:val="00C21BDF"/>
    <w:rsid w:val="00C256B6"/>
    <w:rsid w:val="00C256EC"/>
    <w:rsid w:val="00C26A32"/>
    <w:rsid w:val="00C26F6F"/>
    <w:rsid w:val="00C27B17"/>
    <w:rsid w:val="00C30339"/>
    <w:rsid w:val="00C31686"/>
    <w:rsid w:val="00C33EDF"/>
    <w:rsid w:val="00C34153"/>
    <w:rsid w:val="00C37223"/>
    <w:rsid w:val="00C40C10"/>
    <w:rsid w:val="00C47897"/>
    <w:rsid w:val="00C5021E"/>
    <w:rsid w:val="00C509AF"/>
    <w:rsid w:val="00C50B2C"/>
    <w:rsid w:val="00C525E0"/>
    <w:rsid w:val="00C5415D"/>
    <w:rsid w:val="00C54F11"/>
    <w:rsid w:val="00C57DAD"/>
    <w:rsid w:val="00C60E76"/>
    <w:rsid w:val="00C61957"/>
    <w:rsid w:val="00C633D4"/>
    <w:rsid w:val="00C63F0D"/>
    <w:rsid w:val="00C66F38"/>
    <w:rsid w:val="00C67062"/>
    <w:rsid w:val="00C7262E"/>
    <w:rsid w:val="00C72DB5"/>
    <w:rsid w:val="00C74CA5"/>
    <w:rsid w:val="00C77394"/>
    <w:rsid w:val="00C804E6"/>
    <w:rsid w:val="00C804FB"/>
    <w:rsid w:val="00C825E0"/>
    <w:rsid w:val="00C82A44"/>
    <w:rsid w:val="00C8371D"/>
    <w:rsid w:val="00C846E9"/>
    <w:rsid w:val="00C85349"/>
    <w:rsid w:val="00C85AC7"/>
    <w:rsid w:val="00C91A36"/>
    <w:rsid w:val="00C9362A"/>
    <w:rsid w:val="00C9366A"/>
    <w:rsid w:val="00C93E06"/>
    <w:rsid w:val="00C9404F"/>
    <w:rsid w:val="00C97CCD"/>
    <w:rsid w:val="00C97D15"/>
    <w:rsid w:val="00C97D1D"/>
    <w:rsid w:val="00CA08ED"/>
    <w:rsid w:val="00CA0A16"/>
    <w:rsid w:val="00CA1618"/>
    <w:rsid w:val="00CA2A03"/>
    <w:rsid w:val="00CA3FE9"/>
    <w:rsid w:val="00CA4812"/>
    <w:rsid w:val="00CA4917"/>
    <w:rsid w:val="00CA4A50"/>
    <w:rsid w:val="00CA6616"/>
    <w:rsid w:val="00CB0144"/>
    <w:rsid w:val="00CB05BC"/>
    <w:rsid w:val="00CB5866"/>
    <w:rsid w:val="00CB6194"/>
    <w:rsid w:val="00CB7BB6"/>
    <w:rsid w:val="00CC12A5"/>
    <w:rsid w:val="00CC1FC2"/>
    <w:rsid w:val="00CC30AE"/>
    <w:rsid w:val="00CC3BA9"/>
    <w:rsid w:val="00CC43E3"/>
    <w:rsid w:val="00CC4484"/>
    <w:rsid w:val="00CC4DB3"/>
    <w:rsid w:val="00CC52B3"/>
    <w:rsid w:val="00CC5AA5"/>
    <w:rsid w:val="00CC652F"/>
    <w:rsid w:val="00CC7B40"/>
    <w:rsid w:val="00CD0C87"/>
    <w:rsid w:val="00CD24AF"/>
    <w:rsid w:val="00CD2B98"/>
    <w:rsid w:val="00CD6339"/>
    <w:rsid w:val="00CD6CF8"/>
    <w:rsid w:val="00CD73C9"/>
    <w:rsid w:val="00CE0555"/>
    <w:rsid w:val="00CE075C"/>
    <w:rsid w:val="00CE17E0"/>
    <w:rsid w:val="00CE2541"/>
    <w:rsid w:val="00CE3767"/>
    <w:rsid w:val="00CE3AAB"/>
    <w:rsid w:val="00CE3C9C"/>
    <w:rsid w:val="00CE42E4"/>
    <w:rsid w:val="00CE4D23"/>
    <w:rsid w:val="00CE4EB4"/>
    <w:rsid w:val="00CE4F16"/>
    <w:rsid w:val="00CF2E92"/>
    <w:rsid w:val="00CF312F"/>
    <w:rsid w:val="00CF38EF"/>
    <w:rsid w:val="00CF4059"/>
    <w:rsid w:val="00CF4134"/>
    <w:rsid w:val="00CF4A78"/>
    <w:rsid w:val="00CF50FC"/>
    <w:rsid w:val="00CF51A5"/>
    <w:rsid w:val="00CF7000"/>
    <w:rsid w:val="00CF757E"/>
    <w:rsid w:val="00CF7F5B"/>
    <w:rsid w:val="00D00047"/>
    <w:rsid w:val="00D0053E"/>
    <w:rsid w:val="00D01118"/>
    <w:rsid w:val="00D03352"/>
    <w:rsid w:val="00D03C64"/>
    <w:rsid w:val="00D048BF"/>
    <w:rsid w:val="00D072FB"/>
    <w:rsid w:val="00D075F2"/>
    <w:rsid w:val="00D1072E"/>
    <w:rsid w:val="00D11DC7"/>
    <w:rsid w:val="00D122A2"/>
    <w:rsid w:val="00D1355A"/>
    <w:rsid w:val="00D1402D"/>
    <w:rsid w:val="00D16F24"/>
    <w:rsid w:val="00D2140F"/>
    <w:rsid w:val="00D24EC1"/>
    <w:rsid w:val="00D2615F"/>
    <w:rsid w:val="00D267C2"/>
    <w:rsid w:val="00D26ABB"/>
    <w:rsid w:val="00D30523"/>
    <w:rsid w:val="00D30DE0"/>
    <w:rsid w:val="00D31C6D"/>
    <w:rsid w:val="00D31FFC"/>
    <w:rsid w:val="00D34755"/>
    <w:rsid w:val="00D34DFD"/>
    <w:rsid w:val="00D3539F"/>
    <w:rsid w:val="00D37A9B"/>
    <w:rsid w:val="00D40994"/>
    <w:rsid w:val="00D41B46"/>
    <w:rsid w:val="00D423DF"/>
    <w:rsid w:val="00D4372B"/>
    <w:rsid w:val="00D437C3"/>
    <w:rsid w:val="00D43FE5"/>
    <w:rsid w:val="00D477F8"/>
    <w:rsid w:val="00D507E0"/>
    <w:rsid w:val="00D50A41"/>
    <w:rsid w:val="00D50B9C"/>
    <w:rsid w:val="00D50FC7"/>
    <w:rsid w:val="00D51E2B"/>
    <w:rsid w:val="00D52319"/>
    <w:rsid w:val="00D52C0B"/>
    <w:rsid w:val="00D531CE"/>
    <w:rsid w:val="00D53841"/>
    <w:rsid w:val="00D55623"/>
    <w:rsid w:val="00D55E45"/>
    <w:rsid w:val="00D577CC"/>
    <w:rsid w:val="00D60764"/>
    <w:rsid w:val="00D63756"/>
    <w:rsid w:val="00D64200"/>
    <w:rsid w:val="00D65358"/>
    <w:rsid w:val="00D6651A"/>
    <w:rsid w:val="00D67A93"/>
    <w:rsid w:val="00D7133F"/>
    <w:rsid w:val="00D72287"/>
    <w:rsid w:val="00D725DF"/>
    <w:rsid w:val="00D74C8F"/>
    <w:rsid w:val="00D8163E"/>
    <w:rsid w:val="00D82312"/>
    <w:rsid w:val="00D82966"/>
    <w:rsid w:val="00D83E4D"/>
    <w:rsid w:val="00D83F91"/>
    <w:rsid w:val="00D906AF"/>
    <w:rsid w:val="00D9155B"/>
    <w:rsid w:val="00D91B9D"/>
    <w:rsid w:val="00D94145"/>
    <w:rsid w:val="00D97933"/>
    <w:rsid w:val="00D97D24"/>
    <w:rsid w:val="00DA0216"/>
    <w:rsid w:val="00DA1C72"/>
    <w:rsid w:val="00DA299E"/>
    <w:rsid w:val="00DB08CC"/>
    <w:rsid w:val="00DB1542"/>
    <w:rsid w:val="00DB171B"/>
    <w:rsid w:val="00DB2098"/>
    <w:rsid w:val="00DB2DC6"/>
    <w:rsid w:val="00DB50D4"/>
    <w:rsid w:val="00DB619F"/>
    <w:rsid w:val="00DB64DF"/>
    <w:rsid w:val="00DB66FF"/>
    <w:rsid w:val="00DB6A61"/>
    <w:rsid w:val="00DB6AF1"/>
    <w:rsid w:val="00DC3BD5"/>
    <w:rsid w:val="00DC3E89"/>
    <w:rsid w:val="00DC4C44"/>
    <w:rsid w:val="00DC6812"/>
    <w:rsid w:val="00DC6F2C"/>
    <w:rsid w:val="00DD01B6"/>
    <w:rsid w:val="00DD253B"/>
    <w:rsid w:val="00DD2AA6"/>
    <w:rsid w:val="00DD3262"/>
    <w:rsid w:val="00DD695B"/>
    <w:rsid w:val="00DD69F1"/>
    <w:rsid w:val="00DD6F4E"/>
    <w:rsid w:val="00DE08F0"/>
    <w:rsid w:val="00DE1080"/>
    <w:rsid w:val="00DE10F2"/>
    <w:rsid w:val="00DE1C3E"/>
    <w:rsid w:val="00DE50BF"/>
    <w:rsid w:val="00DE5236"/>
    <w:rsid w:val="00DE5E58"/>
    <w:rsid w:val="00DE7345"/>
    <w:rsid w:val="00DE7504"/>
    <w:rsid w:val="00DF1C84"/>
    <w:rsid w:val="00DF2265"/>
    <w:rsid w:val="00DF35CC"/>
    <w:rsid w:val="00DF4427"/>
    <w:rsid w:val="00DF44E9"/>
    <w:rsid w:val="00DF4720"/>
    <w:rsid w:val="00DF47FB"/>
    <w:rsid w:val="00DF50B5"/>
    <w:rsid w:val="00DF51EC"/>
    <w:rsid w:val="00E0134B"/>
    <w:rsid w:val="00E0153D"/>
    <w:rsid w:val="00E0350E"/>
    <w:rsid w:val="00E048B6"/>
    <w:rsid w:val="00E04961"/>
    <w:rsid w:val="00E04BF5"/>
    <w:rsid w:val="00E04E88"/>
    <w:rsid w:val="00E05343"/>
    <w:rsid w:val="00E05B8E"/>
    <w:rsid w:val="00E05F77"/>
    <w:rsid w:val="00E05FE9"/>
    <w:rsid w:val="00E076EF"/>
    <w:rsid w:val="00E07DB0"/>
    <w:rsid w:val="00E10CED"/>
    <w:rsid w:val="00E13AE5"/>
    <w:rsid w:val="00E15B5F"/>
    <w:rsid w:val="00E16C1C"/>
    <w:rsid w:val="00E170A0"/>
    <w:rsid w:val="00E17436"/>
    <w:rsid w:val="00E17E72"/>
    <w:rsid w:val="00E20287"/>
    <w:rsid w:val="00E20B75"/>
    <w:rsid w:val="00E21139"/>
    <w:rsid w:val="00E228A2"/>
    <w:rsid w:val="00E22934"/>
    <w:rsid w:val="00E23253"/>
    <w:rsid w:val="00E24424"/>
    <w:rsid w:val="00E24AFA"/>
    <w:rsid w:val="00E25D46"/>
    <w:rsid w:val="00E27735"/>
    <w:rsid w:val="00E30257"/>
    <w:rsid w:val="00E30736"/>
    <w:rsid w:val="00E334DD"/>
    <w:rsid w:val="00E35012"/>
    <w:rsid w:val="00E3769F"/>
    <w:rsid w:val="00E4283C"/>
    <w:rsid w:val="00E4288B"/>
    <w:rsid w:val="00E42CBD"/>
    <w:rsid w:val="00E4610A"/>
    <w:rsid w:val="00E47C3A"/>
    <w:rsid w:val="00E50222"/>
    <w:rsid w:val="00E5036C"/>
    <w:rsid w:val="00E53AB1"/>
    <w:rsid w:val="00E53D8C"/>
    <w:rsid w:val="00E54839"/>
    <w:rsid w:val="00E55639"/>
    <w:rsid w:val="00E56647"/>
    <w:rsid w:val="00E56CF6"/>
    <w:rsid w:val="00E61C46"/>
    <w:rsid w:val="00E64D4F"/>
    <w:rsid w:val="00E660A7"/>
    <w:rsid w:val="00E700C2"/>
    <w:rsid w:val="00E70614"/>
    <w:rsid w:val="00E706CD"/>
    <w:rsid w:val="00E729C1"/>
    <w:rsid w:val="00E72C84"/>
    <w:rsid w:val="00E72F73"/>
    <w:rsid w:val="00E73491"/>
    <w:rsid w:val="00E73A03"/>
    <w:rsid w:val="00E74ACF"/>
    <w:rsid w:val="00E74BA3"/>
    <w:rsid w:val="00E75D4E"/>
    <w:rsid w:val="00E77784"/>
    <w:rsid w:val="00E809FC"/>
    <w:rsid w:val="00E810EA"/>
    <w:rsid w:val="00E83ABA"/>
    <w:rsid w:val="00E8449F"/>
    <w:rsid w:val="00E85B3D"/>
    <w:rsid w:val="00E87FA9"/>
    <w:rsid w:val="00E9357C"/>
    <w:rsid w:val="00E935A7"/>
    <w:rsid w:val="00E935AC"/>
    <w:rsid w:val="00E95518"/>
    <w:rsid w:val="00E97024"/>
    <w:rsid w:val="00E979DE"/>
    <w:rsid w:val="00EA1881"/>
    <w:rsid w:val="00EA3FC6"/>
    <w:rsid w:val="00EA40C9"/>
    <w:rsid w:val="00EA60C1"/>
    <w:rsid w:val="00EA7EE6"/>
    <w:rsid w:val="00EB212F"/>
    <w:rsid w:val="00EB3E11"/>
    <w:rsid w:val="00EB5263"/>
    <w:rsid w:val="00EB5FE1"/>
    <w:rsid w:val="00EB705C"/>
    <w:rsid w:val="00EC217F"/>
    <w:rsid w:val="00EC3204"/>
    <w:rsid w:val="00EC503C"/>
    <w:rsid w:val="00EC5772"/>
    <w:rsid w:val="00EC72EB"/>
    <w:rsid w:val="00ED03B8"/>
    <w:rsid w:val="00ED33D1"/>
    <w:rsid w:val="00ED592E"/>
    <w:rsid w:val="00ED5B20"/>
    <w:rsid w:val="00ED61E7"/>
    <w:rsid w:val="00EE00ED"/>
    <w:rsid w:val="00EE2659"/>
    <w:rsid w:val="00EE2A3F"/>
    <w:rsid w:val="00EE2B51"/>
    <w:rsid w:val="00EE37B1"/>
    <w:rsid w:val="00EE4DE1"/>
    <w:rsid w:val="00EF16A6"/>
    <w:rsid w:val="00EF2414"/>
    <w:rsid w:val="00EF262C"/>
    <w:rsid w:val="00EF5CEC"/>
    <w:rsid w:val="00F02062"/>
    <w:rsid w:val="00F03136"/>
    <w:rsid w:val="00F0416B"/>
    <w:rsid w:val="00F10B40"/>
    <w:rsid w:val="00F11541"/>
    <w:rsid w:val="00F11B7B"/>
    <w:rsid w:val="00F1253D"/>
    <w:rsid w:val="00F12C96"/>
    <w:rsid w:val="00F17327"/>
    <w:rsid w:val="00F20193"/>
    <w:rsid w:val="00F224F0"/>
    <w:rsid w:val="00F2449A"/>
    <w:rsid w:val="00F247C6"/>
    <w:rsid w:val="00F24CB3"/>
    <w:rsid w:val="00F25678"/>
    <w:rsid w:val="00F2620F"/>
    <w:rsid w:val="00F27096"/>
    <w:rsid w:val="00F27790"/>
    <w:rsid w:val="00F30EEA"/>
    <w:rsid w:val="00F31158"/>
    <w:rsid w:val="00F320A4"/>
    <w:rsid w:val="00F3575F"/>
    <w:rsid w:val="00F3725B"/>
    <w:rsid w:val="00F4043E"/>
    <w:rsid w:val="00F40E68"/>
    <w:rsid w:val="00F46AD7"/>
    <w:rsid w:val="00F52473"/>
    <w:rsid w:val="00F5271C"/>
    <w:rsid w:val="00F52D04"/>
    <w:rsid w:val="00F53BC8"/>
    <w:rsid w:val="00F55137"/>
    <w:rsid w:val="00F55530"/>
    <w:rsid w:val="00F55A9D"/>
    <w:rsid w:val="00F564FD"/>
    <w:rsid w:val="00F57080"/>
    <w:rsid w:val="00F600FB"/>
    <w:rsid w:val="00F60637"/>
    <w:rsid w:val="00F6169B"/>
    <w:rsid w:val="00F61A34"/>
    <w:rsid w:val="00F63386"/>
    <w:rsid w:val="00F63525"/>
    <w:rsid w:val="00F63918"/>
    <w:rsid w:val="00F65C8F"/>
    <w:rsid w:val="00F65CAA"/>
    <w:rsid w:val="00F66C6B"/>
    <w:rsid w:val="00F67604"/>
    <w:rsid w:val="00F71CAB"/>
    <w:rsid w:val="00F72723"/>
    <w:rsid w:val="00F729E5"/>
    <w:rsid w:val="00F731F3"/>
    <w:rsid w:val="00F73FC9"/>
    <w:rsid w:val="00F770D2"/>
    <w:rsid w:val="00F77659"/>
    <w:rsid w:val="00F8230C"/>
    <w:rsid w:val="00F83DF5"/>
    <w:rsid w:val="00F846E7"/>
    <w:rsid w:val="00F8488C"/>
    <w:rsid w:val="00F85175"/>
    <w:rsid w:val="00F86210"/>
    <w:rsid w:val="00F86CA1"/>
    <w:rsid w:val="00F92088"/>
    <w:rsid w:val="00F92BF3"/>
    <w:rsid w:val="00F92FE5"/>
    <w:rsid w:val="00F95A2D"/>
    <w:rsid w:val="00F95F9D"/>
    <w:rsid w:val="00FA2AC0"/>
    <w:rsid w:val="00FA31DC"/>
    <w:rsid w:val="00FA62D9"/>
    <w:rsid w:val="00FA6834"/>
    <w:rsid w:val="00FA6F9B"/>
    <w:rsid w:val="00FA747C"/>
    <w:rsid w:val="00FB383E"/>
    <w:rsid w:val="00FB4521"/>
    <w:rsid w:val="00FB5E0C"/>
    <w:rsid w:val="00FB7316"/>
    <w:rsid w:val="00FC2199"/>
    <w:rsid w:val="00FC5453"/>
    <w:rsid w:val="00FC589E"/>
    <w:rsid w:val="00FC6351"/>
    <w:rsid w:val="00FC6BF1"/>
    <w:rsid w:val="00FD1EA3"/>
    <w:rsid w:val="00FD229A"/>
    <w:rsid w:val="00FD2441"/>
    <w:rsid w:val="00FD2E92"/>
    <w:rsid w:val="00FD38DA"/>
    <w:rsid w:val="00FD4AFC"/>
    <w:rsid w:val="00FD4E6B"/>
    <w:rsid w:val="00FE154D"/>
    <w:rsid w:val="00FE3D2C"/>
    <w:rsid w:val="00FE425A"/>
    <w:rsid w:val="00FE66D3"/>
    <w:rsid w:val="00FE67A2"/>
    <w:rsid w:val="00FE7A28"/>
    <w:rsid w:val="00FE7FE0"/>
    <w:rsid w:val="00FF1553"/>
    <w:rsid w:val="00FF2919"/>
    <w:rsid w:val="00FF2FC3"/>
    <w:rsid w:val="00FF362A"/>
    <w:rsid w:val="00FF5D2D"/>
    <w:rsid w:val="00FF5E35"/>
    <w:rsid w:val="00FF7090"/>
    <w:rsid w:val="0353FBD3"/>
    <w:rsid w:val="03ED90F1"/>
    <w:rsid w:val="050CEFA5"/>
    <w:rsid w:val="0B94F4DF"/>
    <w:rsid w:val="0C523933"/>
    <w:rsid w:val="0C7583C2"/>
    <w:rsid w:val="0E55B39A"/>
    <w:rsid w:val="0FBF8E4B"/>
    <w:rsid w:val="12921F55"/>
    <w:rsid w:val="186A299B"/>
    <w:rsid w:val="189EAF01"/>
    <w:rsid w:val="18F2E889"/>
    <w:rsid w:val="1D7381E5"/>
    <w:rsid w:val="21F5EB46"/>
    <w:rsid w:val="229DA79A"/>
    <w:rsid w:val="2339EBB2"/>
    <w:rsid w:val="26F1F935"/>
    <w:rsid w:val="28E2031E"/>
    <w:rsid w:val="2C190C68"/>
    <w:rsid w:val="2EC8210D"/>
    <w:rsid w:val="30248A25"/>
    <w:rsid w:val="303ABD2A"/>
    <w:rsid w:val="30921DE0"/>
    <w:rsid w:val="31A42D19"/>
    <w:rsid w:val="32A6EE25"/>
    <w:rsid w:val="3409952A"/>
    <w:rsid w:val="399AA2A4"/>
    <w:rsid w:val="3E9B50BE"/>
    <w:rsid w:val="40507C4D"/>
    <w:rsid w:val="408C8997"/>
    <w:rsid w:val="42AABFF2"/>
    <w:rsid w:val="44DE674D"/>
    <w:rsid w:val="479FAAA4"/>
    <w:rsid w:val="490A0115"/>
    <w:rsid w:val="4AF999D6"/>
    <w:rsid w:val="4C513C96"/>
    <w:rsid w:val="4D3C7B86"/>
    <w:rsid w:val="4E3B5232"/>
    <w:rsid w:val="5039D46B"/>
    <w:rsid w:val="52C805FE"/>
    <w:rsid w:val="53B9066A"/>
    <w:rsid w:val="561B9C3C"/>
    <w:rsid w:val="56515092"/>
    <w:rsid w:val="596445FF"/>
    <w:rsid w:val="5B192966"/>
    <w:rsid w:val="5DA654D6"/>
    <w:rsid w:val="5DB4EC81"/>
    <w:rsid w:val="5E3E5622"/>
    <w:rsid w:val="5E43D192"/>
    <w:rsid w:val="6228D2FA"/>
    <w:rsid w:val="62C7921C"/>
    <w:rsid w:val="677130F6"/>
    <w:rsid w:val="6D1DD7DE"/>
    <w:rsid w:val="6EAEE1A6"/>
    <w:rsid w:val="702457D1"/>
    <w:rsid w:val="70577B76"/>
    <w:rsid w:val="71DA00DE"/>
    <w:rsid w:val="72F41BBC"/>
    <w:rsid w:val="770B1C71"/>
    <w:rsid w:val="77816700"/>
    <w:rsid w:val="77EAA49D"/>
    <w:rsid w:val="77F7BC27"/>
    <w:rsid w:val="7F7A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6E6BF"/>
  <w15:chartTrackingRefBased/>
  <w15:docId w15:val="{129FF642-4BC0-4B04-81E9-3DBDD3BD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A91"/>
    <w:rPr>
      <w:lang w:val="en-AU"/>
    </w:rPr>
  </w:style>
  <w:style w:type="paragraph" w:styleId="Heading1">
    <w:name w:val="heading 1"/>
    <w:basedOn w:val="Normal"/>
    <w:next w:val="Normal"/>
    <w:link w:val="Heading1Char"/>
    <w:uiPriority w:val="9"/>
    <w:qFormat/>
    <w:rsid w:val="00817518"/>
    <w:pPr>
      <w:keepNext/>
      <w:keepLines/>
      <w:spacing w:before="240" w:after="0"/>
      <w:outlineLvl w:val="0"/>
    </w:pPr>
    <w:rPr>
      <w:rFonts w:asciiTheme="majorHAnsi" w:eastAsiaTheme="majorEastAsia" w:hAnsiTheme="majorHAnsi" w:cstheme="majorBidi"/>
      <w:b/>
      <w:color w:val="081E3E"/>
      <w:sz w:val="48"/>
      <w:szCs w:val="32"/>
    </w:rPr>
  </w:style>
  <w:style w:type="paragraph" w:styleId="Heading2">
    <w:name w:val="heading 2"/>
    <w:basedOn w:val="Normal"/>
    <w:next w:val="Normal"/>
    <w:link w:val="Heading2Char"/>
    <w:uiPriority w:val="9"/>
    <w:unhideWhenUsed/>
    <w:qFormat/>
    <w:rsid w:val="00CD73C9"/>
    <w:pPr>
      <w:keepNext/>
      <w:keepLines/>
      <w:spacing w:before="40" w:after="0"/>
      <w:outlineLvl w:val="1"/>
    </w:pPr>
    <w:rPr>
      <w:rFonts w:eastAsiaTheme="majorEastAsia" w:cstheme="majorBidi"/>
      <w:color w:val="006666"/>
      <w:spacing w:val="-2"/>
      <w:sz w:val="32"/>
      <w:szCs w:val="26"/>
    </w:rPr>
  </w:style>
  <w:style w:type="paragraph" w:styleId="Heading3">
    <w:name w:val="heading 3"/>
    <w:basedOn w:val="Normal"/>
    <w:next w:val="Normal"/>
    <w:link w:val="Heading3Char"/>
    <w:uiPriority w:val="9"/>
    <w:unhideWhenUsed/>
    <w:qFormat/>
    <w:rsid w:val="00CD73C9"/>
    <w:pPr>
      <w:keepNext/>
      <w:keepLines/>
      <w:spacing w:before="40" w:after="0"/>
      <w:outlineLvl w:val="2"/>
    </w:pPr>
    <w:rPr>
      <w:rFonts w:eastAsiaTheme="majorEastAsia" w:cstheme="majorBidi"/>
      <w:color w:val="006666"/>
      <w:sz w:val="28"/>
      <w:szCs w:val="24"/>
    </w:rPr>
  </w:style>
  <w:style w:type="paragraph" w:styleId="Heading4">
    <w:name w:val="heading 4"/>
    <w:basedOn w:val="Normal"/>
    <w:next w:val="Normal"/>
    <w:link w:val="Heading4Char"/>
    <w:uiPriority w:val="9"/>
    <w:unhideWhenUsed/>
    <w:qFormat/>
    <w:rsid w:val="00CD73C9"/>
    <w:pPr>
      <w:keepNext/>
      <w:keepLines/>
      <w:spacing w:before="40" w:after="0"/>
      <w:outlineLvl w:val="3"/>
    </w:pPr>
    <w:rPr>
      <w:rFonts w:eastAsiaTheme="majorEastAsia" w:cstheme="majorBidi"/>
      <w:i/>
      <w:iCs/>
      <w:color w:val="00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518"/>
    <w:rPr>
      <w:rFonts w:asciiTheme="majorHAnsi" w:eastAsiaTheme="majorEastAsia" w:hAnsiTheme="majorHAnsi" w:cstheme="majorBidi"/>
      <w:b/>
      <w:color w:val="081E3E"/>
      <w:sz w:val="48"/>
      <w:szCs w:val="32"/>
      <w:lang w:val="en-AU"/>
    </w:rPr>
  </w:style>
  <w:style w:type="paragraph" w:styleId="Title">
    <w:name w:val="Title"/>
    <w:basedOn w:val="Normal"/>
    <w:next w:val="Normal"/>
    <w:link w:val="TitleChar"/>
    <w:uiPriority w:val="10"/>
    <w:qFormat/>
    <w:rsid w:val="00F17327"/>
    <w:pPr>
      <w:spacing w:after="0" w:line="240" w:lineRule="auto"/>
      <w:contextualSpacing/>
    </w:pPr>
    <w:rPr>
      <w:rFonts w:asciiTheme="majorHAnsi" w:eastAsiaTheme="majorEastAsia" w:hAnsiTheme="majorHAnsi" w:cstheme="majorBidi"/>
      <w:color w:val="081E3E"/>
      <w:spacing w:val="-10"/>
      <w:kern w:val="28"/>
      <w:sz w:val="56"/>
      <w:szCs w:val="56"/>
    </w:rPr>
  </w:style>
  <w:style w:type="character" w:customStyle="1" w:styleId="TitleChar">
    <w:name w:val="Title Char"/>
    <w:basedOn w:val="DefaultParagraphFont"/>
    <w:link w:val="Title"/>
    <w:uiPriority w:val="10"/>
    <w:rsid w:val="00F17327"/>
    <w:rPr>
      <w:rFonts w:asciiTheme="majorHAnsi" w:eastAsiaTheme="majorEastAsia" w:hAnsiTheme="majorHAnsi" w:cstheme="majorBidi"/>
      <w:color w:val="081E3E"/>
      <w:spacing w:val="-10"/>
      <w:kern w:val="28"/>
      <w:sz w:val="56"/>
      <w:szCs w:val="56"/>
      <w:lang w:val="en-AU"/>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Table text,列出段,lp1"/>
    <w:basedOn w:val="Normal"/>
    <w:link w:val="ListParagraphChar"/>
    <w:uiPriority w:val="34"/>
    <w:qFormat/>
    <w:rsid w:val="00186A91"/>
    <w:pPr>
      <w:ind w:left="720"/>
      <w:contextualSpacing/>
    </w:pPr>
  </w:style>
  <w:style w:type="character" w:customStyle="1" w:styleId="Heading2Char">
    <w:name w:val="Heading 2 Char"/>
    <w:basedOn w:val="DefaultParagraphFont"/>
    <w:link w:val="Heading2"/>
    <w:uiPriority w:val="9"/>
    <w:rsid w:val="00CD73C9"/>
    <w:rPr>
      <w:rFonts w:eastAsiaTheme="majorEastAsia" w:cstheme="majorBidi"/>
      <w:color w:val="006666"/>
      <w:spacing w:val="-2"/>
      <w:sz w:val="32"/>
      <w:szCs w:val="26"/>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 Char"/>
    <w:basedOn w:val="DefaultParagraphFont"/>
    <w:link w:val="ListParagraph"/>
    <w:uiPriority w:val="34"/>
    <w:qFormat/>
    <w:locked/>
    <w:rsid w:val="00D122A2"/>
    <w:rPr>
      <w:lang w:val="en-AU"/>
    </w:rPr>
  </w:style>
  <w:style w:type="character" w:styleId="Hyperlink">
    <w:name w:val="Hyperlink"/>
    <w:uiPriority w:val="99"/>
    <w:unhideWhenUsed/>
    <w:rsid w:val="00817518"/>
    <w:rPr>
      <w:color w:val="1F3864" w:themeColor="accent1" w:themeShade="80"/>
      <w:u w:val="single"/>
    </w:rPr>
  </w:style>
  <w:style w:type="paragraph" w:styleId="FootnoteText">
    <w:name w:val="footnote text"/>
    <w:basedOn w:val="Normal"/>
    <w:link w:val="FootnoteTextChar"/>
    <w:uiPriority w:val="3"/>
    <w:unhideWhenUsed/>
    <w:rsid w:val="00106237"/>
    <w:pPr>
      <w:spacing w:before="120" w:after="0" w:line="240" w:lineRule="auto"/>
    </w:pPr>
    <w:rPr>
      <w:rFonts w:ascii="Calibri Light" w:eastAsia="Times New Roman" w:hAnsi="Calibri Light" w:cs="Times New Roman"/>
      <w:sz w:val="20"/>
      <w:szCs w:val="20"/>
      <w:lang w:eastAsia="en-AU"/>
    </w:rPr>
  </w:style>
  <w:style w:type="character" w:customStyle="1" w:styleId="FootnoteTextChar">
    <w:name w:val="Footnote Text Char"/>
    <w:basedOn w:val="DefaultParagraphFont"/>
    <w:link w:val="FootnoteText"/>
    <w:uiPriority w:val="3"/>
    <w:rsid w:val="00106237"/>
    <w:rPr>
      <w:rFonts w:ascii="Calibri Light" w:eastAsia="Times New Roman" w:hAnsi="Calibri Light" w:cs="Times New Roman"/>
      <w:sz w:val="20"/>
      <w:szCs w:val="20"/>
      <w:lang w:val="en-AU" w:eastAsia="en-AU"/>
    </w:rPr>
  </w:style>
  <w:style w:type="paragraph" w:styleId="CommentText">
    <w:name w:val="annotation text"/>
    <w:basedOn w:val="Normal"/>
    <w:link w:val="CommentTextChar"/>
    <w:uiPriority w:val="99"/>
    <w:unhideWhenUsed/>
    <w:rsid w:val="00106237"/>
    <w:pPr>
      <w:spacing w:before="120" w:after="120" w:line="240" w:lineRule="auto"/>
    </w:pPr>
    <w:rPr>
      <w:rFonts w:ascii="Calibri Light" w:eastAsia="Times New Roman" w:hAnsi="Calibri Light" w:cs="Times New Roman"/>
      <w:sz w:val="20"/>
      <w:szCs w:val="20"/>
      <w:lang w:eastAsia="en-AU"/>
    </w:rPr>
  </w:style>
  <w:style w:type="character" w:customStyle="1" w:styleId="CommentTextChar">
    <w:name w:val="Comment Text Char"/>
    <w:basedOn w:val="DefaultParagraphFont"/>
    <w:link w:val="CommentText"/>
    <w:uiPriority w:val="99"/>
    <w:rsid w:val="00106237"/>
    <w:rPr>
      <w:rFonts w:ascii="Calibri Light" w:eastAsia="Times New Roman" w:hAnsi="Calibri Light" w:cs="Times New Roman"/>
      <w:sz w:val="20"/>
      <w:szCs w:val="20"/>
      <w:lang w:val="en-AU" w:eastAsia="en-AU"/>
    </w:rPr>
  </w:style>
  <w:style w:type="character" w:styleId="FootnoteReference">
    <w:name w:val="footnote reference"/>
    <w:basedOn w:val="DefaultParagraphFont"/>
    <w:uiPriority w:val="3"/>
    <w:unhideWhenUsed/>
    <w:rsid w:val="00106237"/>
    <w:rPr>
      <w:vertAlign w:val="superscript"/>
    </w:rPr>
  </w:style>
  <w:style w:type="character" w:styleId="CommentReference">
    <w:name w:val="annotation reference"/>
    <w:basedOn w:val="DefaultParagraphFont"/>
    <w:uiPriority w:val="99"/>
    <w:semiHidden/>
    <w:unhideWhenUsed/>
    <w:rsid w:val="00106237"/>
    <w:rPr>
      <w:sz w:val="16"/>
      <w:szCs w:val="16"/>
    </w:rPr>
  </w:style>
  <w:style w:type="paragraph" w:styleId="BalloonText">
    <w:name w:val="Balloon Text"/>
    <w:basedOn w:val="Normal"/>
    <w:link w:val="BalloonTextChar"/>
    <w:uiPriority w:val="99"/>
    <w:semiHidden/>
    <w:unhideWhenUsed/>
    <w:rsid w:val="00106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237"/>
    <w:rPr>
      <w:rFonts w:ascii="Segoe UI" w:hAnsi="Segoe UI" w:cs="Segoe UI"/>
      <w:sz w:val="18"/>
      <w:szCs w:val="18"/>
      <w:lang w:val="en-AU"/>
    </w:rPr>
  </w:style>
  <w:style w:type="paragraph" w:styleId="NoSpacing">
    <w:name w:val="No Spacing"/>
    <w:uiPriority w:val="1"/>
    <w:qFormat/>
    <w:rsid w:val="006F00B9"/>
    <w:pPr>
      <w:spacing w:after="0" w:line="240" w:lineRule="auto"/>
    </w:pPr>
    <w:rPr>
      <w:lang w:val="en-AU"/>
    </w:rPr>
  </w:style>
  <w:style w:type="paragraph" w:styleId="NormalWeb">
    <w:name w:val="Normal (Web)"/>
    <w:basedOn w:val="Normal"/>
    <w:uiPriority w:val="99"/>
    <w:semiHidden/>
    <w:unhideWhenUsed/>
    <w:rsid w:val="0076051C"/>
    <w:pPr>
      <w:spacing w:before="100" w:beforeAutospacing="1" w:after="100" w:afterAutospacing="1" w:line="240" w:lineRule="auto"/>
    </w:pPr>
    <w:rPr>
      <w:rFonts w:ascii="Calibri" w:hAnsi="Calibri" w:cs="Calibri"/>
      <w:lang w:eastAsia="en-AU"/>
    </w:rPr>
  </w:style>
  <w:style w:type="character" w:customStyle="1" w:styleId="Heading3Char">
    <w:name w:val="Heading 3 Char"/>
    <w:basedOn w:val="DefaultParagraphFont"/>
    <w:link w:val="Heading3"/>
    <w:uiPriority w:val="9"/>
    <w:rsid w:val="00CD73C9"/>
    <w:rPr>
      <w:rFonts w:eastAsiaTheme="majorEastAsia" w:cstheme="majorBidi"/>
      <w:color w:val="006666"/>
      <w:sz w:val="28"/>
      <w:szCs w:val="24"/>
      <w:lang w:val="en-AU"/>
    </w:rPr>
  </w:style>
  <w:style w:type="character" w:customStyle="1" w:styleId="ui-provider">
    <w:name w:val="ui-provider"/>
    <w:basedOn w:val="DefaultParagraphFont"/>
    <w:rsid w:val="00A929FA"/>
  </w:style>
  <w:style w:type="character" w:customStyle="1" w:styleId="Heading4Char">
    <w:name w:val="Heading 4 Char"/>
    <w:basedOn w:val="DefaultParagraphFont"/>
    <w:link w:val="Heading4"/>
    <w:uiPriority w:val="9"/>
    <w:rsid w:val="00CD73C9"/>
    <w:rPr>
      <w:rFonts w:eastAsiaTheme="majorEastAsia" w:cstheme="majorBidi"/>
      <w:i/>
      <w:iCs/>
      <w:color w:val="006666"/>
      <w:sz w:val="24"/>
      <w:lang w:val="en-AU"/>
    </w:rPr>
  </w:style>
  <w:style w:type="paragraph" w:styleId="BodyText">
    <w:name w:val="Body Text"/>
    <w:basedOn w:val="Normal"/>
    <w:link w:val="BodyTextChar"/>
    <w:uiPriority w:val="1"/>
    <w:unhideWhenUsed/>
    <w:qFormat/>
    <w:rsid w:val="000B20A0"/>
    <w:pPr>
      <w:spacing w:before="120" w:after="120" w:line="240" w:lineRule="auto"/>
    </w:pPr>
    <w:rPr>
      <w:rFonts w:ascii="Calibri Light" w:eastAsia="Times New Roman" w:hAnsi="Calibri Light" w:cs="Times New Roman"/>
      <w:szCs w:val="20"/>
      <w:lang w:eastAsia="en-AU"/>
    </w:rPr>
  </w:style>
  <w:style w:type="character" w:customStyle="1" w:styleId="BodyTextChar">
    <w:name w:val="Body Text Char"/>
    <w:basedOn w:val="DefaultParagraphFont"/>
    <w:link w:val="BodyText"/>
    <w:rsid w:val="000B20A0"/>
    <w:rPr>
      <w:rFonts w:ascii="Calibri Light" w:eastAsia="Times New Roman" w:hAnsi="Calibri Light" w:cs="Times New Roman"/>
      <w:szCs w:val="20"/>
      <w:lang w:val="en-AU" w:eastAsia="en-AU"/>
    </w:rPr>
  </w:style>
  <w:style w:type="paragraph" w:customStyle="1" w:styleId="Bullet">
    <w:name w:val="Bullet"/>
    <w:basedOn w:val="Normal"/>
    <w:link w:val="BulletChar"/>
    <w:qFormat/>
    <w:rsid w:val="00ED5B20"/>
    <w:pPr>
      <w:spacing w:before="240" w:after="0" w:line="240" w:lineRule="auto"/>
    </w:pPr>
    <w:rPr>
      <w:rFonts w:eastAsia="Times New Roman" w:cs="Times New Roman"/>
      <w:sz w:val="24"/>
      <w:szCs w:val="20"/>
      <w:lang w:eastAsia="en-AU"/>
    </w:rPr>
  </w:style>
  <w:style w:type="character" w:customStyle="1" w:styleId="DashChar">
    <w:name w:val="Dash Char"/>
    <w:basedOn w:val="DefaultParagraphFont"/>
    <w:link w:val="Dash"/>
    <w:locked/>
    <w:rsid w:val="00ED5B20"/>
    <w:rPr>
      <w:rFonts w:eastAsia="Times New Roman" w:cs="Calibri"/>
      <w:sz w:val="24"/>
      <w:lang w:eastAsia="en-AU"/>
    </w:rPr>
  </w:style>
  <w:style w:type="paragraph" w:customStyle="1" w:styleId="Dash">
    <w:name w:val="Dash"/>
    <w:basedOn w:val="Normal"/>
    <w:link w:val="DashChar"/>
    <w:qFormat/>
    <w:rsid w:val="00ED5B20"/>
    <w:pPr>
      <w:numPr>
        <w:ilvl w:val="1"/>
        <w:numId w:val="2"/>
      </w:numPr>
      <w:spacing w:after="200" w:line="240" w:lineRule="auto"/>
    </w:pPr>
    <w:rPr>
      <w:rFonts w:eastAsia="Times New Roman" w:cs="Calibri"/>
      <w:sz w:val="24"/>
      <w:lang w:val="en-US" w:eastAsia="en-AU"/>
    </w:rPr>
  </w:style>
  <w:style w:type="paragraph" w:customStyle="1" w:styleId="DoubleDot">
    <w:name w:val="Double Dot"/>
    <w:basedOn w:val="Normal"/>
    <w:qFormat/>
    <w:rsid w:val="00ED5B20"/>
    <w:pPr>
      <w:numPr>
        <w:ilvl w:val="2"/>
        <w:numId w:val="2"/>
      </w:numPr>
      <w:spacing w:after="200" w:line="240" w:lineRule="auto"/>
    </w:pPr>
    <w:rPr>
      <w:rFonts w:eastAsia="Times New Roman" w:cs="Times New Roman"/>
      <w:sz w:val="24"/>
      <w:szCs w:val="20"/>
      <w:lang w:eastAsia="en-AU"/>
    </w:rPr>
  </w:style>
  <w:style w:type="paragraph" w:customStyle="1" w:styleId="Box1Bullet1">
    <w:name w:val="Box 1 Bullet 1"/>
    <w:basedOn w:val="Normal"/>
    <w:uiPriority w:val="24"/>
    <w:qFormat/>
    <w:rsid w:val="00ED5B20"/>
    <w:pPr>
      <w:numPr>
        <w:numId w:val="3"/>
      </w:numPr>
      <w:pBdr>
        <w:top w:val="single" w:sz="4" w:space="14" w:color="205277"/>
        <w:left w:val="single" w:sz="4" w:space="14" w:color="205277"/>
        <w:bottom w:val="single" w:sz="4" w:space="14" w:color="205277"/>
        <w:right w:val="single" w:sz="4" w:space="14" w:color="205277"/>
      </w:pBdr>
      <w:suppressAutoHyphens/>
      <w:spacing w:before="80" w:after="80" w:line="240" w:lineRule="auto"/>
      <w:ind w:right="284"/>
    </w:pPr>
    <w:rPr>
      <w:color w:val="000000" w:themeColor="text1"/>
      <w:kern w:val="12"/>
      <w:sz w:val="20"/>
      <w:szCs w:val="20"/>
      <w:lang w:val="x-none"/>
    </w:rPr>
  </w:style>
  <w:style w:type="character" w:customStyle="1" w:styleId="Box2Bullet1Char">
    <w:name w:val="Box 2 Bullet 1 Char"/>
    <w:basedOn w:val="DefaultParagraphFont"/>
    <w:link w:val="Box2Bullet1"/>
    <w:uiPriority w:val="25"/>
    <w:locked/>
    <w:rsid w:val="00ED5B20"/>
    <w:rPr>
      <w:kern w:val="12"/>
      <w:sz w:val="20"/>
      <w:szCs w:val="20"/>
      <w:shd w:val="clear" w:color="auto" w:fill="CAD5DD"/>
      <w:lang w:val="x-none"/>
    </w:rPr>
  </w:style>
  <w:style w:type="paragraph" w:customStyle="1" w:styleId="Box2Bullet1">
    <w:name w:val="Box 2 Bullet 1"/>
    <w:basedOn w:val="Normal"/>
    <w:link w:val="Box2Bullet1Char"/>
    <w:uiPriority w:val="25"/>
    <w:qFormat/>
    <w:rsid w:val="00ED5B20"/>
    <w:pPr>
      <w:numPr>
        <w:ilvl w:val="1"/>
        <w:numId w:val="3"/>
      </w:numPr>
      <w:pBdr>
        <w:top w:val="single" w:sz="4" w:space="14" w:color="DEEAF6" w:themeColor="accent5" w:themeTint="33"/>
        <w:left w:val="single" w:sz="4" w:space="14" w:color="DEEAF6" w:themeColor="accent5" w:themeTint="33"/>
        <w:bottom w:val="single" w:sz="4" w:space="14" w:color="DEEAF6" w:themeColor="accent5" w:themeTint="33"/>
        <w:right w:val="single" w:sz="4" w:space="14" w:color="DEEAF6" w:themeColor="accent5" w:themeTint="33"/>
      </w:pBdr>
      <w:shd w:val="clear" w:color="auto" w:fill="CAD5DD"/>
      <w:suppressAutoHyphens/>
      <w:spacing w:before="80" w:after="80" w:line="240" w:lineRule="auto"/>
      <w:ind w:right="284"/>
    </w:pPr>
    <w:rPr>
      <w:kern w:val="12"/>
      <w:sz w:val="20"/>
      <w:szCs w:val="20"/>
      <w:lang w:val="x-none"/>
    </w:rPr>
  </w:style>
  <w:style w:type="numbering" w:customStyle="1" w:styleId="BoxedBullets">
    <w:name w:val="Boxed Bullets"/>
    <w:uiPriority w:val="99"/>
    <w:rsid w:val="00ED5B20"/>
    <w:pPr>
      <w:numPr>
        <w:numId w:val="3"/>
      </w:numPr>
    </w:pPr>
  </w:style>
  <w:style w:type="paragraph" w:styleId="CommentSubject">
    <w:name w:val="annotation subject"/>
    <w:basedOn w:val="CommentText"/>
    <w:next w:val="CommentText"/>
    <w:link w:val="CommentSubjectChar"/>
    <w:uiPriority w:val="99"/>
    <w:semiHidden/>
    <w:unhideWhenUsed/>
    <w:rsid w:val="003747EB"/>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747EB"/>
    <w:rPr>
      <w:rFonts w:ascii="Calibri Light" w:eastAsia="Times New Roman" w:hAnsi="Calibri Light" w:cs="Times New Roman"/>
      <w:b/>
      <w:bCs/>
      <w:sz w:val="20"/>
      <w:szCs w:val="20"/>
      <w:lang w:val="en-AU" w:eastAsia="en-AU"/>
    </w:rPr>
  </w:style>
  <w:style w:type="character" w:customStyle="1" w:styleId="BulletChar">
    <w:name w:val="Bullet Char"/>
    <w:basedOn w:val="DefaultParagraphFont"/>
    <w:link w:val="Bullet"/>
    <w:rsid w:val="00E4288B"/>
    <w:rPr>
      <w:rFonts w:eastAsia="Times New Roman" w:cs="Times New Roman"/>
      <w:sz w:val="24"/>
      <w:szCs w:val="20"/>
      <w:lang w:val="en-AU" w:eastAsia="en-AU"/>
    </w:rPr>
  </w:style>
  <w:style w:type="paragraph" w:styleId="Header">
    <w:name w:val="header"/>
    <w:basedOn w:val="Normal"/>
    <w:link w:val="HeaderChar"/>
    <w:uiPriority w:val="99"/>
    <w:unhideWhenUsed/>
    <w:rsid w:val="00A13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9C3"/>
    <w:rPr>
      <w:lang w:val="en-AU"/>
    </w:rPr>
  </w:style>
  <w:style w:type="paragraph" w:styleId="Footer">
    <w:name w:val="footer"/>
    <w:basedOn w:val="Normal"/>
    <w:link w:val="FooterChar"/>
    <w:uiPriority w:val="99"/>
    <w:unhideWhenUsed/>
    <w:rsid w:val="00A13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9C3"/>
    <w:rPr>
      <w:lang w:val="en-AU"/>
    </w:rPr>
  </w:style>
  <w:style w:type="character" w:customStyle="1" w:styleId="normaltextrun">
    <w:name w:val="normaltextrun"/>
    <w:basedOn w:val="DefaultParagraphFont"/>
    <w:rsid w:val="00464772"/>
  </w:style>
  <w:style w:type="paragraph" w:styleId="Revision">
    <w:name w:val="Revision"/>
    <w:hidden/>
    <w:uiPriority w:val="99"/>
    <w:semiHidden/>
    <w:rsid w:val="00DC4C44"/>
    <w:pPr>
      <w:spacing w:after="0" w:line="240" w:lineRule="auto"/>
    </w:pPr>
    <w:rPr>
      <w:lang w:val="en-AU"/>
    </w:rPr>
  </w:style>
  <w:style w:type="table" w:styleId="TableGrid">
    <w:name w:val="Table Grid"/>
    <w:basedOn w:val="TableNormal"/>
    <w:uiPriority w:val="39"/>
    <w:rsid w:val="00A748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29686C"/>
    <w:rPr>
      <w:color w:val="2B579A"/>
      <w:shd w:val="clear" w:color="auto" w:fill="E1DFDD"/>
    </w:rPr>
  </w:style>
  <w:style w:type="character" w:styleId="FollowedHyperlink">
    <w:name w:val="FollowedHyperlink"/>
    <w:basedOn w:val="DefaultParagraphFont"/>
    <w:uiPriority w:val="99"/>
    <w:semiHidden/>
    <w:unhideWhenUsed/>
    <w:rsid w:val="0067260E"/>
    <w:rPr>
      <w:color w:val="954F72" w:themeColor="followedHyperlink"/>
      <w:u w:val="single"/>
    </w:rPr>
  </w:style>
  <w:style w:type="paragraph" w:customStyle="1" w:styleId="SecurityClassificationHeader">
    <w:name w:val="Security Classification Header"/>
    <w:link w:val="SecurityClassificationHeaderChar"/>
    <w:rsid w:val="0056138D"/>
    <w:pPr>
      <w:spacing w:before="360" w:after="60"/>
      <w:jc w:val="center"/>
    </w:pPr>
    <w:rPr>
      <w:b/>
      <w:color w:val="FF0000"/>
      <w:sz w:val="24"/>
      <w:lang w:val="en-AU"/>
    </w:rPr>
  </w:style>
  <w:style w:type="character" w:customStyle="1" w:styleId="SecurityClassificationHeaderChar">
    <w:name w:val="Security Classification Header Char"/>
    <w:basedOn w:val="HeaderChar"/>
    <w:link w:val="SecurityClassificationHeader"/>
    <w:rsid w:val="0056138D"/>
    <w:rPr>
      <w:b/>
      <w:color w:val="FF0000"/>
      <w:sz w:val="24"/>
      <w:lang w:val="en-AU"/>
    </w:rPr>
  </w:style>
  <w:style w:type="paragraph" w:customStyle="1" w:styleId="SecurityClassificationFooter">
    <w:name w:val="Security Classification Footer"/>
    <w:link w:val="SecurityClassificationFooterChar"/>
    <w:rsid w:val="0056138D"/>
    <w:pPr>
      <w:spacing w:before="240" w:after="60"/>
      <w:jc w:val="center"/>
    </w:pPr>
    <w:rPr>
      <w:b/>
      <w:color w:val="FF0000"/>
      <w:sz w:val="24"/>
      <w:lang w:val="en-AU"/>
    </w:rPr>
  </w:style>
  <w:style w:type="character" w:customStyle="1" w:styleId="SecurityClassificationFooterChar">
    <w:name w:val="Security Classification Footer Char"/>
    <w:basedOn w:val="HeaderChar"/>
    <w:link w:val="SecurityClassificationFooter"/>
    <w:rsid w:val="0056138D"/>
    <w:rPr>
      <w:b/>
      <w:color w:val="FF0000"/>
      <w:sz w:val="24"/>
      <w:lang w:val="en-AU"/>
    </w:rPr>
  </w:style>
  <w:style w:type="paragraph" w:customStyle="1" w:styleId="DLMSecurityHeader">
    <w:name w:val="DLM Security Header"/>
    <w:link w:val="DLMSecurityHeaderChar"/>
    <w:rsid w:val="0056138D"/>
    <w:pPr>
      <w:spacing w:before="360" w:after="60"/>
      <w:jc w:val="center"/>
    </w:pPr>
    <w:rPr>
      <w:b/>
      <w:color w:val="FF0000"/>
      <w:sz w:val="24"/>
      <w:lang w:val="en-AU"/>
    </w:rPr>
  </w:style>
  <w:style w:type="character" w:customStyle="1" w:styleId="DLMSecurityHeaderChar">
    <w:name w:val="DLM Security Header Char"/>
    <w:basedOn w:val="HeaderChar"/>
    <w:link w:val="DLMSecurityHeader"/>
    <w:rsid w:val="0056138D"/>
    <w:rPr>
      <w:b/>
      <w:color w:val="FF0000"/>
      <w:sz w:val="24"/>
      <w:lang w:val="en-AU"/>
    </w:rPr>
  </w:style>
  <w:style w:type="paragraph" w:customStyle="1" w:styleId="DLMSecurityFooter">
    <w:name w:val="DLM Security Footer"/>
    <w:link w:val="DLMSecurityFooterChar"/>
    <w:rsid w:val="0056138D"/>
    <w:pPr>
      <w:spacing w:before="360" w:after="60"/>
      <w:jc w:val="center"/>
    </w:pPr>
    <w:rPr>
      <w:b/>
      <w:color w:val="FF0000"/>
      <w:sz w:val="24"/>
      <w:lang w:val="en-AU"/>
    </w:rPr>
  </w:style>
  <w:style w:type="character" w:customStyle="1" w:styleId="DLMSecurityFooterChar">
    <w:name w:val="DLM Security Footer Char"/>
    <w:basedOn w:val="HeaderChar"/>
    <w:link w:val="DLMSecurityFooter"/>
    <w:rsid w:val="0056138D"/>
    <w:rPr>
      <w:b/>
      <w:color w:val="FF0000"/>
      <w:sz w:val="24"/>
      <w:lang w:val="en-AU"/>
    </w:rPr>
  </w:style>
  <w:style w:type="paragraph" w:styleId="TOCHeading">
    <w:name w:val="TOC Heading"/>
    <w:basedOn w:val="Heading1"/>
    <w:next w:val="Normal"/>
    <w:uiPriority w:val="39"/>
    <w:unhideWhenUsed/>
    <w:qFormat/>
    <w:rsid w:val="000833D6"/>
    <w:pPr>
      <w:outlineLvl w:val="9"/>
    </w:pPr>
    <w:rPr>
      <w:lang w:val="en-US"/>
    </w:rPr>
  </w:style>
  <w:style w:type="paragraph" w:styleId="TOC1">
    <w:name w:val="toc 1"/>
    <w:basedOn w:val="Normal"/>
    <w:next w:val="Normal"/>
    <w:autoRedefine/>
    <w:uiPriority w:val="39"/>
    <w:unhideWhenUsed/>
    <w:rsid w:val="000833D6"/>
    <w:pPr>
      <w:spacing w:after="100"/>
    </w:pPr>
  </w:style>
  <w:style w:type="paragraph" w:styleId="TOC2">
    <w:name w:val="toc 2"/>
    <w:basedOn w:val="Normal"/>
    <w:next w:val="Normal"/>
    <w:autoRedefine/>
    <w:uiPriority w:val="39"/>
    <w:unhideWhenUsed/>
    <w:rsid w:val="000833D6"/>
    <w:pPr>
      <w:spacing w:after="100"/>
      <w:ind w:left="220"/>
    </w:pPr>
  </w:style>
  <w:style w:type="paragraph" w:styleId="TOC3">
    <w:name w:val="toc 3"/>
    <w:basedOn w:val="Normal"/>
    <w:next w:val="Normal"/>
    <w:autoRedefine/>
    <w:uiPriority w:val="39"/>
    <w:unhideWhenUsed/>
    <w:rsid w:val="00624C33"/>
    <w:pPr>
      <w:spacing w:after="100"/>
      <w:ind w:left="440"/>
    </w:pPr>
  </w:style>
  <w:style w:type="paragraph" w:customStyle="1" w:styleId="ImprintHeading">
    <w:name w:val="Imprint Heading"/>
    <w:basedOn w:val="Normal"/>
    <w:uiPriority w:val="12"/>
    <w:rsid w:val="00D11DC7"/>
    <w:pPr>
      <w:suppressAutoHyphens/>
      <w:spacing w:before="80" w:after="40" w:line="240" w:lineRule="auto"/>
      <w:outlineLvl w:val="1"/>
    </w:pPr>
    <w:rPr>
      <w:b/>
      <w:color w:val="000000" w:themeColor="text1"/>
      <w:lang w:val="x-none"/>
    </w:rPr>
  </w:style>
  <w:style w:type="character" w:styleId="UnresolvedMention">
    <w:name w:val="Unresolved Mention"/>
    <w:basedOn w:val="DefaultParagraphFont"/>
    <w:uiPriority w:val="99"/>
    <w:semiHidden/>
    <w:unhideWhenUsed/>
    <w:rsid w:val="00013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3584">
      <w:bodyDiv w:val="1"/>
      <w:marLeft w:val="0"/>
      <w:marRight w:val="0"/>
      <w:marTop w:val="0"/>
      <w:marBottom w:val="0"/>
      <w:divBdr>
        <w:top w:val="none" w:sz="0" w:space="0" w:color="auto"/>
        <w:left w:val="none" w:sz="0" w:space="0" w:color="auto"/>
        <w:bottom w:val="none" w:sz="0" w:space="0" w:color="auto"/>
        <w:right w:val="none" w:sz="0" w:space="0" w:color="auto"/>
      </w:divBdr>
    </w:div>
    <w:div w:id="74978586">
      <w:bodyDiv w:val="1"/>
      <w:marLeft w:val="0"/>
      <w:marRight w:val="0"/>
      <w:marTop w:val="0"/>
      <w:marBottom w:val="0"/>
      <w:divBdr>
        <w:top w:val="none" w:sz="0" w:space="0" w:color="auto"/>
        <w:left w:val="none" w:sz="0" w:space="0" w:color="auto"/>
        <w:bottom w:val="none" w:sz="0" w:space="0" w:color="auto"/>
        <w:right w:val="none" w:sz="0" w:space="0" w:color="auto"/>
      </w:divBdr>
    </w:div>
    <w:div w:id="153691128">
      <w:bodyDiv w:val="1"/>
      <w:marLeft w:val="0"/>
      <w:marRight w:val="0"/>
      <w:marTop w:val="0"/>
      <w:marBottom w:val="0"/>
      <w:divBdr>
        <w:top w:val="none" w:sz="0" w:space="0" w:color="auto"/>
        <w:left w:val="none" w:sz="0" w:space="0" w:color="auto"/>
        <w:bottom w:val="none" w:sz="0" w:space="0" w:color="auto"/>
        <w:right w:val="none" w:sz="0" w:space="0" w:color="auto"/>
      </w:divBdr>
    </w:div>
    <w:div w:id="266472348">
      <w:bodyDiv w:val="1"/>
      <w:marLeft w:val="0"/>
      <w:marRight w:val="0"/>
      <w:marTop w:val="0"/>
      <w:marBottom w:val="0"/>
      <w:divBdr>
        <w:top w:val="none" w:sz="0" w:space="0" w:color="auto"/>
        <w:left w:val="none" w:sz="0" w:space="0" w:color="auto"/>
        <w:bottom w:val="none" w:sz="0" w:space="0" w:color="auto"/>
        <w:right w:val="none" w:sz="0" w:space="0" w:color="auto"/>
      </w:divBdr>
    </w:div>
    <w:div w:id="285476012">
      <w:bodyDiv w:val="1"/>
      <w:marLeft w:val="0"/>
      <w:marRight w:val="0"/>
      <w:marTop w:val="0"/>
      <w:marBottom w:val="0"/>
      <w:divBdr>
        <w:top w:val="none" w:sz="0" w:space="0" w:color="auto"/>
        <w:left w:val="none" w:sz="0" w:space="0" w:color="auto"/>
        <w:bottom w:val="none" w:sz="0" w:space="0" w:color="auto"/>
        <w:right w:val="none" w:sz="0" w:space="0" w:color="auto"/>
      </w:divBdr>
    </w:div>
    <w:div w:id="348259391">
      <w:bodyDiv w:val="1"/>
      <w:marLeft w:val="0"/>
      <w:marRight w:val="0"/>
      <w:marTop w:val="0"/>
      <w:marBottom w:val="0"/>
      <w:divBdr>
        <w:top w:val="none" w:sz="0" w:space="0" w:color="auto"/>
        <w:left w:val="none" w:sz="0" w:space="0" w:color="auto"/>
        <w:bottom w:val="none" w:sz="0" w:space="0" w:color="auto"/>
        <w:right w:val="none" w:sz="0" w:space="0" w:color="auto"/>
      </w:divBdr>
    </w:div>
    <w:div w:id="371465673">
      <w:bodyDiv w:val="1"/>
      <w:marLeft w:val="0"/>
      <w:marRight w:val="0"/>
      <w:marTop w:val="0"/>
      <w:marBottom w:val="0"/>
      <w:divBdr>
        <w:top w:val="none" w:sz="0" w:space="0" w:color="auto"/>
        <w:left w:val="none" w:sz="0" w:space="0" w:color="auto"/>
        <w:bottom w:val="none" w:sz="0" w:space="0" w:color="auto"/>
        <w:right w:val="none" w:sz="0" w:space="0" w:color="auto"/>
      </w:divBdr>
    </w:div>
    <w:div w:id="478772213">
      <w:bodyDiv w:val="1"/>
      <w:marLeft w:val="0"/>
      <w:marRight w:val="0"/>
      <w:marTop w:val="0"/>
      <w:marBottom w:val="0"/>
      <w:divBdr>
        <w:top w:val="none" w:sz="0" w:space="0" w:color="auto"/>
        <w:left w:val="none" w:sz="0" w:space="0" w:color="auto"/>
        <w:bottom w:val="none" w:sz="0" w:space="0" w:color="auto"/>
        <w:right w:val="none" w:sz="0" w:space="0" w:color="auto"/>
      </w:divBdr>
    </w:div>
    <w:div w:id="829448703">
      <w:bodyDiv w:val="1"/>
      <w:marLeft w:val="0"/>
      <w:marRight w:val="0"/>
      <w:marTop w:val="0"/>
      <w:marBottom w:val="0"/>
      <w:divBdr>
        <w:top w:val="none" w:sz="0" w:space="0" w:color="auto"/>
        <w:left w:val="none" w:sz="0" w:space="0" w:color="auto"/>
        <w:bottom w:val="none" w:sz="0" w:space="0" w:color="auto"/>
        <w:right w:val="none" w:sz="0" w:space="0" w:color="auto"/>
      </w:divBdr>
    </w:div>
    <w:div w:id="923297171">
      <w:bodyDiv w:val="1"/>
      <w:marLeft w:val="0"/>
      <w:marRight w:val="0"/>
      <w:marTop w:val="0"/>
      <w:marBottom w:val="0"/>
      <w:divBdr>
        <w:top w:val="none" w:sz="0" w:space="0" w:color="auto"/>
        <w:left w:val="none" w:sz="0" w:space="0" w:color="auto"/>
        <w:bottom w:val="none" w:sz="0" w:space="0" w:color="auto"/>
        <w:right w:val="none" w:sz="0" w:space="0" w:color="auto"/>
      </w:divBdr>
    </w:div>
    <w:div w:id="1024286134">
      <w:bodyDiv w:val="1"/>
      <w:marLeft w:val="0"/>
      <w:marRight w:val="0"/>
      <w:marTop w:val="0"/>
      <w:marBottom w:val="0"/>
      <w:divBdr>
        <w:top w:val="none" w:sz="0" w:space="0" w:color="auto"/>
        <w:left w:val="none" w:sz="0" w:space="0" w:color="auto"/>
        <w:bottom w:val="none" w:sz="0" w:space="0" w:color="auto"/>
        <w:right w:val="none" w:sz="0" w:space="0" w:color="auto"/>
      </w:divBdr>
    </w:div>
    <w:div w:id="1058406779">
      <w:bodyDiv w:val="1"/>
      <w:marLeft w:val="0"/>
      <w:marRight w:val="0"/>
      <w:marTop w:val="0"/>
      <w:marBottom w:val="0"/>
      <w:divBdr>
        <w:top w:val="none" w:sz="0" w:space="0" w:color="auto"/>
        <w:left w:val="none" w:sz="0" w:space="0" w:color="auto"/>
        <w:bottom w:val="none" w:sz="0" w:space="0" w:color="auto"/>
        <w:right w:val="none" w:sz="0" w:space="0" w:color="auto"/>
      </w:divBdr>
    </w:div>
    <w:div w:id="1081100564">
      <w:bodyDiv w:val="1"/>
      <w:marLeft w:val="0"/>
      <w:marRight w:val="0"/>
      <w:marTop w:val="0"/>
      <w:marBottom w:val="0"/>
      <w:divBdr>
        <w:top w:val="none" w:sz="0" w:space="0" w:color="auto"/>
        <w:left w:val="none" w:sz="0" w:space="0" w:color="auto"/>
        <w:bottom w:val="none" w:sz="0" w:space="0" w:color="auto"/>
        <w:right w:val="none" w:sz="0" w:space="0" w:color="auto"/>
      </w:divBdr>
    </w:div>
    <w:div w:id="1219977677">
      <w:bodyDiv w:val="1"/>
      <w:marLeft w:val="0"/>
      <w:marRight w:val="0"/>
      <w:marTop w:val="0"/>
      <w:marBottom w:val="0"/>
      <w:divBdr>
        <w:top w:val="none" w:sz="0" w:space="0" w:color="auto"/>
        <w:left w:val="none" w:sz="0" w:space="0" w:color="auto"/>
        <w:bottom w:val="none" w:sz="0" w:space="0" w:color="auto"/>
        <w:right w:val="none" w:sz="0" w:space="0" w:color="auto"/>
      </w:divBdr>
    </w:div>
    <w:div w:id="1231378636">
      <w:bodyDiv w:val="1"/>
      <w:marLeft w:val="0"/>
      <w:marRight w:val="0"/>
      <w:marTop w:val="0"/>
      <w:marBottom w:val="0"/>
      <w:divBdr>
        <w:top w:val="none" w:sz="0" w:space="0" w:color="auto"/>
        <w:left w:val="none" w:sz="0" w:space="0" w:color="auto"/>
        <w:bottom w:val="none" w:sz="0" w:space="0" w:color="auto"/>
        <w:right w:val="none" w:sz="0" w:space="0" w:color="auto"/>
      </w:divBdr>
    </w:div>
    <w:div w:id="1239830472">
      <w:bodyDiv w:val="1"/>
      <w:marLeft w:val="0"/>
      <w:marRight w:val="0"/>
      <w:marTop w:val="0"/>
      <w:marBottom w:val="0"/>
      <w:divBdr>
        <w:top w:val="none" w:sz="0" w:space="0" w:color="auto"/>
        <w:left w:val="none" w:sz="0" w:space="0" w:color="auto"/>
        <w:bottom w:val="none" w:sz="0" w:space="0" w:color="auto"/>
        <w:right w:val="none" w:sz="0" w:space="0" w:color="auto"/>
      </w:divBdr>
    </w:div>
    <w:div w:id="1242252654">
      <w:bodyDiv w:val="1"/>
      <w:marLeft w:val="0"/>
      <w:marRight w:val="0"/>
      <w:marTop w:val="0"/>
      <w:marBottom w:val="0"/>
      <w:divBdr>
        <w:top w:val="none" w:sz="0" w:space="0" w:color="auto"/>
        <w:left w:val="none" w:sz="0" w:space="0" w:color="auto"/>
        <w:bottom w:val="none" w:sz="0" w:space="0" w:color="auto"/>
        <w:right w:val="none" w:sz="0" w:space="0" w:color="auto"/>
      </w:divBdr>
      <w:divsChild>
        <w:div w:id="245572824">
          <w:marLeft w:val="274"/>
          <w:marRight w:val="0"/>
          <w:marTop w:val="0"/>
          <w:marBottom w:val="0"/>
          <w:divBdr>
            <w:top w:val="none" w:sz="0" w:space="0" w:color="auto"/>
            <w:left w:val="none" w:sz="0" w:space="0" w:color="auto"/>
            <w:bottom w:val="none" w:sz="0" w:space="0" w:color="auto"/>
            <w:right w:val="none" w:sz="0" w:space="0" w:color="auto"/>
          </w:divBdr>
        </w:div>
        <w:div w:id="701713126">
          <w:marLeft w:val="274"/>
          <w:marRight w:val="0"/>
          <w:marTop w:val="0"/>
          <w:marBottom w:val="0"/>
          <w:divBdr>
            <w:top w:val="none" w:sz="0" w:space="0" w:color="auto"/>
            <w:left w:val="none" w:sz="0" w:space="0" w:color="auto"/>
            <w:bottom w:val="none" w:sz="0" w:space="0" w:color="auto"/>
            <w:right w:val="none" w:sz="0" w:space="0" w:color="auto"/>
          </w:divBdr>
        </w:div>
        <w:div w:id="905263599">
          <w:marLeft w:val="274"/>
          <w:marRight w:val="0"/>
          <w:marTop w:val="0"/>
          <w:marBottom w:val="0"/>
          <w:divBdr>
            <w:top w:val="none" w:sz="0" w:space="0" w:color="auto"/>
            <w:left w:val="none" w:sz="0" w:space="0" w:color="auto"/>
            <w:bottom w:val="none" w:sz="0" w:space="0" w:color="auto"/>
            <w:right w:val="none" w:sz="0" w:space="0" w:color="auto"/>
          </w:divBdr>
        </w:div>
        <w:div w:id="953757319">
          <w:marLeft w:val="274"/>
          <w:marRight w:val="0"/>
          <w:marTop w:val="0"/>
          <w:marBottom w:val="0"/>
          <w:divBdr>
            <w:top w:val="none" w:sz="0" w:space="0" w:color="auto"/>
            <w:left w:val="none" w:sz="0" w:space="0" w:color="auto"/>
            <w:bottom w:val="none" w:sz="0" w:space="0" w:color="auto"/>
            <w:right w:val="none" w:sz="0" w:space="0" w:color="auto"/>
          </w:divBdr>
        </w:div>
        <w:div w:id="1347713709">
          <w:marLeft w:val="274"/>
          <w:marRight w:val="0"/>
          <w:marTop w:val="0"/>
          <w:marBottom w:val="0"/>
          <w:divBdr>
            <w:top w:val="none" w:sz="0" w:space="0" w:color="auto"/>
            <w:left w:val="none" w:sz="0" w:space="0" w:color="auto"/>
            <w:bottom w:val="none" w:sz="0" w:space="0" w:color="auto"/>
            <w:right w:val="none" w:sz="0" w:space="0" w:color="auto"/>
          </w:divBdr>
        </w:div>
        <w:div w:id="1348556159">
          <w:marLeft w:val="274"/>
          <w:marRight w:val="0"/>
          <w:marTop w:val="0"/>
          <w:marBottom w:val="0"/>
          <w:divBdr>
            <w:top w:val="none" w:sz="0" w:space="0" w:color="auto"/>
            <w:left w:val="none" w:sz="0" w:space="0" w:color="auto"/>
            <w:bottom w:val="none" w:sz="0" w:space="0" w:color="auto"/>
            <w:right w:val="none" w:sz="0" w:space="0" w:color="auto"/>
          </w:divBdr>
        </w:div>
        <w:div w:id="2060547379">
          <w:marLeft w:val="274"/>
          <w:marRight w:val="0"/>
          <w:marTop w:val="0"/>
          <w:marBottom w:val="0"/>
          <w:divBdr>
            <w:top w:val="none" w:sz="0" w:space="0" w:color="auto"/>
            <w:left w:val="none" w:sz="0" w:space="0" w:color="auto"/>
            <w:bottom w:val="none" w:sz="0" w:space="0" w:color="auto"/>
            <w:right w:val="none" w:sz="0" w:space="0" w:color="auto"/>
          </w:divBdr>
        </w:div>
      </w:divsChild>
    </w:div>
    <w:div w:id="1268392865">
      <w:bodyDiv w:val="1"/>
      <w:marLeft w:val="0"/>
      <w:marRight w:val="0"/>
      <w:marTop w:val="0"/>
      <w:marBottom w:val="0"/>
      <w:divBdr>
        <w:top w:val="none" w:sz="0" w:space="0" w:color="auto"/>
        <w:left w:val="none" w:sz="0" w:space="0" w:color="auto"/>
        <w:bottom w:val="none" w:sz="0" w:space="0" w:color="auto"/>
        <w:right w:val="none" w:sz="0" w:space="0" w:color="auto"/>
      </w:divBdr>
    </w:div>
    <w:div w:id="1276717289">
      <w:bodyDiv w:val="1"/>
      <w:marLeft w:val="0"/>
      <w:marRight w:val="0"/>
      <w:marTop w:val="0"/>
      <w:marBottom w:val="0"/>
      <w:divBdr>
        <w:top w:val="none" w:sz="0" w:space="0" w:color="auto"/>
        <w:left w:val="none" w:sz="0" w:space="0" w:color="auto"/>
        <w:bottom w:val="none" w:sz="0" w:space="0" w:color="auto"/>
        <w:right w:val="none" w:sz="0" w:space="0" w:color="auto"/>
      </w:divBdr>
    </w:div>
    <w:div w:id="1440678911">
      <w:bodyDiv w:val="1"/>
      <w:marLeft w:val="0"/>
      <w:marRight w:val="0"/>
      <w:marTop w:val="0"/>
      <w:marBottom w:val="0"/>
      <w:divBdr>
        <w:top w:val="none" w:sz="0" w:space="0" w:color="auto"/>
        <w:left w:val="none" w:sz="0" w:space="0" w:color="auto"/>
        <w:bottom w:val="none" w:sz="0" w:space="0" w:color="auto"/>
        <w:right w:val="none" w:sz="0" w:space="0" w:color="auto"/>
      </w:divBdr>
    </w:div>
    <w:div w:id="1450582782">
      <w:bodyDiv w:val="1"/>
      <w:marLeft w:val="0"/>
      <w:marRight w:val="0"/>
      <w:marTop w:val="0"/>
      <w:marBottom w:val="0"/>
      <w:divBdr>
        <w:top w:val="none" w:sz="0" w:space="0" w:color="auto"/>
        <w:left w:val="none" w:sz="0" w:space="0" w:color="auto"/>
        <w:bottom w:val="none" w:sz="0" w:space="0" w:color="auto"/>
        <w:right w:val="none" w:sz="0" w:space="0" w:color="auto"/>
      </w:divBdr>
    </w:div>
    <w:div w:id="1488783227">
      <w:bodyDiv w:val="1"/>
      <w:marLeft w:val="0"/>
      <w:marRight w:val="0"/>
      <w:marTop w:val="0"/>
      <w:marBottom w:val="0"/>
      <w:divBdr>
        <w:top w:val="none" w:sz="0" w:space="0" w:color="auto"/>
        <w:left w:val="none" w:sz="0" w:space="0" w:color="auto"/>
        <w:bottom w:val="none" w:sz="0" w:space="0" w:color="auto"/>
        <w:right w:val="none" w:sz="0" w:space="0" w:color="auto"/>
      </w:divBdr>
    </w:div>
    <w:div w:id="1623270886">
      <w:bodyDiv w:val="1"/>
      <w:marLeft w:val="0"/>
      <w:marRight w:val="0"/>
      <w:marTop w:val="0"/>
      <w:marBottom w:val="0"/>
      <w:divBdr>
        <w:top w:val="none" w:sz="0" w:space="0" w:color="auto"/>
        <w:left w:val="none" w:sz="0" w:space="0" w:color="auto"/>
        <w:bottom w:val="none" w:sz="0" w:space="0" w:color="auto"/>
        <w:right w:val="none" w:sz="0" w:space="0" w:color="auto"/>
      </w:divBdr>
    </w:div>
    <w:div w:id="1697585686">
      <w:bodyDiv w:val="1"/>
      <w:marLeft w:val="0"/>
      <w:marRight w:val="0"/>
      <w:marTop w:val="0"/>
      <w:marBottom w:val="0"/>
      <w:divBdr>
        <w:top w:val="none" w:sz="0" w:space="0" w:color="auto"/>
        <w:left w:val="none" w:sz="0" w:space="0" w:color="auto"/>
        <w:bottom w:val="none" w:sz="0" w:space="0" w:color="auto"/>
        <w:right w:val="none" w:sz="0" w:space="0" w:color="auto"/>
      </w:divBdr>
    </w:div>
    <w:div w:id="1743485434">
      <w:bodyDiv w:val="1"/>
      <w:marLeft w:val="0"/>
      <w:marRight w:val="0"/>
      <w:marTop w:val="0"/>
      <w:marBottom w:val="0"/>
      <w:divBdr>
        <w:top w:val="none" w:sz="0" w:space="0" w:color="auto"/>
        <w:left w:val="none" w:sz="0" w:space="0" w:color="auto"/>
        <w:bottom w:val="none" w:sz="0" w:space="0" w:color="auto"/>
        <w:right w:val="none" w:sz="0" w:space="0" w:color="auto"/>
      </w:divBdr>
    </w:div>
    <w:div w:id="1750929398">
      <w:bodyDiv w:val="1"/>
      <w:marLeft w:val="0"/>
      <w:marRight w:val="0"/>
      <w:marTop w:val="0"/>
      <w:marBottom w:val="0"/>
      <w:divBdr>
        <w:top w:val="none" w:sz="0" w:space="0" w:color="auto"/>
        <w:left w:val="none" w:sz="0" w:space="0" w:color="auto"/>
        <w:bottom w:val="none" w:sz="0" w:space="0" w:color="auto"/>
        <w:right w:val="none" w:sz="0" w:space="0" w:color="auto"/>
      </w:divBdr>
    </w:div>
    <w:div w:id="1766724131">
      <w:bodyDiv w:val="1"/>
      <w:marLeft w:val="0"/>
      <w:marRight w:val="0"/>
      <w:marTop w:val="0"/>
      <w:marBottom w:val="0"/>
      <w:divBdr>
        <w:top w:val="none" w:sz="0" w:space="0" w:color="auto"/>
        <w:left w:val="none" w:sz="0" w:space="0" w:color="auto"/>
        <w:bottom w:val="none" w:sz="0" w:space="0" w:color="auto"/>
        <w:right w:val="none" w:sz="0" w:space="0" w:color="auto"/>
      </w:divBdr>
    </w:div>
    <w:div w:id="1783305033">
      <w:bodyDiv w:val="1"/>
      <w:marLeft w:val="0"/>
      <w:marRight w:val="0"/>
      <w:marTop w:val="0"/>
      <w:marBottom w:val="0"/>
      <w:divBdr>
        <w:top w:val="none" w:sz="0" w:space="0" w:color="auto"/>
        <w:left w:val="none" w:sz="0" w:space="0" w:color="auto"/>
        <w:bottom w:val="none" w:sz="0" w:space="0" w:color="auto"/>
        <w:right w:val="none" w:sz="0" w:space="0" w:color="auto"/>
      </w:divBdr>
    </w:div>
    <w:div w:id="1792435634">
      <w:bodyDiv w:val="1"/>
      <w:marLeft w:val="0"/>
      <w:marRight w:val="0"/>
      <w:marTop w:val="0"/>
      <w:marBottom w:val="0"/>
      <w:divBdr>
        <w:top w:val="none" w:sz="0" w:space="0" w:color="auto"/>
        <w:left w:val="none" w:sz="0" w:space="0" w:color="auto"/>
        <w:bottom w:val="none" w:sz="0" w:space="0" w:color="auto"/>
        <w:right w:val="none" w:sz="0" w:space="0" w:color="auto"/>
      </w:divBdr>
    </w:div>
    <w:div w:id="1825050098">
      <w:bodyDiv w:val="1"/>
      <w:marLeft w:val="0"/>
      <w:marRight w:val="0"/>
      <w:marTop w:val="0"/>
      <w:marBottom w:val="0"/>
      <w:divBdr>
        <w:top w:val="none" w:sz="0" w:space="0" w:color="auto"/>
        <w:left w:val="none" w:sz="0" w:space="0" w:color="auto"/>
        <w:bottom w:val="none" w:sz="0" w:space="0" w:color="auto"/>
        <w:right w:val="none" w:sz="0" w:space="0" w:color="auto"/>
      </w:divBdr>
    </w:div>
    <w:div w:id="1828940849">
      <w:bodyDiv w:val="1"/>
      <w:marLeft w:val="0"/>
      <w:marRight w:val="0"/>
      <w:marTop w:val="0"/>
      <w:marBottom w:val="0"/>
      <w:divBdr>
        <w:top w:val="none" w:sz="0" w:space="0" w:color="auto"/>
        <w:left w:val="none" w:sz="0" w:space="0" w:color="auto"/>
        <w:bottom w:val="none" w:sz="0" w:space="0" w:color="auto"/>
        <w:right w:val="none" w:sz="0" w:space="0" w:color="auto"/>
      </w:divBdr>
    </w:div>
    <w:div w:id="1834374113">
      <w:bodyDiv w:val="1"/>
      <w:marLeft w:val="0"/>
      <w:marRight w:val="0"/>
      <w:marTop w:val="0"/>
      <w:marBottom w:val="0"/>
      <w:divBdr>
        <w:top w:val="none" w:sz="0" w:space="0" w:color="auto"/>
        <w:left w:val="none" w:sz="0" w:space="0" w:color="auto"/>
        <w:bottom w:val="none" w:sz="0" w:space="0" w:color="auto"/>
        <w:right w:val="none" w:sz="0" w:space="0" w:color="auto"/>
      </w:divBdr>
    </w:div>
    <w:div w:id="1841457688">
      <w:bodyDiv w:val="1"/>
      <w:marLeft w:val="0"/>
      <w:marRight w:val="0"/>
      <w:marTop w:val="0"/>
      <w:marBottom w:val="0"/>
      <w:divBdr>
        <w:top w:val="none" w:sz="0" w:space="0" w:color="auto"/>
        <w:left w:val="none" w:sz="0" w:space="0" w:color="auto"/>
        <w:bottom w:val="none" w:sz="0" w:space="0" w:color="auto"/>
        <w:right w:val="none" w:sz="0" w:space="0" w:color="auto"/>
      </w:divBdr>
    </w:div>
    <w:div w:id="1869028920">
      <w:bodyDiv w:val="1"/>
      <w:marLeft w:val="0"/>
      <w:marRight w:val="0"/>
      <w:marTop w:val="0"/>
      <w:marBottom w:val="0"/>
      <w:divBdr>
        <w:top w:val="none" w:sz="0" w:space="0" w:color="auto"/>
        <w:left w:val="none" w:sz="0" w:space="0" w:color="auto"/>
        <w:bottom w:val="none" w:sz="0" w:space="0" w:color="auto"/>
        <w:right w:val="none" w:sz="0" w:space="0" w:color="auto"/>
      </w:divBdr>
    </w:div>
    <w:div w:id="1997875241">
      <w:bodyDiv w:val="1"/>
      <w:marLeft w:val="0"/>
      <w:marRight w:val="0"/>
      <w:marTop w:val="0"/>
      <w:marBottom w:val="0"/>
      <w:divBdr>
        <w:top w:val="none" w:sz="0" w:space="0" w:color="auto"/>
        <w:left w:val="none" w:sz="0" w:space="0" w:color="auto"/>
        <w:bottom w:val="none" w:sz="0" w:space="0" w:color="auto"/>
        <w:right w:val="none" w:sz="0" w:space="0" w:color="auto"/>
      </w:divBdr>
    </w:div>
    <w:div w:id="2012218508">
      <w:bodyDiv w:val="1"/>
      <w:marLeft w:val="0"/>
      <w:marRight w:val="0"/>
      <w:marTop w:val="0"/>
      <w:marBottom w:val="0"/>
      <w:divBdr>
        <w:top w:val="none" w:sz="0" w:space="0" w:color="auto"/>
        <w:left w:val="none" w:sz="0" w:space="0" w:color="auto"/>
        <w:bottom w:val="none" w:sz="0" w:space="0" w:color="auto"/>
        <w:right w:val="none" w:sz="0" w:space="0" w:color="auto"/>
      </w:divBdr>
    </w:div>
    <w:div w:id="2104954151">
      <w:bodyDiv w:val="1"/>
      <w:marLeft w:val="0"/>
      <w:marRight w:val="0"/>
      <w:marTop w:val="0"/>
      <w:marBottom w:val="0"/>
      <w:divBdr>
        <w:top w:val="none" w:sz="0" w:space="0" w:color="auto"/>
        <w:left w:val="none" w:sz="0" w:space="0" w:color="auto"/>
        <w:bottom w:val="none" w:sz="0" w:space="0" w:color="auto"/>
        <w:right w:val="none" w:sz="0" w:space="0" w:color="auto"/>
      </w:divBdr>
    </w:div>
    <w:div w:id="21387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mc.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infrastructure.gov.au/lclf-consultation"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lclfconsultation@infrastructure.gov.au"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dcceew.gov.au/climate-change/publications/australias-emissions-projections-20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903FF2315345E5A7C65969EE569842"/>
        <w:category>
          <w:name w:val="General"/>
          <w:gallery w:val="placeholder"/>
        </w:category>
        <w:types>
          <w:type w:val="bbPlcHdr"/>
        </w:types>
        <w:behaviors>
          <w:behavior w:val="content"/>
        </w:behaviors>
        <w:guid w:val="{23B009FC-BA40-4323-8896-3EBDF0C17FA9}"/>
      </w:docPartPr>
      <w:docPartBody>
        <w:p w:rsidR="00645449" w:rsidRDefault="00645449" w:rsidP="00645449">
          <w:pPr>
            <w:pStyle w:val="26903FF2315345E5A7C65969EE569842"/>
          </w:pPr>
          <w:r w:rsidRPr="00650DDB">
            <w:rPr>
              <w:highlight w:val="yellow"/>
              <w:lang w:val="x-none"/>
            </w:rPr>
            <w:t>[select format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49"/>
    <w:rsid w:val="00040B56"/>
    <w:rsid w:val="00310991"/>
    <w:rsid w:val="003D6DF4"/>
    <w:rsid w:val="004E0010"/>
    <w:rsid w:val="005E3DC7"/>
    <w:rsid w:val="00645449"/>
    <w:rsid w:val="00877D16"/>
    <w:rsid w:val="00B35787"/>
    <w:rsid w:val="00F55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03FF2315345E5A7C65969EE569842">
    <w:name w:val="26903FF2315345E5A7C65969EE569842"/>
    <w:rsid w:val="00645449"/>
  </w:style>
  <w:style w:type="paragraph" w:customStyle="1" w:styleId="294D91E04DFC41F8AD5FD4D02BA50F9C">
    <w:name w:val="294D91E04DFC41F8AD5FD4D02BA50F9C"/>
    <w:rsid w:val="00645449"/>
  </w:style>
  <w:style w:type="paragraph" w:customStyle="1" w:styleId="6B53DDA9EF214A90A61554B8686EA0F3">
    <w:name w:val="6B53DDA9EF214A90A61554B8686EA0F3"/>
    <w:rsid w:val="00645449"/>
  </w:style>
  <w:style w:type="paragraph" w:customStyle="1" w:styleId="70AA2FB6F41E4AAD95DD28E2A2D85DE0">
    <w:name w:val="70AA2FB6F41E4AAD95DD28E2A2D85DE0"/>
    <w:rsid w:val="00645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b4ec7fcb-f902-4cf6-9f33-c7161f377272">
      <Value>54</Value>
      <Value>33</Value>
      <Value>25</Value>
      <Value>74</Value>
      <Value>1</Value>
    </TaxCatchAll>
    <lcf76f155ced4ddcb4097134ff3c332f xmlns="743a74be-9c2d-4239-bcb2-f8eb9641b9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252C8398744349983362908620E807" ma:contentTypeVersion="21" ma:contentTypeDescription="Create a new document." ma:contentTypeScope="" ma:versionID="447d9fffc99fa652084db7d22158e429">
  <xsd:schema xmlns:xsd="http://www.w3.org/2001/XMLSchema" xmlns:xs="http://www.w3.org/2001/XMLSchema" xmlns:p="http://schemas.microsoft.com/office/2006/metadata/properties" xmlns:ns2="743a74be-9c2d-4239-bcb2-f8eb9641b914" xmlns:ns3="b4ec7fcb-f902-4cf6-9f33-c7161f377272" targetNamespace="http://schemas.microsoft.com/office/2006/metadata/properties" ma:root="true" ma:fieldsID="bfab279750a4195009060d128cf42f93" ns2:_="" ns3:_="">
    <xsd:import namespace="743a74be-9c2d-4239-bcb2-f8eb9641b914"/>
    <xsd:import namespace="b4ec7fcb-f902-4cf6-9f33-c7161f3772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a74be-9c2d-4239-bcb2-f8eb9641b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c7fcb-f902-4cf6-9f33-c7161f3772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481df4e-1d39-446d-bf98-301b6c981151}" ma:internalName="TaxCatchAll" ma:showField="CatchAllData" ma:web="b4ec7fcb-f902-4cf6-9f33-c7161f3772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504D-DF33-42D4-B621-D5AADC1A7F3B}">
  <ds:schemaRefs>
    <ds:schemaRef ds:uri="http://schemas.microsoft.com/sharepoint/v3/contenttype/forms"/>
  </ds:schemaRefs>
</ds:datastoreItem>
</file>

<file path=customXml/itemProps2.xml><?xml version="1.0" encoding="utf-8"?>
<ds:datastoreItem xmlns:ds="http://schemas.openxmlformats.org/officeDocument/2006/customXml" ds:itemID="{0EFC63B1-8ABB-4A8F-83B7-359763A1C58F}">
  <ds:schemaRefs>
    <ds:schemaRef ds:uri="http://schemas.microsoft.com/sharepoint/events"/>
  </ds:schemaRefs>
</ds:datastoreItem>
</file>

<file path=customXml/itemProps3.xml><?xml version="1.0" encoding="utf-8"?>
<ds:datastoreItem xmlns:ds="http://schemas.openxmlformats.org/officeDocument/2006/customXml" ds:itemID="{771F36D0-0582-49B3-A330-C848DC198C75}">
  <ds:schemaRefs>
    <ds:schemaRef ds:uri="http://schemas.microsoft.com/office/infopath/2007/PartnerControls"/>
    <ds:schemaRef ds:uri="http://schemas.microsoft.com/office/2006/documentManagement/types"/>
    <ds:schemaRef ds:uri="b4ec7fcb-f902-4cf6-9f33-c7161f377272"/>
    <ds:schemaRef ds:uri="http://schemas.microsoft.com/office/2006/metadata/properties"/>
    <ds:schemaRef ds:uri="http://purl.org/dc/elements/1.1/"/>
    <ds:schemaRef ds:uri="743a74be-9c2d-4239-bcb2-f8eb9641b914"/>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D336AAF-F80E-4D5A-979F-40D97827B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a74be-9c2d-4239-bcb2-f8eb9641b914"/>
    <ds:schemaRef ds:uri="b4ec7fcb-f902-4cf6-9f33-c7161f37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C7A724-92E0-431C-92D7-DEA4BA99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7802</Words>
  <Characters>44474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52172</CharactersWithSpaces>
  <SharedDoc>false</SharedDoc>
  <HLinks>
    <vt:vector size="54" baseType="variant">
      <vt:variant>
        <vt:i4>2097277</vt:i4>
      </vt:variant>
      <vt:variant>
        <vt:i4>21</vt:i4>
      </vt:variant>
      <vt:variant>
        <vt:i4>0</vt:i4>
      </vt:variant>
      <vt:variant>
        <vt:i4>5</vt:i4>
      </vt:variant>
      <vt:variant>
        <vt:lpwstr>https://www.energy.nsw.gov.au/business-and-industry/ways-get-started-business/net-zero-industry-and-innovation</vt:lpwstr>
      </vt:variant>
      <vt:variant>
        <vt:lpwstr/>
      </vt:variant>
      <vt:variant>
        <vt:i4>4194334</vt:i4>
      </vt:variant>
      <vt:variant>
        <vt:i4>18</vt:i4>
      </vt:variant>
      <vt:variant>
        <vt:i4>0</vt:i4>
      </vt:variant>
      <vt:variant>
        <vt:i4>5</vt:i4>
      </vt:variant>
      <vt:variant>
        <vt:lpwstr>https://www.dcceew.gov.au/climate-change/emissions-reduction/net-zero/electricity-and-energy-sector-plan</vt:lpwstr>
      </vt:variant>
      <vt:variant>
        <vt:lpwstr/>
      </vt:variant>
      <vt:variant>
        <vt:i4>7536752</vt:i4>
      </vt:variant>
      <vt:variant>
        <vt:i4>15</vt:i4>
      </vt:variant>
      <vt:variant>
        <vt:i4>0</vt:i4>
      </vt:variant>
      <vt:variant>
        <vt:i4>5</vt:i4>
      </vt:variant>
      <vt:variant>
        <vt:lpwstr>https://www.dcceew.gov.au/about/news/transport-infrastructure-net-zero-roadmap-action-plan-hys</vt:lpwstr>
      </vt:variant>
      <vt:variant>
        <vt:lpwstr/>
      </vt:variant>
      <vt:variant>
        <vt:i4>2097208</vt:i4>
      </vt:variant>
      <vt:variant>
        <vt:i4>12</vt:i4>
      </vt:variant>
      <vt:variant>
        <vt:i4>0</vt:i4>
      </vt:variant>
      <vt:variant>
        <vt:i4>5</vt:i4>
      </vt:variant>
      <vt:variant>
        <vt:lpwstr>https://www.nrf.gov.au/</vt:lpwstr>
      </vt:variant>
      <vt:variant>
        <vt:lpwstr/>
      </vt:variant>
      <vt:variant>
        <vt:i4>4653063</vt:i4>
      </vt:variant>
      <vt:variant>
        <vt:i4>9</vt:i4>
      </vt:variant>
      <vt:variant>
        <vt:i4>0</vt:i4>
      </vt:variant>
      <vt:variant>
        <vt:i4>5</vt:i4>
      </vt:variant>
      <vt:variant>
        <vt:lpwstr>https://www.dcceew.gov.au/energy/hydrogen/hydrogen-headstart-program</vt:lpwstr>
      </vt:variant>
      <vt:variant>
        <vt:lpwstr/>
      </vt:variant>
      <vt:variant>
        <vt:i4>8126585</vt:i4>
      </vt:variant>
      <vt:variant>
        <vt:i4>6</vt:i4>
      </vt:variant>
      <vt:variant>
        <vt:i4>0</vt:i4>
      </vt:variant>
      <vt:variant>
        <vt:i4>5</vt:i4>
      </vt:variant>
      <vt:variant>
        <vt:lpwstr>https://arena.gov.au/funding/sustainable-aviation-fuel-funding-initiative/</vt:lpwstr>
      </vt:variant>
      <vt:variant>
        <vt:lpwstr/>
      </vt:variant>
      <vt:variant>
        <vt:i4>7733368</vt:i4>
      </vt:variant>
      <vt:variant>
        <vt:i4>3</vt:i4>
      </vt:variant>
      <vt:variant>
        <vt:i4>0</vt:i4>
      </vt:variant>
      <vt:variant>
        <vt:i4>5</vt:i4>
      </vt:variant>
      <vt:variant>
        <vt:lpwstr>https://consult.dcceew.gov.au/supply-of-renewable-diesel-australian-paraffinic-diesel-fuel-quality-standard</vt:lpwstr>
      </vt:variant>
      <vt:variant>
        <vt:lpwstr/>
      </vt:variant>
      <vt:variant>
        <vt:i4>1966172</vt:i4>
      </vt:variant>
      <vt:variant>
        <vt:i4>0</vt:i4>
      </vt:variant>
      <vt:variant>
        <vt:i4>0</vt:i4>
      </vt:variant>
      <vt:variant>
        <vt:i4>5</vt:i4>
      </vt:variant>
      <vt:variant>
        <vt:lpwstr>https://www.dcceew.gov.au/climate-change/emissions-reporting/national-greenhouse-energy-reporting-scheme/safeguard-mechanism</vt:lpwstr>
      </vt:variant>
      <vt:variant>
        <vt:lpwstr/>
      </vt:variant>
      <vt:variant>
        <vt:i4>6553723</vt:i4>
      </vt:variant>
      <vt:variant>
        <vt:i4>0</vt:i4>
      </vt:variant>
      <vt:variant>
        <vt:i4>0</vt:i4>
      </vt:variant>
      <vt:variant>
        <vt:i4>5</vt:i4>
      </vt:variant>
      <vt:variant>
        <vt:lpwstr>https://www.dcceew.gov.au/climate-change/publications/australias-emissions-projections-2023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Katherine</dc:creator>
  <cp:keywords>[SEC=PROTECTED]</cp:keywords>
  <dc:description/>
  <cp:lastModifiedBy>LAFFAN, George</cp:lastModifiedBy>
  <cp:revision>3</cp:revision>
  <cp:lastPrinted>2024-05-20T03:23:00Z</cp:lastPrinted>
  <dcterms:created xsi:type="dcterms:W3CDTF">2024-07-09T02:42:00Z</dcterms:created>
  <dcterms:modified xsi:type="dcterms:W3CDTF">2024-07-09T02:44:00Z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0x0101001A252C8398744349983362908620E807</vt:lpwstr>
  </property>
  <property fmtid="{D5CDD505-2E9C-101B-9397-08002B2CF9AE}" pid="3" name="eTheme">
    <vt:lpwstr>1;#Infrastructure|26613012-526d-4992-9d94-e0d3122bfc9a</vt:lpwstr>
  </property>
  <property fmtid="{D5CDD505-2E9C-101B-9397-08002B2CF9AE}" pid="4" name="_dlc_DocIdItemGuid">
    <vt:lpwstr>88b1fb8c-6def-4e01-845d-9f682303a9c3</vt:lpwstr>
  </property>
  <property fmtid="{D5CDD505-2E9C-101B-9397-08002B2CF9AE}" pid="5" name="TSYStatus">
    <vt:lpwstr/>
  </property>
  <property fmtid="{D5CDD505-2E9C-101B-9397-08002B2CF9AE}" pid="6" name="eDocumentType">
    <vt:lpwstr>74;#Paper (Analysis or Research or Report)|6ad78538-b056-4e5b-8c06-e0b6c43f0ffa</vt:lpwstr>
  </property>
  <property fmtid="{D5CDD505-2E9C-101B-9397-08002B2CF9AE}" pid="7" name="eTopic">
    <vt:lpwstr>33;#Transport|c28c7bd4-60a7-44fb-9440-3380ab181799;#54;#Net zero|d35d98e5-49d5-4066-b636-aeb9a5825648</vt:lpwstr>
  </property>
  <property fmtid="{D5CDD505-2E9C-101B-9397-08002B2CF9AE}" pid="8" name="eActivity">
    <vt:lpwstr>25;#Stakeholder engagement|de4f175d-a0ea-42db-8e9c-ca57922e8174</vt:lpwstr>
  </property>
  <property fmtid="{D5CDD505-2E9C-101B-9397-08002B2CF9AE}" pid="9" name="SecurityClassification">
    <vt:lpwstr>PROTECTED</vt:lpwstr>
  </property>
  <property fmtid="{D5CDD505-2E9C-101B-9397-08002B2CF9AE}" pid="10" name="DLMSecurityClassification">
    <vt:lpwstr/>
  </property>
  <property fmtid="{D5CDD505-2E9C-101B-9397-08002B2CF9AE}" pid="11" name="PM_ProtectiveMarkingValue_Footer">
    <vt:lpwstr>PROTECTED</vt:lpwstr>
  </property>
  <property fmtid="{D5CDD505-2E9C-101B-9397-08002B2CF9AE}" pid="12" name="PM_Caveats_Count">
    <vt:lpwstr>0</vt:lpwstr>
  </property>
  <property fmtid="{D5CDD505-2E9C-101B-9397-08002B2CF9AE}" pid="13" name="PM_Originator_Hash_SHA1">
    <vt:lpwstr>60F53DAF37B6D060B622237130A8C9AEDCFD8F4F</vt:lpwstr>
  </property>
  <property fmtid="{D5CDD505-2E9C-101B-9397-08002B2CF9AE}" pid="14" name="PM_SecurityClassification">
    <vt:lpwstr>PROTECTED</vt:lpwstr>
  </property>
  <property fmtid="{D5CDD505-2E9C-101B-9397-08002B2CF9AE}" pid="15" name="PM_DisplayValueSecClassificationWithQualifier">
    <vt:lpwstr>PROTECTED:</vt:lpwstr>
  </property>
  <property fmtid="{D5CDD505-2E9C-101B-9397-08002B2CF9AE}" pid="16" name="PM_Qualifier">
    <vt:lpwstr/>
  </property>
  <property fmtid="{D5CDD505-2E9C-101B-9397-08002B2CF9AE}" pid="17" name="PM_Hash_SHA1">
    <vt:lpwstr>B73DC72C2EE25BD9594052B61D93021818F35932</vt:lpwstr>
  </property>
  <property fmtid="{D5CDD505-2E9C-101B-9397-08002B2CF9AE}" pid="18" name="PM_ProtectiveMarkingImage_Header">
    <vt:lpwstr>C:\Program Files (x86)\Common Files\janusNET Shared\janusSEAL\Images\DocumentSlashBlue.png</vt:lpwstr>
  </property>
  <property fmtid="{D5CDD505-2E9C-101B-9397-08002B2CF9AE}" pid="19" name="PM_InsertionValue">
    <vt:lpwstr>PROTECTED</vt:lpwstr>
  </property>
  <property fmtid="{D5CDD505-2E9C-101B-9397-08002B2CF9AE}" pid="20" name="PM_ProtectiveMarkingValue_Header">
    <vt:lpwstr>PROTECTED</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2018.1</vt:lpwstr>
  </property>
  <property fmtid="{D5CDD505-2E9C-101B-9397-08002B2CF9AE}" pid="24" name="PM_Originating_FileId">
    <vt:lpwstr>755A3192FFFD4C98B7A78DAC97BCB539</vt:lpwstr>
  </property>
  <property fmtid="{D5CDD505-2E9C-101B-9397-08002B2CF9AE}" pid="25" name="PM_Note">
    <vt:lpwstr/>
  </property>
  <property fmtid="{D5CDD505-2E9C-101B-9397-08002B2CF9AE}" pid="26" name="PM_Markers">
    <vt:lpwstr/>
  </property>
  <property fmtid="{D5CDD505-2E9C-101B-9397-08002B2CF9AE}" pid="27" name="PM_OriginationTimeStamp">
    <vt:lpwstr>2024-05-17T00:41:02Z</vt:lpwstr>
  </property>
  <property fmtid="{D5CDD505-2E9C-101B-9397-08002B2CF9AE}" pid="28" name="PM_Hash_Version">
    <vt:lpwstr>2018.0</vt:lpwstr>
  </property>
  <property fmtid="{D5CDD505-2E9C-101B-9397-08002B2CF9AE}" pid="29" name="PM_Hash_Salt_Prev">
    <vt:lpwstr>4E6F0FECCB982C851E27DEAC51C24532</vt:lpwstr>
  </property>
  <property fmtid="{D5CDD505-2E9C-101B-9397-08002B2CF9AE}" pid="30" name="PM_Hash_Salt">
    <vt:lpwstr>844251110FEF9F71BB7C163F9AE89625</vt:lpwstr>
  </property>
  <property fmtid="{D5CDD505-2E9C-101B-9397-08002B2CF9AE}" pid="31" name="PM_SecurityClassification_Prev">
    <vt:lpwstr>PROTECTED</vt:lpwstr>
  </property>
  <property fmtid="{D5CDD505-2E9C-101B-9397-08002B2CF9AE}" pid="32" name="PM_Qualifier_Prev">
    <vt:lpwstr/>
  </property>
</Properties>
</file>