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:rsidR="00906533" w:rsidRPr="00B041CB" w:rsidRDefault="008965FB" w:rsidP="00906533">
      <w:pPr>
        <w:pStyle w:val="Heading1"/>
      </w:pPr>
      <w:proofErr w:type="spellStart"/>
      <w:r>
        <w:t>Perkhidmatan</w:t>
      </w:r>
      <w:proofErr w:type="spellEnd"/>
      <w:r>
        <w:t xml:space="preserve"> Landgat</w:t>
      </w:r>
      <w:r>
        <w:t>e</w:t>
      </w:r>
    </w:p>
    <w:p w:rsidR="00906533" w:rsidRPr="00B041CB" w:rsidRDefault="008965FB" w:rsidP="00906533">
      <w:pPr>
        <w:pStyle w:val="Subtitle"/>
      </w:pPr>
      <w:proofErr w:type="spellStart"/>
      <w:r>
        <w:t>Disampaikan</w:t>
      </w:r>
      <w:proofErr w:type="spellEnd"/>
      <w:r>
        <w:t xml:space="preserve"> oleh </w:t>
      </w:r>
      <w:proofErr w:type="spellStart"/>
      <w:r>
        <w:t>Penguasa</w:t>
      </w:r>
      <w:proofErr w:type="spellEnd"/>
      <w:r>
        <w:t xml:space="preserve"> Maklumat Tanah WA di Wilayah </w:t>
      </w:r>
      <w:proofErr w:type="spellStart"/>
      <w:r>
        <w:t>Lautan</w:t>
      </w:r>
      <w:proofErr w:type="spellEnd"/>
      <w:r>
        <w:t xml:space="preserve"> Hind</w:t>
      </w:r>
      <w:r>
        <w:t>i</w:t>
      </w:r>
    </w:p>
    <w:p w:rsidR="00906533" w:rsidRPr="00B041CB" w:rsidRDefault="001776C5" w:rsidP="00906533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January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9F6CDD">
        <w:rPr>
          <w:rFonts w:eastAsia="Calibri" w:cs="Times New Roman"/>
          <w:b/>
          <w:color w:val="081E3E"/>
          <w:kern w:val="12"/>
          <w:szCs w:val="20"/>
        </w:rPr>
        <w:t>3</w:t>
      </w:r>
    </w:p>
    <w:p w:rsidR="00B041CB" w:rsidRPr="00B041CB" w:rsidRDefault="00B041CB" w:rsidP="00F80F09">
      <w:pPr>
        <w:pBdr>
          <w:bottom w:val="single" w:sz="4" w:space="1" w:color="C0D48F"/>
        </w:pBdr>
        <w:suppressAutoHyphens/>
        <w:spacing w:before="160" w:after="24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:rsidR="001776C5" w:rsidRPr="00F8709E" w:rsidRDefault="008965FB" w:rsidP="00F8709E">
      <w:pPr>
        <w:pStyle w:val="Heading2"/>
      </w:pPr>
      <w:proofErr w:type="spellStart"/>
      <w:r>
        <w:t>Perkhidmatan</w:t>
      </w:r>
      <w:proofErr w:type="spellEnd"/>
    </w:p>
    <w:p w:rsidR="008965FB" w:rsidRDefault="008965FB" w:rsidP="008965FB">
      <w:bookmarkStart w:id="0" w:name="_Toc49855349"/>
      <w:r>
        <w:t xml:space="preserve">Landgate,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dan </w:t>
      </w:r>
      <w:proofErr w:type="spellStart"/>
      <w:r>
        <w:t>dibiayai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oleh Kerajaan Australia,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</w:t>
      </w:r>
      <w:proofErr w:type="spellStart"/>
      <w:r>
        <w:t>tanah</w:t>
      </w:r>
      <w:proofErr w:type="spellEnd"/>
      <w:r>
        <w:t xml:space="preserve">, </w:t>
      </w:r>
      <w:proofErr w:type="spellStart"/>
      <w:r>
        <w:t>berserta</w:t>
      </w:r>
      <w:proofErr w:type="spellEnd"/>
      <w:r>
        <w:t xml:space="preserve"> </w:t>
      </w:r>
      <w:proofErr w:type="spellStart"/>
      <w:r>
        <w:t>sempadan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,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geografi</w:t>
      </w:r>
      <w:proofErr w:type="spellEnd"/>
      <w:r>
        <w:t xml:space="preserve">, </w:t>
      </w:r>
      <w:proofErr w:type="spellStart"/>
      <w:r>
        <w:t>perkhidmatan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bebas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berpihak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menyokong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, </w:t>
      </w:r>
      <w:proofErr w:type="spellStart"/>
      <w:r>
        <w:t>cukai</w:t>
      </w:r>
      <w:proofErr w:type="spellEnd"/>
      <w:r>
        <w:t xml:space="preserve"> dan </w:t>
      </w:r>
      <w:proofErr w:type="spellStart"/>
      <w:r>
        <w:t>pengurusan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rakaman</w:t>
      </w:r>
      <w:proofErr w:type="spellEnd"/>
      <w:r>
        <w:t xml:space="preserve"> </w:t>
      </w:r>
      <w:proofErr w:type="spellStart"/>
      <w:r>
        <w:t>terselaras</w:t>
      </w:r>
      <w:proofErr w:type="spellEnd"/>
      <w:r>
        <w:t xml:space="preserve"> dan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yang </w:t>
      </w:r>
      <w:proofErr w:type="spellStart"/>
      <w:r>
        <w:t>asas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Wilayah </w:t>
      </w:r>
      <w:proofErr w:type="spellStart"/>
      <w:r>
        <w:t>ini</w:t>
      </w:r>
      <w:proofErr w:type="spellEnd"/>
      <w:r>
        <w:t>.</w:t>
      </w:r>
    </w:p>
    <w:p w:rsidR="008965FB" w:rsidRPr="006B12CE" w:rsidRDefault="008965FB" w:rsidP="008965FB">
      <w:proofErr w:type="spellStart"/>
      <w:r>
        <w:t>Perkhidmatan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oleh Landgate </w:t>
      </w:r>
      <w:proofErr w:type="spellStart"/>
      <w:r>
        <w:t>menyokong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Wilayah </w:t>
      </w:r>
      <w:proofErr w:type="spellStart"/>
      <w:r>
        <w:t>ini</w:t>
      </w:r>
      <w:proofErr w:type="spellEnd"/>
      <w:r>
        <w:t>.</w:t>
      </w:r>
    </w:p>
    <w:bookmarkEnd w:id="0"/>
    <w:p w:rsidR="001776C5" w:rsidRPr="00F8709E" w:rsidRDefault="008965FB" w:rsidP="00F8709E">
      <w:pPr>
        <w:pStyle w:val="Heading2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ertinya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saya</w:t>
      </w:r>
      <w:proofErr w:type="spellEnd"/>
      <w:r>
        <w:t>?</w:t>
      </w:r>
    </w:p>
    <w:p w:rsidR="008965FB" w:rsidRDefault="008965FB" w:rsidP="008965FB">
      <w:r>
        <w:t xml:space="preserve">Landgate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pelbagai</w:t>
      </w:r>
      <w:proofErr w:type="spellEnd"/>
      <w:r>
        <w:t xml:space="preserve"> </w:t>
      </w:r>
      <w:proofErr w:type="spellStart"/>
      <w:r>
        <w:t>perkhidmatan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komuniti</w:t>
      </w:r>
      <w:proofErr w:type="spellEnd"/>
      <w:r>
        <w:t xml:space="preserve"> di Wilayah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:</w:t>
      </w:r>
    </w:p>
    <w:p w:rsidR="008965FB" w:rsidRDefault="008965FB" w:rsidP="008965FB">
      <w:pPr>
        <w:pStyle w:val="Listparagraphbullets"/>
      </w:pPr>
      <w:r>
        <w:t xml:space="preserve">Maklumat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, </w:t>
      </w:r>
      <w:proofErr w:type="spellStart"/>
      <w:r>
        <w:t>sempadan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dan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geografi</w:t>
      </w:r>
      <w:proofErr w:type="spellEnd"/>
    </w:p>
    <w:p w:rsidR="008965FB" w:rsidRDefault="008965FB" w:rsidP="008965FB">
      <w:pPr>
        <w:pStyle w:val="Listparagraphbullets"/>
      </w:pPr>
      <w:proofErr w:type="spellStart"/>
      <w:r>
        <w:t>Perkhidmatan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yang </w:t>
      </w:r>
      <w:proofErr w:type="spellStart"/>
      <w:r>
        <w:t>merangkumi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,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duti</w:t>
      </w:r>
      <w:proofErr w:type="spellEnd"/>
      <w:r>
        <w:t xml:space="preserve"> </w:t>
      </w:r>
      <w:proofErr w:type="spellStart"/>
      <w:r>
        <w:t>setem</w:t>
      </w:r>
      <w:proofErr w:type="spellEnd"/>
      <w:r>
        <w:t xml:space="preserve"> dan </w:t>
      </w:r>
      <w:proofErr w:type="spellStart"/>
      <w:r>
        <w:t>senarai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nilai</w:t>
      </w:r>
      <w:proofErr w:type="spellEnd"/>
    </w:p>
    <w:p w:rsidR="006F0C53" w:rsidRDefault="008965FB" w:rsidP="008965FB">
      <w:pPr>
        <w:pStyle w:val="Listparagraphbullets"/>
      </w:pPr>
      <w:proofErr w:type="spellStart"/>
      <w:r>
        <w:t>Kemudahan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dan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: </w:t>
      </w:r>
      <w:proofErr w:type="spellStart"/>
      <w:r>
        <w:t>hak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, </w:t>
      </w:r>
      <w:proofErr w:type="spellStart"/>
      <w:r>
        <w:t>butir-butir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,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,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, peta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dan </w:t>
      </w:r>
      <w:proofErr w:type="spellStart"/>
      <w:r>
        <w:t>satelit</w:t>
      </w:r>
      <w:proofErr w:type="spellEnd"/>
      <w:r>
        <w:t>.</w:t>
      </w:r>
    </w:p>
    <w:p w:rsidR="001776C5" w:rsidRPr="00F8709E" w:rsidRDefault="008965FB" w:rsidP="00F8709E">
      <w:pPr>
        <w:pStyle w:val="Heading2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>:</w:t>
      </w:r>
    </w:p>
    <w:tbl>
      <w:tblPr>
        <w:tblStyle w:val="DefaultTable11"/>
        <w:tblW w:w="4563" w:type="pct"/>
        <w:tblLook w:val="04A0" w:firstRow="1" w:lastRow="0" w:firstColumn="1" w:lastColumn="0" w:noHBand="0" w:noVBand="1"/>
        <w:tblDescription w:val="Contact details"/>
      </w:tblPr>
      <w:tblGrid>
        <w:gridCol w:w="2834"/>
        <w:gridCol w:w="5813"/>
      </w:tblGrid>
      <w:tr w:rsidR="008965FB" w:rsidRPr="00654F9E" w:rsidTr="006F0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8965FB" w:rsidRPr="008965FB" w:rsidRDefault="008965FB" w:rsidP="008965FB">
            <w:pPr>
              <w:rPr>
                <w:sz w:val="24"/>
                <w:szCs w:val="24"/>
              </w:rPr>
            </w:pPr>
            <w:proofErr w:type="spellStart"/>
            <w:r w:rsidRPr="008965FB">
              <w:rPr>
                <w:sz w:val="24"/>
                <w:szCs w:val="24"/>
              </w:rPr>
              <w:t>Saluran</w:t>
            </w:r>
            <w:proofErr w:type="spellEnd"/>
          </w:p>
        </w:tc>
        <w:tc>
          <w:tcPr>
            <w:tcW w:w="3361" w:type="pct"/>
          </w:tcPr>
          <w:p w:rsidR="008965FB" w:rsidRPr="008965FB" w:rsidRDefault="008965FB" w:rsidP="008965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965FB">
              <w:rPr>
                <w:sz w:val="24"/>
                <w:szCs w:val="24"/>
              </w:rPr>
              <w:t>Butir-butir</w:t>
            </w:r>
            <w:proofErr w:type="spellEnd"/>
            <w:r w:rsidRPr="008965FB">
              <w:rPr>
                <w:sz w:val="24"/>
                <w:szCs w:val="24"/>
              </w:rPr>
              <w:t xml:space="preserve"> </w:t>
            </w:r>
            <w:proofErr w:type="spellStart"/>
            <w:r w:rsidRPr="008965FB">
              <w:rPr>
                <w:sz w:val="24"/>
                <w:szCs w:val="24"/>
              </w:rPr>
              <w:t>perhubungan</w:t>
            </w:r>
            <w:proofErr w:type="spellEnd"/>
          </w:p>
        </w:tc>
      </w:tr>
      <w:tr w:rsidR="008965FB" w:rsidRPr="00654F9E" w:rsidTr="006F0C5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8965FB" w:rsidRPr="008965FB" w:rsidRDefault="008965FB" w:rsidP="008965FB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8965FB">
              <w:rPr>
                <w:sz w:val="22"/>
                <w:szCs w:val="22"/>
              </w:rPr>
              <w:t>Khidmat</w:t>
            </w:r>
            <w:proofErr w:type="spellEnd"/>
            <w:r w:rsidRPr="008965FB">
              <w:rPr>
                <w:sz w:val="22"/>
                <w:szCs w:val="22"/>
              </w:rPr>
              <w:t xml:space="preserve"> </w:t>
            </w:r>
            <w:proofErr w:type="spellStart"/>
            <w:r w:rsidRPr="008965FB">
              <w:rPr>
                <w:sz w:val="22"/>
                <w:szCs w:val="22"/>
              </w:rPr>
              <w:t>Pelanggan</w:t>
            </w:r>
            <w:proofErr w:type="spellEnd"/>
          </w:p>
        </w:tc>
        <w:tc>
          <w:tcPr>
            <w:tcW w:w="3361" w:type="pct"/>
          </w:tcPr>
          <w:p w:rsidR="008965FB" w:rsidRPr="00F80F09" w:rsidRDefault="008965FB" w:rsidP="008965F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0F09">
              <w:rPr>
                <w:sz w:val="22"/>
                <w:szCs w:val="22"/>
              </w:rPr>
              <w:t>08 9273 7373</w:t>
            </w:r>
          </w:p>
        </w:tc>
      </w:tr>
      <w:tr w:rsidR="008965FB" w:rsidRPr="00654F9E" w:rsidTr="006F0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8965FB" w:rsidRPr="008965FB" w:rsidRDefault="008965FB" w:rsidP="008965FB">
            <w:pPr>
              <w:spacing w:before="0" w:after="0"/>
              <w:rPr>
                <w:sz w:val="22"/>
                <w:szCs w:val="22"/>
              </w:rPr>
            </w:pPr>
            <w:r w:rsidRPr="008965FB">
              <w:rPr>
                <w:sz w:val="22"/>
                <w:szCs w:val="22"/>
              </w:rPr>
              <w:t>TTY/</w:t>
            </w:r>
            <w:proofErr w:type="spellStart"/>
            <w:r w:rsidRPr="008965FB">
              <w:rPr>
                <w:sz w:val="22"/>
                <w:szCs w:val="22"/>
              </w:rPr>
              <w:t>Panggilan</w:t>
            </w:r>
            <w:proofErr w:type="spellEnd"/>
            <w:r w:rsidRPr="008965FB">
              <w:rPr>
                <w:sz w:val="22"/>
                <w:szCs w:val="22"/>
              </w:rPr>
              <w:t xml:space="preserve"> </w:t>
            </w:r>
            <w:proofErr w:type="spellStart"/>
            <w:r w:rsidRPr="008965FB">
              <w:rPr>
                <w:sz w:val="22"/>
                <w:szCs w:val="22"/>
              </w:rPr>
              <w:t>Suara</w:t>
            </w:r>
            <w:proofErr w:type="spellEnd"/>
          </w:p>
        </w:tc>
        <w:tc>
          <w:tcPr>
            <w:tcW w:w="3361" w:type="pct"/>
          </w:tcPr>
          <w:p w:rsidR="008965FB" w:rsidRPr="00F80F09" w:rsidRDefault="008965FB" w:rsidP="008965FB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80F09">
              <w:rPr>
                <w:sz w:val="22"/>
                <w:szCs w:val="22"/>
              </w:rPr>
              <w:t>13 36 77</w:t>
            </w:r>
          </w:p>
        </w:tc>
      </w:tr>
      <w:tr w:rsidR="008965FB" w:rsidRPr="00654F9E" w:rsidTr="006F0C5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8965FB" w:rsidRPr="008965FB" w:rsidRDefault="008965FB" w:rsidP="008965FB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8965FB">
              <w:rPr>
                <w:sz w:val="22"/>
                <w:szCs w:val="22"/>
              </w:rPr>
              <w:t>Cakap</w:t>
            </w:r>
            <w:proofErr w:type="spellEnd"/>
            <w:r w:rsidRPr="008965FB">
              <w:rPr>
                <w:sz w:val="22"/>
                <w:szCs w:val="22"/>
              </w:rPr>
              <w:t xml:space="preserve"> dan </w:t>
            </w:r>
            <w:proofErr w:type="spellStart"/>
            <w:r w:rsidRPr="008965FB">
              <w:rPr>
                <w:sz w:val="22"/>
                <w:szCs w:val="22"/>
              </w:rPr>
              <w:t>dengar</w:t>
            </w:r>
            <w:proofErr w:type="spellEnd"/>
          </w:p>
        </w:tc>
        <w:tc>
          <w:tcPr>
            <w:tcW w:w="3361" w:type="pct"/>
          </w:tcPr>
          <w:p w:rsidR="008965FB" w:rsidRPr="00F80F09" w:rsidRDefault="008965FB" w:rsidP="008965F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0F09">
              <w:rPr>
                <w:sz w:val="22"/>
                <w:szCs w:val="22"/>
              </w:rPr>
              <w:t>1300 555 727</w:t>
            </w:r>
          </w:p>
        </w:tc>
      </w:tr>
      <w:tr w:rsidR="008965FB" w:rsidRPr="00654F9E" w:rsidTr="006F0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8965FB" w:rsidRPr="008965FB" w:rsidRDefault="008965FB" w:rsidP="008965FB">
            <w:pPr>
              <w:spacing w:before="0" w:after="0"/>
              <w:rPr>
                <w:sz w:val="22"/>
                <w:szCs w:val="22"/>
              </w:rPr>
            </w:pPr>
            <w:r w:rsidRPr="008965FB">
              <w:rPr>
                <w:sz w:val="22"/>
                <w:szCs w:val="22"/>
              </w:rPr>
              <w:t>Regional Australia</w:t>
            </w:r>
          </w:p>
        </w:tc>
        <w:tc>
          <w:tcPr>
            <w:tcW w:w="3361" w:type="pct"/>
          </w:tcPr>
          <w:p w:rsidR="008965FB" w:rsidRPr="00F80F09" w:rsidRDefault="008965FB" w:rsidP="008965FB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80F09">
              <w:rPr>
                <w:sz w:val="22"/>
                <w:szCs w:val="22"/>
              </w:rPr>
              <w:t>1300 365 288</w:t>
            </w:r>
          </w:p>
        </w:tc>
      </w:tr>
      <w:tr w:rsidR="008965FB" w:rsidRPr="00654F9E" w:rsidTr="006F0C5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8965FB" w:rsidRPr="008965FB" w:rsidRDefault="008965FB" w:rsidP="008965FB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8965FB">
              <w:rPr>
                <w:sz w:val="22"/>
                <w:szCs w:val="22"/>
              </w:rPr>
              <w:t>Faksimile</w:t>
            </w:r>
            <w:proofErr w:type="spellEnd"/>
          </w:p>
        </w:tc>
        <w:tc>
          <w:tcPr>
            <w:tcW w:w="3361" w:type="pct"/>
          </w:tcPr>
          <w:p w:rsidR="008965FB" w:rsidRPr="00F80F09" w:rsidRDefault="008965FB" w:rsidP="008965F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0F09">
              <w:rPr>
                <w:sz w:val="22"/>
                <w:szCs w:val="22"/>
              </w:rPr>
              <w:t>08 9250 3187</w:t>
            </w:r>
          </w:p>
        </w:tc>
      </w:tr>
      <w:tr w:rsidR="008965FB" w:rsidRPr="00654F9E" w:rsidTr="006F0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8965FB" w:rsidRPr="008965FB" w:rsidRDefault="008965FB" w:rsidP="008965FB">
            <w:pPr>
              <w:spacing w:before="0" w:after="0"/>
              <w:rPr>
                <w:sz w:val="22"/>
                <w:szCs w:val="22"/>
              </w:rPr>
            </w:pPr>
            <w:r w:rsidRPr="008965FB">
              <w:rPr>
                <w:sz w:val="22"/>
                <w:szCs w:val="22"/>
              </w:rPr>
              <w:t>E-</w:t>
            </w:r>
            <w:proofErr w:type="spellStart"/>
            <w:r w:rsidRPr="008965FB">
              <w:rPr>
                <w:sz w:val="22"/>
                <w:szCs w:val="22"/>
              </w:rPr>
              <w:t>mel</w:t>
            </w:r>
            <w:proofErr w:type="spellEnd"/>
          </w:p>
        </w:tc>
        <w:tc>
          <w:tcPr>
            <w:tcW w:w="3361" w:type="pct"/>
          </w:tcPr>
          <w:p w:rsidR="008965FB" w:rsidRPr="00F80F09" w:rsidRDefault="008965FB" w:rsidP="008965FB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hyperlink r:id="rId12" w:history="1">
              <w:r w:rsidRPr="00F80F09">
                <w:rPr>
                  <w:rStyle w:val="Hyperlink"/>
                  <w:sz w:val="22"/>
                  <w:szCs w:val="22"/>
                </w:rPr>
                <w:t>customerservice@landgate.wa.gov.au</w:t>
              </w:r>
            </w:hyperlink>
          </w:p>
        </w:tc>
      </w:tr>
      <w:tr w:rsidR="008965FB" w:rsidRPr="00654F9E" w:rsidTr="006F0C5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8965FB" w:rsidRPr="008965FB" w:rsidRDefault="008965FB" w:rsidP="008965FB">
            <w:pPr>
              <w:spacing w:before="0" w:after="0"/>
              <w:rPr>
                <w:sz w:val="22"/>
                <w:szCs w:val="22"/>
              </w:rPr>
            </w:pPr>
            <w:r w:rsidRPr="008965FB">
              <w:rPr>
                <w:sz w:val="22"/>
                <w:szCs w:val="22"/>
              </w:rPr>
              <w:t>Pos</w:t>
            </w:r>
          </w:p>
        </w:tc>
        <w:tc>
          <w:tcPr>
            <w:tcW w:w="3361" w:type="pct"/>
          </w:tcPr>
          <w:p w:rsidR="008965FB" w:rsidRPr="00F80F09" w:rsidRDefault="008965FB" w:rsidP="008965F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0F09">
              <w:rPr>
                <w:sz w:val="22"/>
                <w:szCs w:val="22"/>
              </w:rPr>
              <w:t>PO Box 2222, Midland   WA   6936</w:t>
            </w:r>
          </w:p>
        </w:tc>
      </w:tr>
      <w:tr w:rsidR="008965FB" w:rsidRPr="00654F9E" w:rsidTr="006F0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8965FB" w:rsidRPr="008965FB" w:rsidRDefault="008965FB" w:rsidP="008965FB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8965FB">
              <w:rPr>
                <w:sz w:val="22"/>
                <w:szCs w:val="22"/>
              </w:rPr>
              <w:t>Laman</w:t>
            </w:r>
            <w:proofErr w:type="spellEnd"/>
            <w:r w:rsidRPr="008965FB">
              <w:rPr>
                <w:sz w:val="22"/>
                <w:szCs w:val="22"/>
              </w:rPr>
              <w:t xml:space="preserve"> web</w:t>
            </w:r>
          </w:p>
        </w:tc>
        <w:tc>
          <w:tcPr>
            <w:tcW w:w="3361" w:type="pct"/>
          </w:tcPr>
          <w:p w:rsidR="008965FB" w:rsidRPr="00F80F09" w:rsidRDefault="008965FB" w:rsidP="008965FB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hyperlink r:id="rId13" w:history="1">
              <w:r w:rsidRPr="00F80F09">
                <w:rPr>
                  <w:rStyle w:val="Hyperlink"/>
                  <w:sz w:val="22"/>
                  <w:szCs w:val="22"/>
                </w:rPr>
                <w:t>www.landgate.wa.gov.au</w:t>
              </w:r>
            </w:hyperlink>
          </w:p>
        </w:tc>
      </w:tr>
      <w:tr w:rsidR="008965FB" w:rsidRPr="00654F9E" w:rsidTr="006F0C5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8965FB" w:rsidRPr="008965FB" w:rsidRDefault="008965FB" w:rsidP="008965FB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8965FB">
              <w:rPr>
                <w:sz w:val="22"/>
                <w:szCs w:val="22"/>
              </w:rPr>
              <w:t>Lihat</w:t>
            </w:r>
            <w:proofErr w:type="spellEnd"/>
            <w:r w:rsidRPr="008965FB">
              <w:rPr>
                <w:sz w:val="22"/>
                <w:szCs w:val="22"/>
              </w:rPr>
              <w:t xml:space="preserve"> di</w:t>
            </w:r>
          </w:p>
        </w:tc>
        <w:tc>
          <w:tcPr>
            <w:tcW w:w="3361" w:type="pct"/>
          </w:tcPr>
          <w:p w:rsidR="008965FB" w:rsidRPr="00F80F09" w:rsidRDefault="008965FB" w:rsidP="008965F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0F09">
              <w:rPr>
                <w:sz w:val="22"/>
                <w:szCs w:val="22"/>
              </w:rPr>
              <w:t>1 Midland Square, Midland   WA  6056</w:t>
            </w:r>
          </w:p>
        </w:tc>
      </w:tr>
      <w:tr w:rsidR="008965FB" w:rsidRPr="00654F9E" w:rsidTr="006F0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8965FB" w:rsidRPr="008965FB" w:rsidRDefault="008965FB" w:rsidP="008965FB">
            <w:pPr>
              <w:spacing w:before="0" w:after="0"/>
              <w:rPr>
                <w:sz w:val="22"/>
                <w:szCs w:val="22"/>
              </w:rPr>
            </w:pPr>
            <w:r w:rsidRPr="008965FB">
              <w:rPr>
                <w:sz w:val="22"/>
                <w:szCs w:val="22"/>
              </w:rPr>
              <w:t xml:space="preserve">Waktu </w:t>
            </w:r>
            <w:proofErr w:type="spellStart"/>
            <w:r w:rsidRPr="008965FB">
              <w:rPr>
                <w:sz w:val="22"/>
                <w:szCs w:val="22"/>
              </w:rPr>
              <w:t>Urusan</w:t>
            </w:r>
            <w:proofErr w:type="spellEnd"/>
            <w:r w:rsidRPr="008965FB">
              <w:rPr>
                <w:sz w:val="22"/>
                <w:szCs w:val="22"/>
              </w:rPr>
              <w:t xml:space="preserve"> (WA)</w:t>
            </w:r>
          </w:p>
        </w:tc>
        <w:tc>
          <w:tcPr>
            <w:tcW w:w="3361" w:type="pct"/>
          </w:tcPr>
          <w:p w:rsidR="008965FB" w:rsidRPr="008965FB" w:rsidRDefault="008965FB" w:rsidP="008965FB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8965FB">
              <w:rPr>
                <w:sz w:val="22"/>
                <w:szCs w:val="22"/>
              </w:rPr>
              <w:t>Isnin</w:t>
            </w:r>
            <w:proofErr w:type="spellEnd"/>
            <w:r w:rsidRPr="008965FB">
              <w:rPr>
                <w:sz w:val="22"/>
                <w:szCs w:val="22"/>
              </w:rPr>
              <w:t xml:space="preserve"> </w:t>
            </w:r>
            <w:proofErr w:type="spellStart"/>
            <w:r w:rsidRPr="008965FB">
              <w:rPr>
                <w:sz w:val="22"/>
                <w:szCs w:val="22"/>
              </w:rPr>
              <w:t>hingga</w:t>
            </w:r>
            <w:proofErr w:type="spellEnd"/>
            <w:r w:rsidRPr="008965FB">
              <w:rPr>
                <w:sz w:val="22"/>
                <w:szCs w:val="22"/>
              </w:rPr>
              <w:t xml:space="preserve"> Jumaat </w:t>
            </w:r>
            <w:proofErr w:type="spellStart"/>
            <w:r w:rsidRPr="008965FB">
              <w:rPr>
                <w:sz w:val="22"/>
                <w:szCs w:val="22"/>
              </w:rPr>
              <w:t>dari</w:t>
            </w:r>
            <w:proofErr w:type="spellEnd"/>
            <w:r w:rsidRPr="008965FB">
              <w:rPr>
                <w:sz w:val="22"/>
                <w:szCs w:val="22"/>
              </w:rPr>
              <w:t xml:space="preserve"> 8.30 </w:t>
            </w:r>
            <w:proofErr w:type="spellStart"/>
            <w:r w:rsidRPr="008965FB">
              <w:rPr>
                <w:sz w:val="22"/>
                <w:szCs w:val="22"/>
              </w:rPr>
              <w:t>pagi</w:t>
            </w:r>
            <w:proofErr w:type="spellEnd"/>
            <w:r w:rsidRPr="008965FB">
              <w:rPr>
                <w:sz w:val="22"/>
                <w:szCs w:val="22"/>
              </w:rPr>
              <w:t xml:space="preserve"> </w:t>
            </w:r>
            <w:proofErr w:type="spellStart"/>
            <w:r w:rsidRPr="008965FB">
              <w:rPr>
                <w:sz w:val="22"/>
                <w:szCs w:val="22"/>
              </w:rPr>
              <w:t>hingga</w:t>
            </w:r>
            <w:proofErr w:type="spellEnd"/>
            <w:r w:rsidRPr="008965FB">
              <w:rPr>
                <w:sz w:val="22"/>
                <w:szCs w:val="22"/>
              </w:rPr>
              <w:t xml:space="preserve"> 5.00 </w:t>
            </w:r>
            <w:proofErr w:type="spellStart"/>
            <w:r w:rsidRPr="008965FB">
              <w:rPr>
                <w:sz w:val="22"/>
                <w:szCs w:val="22"/>
              </w:rPr>
              <w:t>petang</w:t>
            </w:r>
            <w:proofErr w:type="spellEnd"/>
          </w:p>
        </w:tc>
      </w:tr>
      <w:tr w:rsidR="008965FB" w:rsidRPr="00654F9E" w:rsidTr="006F0C5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8965FB" w:rsidRPr="008965FB" w:rsidRDefault="008965FB" w:rsidP="008965FB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8965FB">
              <w:rPr>
                <w:sz w:val="22"/>
                <w:szCs w:val="22"/>
              </w:rPr>
              <w:t>Sembang</w:t>
            </w:r>
            <w:proofErr w:type="spellEnd"/>
            <w:r w:rsidRPr="008965FB">
              <w:rPr>
                <w:sz w:val="22"/>
                <w:szCs w:val="22"/>
              </w:rPr>
              <w:t xml:space="preserve"> </w:t>
            </w:r>
            <w:proofErr w:type="spellStart"/>
            <w:r w:rsidRPr="008965FB">
              <w:rPr>
                <w:sz w:val="22"/>
                <w:szCs w:val="22"/>
              </w:rPr>
              <w:t>dalam</w:t>
            </w:r>
            <w:proofErr w:type="spellEnd"/>
            <w:r w:rsidRPr="008965FB">
              <w:rPr>
                <w:sz w:val="22"/>
                <w:szCs w:val="22"/>
              </w:rPr>
              <w:t xml:space="preserve"> </w:t>
            </w:r>
            <w:proofErr w:type="spellStart"/>
            <w:r w:rsidRPr="008965FB">
              <w:rPr>
                <w:sz w:val="22"/>
                <w:szCs w:val="22"/>
              </w:rPr>
              <w:t>talian</w:t>
            </w:r>
            <w:proofErr w:type="spellEnd"/>
          </w:p>
        </w:tc>
        <w:tc>
          <w:tcPr>
            <w:tcW w:w="3361" w:type="pct"/>
          </w:tcPr>
          <w:p w:rsidR="008965FB" w:rsidRPr="008965FB" w:rsidRDefault="008965FB" w:rsidP="008965F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8965FB">
              <w:rPr>
                <w:sz w:val="22"/>
                <w:szCs w:val="22"/>
              </w:rPr>
              <w:t>Isnin</w:t>
            </w:r>
            <w:proofErr w:type="spellEnd"/>
            <w:r w:rsidRPr="008965FB">
              <w:rPr>
                <w:sz w:val="22"/>
                <w:szCs w:val="22"/>
              </w:rPr>
              <w:t xml:space="preserve"> </w:t>
            </w:r>
            <w:proofErr w:type="spellStart"/>
            <w:r w:rsidRPr="008965FB">
              <w:rPr>
                <w:sz w:val="22"/>
                <w:szCs w:val="22"/>
              </w:rPr>
              <w:t>hingga</w:t>
            </w:r>
            <w:proofErr w:type="spellEnd"/>
            <w:r w:rsidRPr="008965FB">
              <w:rPr>
                <w:sz w:val="22"/>
                <w:szCs w:val="22"/>
              </w:rPr>
              <w:t xml:space="preserve"> Jumaat </w:t>
            </w:r>
            <w:proofErr w:type="spellStart"/>
            <w:r w:rsidRPr="008965FB">
              <w:rPr>
                <w:sz w:val="22"/>
                <w:szCs w:val="22"/>
              </w:rPr>
              <w:t>dari</w:t>
            </w:r>
            <w:proofErr w:type="spellEnd"/>
            <w:r w:rsidRPr="008965FB">
              <w:rPr>
                <w:sz w:val="22"/>
                <w:szCs w:val="22"/>
              </w:rPr>
              <w:t xml:space="preserve"> 8.30 </w:t>
            </w:r>
            <w:proofErr w:type="spellStart"/>
            <w:r w:rsidRPr="008965FB">
              <w:rPr>
                <w:sz w:val="22"/>
                <w:szCs w:val="22"/>
              </w:rPr>
              <w:t>pagi</w:t>
            </w:r>
            <w:proofErr w:type="spellEnd"/>
            <w:r w:rsidRPr="008965FB">
              <w:rPr>
                <w:sz w:val="22"/>
                <w:szCs w:val="22"/>
              </w:rPr>
              <w:t xml:space="preserve"> </w:t>
            </w:r>
            <w:proofErr w:type="spellStart"/>
            <w:r w:rsidRPr="008965FB">
              <w:rPr>
                <w:sz w:val="22"/>
                <w:szCs w:val="22"/>
              </w:rPr>
              <w:t>hingga</w:t>
            </w:r>
            <w:proofErr w:type="spellEnd"/>
            <w:r w:rsidRPr="008965FB">
              <w:rPr>
                <w:sz w:val="22"/>
                <w:szCs w:val="22"/>
              </w:rPr>
              <w:t xml:space="preserve"> 4.30 </w:t>
            </w:r>
            <w:proofErr w:type="spellStart"/>
            <w:r w:rsidRPr="008965FB">
              <w:rPr>
                <w:sz w:val="22"/>
                <w:szCs w:val="22"/>
              </w:rPr>
              <w:t>petang</w:t>
            </w:r>
            <w:proofErr w:type="spellEnd"/>
          </w:p>
        </w:tc>
      </w:tr>
      <w:tr w:rsidR="008965FB" w:rsidRPr="00654F9E" w:rsidTr="006F0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8965FB" w:rsidRPr="008965FB" w:rsidRDefault="008965FB" w:rsidP="008965FB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8965FB">
              <w:rPr>
                <w:sz w:val="22"/>
                <w:szCs w:val="22"/>
              </w:rPr>
              <w:t>Untuk</w:t>
            </w:r>
            <w:proofErr w:type="spellEnd"/>
            <w:r w:rsidRPr="008965FB">
              <w:rPr>
                <w:sz w:val="22"/>
                <w:szCs w:val="22"/>
              </w:rPr>
              <w:t xml:space="preserve"> </w:t>
            </w:r>
            <w:proofErr w:type="spellStart"/>
            <w:r w:rsidRPr="008965FB">
              <w:rPr>
                <w:sz w:val="22"/>
                <w:szCs w:val="22"/>
              </w:rPr>
              <w:t>mengemukakan</w:t>
            </w:r>
            <w:proofErr w:type="spellEnd"/>
            <w:r w:rsidRPr="008965FB">
              <w:rPr>
                <w:sz w:val="22"/>
                <w:szCs w:val="22"/>
              </w:rPr>
              <w:t xml:space="preserve"> </w:t>
            </w:r>
            <w:proofErr w:type="spellStart"/>
            <w:r w:rsidRPr="008965FB">
              <w:rPr>
                <w:sz w:val="22"/>
                <w:szCs w:val="22"/>
              </w:rPr>
              <w:t>dokumen</w:t>
            </w:r>
            <w:proofErr w:type="spellEnd"/>
            <w:r w:rsidRPr="008965FB">
              <w:rPr>
                <w:sz w:val="22"/>
                <w:szCs w:val="22"/>
              </w:rPr>
              <w:t xml:space="preserve"> (WA)</w:t>
            </w:r>
          </w:p>
        </w:tc>
        <w:tc>
          <w:tcPr>
            <w:tcW w:w="3361" w:type="pct"/>
          </w:tcPr>
          <w:p w:rsidR="008965FB" w:rsidRPr="008965FB" w:rsidRDefault="008965FB" w:rsidP="008965FB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spellStart"/>
            <w:r w:rsidRPr="008965FB">
              <w:rPr>
                <w:sz w:val="22"/>
                <w:szCs w:val="22"/>
              </w:rPr>
              <w:t>Isnin</w:t>
            </w:r>
            <w:proofErr w:type="spellEnd"/>
            <w:r w:rsidRPr="008965FB">
              <w:rPr>
                <w:sz w:val="22"/>
                <w:szCs w:val="22"/>
              </w:rPr>
              <w:t xml:space="preserve"> </w:t>
            </w:r>
            <w:proofErr w:type="spellStart"/>
            <w:r w:rsidRPr="008965FB">
              <w:rPr>
                <w:sz w:val="22"/>
                <w:szCs w:val="22"/>
              </w:rPr>
              <w:t>hingga</w:t>
            </w:r>
            <w:proofErr w:type="spellEnd"/>
            <w:r w:rsidRPr="008965FB">
              <w:rPr>
                <w:sz w:val="22"/>
                <w:szCs w:val="22"/>
              </w:rPr>
              <w:t xml:space="preserve"> Jumaat </w:t>
            </w:r>
            <w:proofErr w:type="spellStart"/>
            <w:r w:rsidRPr="008965FB">
              <w:rPr>
                <w:sz w:val="22"/>
                <w:szCs w:val="22"/>
              </w:rPr>
              <w:t>dari</w:t>
            </w:r>
            <w:proofErr w:type="spellEnd"/>
            <w:r w:rsidRPr="008965FB">
              <w:rPr>
                <w:sz w:val="22"/>
                <w:szCs w:val="22"/>
              </w:rPr>
              <w:t xml:space="preserve"> 8.30 </w:t>
            </w:r>
            <w:proofErr w:type="spellStart"/>
            <w:r w:rsidRPr="008965FB">
              <w:rPr>
                <w:sz w:val="22"/>
                <w:szCs w:val="22"/>
              </w:rPr>
              <w:t>pagi</w:t>
            </w:r>
            <w:proofErr w:type="spellEnd"/>
            <w:r w:rsidRPr="008965FB">
              <w:rPr>
                <w:sz w:val="22"/>
                <w:szCs w:val="22"/>
              </w:rPr>
              <w:t xml:space="preserve"> </w:t>
            </w:r>
            <w:proofErr w:type="spellStart"/>
            <w:r w:rsidRPr="008965FB">
              <w:rPr>
                <w:sz w:val="22"/>
                <w:szCs w:val="22"/>
              </w:rPr>
              <w:t>hingga</w:t>
            </w:r>
            <w:proofErr w:type="spellEnd"/>
            <w:r w:rsidRPr="008965FB">
              <w:rPr>
                <w:sz w:val="22"/>
                <w:szCs w:val="22"/>
              </w:rPr>
              <w:t xml:space="preserve"> 4.30 </w:t>
            </w:r>
            <w:proofErr w:type="spellStart"/>
            <w:r w:rsidRPr="008965FB">
              <w:rPr>
                <w:sz w:val="22"/>
                <w:szCs w:val="22"/>
              </w:rPr>
              <w:t>petang</w:t>
            </w:r>
            <w:proofErr w:type="spellEnd"/>
          </w:p>
        </w:tc>
      </w:tr>
    </w:tbl>
    <w:p w:rsidR="00BB3D46" w:rsidRDefault="00BB3D46" w:rsidP="006F0C53">
      <w:pPr>
        <w:spacing w:after="0"/>
      </w:pPr>
      <w:bookmarkStart w:id="1" w:name="_GoBack"/>
      <w:bookmarkEnd w:id="1"/>
    </w:p>
    <w:sectPr w:rsidR="00BB3D46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8965FB" w:rsidRPr="008965FB">
      <w:rPr>
        <w:rFonts w:cs="Segoe UI"/>
        <w:b/>
        <w:bCs/>
        <w:noProof/>
        <w:szCs w:val="18"/>
        <w:lang w:val="en-US"/>
      </w:rPr>
      <w:t>Perkhidmatan Landgate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8965FB" w:rsidRPr="008965FB">
      <w:rPr>
        <w:rFonts w:cs="Segoe UI"/>
        <w:b/>
        <w:bCs/>
        <w:noProof/>
        <w:szCs w:val="18"/>
        <w:lang w:val="en-US"/>
      </w:rPr>
      <w:t>Perkhidmatan Landgate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8965FB">
      <w:rPr>
        <w:rFonts w:cs="Segoe UI Light"/>
        <w:noProof/>
        <w:color w:val="001C40"/>
        <w:sz w:val="20"/>
        <w:szCs w:val="20"/>
      </w:rPr>
      <w:t>Untuk mendapatkan maklumat selanjutnya: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046CC5"/>
    <w:multiLevelType w:val="hybridMultilevel"/>
    <w:tmpl w:val="3B988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776C5"/>
    <w:rsid w:val="00190A0C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A3207"/>
    <w:rsid w:val="005413E7"/>
    <w:rsid w:val="00543D99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6F0C53"/>
    <w:rsid w:val="00731351"/>
    <w:rsid w:val="00744CD2"/>
    <w:rsid w:val="00754169"/>
    <w:rsid w:val="00772C27"/>
    <w:rsid w:val="00790F25"/>
    <w:rsid w:val="00793843"/>
    <w:rsid w:val="0079788A"/>
    <w:rsid w:val="007B68AB"/>
    <w:rsid w:val="00822DBF"/>
    <w:rsid w:val="00844881"/>
    <w:rsid w:val="008965FB"/>
    <w:rsid w:val="008A7B93"/>
    <w:rsid w:val="008B7158"/>
    <w:rsid w:val="008C6CB9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B3D46"/>
    <w:rsid w:val="00BC0598"/>
    <w:rsid w:val="00C02452"/>
    <w:rsid w:val="00C36E40"/>
    <w:rsid w:val="00C62177"/>
    <w:rsid w:val="00CA5147"/>
    <w:rsid w:val="00CD0046"/>
    <w:rsid w:val="00D13C03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0F09"/>
    <w:rsid w:val="00F814AD"/>
    <w:rsid w:val="00F8709E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CA7079F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6C5"/>
    <w:pPr>
      <w:spacing w:after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09E"/>
    <w:pPr>
      <w:keepNext/>
      <w:keepLines/>
      <w:suppressAutoHyphens/>
      <w:spacing w:after="16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8709E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99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1776C5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ndgate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stomerservice@landgate.w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8073-AEBD-4263-AF3E-238BE443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1113</Characters>
  <Application>Microsoft Office Word</Application>
  <DocSecurity>0</DocSecurity>
  <Lines>79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Landgate services</vt:lpstr>
    </vt:vector>
  </TitlesOfParts>
  <Company>Department of Infrastructure, Transport, Regional Development, Communications and the Arts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Landgate services</dc:title>
  <dc:subject/>
  <dc:creator>Department of Infrastructure, Transport, Regional Development, Communications and the Arts</dc:creator>
  <cp:keywords/>
  <dc:description>19 April 2023</dc:description>
  <cp:lastModifiedBy>HALL Theresa</cp:lastModifiedBy>
  <cp:revision>2</cp:revision>
  <dcterms:created xsi:type="dcterms:W3CDTF">2023-07-17T02:54:00Z</dcterms:created>
  <dcterms:modified xsi:type="dcterms:W3CDTF">2023-07-17T02:54:00Z</dcterms:modified>
</cp:coreProperties>
</file>