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B8397C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FFF" w:rsidRPr="00BE3AD8" w:rsidRDefault="005114E6" w:rsidP="00A5520B">
      <w:pPr>
        <w:pStyle w:val="Heading1"/>
      </w:pPr>
      <w:r w:rsidRPr="00A5520B">
        <w:rPr>
          <w:rFonts w:hint="eastAsia"/>
        </w:rPr>
        <w:t>酒类与博彩监管服务</w:t>
      </w:r>
    </w:p>
    <w:p w:rsidR="00DE4FE2" w:rsidRPr="00BE3AD8" w:rsidRDefault="005114E6" w:rsidP="00BE3AD8">
      <w:pPr>
        <w:pStyle w:val="Subtitle"/>
      </w:pPr>
      <w:r>
        <w:rPr>
          <w:rFonts w:hint="eastAsia"/>
        </w:rPr>
        <w:t>由地方政府、体育及文化产业部</w:t>
      </w:r>
      <w:r w:rsidR="00C5524A">
        <w:rPr>
          <w:rFonts w:hint="eastAsia"/>
        </w:rPr>
        <w:t>在印度洋领地</w:t>
      </w:r>
      <w:r>
        <w:rPr>
          <w:rFonts w:hint="eastAsia"/>
        </w:rPr>
        <w:t>提供</w:t>
      </w:r>
    </w:p>
    <w:p w:rsidR="00DE4FE2" w:rsidRDefault="005114E6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0D60D2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0D60D2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A02D24" w:rsidRDefault="005114E6" w:rsidP="00A5520B">
      <w:pPr>
        <w:pStyle w:val="Heading2"/>
      </w:pPr>
      <w:r>
        <w:rPr>
          <w:rFonts w:hint="eastAsia"/>
        </w:rPr>
        <w:t>服务</w:t>
      </w:r>
    </w:p>
    <w:p w:rsidR="00B20EFE" w:rsidRDefault="005114E6" w:rsidP="00B20EFE">
      <w:pPr>
        <w:tabs>
          <w:tab w:val="left" w:pos="0"/>
          <w:tab w:val="left" w:pos="1418"/>
          <w:tab w:val="left" w:pos="2127"/>
          <w:tab w:val="left" w:pos="2835"/>
        </w:tabs>
      </w:pPr>
      <w:r>
        <w:rPr>
          <w:rFonts w:hint="eastAsia"/>
        </w:rPr>
        <w:t>地方政府、体育及文化产业部</w:t>
      </w:r>
      <w:r w:rsidR="003F64D7">
        <w:rPr>
          <w:rFonts w:hint="eastAsia"/>
        </w:rPr>
        <w:t>竞</w:t>
      </w:r>
      <w:r>
        <w:rPr>
          <w:rFonts w:hint="eastAsia"/>
        </w:rPr>
        <w:t>赛、博彩与酒类管理处获澳大利亚联邦政府全款资助</w:t>
      </w:r>
      <w:r w:rsidR="00C5524A">
        <w:rPr>
          <w:rFonts w:hint="eastAsia"/>
        </w:rPr>
        <w:t>，</w:t>
      </w:r>
      <w:r>
        <w:rPr>
          <w:rFonts w:hint="eastAsia"/>
        </w:rPr>
        <w:t>并代表联邦</w:t>
      </w:r>
      <w:r w:rsidR="003F64D7">
        <w:rPr>
          <w:rFonts w:hint="eastAsia"/>
        </w:rPr>
        <w:t>政府</w:t>
      </w:r>
      <w:r>
        <w:rPr>
          <w:rFonts w:hint="eastAsia"/>
        </w:rPr>
        <w:t>在领地提供以下服务：</w:t>
      </w:r>
    </w:p>
    <w:p w:rsidR="003E127D" w:rsidRPr="0053230A" w:rsidRDefault="00A12912" w:rsidP="00B20EFE">
      <w:pPr>
        <w:pStyle w:val="Bullet1"/>
      </w:pPr>
      <w:r>
        <w:rPr>
          <w:rFonts w:hint="eastAsia"/>
        </w:rPr>
        <w:t>颁发</w:t>
      </w:r>
      <w:r w:rsidR="009A79B5">
        <w:rPr>
          <w:rFonts w:hint="eastAsia"/>
        </w:rPr>
        <w:t>牌照</w:t>
      </w:r>
      <w:r>
        <w:rPr>
          <w:rFonts w:hint="eastAsia"/>
        </w:rPr>
        <w:t xml:space="preserve"> - </w:t>
      </w:r>
      <w:r w:rsidR="005114E6">
        <w:rPr>
          <w:rFonts w:hint="eastAsia"/>
        </w:rPr>
        <w:t>审批</w:t>
      </w:r>
      <w:r w:rsidR="00A052C1">
        <w:rPr>
          <w:rFonts w:hint="eastAsia"/>
        </w:rPr>
        <w:t>各种</w:t>
      </w:r>
      <w:r w:rsidR="005114E6">
        <w:rPr>
          <w:rFonts w:hint="eastAsia"/>
        </w:rPr>
        <w:t>申请：依法接收、处理、裁定酒类行业和社区博彩</w:t>
      </w:r>
      <w:r w:rsidR="00DA591A">
        <w:rPr>
          <w:rFonts w:hint="eastAsia"/>
        </w:rPr>
        <w:t>活动的</w:t>
      </w:r>
      <w:r w:rsidR="005114E6">
        <w:rPr>
          <w:rFonts w:hint="eastAsia"/>
        </w:rPr>
        <w:t>相关申请</w:t>
      </w:r>
    </w:p>
    <w:p w:rsidR="003E127D" w:rsidRDefault="005114E6" w:rsidP="003E127D">
      <w:pPr>
        <w:pStyle w:val="Bullet1"/>
      </w:pPr>
      <w:r>
        <w:rPr>
          <w:rFonts w:hint="eastAsia"/>
        </w:rPr>
        <w:t>合规监督、审计和检查：两年进行一次审计和检查，以评估持证营业场所是否达标，是否负责、合法地提供酒类</w:t>
      </w:r>
    </w:p>
    <w:p w:rsidR="003E127D" w:rsidRDefault="005114E6" w:rsidP="003E127D">
      <w:pPr>
        <w:pStyle w:val="Bullet1"/>
      </w:pPr>
      <w:r>
        <w:rPr>
          <w:rFonts w:hint="eastAsia"/>
        </w:rPr>
        <w:t>根据</w:t>
      </w:r>
      <w:r w:rsidR="00353139">
        <w:rPr>
          <w:rFonts w:hint="eastAsia"/>
        </w:rPr>
        <w:t>现行的</w:t>
      </w:r>
      <w:r>
        <w:rPr>
          <w:rFonts w:hint="eastAsia"/>
        </w:rPr>
        <w:t>《</w:t>
      </w:r>
      <w:r>
        <w:rPr>
          <w:rFonts w:hint="eastAsia"/>
          <w:i/>
        </w:rPr>
        <w:t xml:space="preserve">1988 </w:t>
      </w:r>
      <w:r>
        <w:rPr>
          <w:rFonts w:hint="eastAsia"/>
          <w:i/>
        </w:rPr>
        <w:t>年酒类控制法</w:t>
      </w:r>
      <w:r>
        <w:rPr>
          <w:rFonts w:hint="eastAsia"/>
        </w:rPr>
        <w:t>（西澳州）》（</w:t>
      </w:r>
      <w:r>
        <w:rPr>
          <w:rFonts w:hint="eastAsia"/>
          <w:i/>
        </w:rPr>
        <w:t>Liquor Control Act 1988</w:t>
      </w:r>
      <w:r>
        <w:rPr>
          <w:rFonts w:hint="eastAsia"/>
        </w:rPr>
        <w:t xml:space="preserve"> (WA)</w:t>
      </w:r>
      <w:r>
        <w:rPr>
          <w:rFonts w:hint="eastAsia"/>
        </w:rPr>
        <w:t>）对</w:t>
      </w:r>
      <w:r w:rsidR="00FA1236">
        <w:rPr>
          <w:rFonts w:hint="eastAsia"/>
        </w:rPr>
        <w:t>新</w:t>
      </w:r>
      <w:r w:rsidR="00D06C5D">
        <w:rPr>
          <w:rFonts w:hint="eastAsia"/>
        </w:rPr>
        <w:t>老</w:t>
      </w:r>
      <w:r w:rsidR="00F7532B">
        <w:rPr>
          <w:rFonts w:hint="eastAsia"/>
        </w:rPr>
        <w:t>持</w:t>
      </w:r>
      <w:r w:rsidR="009A79B5">
        <w:rPr>
          <w:rFonts w:hint="eastAsia"/>
        </w:rPr>
        <w:t>牌</w:t>
      </w:r>
      <w:r w:rsidR="00F7532B">
        <w:rPr>
          <w:rFonts w:hint="eastAsia"/>
        </w:rPr>
        <w:t>人</w:t>
      </w:r>
      <w:r>
        <w:rPr>
          <w:rFonts w:hint="eastAsia"/>
        </w:rPr>
        <w:t>进行宣传教育。</w:t>
      </w:r>
    </w:p>
    <w:p w:rsidR="00D02062" w:rsidRDefault="009A79B5" w:rsidP="00A5520B">
      <w:pPr>
        <w:pStyle w:val="Heading2"/>
      </w:pPr>
      <w:r>
        <w:rPr>
          <w:rFonts w:hint="eastAsia"/>
        </w:rPr>
        <w:t>这</w:t>
      </w:r>
      <w:r w:rsidR="005114E6">
        <w:rPr>
          <w:rFonts w:hint="eastAsia"/>
        </w:rPr>
        <w:t>对我意味着什么？</w:t>
      </w:r>
    </w:p>
    <w:p w:rsidR="003E127D" w:rsidRPr="00EA7802" w:rsidRDefault="005114E6" w:rsidP="003E127D">
      <w:r>
        <w:rPr>
          <w:rFonts w:hint="eastAsia"/>
        </w:rPr>
        <w:t>地方政府、体育及文化产业部负责</w:t>
      </w:r>
      <w:r w:rsidR="00230A05">
        <w:rPr>
          <w:rFonts w:hint="eastAsia"/>
        </w:rPr>
        <w:t>促进和维护为</w:t>
      </w:r>
      <w:r>
        <w:rPr>
          <w:rFonts w:hint="eastAsia"/>
        </w:rPr>
        <w:t>领地</w:t>
      </w:r>
      <w:r w:rsidR="00230A05">
        <w:rPr>
          <w:rFonts w:hint="eastAsia"/>
        </w:rPr>
        <w:t>人民的社会和经济利益</w:t>
      </w:r>
      <w:r w:rsidR="003712E1">
        <w:rPr>
          <w:rFonts w:hint="eastAsia"/>
        </w:rPr>
        <w:t>提供</w:t>
      </w:r>
      <w:r>
        <w:rPr>
          <w:rFonts w:hint="eastAsia"/>
        </w:rPr>
        <w:t>的酒类和社区博彩活动</w:t>
      </w:r>
      <w:r w:rsidR="00114B69">
        <w:rPr>
          <w:rFonts w:hint="eastAsia"/>
        </w:rPr>
        <w:t>的健全</w:t>
      </w:r>
      <w:r w:rsidR="00BD7BEE">
        <w:rPr>
          <w:rFonts w:hint="eastAsia"/>
        </w:rPr>
        <w:t>性</w:t>
      </w:r>
      <w:r>
        <w:rPr>
          <w:rFonts w:hint="eastAsia"/>
        </w:rPr>
        <w:t>，具体如下：</w:t>
      </w:r>
    </w:p>
    <w:p w:rsidR="003E127D" w:rsidRPr="00EA7802" w:rsidRDefault="005114E6" w:rsidP="003E127D">
      <w:pPr>
        <w:pStyle w:val="Bullet1"/>
      </w:pPr>
      <w:r>
        <w:rPr>
          <w:rFonts w:hint="eastAsia"/>
        </w:rPr>
        <w:t>监管酒类销售、供应和消费</w:t>
      </w:r>
    </w:p>
    <w:p w:rsidR="003E127D" w:rsidRPr="00EA7802" w:rsidRDefault="005114E6" w:rsidP="003E127D">
      <w:pPr>
        <w:pStyle w:val="Bullet1"/>
      </w:pPr>
      <w:r>
        <w:rPr>
          <w:rFonts w:hint="eastAsia"/>
        </w:rPr>
        <w:t>尽量减少</w:t>
      </w:r>
      <w:r w:rsidR="00C36861">
        <w:rPr>
          <w:rFonts w:hint="eastAsia"/>
        </w:rPr>
        <w:t>由于</w:t>
      </w:r>
      <w:r>
        <w:rPr>
          <w:rFonts w:hint="eastAsia"/>
        </w:rPr>
        <w:t>饮酒</w:t>
      </w:r>
      <w:r w:rsidR="00C36861">
        <w:rPr>
          <w:rFonts w:hint="eastAsia"/>
        </w:rPr>
        <w:t>对人</w:t>
      </w:r>
      <w:r w:rsidR="00912DD3">
        <w:rPr>
          <w:rFonts w:hint="eastAsia"/>
        </w:rPr>
        <w:t>们</w:t>
      </w:r>
      <w:r w:rsidR="00C36861">
        <w:rPr>
          <w:rFonts w:hint="eastAsia"/>
        </w:rPr>
        <w:t>造成的</w:t>
      </w:r>
      <w:r w:rsidR="008C766A">
        <w:rPr>
          <w:rFonts w:hint="eastAsia"/>
        </w:rPr>
        <w:t>身心</w:t>
      </w:r>
      <w:r>
        <w:rPr>
          <w:rFonts w:hint="eastAsia"/>
        </w:rPr>
        <w:t>危害</w:t>
      </w:r>
    </w:p>
    <w:p w:rsidR="003E127D" w:rsidRDefault="00F05C59" w:rsidP="003E127D">
      <w:pPr>
        <w:pStyle w:val="Bullet1"/>
      </w:pPr>
      <w:r>
        <w:rPr>
          <w:rFonts w:hint="eastAsia"/>
        </w:rPr>
        <w:t>根据</w:t>
      </w:r>
      <w:r w:rsidR="005114E6">
        <w:rPr>
          <w:rFonts w:hint="eastAsia"/>
        </w:rPr>
        <w:t>消费者对酒类及相关服务的需求，</w:t>
      </w:r>
      <w:r w:rsidR="00905DCE">
        <w:rPr>
          <w:rFonts w:hint="eastAsia"/>
        </w:rPr>
        <w:t>促进</w:t>
      </w:r>
      <w:r w:rsidR="005114E6">
        <w:rPr>
          <w:rFonts w:hint="eastAsia"/>
        </w:rPr>
        <w:t>酒类、旅游</w:t>
      </w:r>
      <w:r w:rsidR="000D71BC">
        <w:rPr>
          <w:rFonts w:hint="eastAsia"/>
        </w:rPr>
        <w:t>及</w:t>
      </w:r>
      <w:r w:rsidR="00905DCE">
        <w:rPr>
          <w:rFonts w:hint="eastAsia"/>
        </w:rPr>
        <w:t>其它</w:t>
      </w:r>
      <w:r w:rsidR="005114E6">
        <w:rPr>
          <w:rFonts w:hint="eastAsia"/>
        </w:rPr>
        <w:t>服务业健康发展。</w:t>
      </w:r>
    </w:p>
    <w:p w:rsidR="0090710F" w:rsidRDefault="005114E6" w:rsidP="00A5520B">
      <w:pPr>
        <w:pStyle w:val="Heading2"/>
      </w:pPr>
      <w:r>
        <w:rPr>
          <w:rFonts w:hint="eastAsia"/>
        </w:rPr>
        <w:t>更多信息</w:t>
      </w:r>
      <w:bookmarkStart w:id="1" w:name="_GoBack"/>
      <w:bookmarkEnd w:id="1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CD2D0B" w:rsidTr="000D60D2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0D60D2" w:rsidRDefault="0043062E" w:rsidP="000D60D2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0D60D2" w:rsidRDefault="005114E6" w:rsidP="000D60D2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CD2D0B" w:rsidTr="000D60D2">
        <w:tc>
          <w:tcPr>
            <w:tcW w:w="2019" w:type="pct"/>
            <w:shd w:val="clear" w:color="auto" w:fill="auto"/>
          </w:tcPr>
          <w:p w:rsidR="0090710F" w:rsidRPr="000D60D2" w:rsidRDefault="005114E6" w:rsidP="000D60D2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90710F" w:rsidRPr="000D60D2" w:rsidRDefault="005114E6" w:rsidP="000D60D2">
            <w:pPr>
              <w:spacing w:before="80"/>
            </w:pPr>
            <w:r>
              <w:rPr>
                <w:rFonts w:hint="eastAsia"/>
              </w:rPr>
              <w:t>08 6551 4888</w:t>
            </w:r>
          </w:p>
        </w:tc>
      </w:tr>
      <w:tr w:rsidR="00CD2D0B" w:rsidTr="000D60D2">
        <w:tc>
          <w:tcPr>
            <w:tcW w:w="2019" w:type="pct"/>
            <w:shd w:val="clear" w:color="auto" w:fill="F2F2F2"/>
          </w:tcPr>
          <w:p w:rsidR="0090710F" w:rsidRPr="000D60D2" w:rsidRDefault="005114E6" w:rsidP="000D60D2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3E127D" w:rsidRPr="000D60D2" w:rsidRDefault="00F42BA9" w:rsidP="000D60D2">
            <w:pPr>
              <w:spacing w:before="80"/>
            </w:pPr>
            <w:hyperlink r:id="rId15" w:history="1">
              <w:r w:rsidR="005114E6">
                <w:rPr>
                  <w:rStyle w:val="Hyperlink"/>
                  <w:rFonts w:hint="eastAsia"/>
                </w:rPr>
                <w:t>rgl@dlgsc.wa.gov.au</w:t>
              </w:r>
            </w:hyperlink>
          </w:p>
        </w:tc>
      </w:tr>
      <w:tr w:rsidR="00CD2D0B" w:rsidTr="000D60D2">
        <w:tc>
          <w:tcPr>
            <w:tcW w:w="2019" w:type="pct"/>
            <w:shd w:val="clear" w:color="auto" w:fill="F2F6E8"/>
          </w:tcPr>
          <w:p w:rsidR="0090710F" w:rsidRPr="000D60D2" w:rsidRDefault="005114E6" w:rsidP="000D60D2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3E127D" w:rsidRPr="000D60D2" w:rsidRDefault="00F42BA9" w:rsidP="000D60D2">
            <w:pPr>
              <w:spacing w:before="80"/>
            </w:pPr>
            <w:hyperlink r:id="rId16" w:history="1">
              <w:r w:rsidR="005114E6">
                <w:rPr>
                  <w:rStyle w:val="Hyperlink"/>
                  <w:rFonts w:hint="eastAsia"/>
                </w:rPr>
                <w:t>www.dlgsc.wa.gov.au/racing-gaming-and-liquor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0D60D2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5C6" w:rsidRDefault="009775C6">
      <w:pPr>
        <w:spacing w:before="0" w:after="0"/>
      </w:pPr>
      <w:r>
        <w:separator/>
      </w:r>
    </w:p>
  </w:endnote>
  <w:endnote w:type="continuationSeparator" w:id="0">
    <w:p w:rsidR="009775C6" w:rsidRDefault="009775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F42BA9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E45153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5114E6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5114E6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5114E6" w:rsidP="00180B5B">
                <w:pPr>
                  <w:pStyle w:val="Footer"/>
                </w:pPr>
                <w:r>
                  <w:rPr>
                    <w:rFonts w:hint="eastAsia"/>
                  </w:rPr>
                  <w:t>酒类与博彩监管服务</w:t>
                </w:r>
              </w:p>
            </w:txbxContent>
          </v:textbox>
          <w10:wrap anchorx="page" anchory="page"/>
          <w10:anchorlock/>
        </v:shape>
      </w:pict>
    </w:r>
    <w:r w:rsidR="00B8397C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F42BA9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74.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E45153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5114E6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6D1592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478.3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5114E6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酒类与博彩监管服务</w:t>
                </w:r>
              </w:p>
            </w:txbxContent>
          </v:textbox>
          <w10:wrap anchorx="page" anchory="page"/>
          <w10:anchorlock/>
        </v:shape>
      </w:pict>
    </w:r>
    <w:r w:rsidR="00B8397C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1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F42BA9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74.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E45153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5114E6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364C79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478.3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5114E6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酒类与博彩监管服务</w:t>
                </w:r>
              </w:p>
            </w:txbxContent>
          </v:textbox>
          <w10:wrap anchorx="page" anchory="page"/>
          <w10:anchorlock/>
        </v:shape>
      </w:pict>
    </w:r>
    <w:r w:rsidR="00B8397C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3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5C6" w:rsidRDefault="009775C6">
      <w:pPr>
        <w:spacing w:before="0" w:after="0"/>
      </w:pPr>
      <w:r>
        <w:separator/>
      </w:r>
    </w:p>
  </w:footnote>
  <w:footnote w:type="continuationSeparator" w:id="0">
    <w:p w:rsidR="009775C6" w:rsidRDefault="009775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F42BA9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F42BA9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6D1592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F48C8"/>
    <w:multiLevelType w:val="hybridMultilevel"/>
    <w:tmpl w:val="BF5EF38E"/>
    <w:lvl w:ilvl="0" w:tplc="A9FE0A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D0284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727D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427E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3890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5AFD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BE21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B684E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6EAA5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1C6D40"/>
    <w:multiLevelType w:val="hybridMultilevel"/>
    <w:tmpl w:val="1E06178C"/>
    <w:lvl w:ilvl="0" w:tplc="9214B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44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2A2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03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2F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42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EA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EB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47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8752CF"/>
    <w:multiLevelType w:val="hybridMultilevel"/>
    <w:tmpl w:val="58869B58"/>
    <w:lvl w:ilvl="0" w:tplc="C7F21BA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82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89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A9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0B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F2B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E6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EF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A2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430B"/>
    <w:rsid w:val="000B2C32"/>
    <w:rsid w:val="000C22F2"/>
    <w:rsid w:val="000D60D2"/>
    <w:rsid w:val="000D71BC"/>
    <w:rsid w:val="000E24BA"/>
    <w:rsid w:val="000E5674"/>
    <w:rsid w:val="001144FA"/>
    <w:rsid w:val="00114B69"/>
    <w:rsid w:val="001349C6"/>
    <w:rsid w:val="00180B5B"/>
    <w:rsid w:val="001E38F2"/>
    <w:rsid w:val="00214082"/>
    <w:rsid w:val="002254D5"/>
    <w:rsid w:val="0022611D"/>
    <w:rsid w:val="00230A05"/>
    <w:rsid w:val="0026422D"/>
    <w:rsid w:val="00284164"/>
    <w:rsid w:val="002B3569"/>
    <w:rsid w:val="002B7197"/>
    <w:rsid w:val="002E1ADA"/>
    <w:rsid w:val="002F77C5"/>
    <w:rsid w:val="00353139"/>
    <w:rsid w:val="00364C79"/>
    <w:rsid w:val="003712E1"/>
    <w:rsid w:val="003720E9"/>
    <w:rsid w:val="003C625A"/>
    <w:rsid w:val="003E127D"/>
    <w:rsid w:val="003E4670"/>
    <w:rsid w:val="003F64D7"/>
    <w:rsid w:val="003F775D"/>
    <w:rsid w:val="00420F04"/>
    <w:rsid w:val="00422381"/>
    <w:rsid w:val="0043062E"/>
    <w:rsid w:val="00450D0E"/>
    <w:rsid w:val="00467647"/>
    <w:rsid w:val="00477E77"/>
    <w:rsid w:val="004928F8"/>
    <w:rsid w:val="004C30D6"/>
    <w:rsid w:val="004F77AA"/>
    <w:rsid w:val="00500CB3"/>
    <w:rsid w:val="005114E6"/>
    <w:rsid w:val="005210ED"/>
    <w:rsid w:val="0053230A"/>
    <w:rsid w:val="00541213"/>
    <w:rsid w:val="00546218"/>
    <w:rsid w:val="00546723"/>
    <w:rsid w:val="005547CA"/>
    <w:rsid w:val="005653A9"/>
    <w:rsid w:val="005912BE"/>
    <w:rsid w:val="005B74EA"/>
    <w:rsid w:val="005F794B"/>
    <w:rsid w:val="00611CC1"/>
    <w:rsid w:val="00686A7B"/>
    <w:rsid w:val="006A266A"/>
    <w:rsid w:val="006D1592"/>
    <w:rsid w:val="006D76CE"/>
    <w:rsid w:val="006E1ECA"/>
    <w:rsid w:val="00707707"/>
    <w:rsid w:val="007A05BE"/>
    <w:rsid w:val="008050A9"/>
    <w:rsid w:val="008067A1"/>
    <w:rsid w:val="00841CE2"/>
    <w:rsid w:val="00843993"/>
    <w:rsid w:val="008456D5"/>
    <w:rsid w:val="0084634B"/>
    <w:rsid w:val="008A1887"/>
    <w:rsid w:val="008A4B5D"/>
    <w:rsid w:val="008B6A81"/>
    <w:rsid w:val="008C766A"/>
    <w:rsid w:val="008E2A0D"/>
    <w:rsid w:val="008F3584"/>
    <w:rsid w:val="00900701"/>
    <w:rsid w:val="00905DCE"/>
    <w:rsid w:val="0090710F"/>
    <w:rsid w:val="00912DD3"/>
    <w:rsid w:val="00916152"/>
    <w:rsid w:val="009775C6"/>
    <w:rsid w:val="009909EC"/>
    <w:rsid w:val="00996B8C"/>
    <w:rsid w:val="009A79B5"/>
    <w:rsid w:val="009B00F2"/>
    <w:rsid w:val="00A02D24"/>
    <w:rsid w:val="00A052C1"/>
    <w:rsid w:val="00A070A2"/>
    <w:rsid w:val="00A12912"/>
    <w:rsid w:val="00A146EE"/>
    <w:rsid w:val="00A240ED"/>
    <w:rsid w:val="00A41E17"/>
    <w:rsid w:val="00A5520B"/>
    <w:rsid w:val="00A55479"/>
    <w:rsid w:val="00A95970"/>
    <w:rsid w:val="00AD7703"/>
    <w:rsid w:val="00B0484D"/>
    <w:rsid w:val="00B20EFE"/>
    <w:rsid w:val="00B42AC2"/>
    <w:rsid w:val="00B8397C"/>
    <w:rsid w:val="00BB3AAC"/>
    <w:rsid w:val="00BD7BEE"/>
    <w:rsid w:val="00BE3AD8"/>
    <w:rsid w:val="00C02C98"/>
    <w:rsid w:val="00C20016"/>
    <w:rsid w:val="00C36861"/>
    <w:rsid w:val="00C5524A"/>
    <w:rsid w:val="00C644F0"/>
    <w:rsid w:val="00CD233E"/>
    <w:rsid w:val="00CD2D0B"/>
    <w:rsid w:val="00CF6CFD"/>
    <w:rsid w:val="00D02062"/>
    <w:rsid w:val="00D04C0A"/>
    <w:rsid w:val="00D06C5D"/>
    <w:rsid w:val="00D4276C"/>
    <w:rsid w:val="00D5655E"/>
    <w:rsid w:val="00D753CF"/>
    <w:rsid w:val="00DA591A"/>
    <w:rsid w:val="00DC5AA4"/>
    <w:rsid w:val="00DE4362"/>
    <w:rsid w:val="00DE4FE2"/>
    <w:rsid w:val="00E04908"/>
    <w:rsid w:val="00E2218A"/>
    <w:rsid w:val="00E36F36"/>
    <w:rsid w:val="00E45153"/>
    <w:rsid w:val="00E94FDD"/>
    <w:rsid w:val="00E95BA5"/>
    <w:rsid w:val="00EA7802"/>
    <w:rsid w:val="00EC3CC4"/>
    <w:rsid w:val="00EE1AAB"/>
    <w:rsid w:val="00F0563F"/>
    <w:rsid w:val="00F05C59"/>
    <w:rsid w:val="00F11869"/>
    <w:rsid w:val="00F1428D"/>
    <w:rsid w:val="00F26A0E"/>
    <w:rsid w:val="00F67CDB"/>
    <w:rsid w:val="00F7532B"/>
    <w:rsid w:val="00FA1236"/>
    <w:rsid w:val="00FA2A16"/>
    <w:rsid w:val="00FC32B2"/>
    <w:rsid w:val="00FC34AF"/>
    <w:rsid w:val="00F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FCD91FD6-5AB8-4ADD-913F-00324C05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A5520B"/>
    <w:pPr>
      <w:spacing w:before="480" w:after="36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A5520B"/>
    <w:rPr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EE1AAB"/>
    <w:rPr>
      <w:color w:val="0046FF"/>
      <w:u w:val="single"/>
    </w:rPr>
  </w:style>
  <w:style w:type="character" w:styleId="CommentReference">
    <w:name w:val="annotation reference"/>
    <w:uiPriority w:val="99"/>
    <w:semiHidden/>
    <w:unhideWhenUsed/>
    <w:rsid w:val="00EC3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CC4"/>
  </w:style>
  <w:style w:type="character" w:customStyle="1" w:styleId="CommentTextChar">
    <w:name w:val="Comment Text Char"/>
    <w:link w:val="CommentText"/>
    <w:uiPriority w:val="99"/>
    <w:semiHidden/>
    <w:rsid w:val="00EC3CC4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C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3CC4"/>
    <w:rPr>
      <w:b/>
      <w:bCs/>
      <w:kern w:val="12"/>
    </w:rPr>
  </w:style>
  <w:style w:type="paragraph" w:styleId="Revision">
    <w:name w:val="Revision"/>
    <w:hidden/>
    <w:uiPriority w:val="99"/>
    <w:semiHidden/>
    <w:rsid w:val="00EC3CC4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2C32"/>
    <w:rPr>
      <w:rFonts w:ascii="Segoe UI" w:eastAsia="SimSun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gsc.wa.gov.au/racing-gaming-and-liquo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rgl@dlgsc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63B6B8-56AC-4535-B844-945A6A81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350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Liquor and gaming regulation services</vt:lpstr>
    </vt:vector>
  </TitlesOfParts>
  <Company>Department of Infrastructure, Transport, Regional Development and Communications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and gaming regulation services</dc:title>
  <dc:creator>Department of Infrastructure, Transport, Regional Development and Communications</dc:creator>
  <cp:lastModifiedBy>HALL Theresa</cp:lastModifiedBy>
  <cp:revision>9</cp:revision>
  <cp:lastPrinted>1899-12-31T13:00:00Z</cp:lastPrinted>
  <dcterms:created xsi:type="dcterms:W3CDTF">2022-04-02T05:35:00Z</dcterms:created>
  <dcterms:modified xsi:type="dcterms:W3CDTF">2022-06-29T06:10:00Z</dcterms:modified>
</cp:coreProperties>
</file>