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17FA" w14:textId="605ABCF5" w:rsidR="00DE7880" w:rsidRDefault="00DE7880" w:rsidP="00DE7880">
      <w:pPr>
        <w:spacing w:before="360"/>
        <w:ind w:right="95"/>
        <w:jc w:val="center"/>
        <w:rPr>
          <w:rFonts w:ascii="Times New Roman" w:hAnsi="Times New Roman"/>
        </w:rPr>
      </w:pPr>
      <w:bookmarkStart w:id="0" w:name="_GoBack"/>
      <w:bookmarkEnd w:id="0"/>
      <w:r>
        <w:rPr>
          <w:caps/>
          <w:noProof/>
          <w:lang w:eastAsia="en-AU"/>
        </w:rPr>
        <w:drawing>
          <wp:inline distT="0" distB="0" distL="0" distR="0" wp14:anchorId="38EDE2B3" wp14:editId="0DC1D6D1">
            <wp:extent cx="2470150" cy="1377315"/>
            <wp:effectExtent l="0" t="0" r="635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377315"/>
                    </a:xfrm>
                    <a:prstGeom prst="rect">
                      <a:avLst/>
                    </a:prstGeom>
                    <a:noFill/>
                    <a:ln>
                      <a:noFill/>
                    </a:ln>
                  </pic:spPr>
                </pic:pic>
              </a:graphicData>
            </a:graphic>
          </wp:inline>
        </w:drawing>
      </w:r>
    </w:p>
    <w:p w14:paraId="03A3B7CD" w14:textId="1906CF65" w:rsidR="00DE7880" w:rsidRDefault="00DE7880" w:rsidP="00DE7880">
      <w:pPr>
        <w:spacing w:before="360"/>
        <w:jc w:val="center"/>
        <w:rPr>
          <w:rFonts w:ascii="Montserrat Light" w:hAnsi="Montserrat Light"/>
          <w:sz w:val="32"/>
          <w:szCs w:val="32"/>
        </w:rPr>
      </w:pPr>
      <w:r>
        <w:rPr>
          <w:rFonts w:ascii="Montserrat Light" w:hAnsi="Montserrat Light"/>
          <w:sz w:val="32"/>
          <w:szCs w:val="32"/>
        </w:rPr>
        <w:t xml:space="preserve">Australian Government response to the </w:t>
      </w:r>
      <w:r>
        <w:rPr>
          <w:rFonts w:ascii="Montserrat Light" w:hAnsi="Montserrat Light"/>
          <w:sz w:val="32"/>
          <w:szCs w:val="32"/>
        </w:rPr>
        <w:br/>
      </w:r>
      <w:r w:rsidRPr="00DE7880">
        <w:rPr>
          <w:rFonts w:ascii="Montserrat Light" w:hAnsi="Montserrat Light"/>
          <w:sz w:val="32"/>
          <w:szCs w:val="32"/>
        </w:rPr>
        <w:t>Standing Committee on Infrastructure, Transport and Cities</w:t>
      </w:r>
      <w:r>
        <w:rPr>
          <w:rFonts w:ascii="Montserrat Light" w:hAnsi="Montserrat Light"/>
          <w:sz w:val="32"/>
          <w:szCs w:val="32"/>
        </w:rPr>
        <w:t xml:space="preserve"> report:</w:t>
      </w:r>
    </w:p>
    <w:p w14:paraId="4C11F7AF" w14:textId="77777777" w:rsidR="00DE7880" w:rsidRPr="00DE7880" w:rsidRDefault="00DE7880" w:rsidP="00DE7880">
      <w:pPr>
        <w:spacing w:before="360"/>
        <w:jc w:val="center"/>
        <w:rPr>
          <w:rFonts w:ascii="Montserrat Light" w:hAnsi="Montserrat Light"/>
          <w:sz w:val="32"/>
          <w:szCs w:val="32"/>
        </w:rPr>
      </w:pPr>
      <w:r w:rsidRPr="00DE7880">
        <w:rPr>
          <w:rFonts w:ascii="Montserrat Light" w:hAnsi="Montserrat Light"/>
          <w:sz w:val="32"/>
          <w:szCs w:val="32"/>
        </w:rPr>
        <w:t>Government Procurement: A sovereign security imperative</w:t>
      </w:r>
    </w:p>
    <w:p w14:paraId="2FB81BDB" w14:textId="3084C219" w:rsidR="00DE7880" w:rsidRDefault="00DE7880" w:rsidP="00DE7880">
      <w:pPr>
        <w:spacing w:before="8880" w:after="240"/>
        <w:jc w:val="right"/>
        <w:rPr>
          <w:rFonts w:ascii="Montserrat Light" w:hAnsi="Montserrat Light"/>
          <w:caps/>
          <w:sz w:val="28"/>
          <w:szCs w:val="28"/>
        </w:rPr>
      </w:pPr>
      <w:r>
        <w:rPr>
          <w:rFonts w:ascii="Montserrat Light" w:hAnsi="Montserrat Light"/>
          <w:caps/>
          <w:sz w:val="28"/>
          <w:szCs w:val="28"/>
        </w:rPr>
        <w:t xml:space="preserve"> </w:t>
      </w:r>
      <w:r w:rsidR="009B2FDF">
        <w:rPr>
          <w:rFonts w:ascii="Montserrat Light" w:hAnsi="Montserrat Light"/>
          <w:sz w:val="28"/>
          <w:szCs w:val="28"/>
        </w:rPr>
        <w:t>June</w:t>
      </w:r>
      <w:r w:rsidR="002C7801">
        <w:rPr>
          <w:rFonts w:ascii="Montserrat Light" w:hAnsi="Montserrat Light"/>
          <w:sz w:val="28"/>
          <w:szCs w:val="28"/>
        </w:rPr>
        <w:t xml:space="preserve"> </w:t>
      </w:r>
      <w:r w:rsidRPr="00615E0F">
        <w:rPr>
          <w:rFonts w:ascii="Montserrat Light" w:hAnsi="Montserrat Light"/>
          <w:sz w:val="28"/>
          <w:szCs w:val="28"/>
        </w:rPr>
        <w:t>202</w:t>
      </w:r>
      <w:r w:rsidR="0079098A">
        <w:rPr>
          <w:rFonts w:ascii="Montserrat Light" w:hAnsi="Montserrat Light"/>
          <w:sz w:val="28"/>
          <w:szCs w:val="28"/>
        </w:rPr>
        <w:t>3</w:t>
      </w:r>
    </w:p>
    <w:sdt>
      <w:sdtPr>
        <w:rPr>
          <w:rFonts w:asciiTheme="minorHAnsi" w:eastAsiaTheme="minorHAnsi" w:hAnsiTheme="minorHAnsi" w:cstheme="minorBidi"/>
          <w:color w:val="auto"/>
          <w:sz w:val="22"/>
          <w:szCs w:val="22"/>
          <w:lang w:val="en-AU"/>
        </w:rPr>
        <w:id w:val="-1824268405"/>
        <w:docPartObj>
          <w:docPartGallery w:val="Table of Contents"/>
          <w:docPartUnique/>
        </w:docPartObj>
      </w:sdtPr>
      <w:sdtEndPr>
        <w:rPr>
          <w:b/>
          <w:bCs/>
          <w:noProof/>
        </w:rPr>
      </w:sdtEndPr>
      <w:sdtContent>
        <w:p w14:paraId="7F134FB6" w14:textId="393670CD" w:rsidR="00560088" w:rsidRDefault="00560088">
          <w:pPr>
            <w:pStyle w:val="TOCHeading"/>
          </w:pPr>
          <w:r>
            <w:t>Contents</w:t>
          </w:r>
        </w:p>
        <w:p w14:paraId="78922BE8" w14:textId="77777777" w:rsidR="00F015B2" w:rsidRPr="001B207A" w:rsidRDefault="00F015B2" w:rsidP="00DA19DE"/>
        <w:p w14:paraId="6045FC20" w14:textId="4D53C011" w:rsidR="005D6DCA" w:rsidRDefault="00560088">
          <w:pPr>
            <w:pStyle w:val="TOC1"/>
            <w:rPr>
              <w:rFonts w:eastAsiaTheme="minorEastAsia"/>
              <w:noProof/>
              <w:lang w:eastAsia="en-AU"/>
            </w:rPr>
          </w:pPr>
          <w:r>
            <w:fldChar w:fldCharType="begin"/>
          </w:r>
          <w:r>
            <w:instrText xml:space="preserve"> TOC \o "1-3" \h \z \u </w:instrText>
          </w:r>
          <w:r>
            <w:fldChar w:fldCharType="separate"/>
          </w:r>
          <w:hyperlink w:anchor="_Toc116570806" w:history="1">
            <w:r w:rsidR="005D6DCA" w:rsidRPr="00DE57DC">
              <w:rPr>
                <w:rStyle w:val="Hyperlink"/>
                <w:noProof/>
              </w:rPr>
              <w:t>Preamble</w:t>
            </w:r>
            <w:r w:rsidR="005D6DCA">
              <w:rPr>
                <w:noProof/>
                <w:webHidden/>
              </w:rPr>
              <w:tab/>
            </w:r>
            <w:r w:rsidR="005D6DCA">
              <w:rPr>
                <w:noProof/>
                <w:webHidden/>
              </w:rPr>
              <w:fldChar w:fldCharType="begin"/>
            </w:r>
            <w:r w:rsidR="005D6DCA">
              <w:rPr>
                <w:noProof/>
                <w:webHidden/>
              </w:rPr>
              <w:instrText xml:space="preserve"> PAGEREF _Toc116570806 \h </w:instrText>
            </w:r>
            <w:r w:rsidR="005D6DCA">
              <w:rPr>
                <w:noProof/>
                <w:webHidden/>
              </w:rPr>
            </w:r>
            <w:r w:rsidR="005D6DCA">
              <w:rPr>
                <w:noProof/>
                <w:webHidden/>
              </w:rPr>
              <w:fldChar w:fldCharType="separate"/>
            </w:r>
            <w:r w:rsidR="009A47BF">
              <w:rPr>
                <w:noProof/>
                <w:webHidden/>
              </w:rPr>
              <w:t>iii</w:t>
            </w:r>
            <w:r w:rsidR="005D6DCA">
              <w:rPr>
                <w:noProof/>
                <w:webHidden/>
              </w:rPr>
              <w:fldChar w:fldCharType="end"/>
            </w:r>
          </w:hyperlink>
        </w:p>
        <w:p w14:paraId="77E63462" w14:textId="725B9FD3" w:rsidR="005D6DCA" w:rsidRDefault="00D62EB6">
          <w:pPr>
            <w:pStyle w:val="TOC2"/>
            <w:tabs>
              <w:tab w:val="right" w:leader="dot" w:pos="9016"/>
            </w:tabs>
            <w:rPr>
              <w:rFonts w:eastAsiaTheme="minorEastAsia"/>
              <w:noProof/>
              <w:lang w:eastAsia="en-AU"/>
            </w:rPr>
          </w:pPr>
          <w:hyperlink w:anchor="_Toc116570807" w:history="1">
            <w:r w:rsidR="005D6DCA" w:rsidRPr="00DE57DC">
              <w:rPr>
                <w:rStyle w:val="Hyperlink"/>
                <w:noProof/>
              </w:rPr>
              <w:t>Background</w:t>
            </w:r>
            <w:r w:rsidR="005D6DCA">
              <w:rPr>
                <w:noProof/>
                <w:webHidden/>
              </w:rPr>
              <w:tab/>
            </w:r>
            <w:r w:rsidR="005D6DCA">
              <w:rPr>
                <w:noProof/>
                <w:webHidden/>
              </w:rPr>
              <w:fldChar w:fldCharType="begin"/>
            </w:r>
            <w:r w:rsidR="005D6DCA">
              <w:rPr>
                <w:noProof/>
                <w:webHidden/>
              </w:rPr>
              <w:instrText xml:space="preserve"> PAGEREF _Toc116570807 \h </w:instrText>
            </w:r>
            <w:r w:rsidR="005D6DCA">
              <w:rPr>
                <w:noProof/>
                <w:webHidden/>
              </w:rPr>
            </w:r>
            <w:r w:rsidR="005D6DCA">
              <w:rPr>
                <w:noProof/>
                <w:webHidden/>
              </w:rPr>
              <w:fldChar w:fldCharType="separate"/>
            </w:r>
            <w:r w:rsidR="009A47BF">
              <w:rPr>
                <w:noProof/>
                <w:webHidden/>
              </w:rPr>
              <w:t>iii</w:t>
            </w:r>
            <w:r w:rsidR="005D6DCA">
              <w:rPr>
                <w:noProof/>
                <w:webHidden/>
              </w:rPr>
              <w:fldChar w:fldCharType="end"/>
            </w:r>
          </w:hyperlink>
        </w:p>
        <w:p w14:paraId="55748EDC" w14:textId="156B50D7" w:rsidR="005D6DCA" w:rsidRDefault="00D62EB6">
          <w:pPr>
            <w:pStyle w:val="TOC2"/>
            <w:tabs>
              <w:tab w:val="right" w:leader="dot" w:pos="9016"/>
            </w:tabs>
            <w:rPr>
              <w:rFonts w:eastAsiaTheme="minorEastAsia"/>
              <w:noProof/>
              <w:lang w:eastAsia="en-AU"/>
            </w:rPr>
          </w:pPr>
          <w:hyperlink w:anchor="_Toc116570808" w:history="1">
            <w:r w:rsidR="005D6DCA" w:rsidRPr="00DE57DC">
              <w:rPr>
                <w:rStyle w:val="Hyperlink"/>
                <w:noProof/>
              </w:rPr>
              <w:t>The state of the infrastructure investment market</w:t>
            </w:r>
            <w:r w:rsidR="005D6DCA">
              <w:rPr>
                <w:noProof/>
                <w:webHidden/>
              </w:rPr>
              <w:tab/>
            </w:r>
            <w:r w:rsidR="005D6DCA">
              <w:rPr>
                <w:noProof/>
                <w:webHidden/>
              </w:rPr>
              <w:fldChar w:fldCharType="begin"/>
            </w:r>
            <w:r w:rsidR="005D6DCA">
              <w:rPr>
                <w:noProof/>
                <w:webHidden/>
              </w:rPr>
              <w:instrText xml:space="preserve"> PAGEREF _Toc116570808 \h </w:instrText>
            </w:r>
            <w:r w:rsidR="005D6DCA">
              <w:rPr>
                <w:noProof/>
                <w:webHidden/>
              </w:rPr>
            </w:r>
            <w:r w:rsidR="005D6DCA">
              <w:rPr>
                <w:noProof/>
                <w:webHidden/>
              </w:rPr>
              <w:fldChar w:fldCharType="separate"/>
            </w:r>
            <w:r w:rsidR="009A47BF">
              <w:rPr>
                <w:noProof/>
                <w:webHidden/>
              </w:rPr>
              <w:t>iv</w:t>
            </w:r>
            <w:r w:rsidR="005D6DCA">
              <w:rPr>
                <w:noProof/>
                <w:webHidden/>
              </w:rPr>
              <w:fldChar w:fldCharType="end"/>
            </w:r>
          </w:hyperlink>
        </w:p>
        <w:p w14:paraId="7399601E" w14:textId="075800E6" w:rsidR="005D6DCA" w:rsidRDefault="00D62EB6">
          <w:pPr>
            <w:pStyle w:val="TOC3"/>
            <w:tabs>
              <w:tab w:val="left" w:pos="880"/>
              <w:tab w:val="right" w:leader="dot" w:pos="9016"/>
            </w:tabs>
            <w:rPr>
              <w:rFonts w:eastAsiaTheme="minorEastAsia"/>
              <w:noProof/>
              <w:lang w:eastAsia="en-AU"/>
            </w:rPr>
          </w:pPr>
          <w:hyperlink w:anchor="_Toc116570809" w:history="1">
            <w:r w:rsidR="005D6DCA" w:rsidRPr="00DE57DC">
              <w:rPr>
                <w:rStyle w:val="Hyperlink"/>
                <w:noProof/>
              </w:rPr>
              <w:t>1.</w:t>
            </w:r>
            <w:r w:rsidR="005D6DCA">
              <w:rPr>
                <w:rFonts w:eastAsiaTheme="minorEastAsia"/>
                <w:noProof/>
                <w:lang w:eastAsia="en-AU"/>
              </w:rPr>
              <w:tab/>
            </w:r>
            <w:r w:rsidR="005D6DCA" w:rsidRPr="00DE57DC">
              <w:rPr>
                <w:rStyle w:val="Hyperlink"/>
                <w:noProof/>
              </w:rPr>
              <w:t>The Australian Government makes significant investments</w:t>
            </w:r>
            <w:r w:rsidR="005D6DCA">
              <w:rPr>
                <w:noProof/>
                <w:webHidden/>
              </w:rPr>
              <w:tab/>
            </w:r>
            <w:r w:rsidR="005D6DCA">
              <w:rPr>
                <w:noProof/>
                <w:webHidden/>
              </w:rPr>
              <w:fldChar w:fldCharType="begin"/>
            </w:r>
            <w:r w:rsidR="005D6DCA">
              <w:rPr>
                <w:noProof/>
                <w:webHidden/>
              </w:rPr>
              <w:instrText xml:space="preserve"> PAGEREF _Toc116570809 \h </w:instrText>
            </w:r>
            <w:r w:rsidR="005D6DCA">
              <w:rPr>
                <w:noProof/>
                <w:webHidden/>
              </w:rPr>
            </w:r>
            <w:r w:rsidR="005D6DCA">
              <w:rPr>
                <w:noProof/>
                <w:webHidden/>
              </w:rPr>
              <w:fldChar w:fldCharType="separate"/>
            </w:r>
            <w:r w:rsidR="009A47BF">
              <w:rPr>
                <w:noProof/>
                <w:webHidden/>
              </w:rPr>
              <w:t>iv</w:t>
            </w:r>
            <w:r w:rsidR="005D6DCA">
              <w:rPr>
                <w:noProof/>
                <w:webHidden/>
              </w:rPr>
              <w:fldChar w:fldCharType="end"/>
            </w:r>
          </w:hyperlink>
        </w:p>
        <w:p w14:paraId="5E0942B4" w14:textId="0075B847" w:rsidR="005D6DCA" w:rsidRDefault="00D62EB6">
          <w:pPr>
            <w:pStyle w:val="TOC3"/>
            <w:tabs>
              <w:tab w:val="left" w:pos="880"/>
              <w:tab w:val="right" w:leader="dot" w:pos="9016"/>
            </w:tabs>
            <w:rPr>
              <w:rFonts w:eastAsiaTheme="minorEastAsia"/>
              <w:noProof/>
              <w:lang w:eastAsia="en-AU"/>
            </w:rPr>
          </w:pPr>
          <w:hyperlink w:anchor="_Toc116570810" w:history="1">
            <w:r w:rsidR="005D6DCA" w:rsidRPr="00DE57DC">
              <w:rPr>
                <w:rStyle w:val="Hyperlink"/>
                <w:noProof/>
              </w:rPr>
              <w:t>2.</w:t>
            </w:r>
            <w:r w:rsidR="005D6DCA">
              <w:rPr>
                <w:rFonts w:eastAsiaTheme="minorEastAsia"/>
                <w:noProof/>
                <w:lang w:eastAsia="en-AU"/>
              </w:rPr>
              <w:tab/>
            </w:r>
            <w:r w:rsidR="005D6DCA" w:rsidRPr="00DE57DC">
              <w:rPr>
                <w:rStyle w:val="Hyperlink"/>
                <w:noProof/>
              </w:rPr>
              <w:t>State, territory and local governments are responsible for the delivery of most projects</w:t>
            </w:r>
            <w:r w:rsidR="005D6DCA">
              <w:rPr>
                <w:noProof/>
                <w:webHidden/>
              </w:rPr>
              <w:tab/>
            </w:r>
            <w:r w:rsidR="005D6DCA">
              <w:rPr>
                <w:noProof/>
                <w:webHidden/>
              </w:rPr>
              <w:fldChar w:fldCharType="begin"/>
            </w:r>
            <w:r w:rsidR="005D6DCA">
              <w:rPr>
                <w:noProof/>
                <w:webHidden/>
              </w:rPr>
              <w:instrText xml:space="preserve"> PAGEREF _Toc116570810 \h </w:instrText>
            </w:r>
            <w:r w:rsidR="005D6DCA">
              <w:rPr>
                <w:noProof/>
                <w:webHidden/>
              </w:rPr>
            </w:r>
            <w:r w:rsidR="005D6DCA">
              <w:rPr>
                <w:noProof/>
                <w:webHidden/>
              </w:rPr>
              <w:fldChar w:fldCharType="separate"/>
            </w:r>
            <w:r w:rsidR="009A47BF">
              <w:rPr>
                <w:noProof/>
                <w:webHidden/>
              </w:rPr>
              <w:t>iv</w:t>
            </w:r>
            <w:r w:rsidR="005D6DCA">
              <w:rPr>
                <w:noProof/>
                <w:webHidden/>
              </w:rPr>
              <w:fldChar w:fldCharType="end"/>
            </w:r>
          </w:hyperlink>
        </w:p>
        <w:p w14:paraId="2450CB22" w14:textId="48855C04" w:rsidR="005D6DCA" w:rsidRDefault="00D62EB6">
          <w:pPr>
            <w:pStyle w:val="TOC3"/>
            <w:tabs>
              <w:tab w:val="left" w:pos="880"/>
              <w:tab w:val="right" w:leader="dot" w:pos="9016"/>
            </w:tabs>
            <w:rPr>
              <w:rFonts w:eastAsiaTheme="minorEastAsia"/>
              <w:noProof/>
              <w:lang w:eastAsia="en-AU"/>
            </w:rPr>
          </w:pPr>
          <w:hyperlink w:anchor="_Toc116570811" w:history="1">
            <w:r w:rsidR="005D6DCA" w:rsidRPr="00DE57DC">
              <w:rPr>
                <w:rStyle w:val="Hyperlink"/>
                <w:noProof/>
              </w:rPr>
              <w:t>3.</w:t>
            </w:r>
            <w:r w:rsidR="005D6DCA">
              <w:rPr>
                <w:rFonts w:eastAsiaTheme="minorEastAsia"/>
                <w:noProof/>
                <w:lang w:eastAsia="en-AU"/>
              </w:rPr>
              <w:tab/>
            </w:r>
            <w:r w:rsidR="005D6DCA" w:rsidRPr="00DE57DC">
              <w:rPr>
                <w:rStyle w:val="Hyperlink"/>
                <w:noProof/>
              </w:rPr>
              <w:t>Challenges in the construction sector</w:t>
            </w:r>
            <w:r w:rsidR="005D6DCA">
              <w:rPr>
                <w:noProof/>
                <w:webHidden/>
              </w:rPr>
              <w:tab/>
            </w:r>
            <w:r w:rsidR="005D6DCA">
              <w:rPr>
                <w:noProof/>
                <w:webHidden/>
              </w:rPr>
              <w:fldChar w:fldCharType="begin"/>
            </w:r>
            <w:r w:rsidR="005D6DCA">
              <w:rPr>
                <w:noProof/>
                <w:webHidden/>
              </w:rPr>
              <w:instrText xml:space="preserve"> PAGEREF _Toc116570811 \h </w:instrText>
            </w:r>
            <w:r w:rsidR="005D6DCA">
              <w:rPr>
                <w:noProof/>
                <w:webHidden/>
              </w:rPr>
            </w:r>
            <w:r w:rsidR="005D6DCA">
              <w:rPr>
                <w:noProof/>
                <w:webHidden/>
              </w:rPr>
              <w:fldChar w:fldCharType="separate"/>
            </w:r>
            <w:r w:rsidR="009A47BF">
              <w:rPr>
                <w:noProof/>
                <w:webHidden/>
              </w:rPr>
              <w:t>iv</w:t>
            </w:r>
            <w:r w:rsidR="005D6DCA">
              <w:rPr>
                <w:noProof/>
                <w:webHidden/>
              </w:rPr>
              <w:fldChar w:fldCharType="end"/>
            </w:r>
          </w:hyperlink>
        </w:p>
        <w:p w14:paraId="4A8DA5BA" w14:textId="30753DB5" w:rsidR="005D6DCA" w:rsidRDefault="00D62EB6">
          <w:pPr>
            <w:pStyle w:val="TOC2"/>
            <w:tabs>
              <w:tab w:val="right" w:leader="dot" w:pos="9016"/>
            </w:tabs>
            <w:rPr>
              <w:rFonts w:eastAsiaTheme="minorEastAsia"/>
              <w:noProof/>
              <w:lang w:eastAsia="en-AU"/>
            </w:rPr>
          </w:pPr>
          <w:hyperlink w:anchor="_Toc116570812" w:history="1">
            <w:r w:rsidR="005D6DCA" w:rsidRPr="00DE57DC">
              <w:rPr>
                <w:rStyle w:val="Hyperlink"/>
                <w:noProof/>
              </w:rPr>
              <w:t>Initiatives under way</w:t>
            </w:r>
            <w:r w:rsidR="005D6DCA">
              <w:rPr>
                <w:noProof/>
                <w:webHidden/>
              </w:rPr>
              <w:tab/>
            </w:r>
            <w:r w:rsidR="005D6DCA">
              <w:rPr>
                <w:noProof/>
                <w:webHidden/>
              </w:rPr>
              <w:fldChar w:fldCharType="begin"/>
            </w:r>
            <w:r w:rsidR="005D6DCA">
              <w:rPr>
                <w:noProof/>
                <w:webHidden/>
              </w:rPr>
              <w:instrText xml:space="preserve"> PAGEREF _Toc116570812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371BAA43" w14:textId="1362AAC0" w:rsidR="005D6DCA" w:rsidRDefault="00D62EB6">
          <w:pPr>
            <w:pStyle w:val="TOC3"/>
            <w:tabs>
              <w:tab w:val="left" w:pos="880"/>
              <w:tab w:val="right" w:leader="dot" w:pos="9016"/>
            </w:tabs>
            <w:rPr>
              <w:rFonts w:eastAsiaTheme="minorEastAsia"/>
              <w:noProof/>
              <w:lang w:eastAsia="en-AU"/>
            </w:rPr>
          </w:pPr>
          <w:hyperlink w:anchor="_Toc116570813" w:history="1">
            <w:r w:rsidR="005D6DCA" w:rsidRPr="00DE57DC">
              <w:rPr>
                <w:rStyle w:val="Hyperlink"/>
                <w:noProof/>
              </w:rPr>
              <w:t>1.</w:t>
            </w:r>
            <w:r w:rsidR="005D6DCA">
              <w:rPr>
                <w:rFonts w:eastAsiaTheme="minorEastAsia"/>
                <w:noProof/>
                <w:lang w:eastAsia="en-AU"/>
              </w:rPr>
              <w:tab/>
            </w:r>
            <w:r w:rsidR="005D6DCA" w:rsidRPr="00DE57DC">
              <w:rPr>
                <w:rStyle w:val="Hyperlink"/>
                <w:noProof/>
              </w:rPr>
              <w:t>Reviewing the investment pipeline</w:t>
            </w:r>
            <w:r w:rsidR="005D6DCA">
              <w:rPr>
                <w:noProof/>
                <w:webHidden/>
              </w:rPr>
              <w:tab/>
            </w:r>
            <w:r w:rsidR="005D6DCA">
              <w:rPr>
                <w:noProof/>
                <w:webHidden/>
              </w:rPr>
              <w:fldChar w:fldCharType="begin"/>
            </w:r>
            <w:r w:rsidR="005D6DCA">
              <w:rPr>
                <w:noProof/>
                <w:webHidden/>
              </w:rPr>
              <w:instrText xml:space="preserve"> PAGEREF _Toc116570813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3B5F9013" w14:textId="38D43906" w:rsidR="005D6DCA" w:rsidRDefault="00D62EB6">
          <w:pPr>
            <w:pStyle w:val="TOC3"/>
            <w:tabs>
              <w:tab w:val="left" w:pos="880"/>
              <w:tab w:val="right" w:leader="dot" w:pos="9016"/>
            </w:tabs>
            <w:rPr>
              <w:rFonts w:eastAsiaTheme="minorEastAsia"/>
              <w:noProof/>
              <w:lang w:eastAsia="en-AU"/>
            </w:rPr>
          </w:pPr>
          <w:hyperlink w:anchor="_Toc116570814" w:history="1">
            <w:r w:rsidR="005D6DCA" w:rsidRPr="00DE57DC">
              <w:rPr>
                <w:rStyle w:val="Hyperlink"/>
                <w:noProof/>
              </w:rPr>
              <w:t>2.</w:t>
            </w:r>
            <w:r w:rsidR="005D6DCA">
              <w:rPr>
                <w:rFonts w:eastAsiaTheme="minorEastAsia"/>
                <w:noProof/>
                <w:lang w:eastAsia="en-AU"/>
              </w:rPr>
              <w:tab/>
            </w:r>
            <w:r w:rsidR="005D6DCA" w:rsidRPr="00DE57DC">
              <w:rPr>
                <w:rStyle w:val="Hyperlink"/>
                <w:noProof/>
              </w:rPr>
              <w:t>Updates to the Commonwealth Procurement Rules</w:t>
            </w:r>
            <w:r w:rsidR="005D6DCA">
              <w:rPr>
                <w:noProof/>
                <w:webHidden/>
              </w:rPr>
              <w:tab/>
            </w:r>
            <w:r w:rsidR="005D6DCA">
              <w:rPr>
                <w:noProof/>
                <w:webHidden/>
              </w:rPr>
              <w:fldChar w:fldCharType="begin"/>
            </w:r>
            <w:r w:rsidR="005D6DCA">
              <w:rPr>
                <w:noProof/>
                <w:webHidden/>
              </w:rPr>
              <w:instrText xml:space="preserve"> PAGEREF _Toc116570814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5C270A88" w14:textId="22C7C1CA" w:rsidR="005D6DCA" w:rsidRDefault="00D62EB6">
          <w:pPr>
            <w:pStyle w:val="TOC3"/>
            <w:tabs>
              <w:tab w:val="left" w:pos="880"/>
              <w:tab w:val="right" w:leader="dot" w:pos="9016"/>
            </w:tabs>
            <w:rPr>
              <w:rFonts w:eastAsiaTheme="minorEastAsia"/>
              <w:noProof/>
              <w:lang w:eastAsia="en-AU"/>
            </w:rPr>
          </w:pPr>
          <w:hyperlink w:anchor="_Toc116570815" w:history="1">
            <w:r w:rsidR="005D6DCA" w:rsidRPr="00DE57DC">
              <w:rPr>
                <w:rStyle w:val="Hyperlink"/>
                <w:noProof/>
              </w:rPr>
              <w:t>3.</w:t>
            </w:r>
            <w:r w:rsidR="005D6DCA">
              <w:rPr>
                <w:rFonts w:eastAsiaTheme="minorEastAsia"/>
                <w:noProof/>
                <w:lang w:eastAsia="en-AU"/>
              </w:rPr>
              <w:tab/>
            </w:r>
            <w:r w:rsidR="005D6DCA" w:rsidRPr="00DE57DC">
              <w:rPr>
                <w:rStyle w:val="Hyperlink"/>
                <w:noProof/>
              </w:rPr>
              <w:t>A review of Infrastructure Australia</w:t>
            </w:r>
            <w:r w:rsidR="005D6DCA">
              <w:rPr>
                <w:noProof/>
                <w:webHidden/>
              </w:rPr>
              <w:tab/>
            </w:r>
            <w:r w:rsidR="005D6DCA">
              <w:rPr>
                <w:noProof/>
                <w:webHidden/>
              </w:rPr>
              <w:fldChar w:fldCharType="begin"/>
            </w:r>
            <w:r w:rsidR="005D6DCA">
              <w:rPr>
                <w:noProof/>
                <w:webHidden/>
              </w:rPr>
              <w:instrText xml:space="preserve"> PAGEREF _Toc116570815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60CBF73E" w14:textId="62B65492" w:rsidR="005D6DCA" w:rsidRDefault="00D62EB6">
          <w:pPr>
            <w:pStyle w:val="TOC3"/>
            <w:tabs>
              <w:tab w:val="left" w:pos="880"/>
              <w:tab w:val="right" w:leader="dot" w:pos="9016"/>
            </w:tabs>
            <w:rPr>
              <w:rFonts w:eastAsiaTheme="minorEastAsia"/>
              <w:noProof/>
              <w:lang w:eastAsia="en-AU"/>
            </w:rPr>
          </w:pPr>
          <w:hyperlink w:anchor="_Toc116570816" w:history="1">
            <w:r w:rsidR="005D6DCA" w:rsidRPr="00DE57DC">
              <w:rPr>
                <w:rStyle w:val="Hyperlink"/>
                <w:noProof/>
              </w:rPr>
              <w:t>4.</w:t>
            </w:r>
            <w:r w:rsidR="005D6DCA">
              <w:rPr>
                <w:rFonts w:eastAsiaTheme="minorEastAsia"/>
                <w:noProof/>
                <w:lang w:eastAsia="en-AU"/>
              </w:rPr>
              <w:tab/>
            </w:r>
            <w:r w:rsidR="005D6DCA" w:rsidRPr="00DE57DC">
              <w:rPr>
                <w:rStyle w:val="Hyperlink"/>
                <w:noProof/>
              </w:rPr>
              <w:t>Secure Australian Jobs Plan</w:t>
            </w:r>
            <w:r w:rsidR="005D6DCA">
              <w:rPr>
                <w:noProof/>
                <w:webHidden/>
              </w:rPr>
              <w:tab/>
            </w:r>
            <w:r w:rsidR="005D6DCA">
              <w:rPr>
                <w:noProof/>
                <w:webHidden/>
              </w:rPr>
              <w:fldChar w:fldCharType="begin"/>
            </w:r>
            <w:r w:rsidR="005D6DCA">
              <w:rPr>
                <w:noProof/>
                <w:webHidden/>
              </w:rPr>
              <w:instrText xml:space="preserve"> PAGEREF _Toc116570816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0BD8FEB0" w14:textId="68CA5543" w:rsidR="005D6DCA" w:rsidRDefault="00D62EB6">
          <w:pPr>
            <w:pStyle w:val="TOC3"/>
            <w:tabs>
              <w:tab w:val="left" w:pos="880"/>
              <w:tab w:val="right" w:leader="dot" w:pos="9016"/>
            </w:tabs>
            <w:rPr>
              <w:rFonts w:eastAsiaTheme="minorEastAsia"/>
              <w:noProof/>
              <w:lang w:eastAsia="en-AU"/>
            </w:rPr>
          </w:pPr>
          <w:hyperlink w:anchor="_Toc116570817" w:history="1">
            <w:r w:rsidR="005D6DCA" w:rsidRPr="00DE57DC">
              <w:rPr>
                <w:rStyle w:val="Hyperlink"/>
                <w:rFonts w:ascii="Calibri" w:eastAsia="Times New Roman" w:hAnsi="Calibri" w:cs="Calibri"/>
                <w:noProof/>
                <w:lang w:eastAsia="en-AU"/>
              </w:rPr>
              <w:t>5.</w:t>
            </w:r>
            <w:r w:rsidR="005D6DCA">
              <w:rPr>
                <w:rFonts w:eastAsiaTheme="minorEastAsia"/>
                <w:noProof/>
                <w:lang w:eastAsia="en-AU"/>
              </w:rPr>
              <w:tab/>
            </w:r>
            <w:r w:rsidR="005D6DCA" w:rsidRPr="00DE57DC">
              <w:rPr>
                <w:rStyle w:val="Hyperlink"/>
                <w:rFonts w:ascii="Calibri" w:eastAsia="Times New Roman" w:hAnsi="Calibri" w:cs="Calibri"/>
                <w:noProof/>
                <w:lang w:eastAsia="en-AU"/>
              </w:rPr>
              <w:t xml:space="preserve">Buy </w:t>
            </w:r>
            <w:r w:rsidR="005D6DCA" w:rsidRPr="00DE57DC">
              <w:rPr>
                <w:rStyle w:val="Hyperlink"/>
                <w:noProof/>
              </w:rPr>
              <w:t>Australian</w:t>
            </w:r>
            <w:r w:rsidR="005D6DCA" w:rsidRPr="00DE57DC">
              <w:rPr>
                <w:rStyle w:val="Hyperlink"/>
                <w:rFonts w:ascii="Calibri" w:eastAsia="Times New Roman" w:hAnsi="Calibri" w:cs="Calibri"/>
                <w:noProof/>
                <w:lang w:eastAsia="en-AU"/>
              </w:rPr>
              <w:t xml:space="preserve"> Plan</w:t>
            </w:r>
            <w:r w:rsidR="005D6DCA">
              <w:rPr>
                <w:noProof/>
                <w:webHidden/>
              </w:rPr>
              <w:tab/>
            </w:r>
            <w:r w:rsidR="005D6DCA">
              <w:rPr>
                <w:noProof/>
                <w:webHidden/>
              </w:rPr>
              <w:fldChar w:fldCharType="begin"/>
            </w:r>
            <w:r w:rsidR="005D6DCA">
              <w:rPr>
                <w:noProof/>
                <w:webHidden/>
              </w:rPr>
              <w:instrText xml:space="preserve"> PAGEREF _Toc116570817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1EAF4E67" w14:textId="60419070" w:rsidR="005D6DCA" w:rsidRDefault="00D62EB6">
          <w:pPr>
            <w:pStyle w:val="TOC3"/>
            <w:tabs>
              <w:tab w:val="left" w:pos="880"/>
              <w:tab w:val="right" w:leader="dot" w:pos="9016"/>
            </w:tabs>
            <w:rPr>
              <w:rFonts w:eastAsiaTheme="minorEastAsia"/>
              <w:noProof/>
              <w:lang w:eastAsia="en-AU"/>
            </w:rPr>
          </w:pPr>
          <w:hyperlink w:anchor="_Toc116570818" w:history="1">
            <w:r w:rsidR="005D6DCA" w:rsidRPr="00DE57DC">
              <w:rPr>
                <w:rStyle w:val="Hyperlink"/>
                <w:noProof/>
              </w:rPr>
              <w:t>6.</w:t>
            </w:r>
            <w:r w:rsidR="005D6DCA">
              <w:rPr>
                <w:rFonts w:eastAsiaTheme="minorEastAsia"/>
                <w:noProof/>
                <w:lang w:eastAsia="en-AU"/>
              </w:rPr>
              <w:tab/>
            </w:r>
            <w:r w:rsidR="005D6DCA" w:rsidRPr="00DE57DC">
              <w:rPr>
                <w:rStyle w:val="Hyperlink"/>
                <w:noProof/>
              </w:rPr>
              <w:t>Australian Industry Participation Plan</w:t>
            </w:r>
            <w:r w:rsidR="005D6DCA">
              <w:rPr>
                <w:noProof/>
                <w:webHidden/>
              </w:rPr>
              <w:tab/>
            </w:r>
            <w:r w:rsidR="005D6DCA">
              <w:rPr>
                <w:noProof/>
                <w:webHidden/>
              </w:rPr>
              <w:fldChar w:fldCharType="begin"/>
            </w:r>
            <w:r w:rsidR="005D6DCA">
              <w:rPr>
                <w:noProof/>
                <w:webHidden/>
              </w:rPr>
              <w:instrText xml:space="preserve"> PAGEREF _Toc116570818 \h </w:instrText>
            </w:r>
            <w:r w:rsidR="005D6DCA">
              <w:rPr>
                <w:noProof/>
                <w:webHidden/>
              </w:rPr>
            </w:r>
            <w:r w:rsidR="005D6DCA">
              <w:rPr>
                <w:noProof/>
                <w:webHidden/>
              </w:rPr>
              <w:fldChar w:fldCharType="separate"/>
            </w:r>
            <w:r w:rsidR="009A47BF">
              <w:rPr>
                <w:noProof/>
                <w:webHidden/>
              </w:rPr>
              <w:t>v</w:t>
            </w:r>
            <w:r w:rsidR="005D6DCA">
              <w:rPr>
                <w:noProof/>
                <w:webHidden/>
              </w:rPr>
              <w:fldChar w:fldCharType="end"/>
            </w:r>
          </w:hyperlink>
        </w:p>
        <w:p w14:paraId="465F7C31" w14:textId="03258EE9" w:rsidR="005D6DCA" w:rsidRDefault="00D62EB6">
          <w:pPr>
            <w:pStyle w:val="TOC1"/>
            <w:rPr>
              <w:rFonts w:eastAsiaTheme="minorEastAsia"/>
              <w:noProof/>
              <w:lang w:eastAsia="en-AU"/>
            </w:rPr>
          </w:pPr>
          <w:hyperlink w:anchor="_Toc116570819" w:history="1">
            <w:r w:rsidR="005D6DCA" w:rsidRPr="00DE57DC">
              <w:rPr>
                <w:rStyle w:val="Hyperlink"/>
                <w:noProof/>
              </w:rPr>
              <w:t>Recommendation 1</w:t>
            </w:r>
            <w:r w:rsidR="005D6DCA">
              <w:rPr>
                <w:noProof/>
                <w:webHidden/>
              </w:rPr>
              <w:tab/>
            </w:r>
            <w:r w:rsidR="005D6DCA">
              <w:rPr>
                <w:noProof/>
                <w:webHidden/>
              </w:rPr>
              <w:fldChar w:fldCharType="begin"/>
            </w:r>
            <w:r w:rsidR="005D6DCA">
              <w:rPr>
                <w:noProof/>
                <w:webHidden/>
              </w:rPr>
              <w:instrText xml:space="preserve"> PAGEREF _Toc116570819 \h </w:instrText>
            </w:r>
            <w:r w:rsidR="005D6DCA">
              <w:rPr>
                <w:noProof/>
                <w:webHidden/>
              </w:rPr>
            </w:r>
            <w:r w:rsidR="005D6DCA">
              <w:rPr>
                <w:noProof/>
                <w:webHidden/>
              </w:rPr>
              <w:fldChar w:fldCharType="separate"/>
            </w:r>
            <w:r w:rsidR="009A47BF">
              <w:rPr>
                <w:noProof/>
                <w:webHidden/>
              </w:rPr>
              <w:t>1</w:t>
            </w:r>
            <w:r w:rsidR="005D6DCA">
              <w:rPr>
                <w:noProof/>
                <w:webHidden/>
              </w:rPr>
              <w:fldChar w:fldCharType="end"/>
            </w:r>
          </w:hyperlink>
        </w:p>
        <w:p w14:paraId="582C352C" w14:textId="26112551" w:rsidR="005D6DCA" w:rsidRDefault="00D62EB6">
          <w:pPr>
            <w:pStyle w:val="TOC1"/>
            <w:rPr>
              <w:rFonts w:eastAsiaTheme="minorEastAsia"/>
              <w:noProof/>
              <w:lang w:eastAsia="en-AU"/>
            </w:rPr>
          </w:pPr>
          <w:hyperlink w:anchor="_Toc116570820" w:history="1">
            <w:r w:rsidR="005D6DCA" w:rsidRPr="00DE57DC">
              <w:rPr>
                <w:rStyle w:val="Hyperlink"/>
                <w:noProof/>
              </w:rPr>
              <w:t>Recommendation 2</w:t>
            </w:r>
            <w:r w:rsidR="005D6DCA">
              <w:rPr>
                <w:noProof/>
                <w:webHidden/>
              </w:rPr>
              <w:tab/>
            </w:r>
            <w:r w:rsidR="005D6DCA">
              <w:rPr>
                <w:noProof/>
                <w:webHidden/>
              </w:rPr>
              <w:fldChar w:fldCharType="begin"/>
            </w:r>
            <w:r w:rsidR="005D6DCA">
              <w:rPr>
                <w:noProof/>
                <w:webHidden/>
              </w:rPr>
              <w:instrText xml:space="preserve"> PAGEREF _Toc116570820 \h </w:instrText>
            </w:r>
            <w:r w:rsidR="005D6DCA">
              <w:rPr>
                <w:noProof/>
                <w:webHidden/>
              </w:rPr>
            </w:r>
            <w:r w:rsidR="005D6DCA">
              <w:rPr>
                <w:noProof/>
                <w:webHidden/>
              </w:rPr>
              <w:fldChar w:fldCharType="separate"/>
            </w:r>
            <w:r w:rsidR="009A47BF">
              <w:rPr>
                <w:noProof/>
                <w:webHidden/>
              </w:rPr>
              <w:t>3</w:t>
            </w:r>
            <w:r w:rsidR="005D6DCA">
              <w:rPr>
                <w:noProof/>
                <w:webHidden/>
              </w:rPr>
              <w:fldChar w:fldCharType="end"/>
            </w:r>
          </w:hyperlink>
        </w:p>
        <w:p w14:paraId="3300BCDD" w14:textId="3687FD13" w:rsidR="005D6DCA" w:rsidRDefault="00D62EB6">
          <w:pPr>
            <w:pStyle w:val="TOC1"/>
            <w:rPr>
              <w:rFonts w:eastAsiaTheme="minorEastAsia"/>
              <w:noProof/>
              <w:lang w:eastAsia="en-AU"/>
            </w:rPr>
          </w:pPr>
          <w:hyperlink w:anchor="_Toc116570821" w:history="1">
            <w:r w:rsidR="005D6DCA" w:rsidRPr="00DE57DC">
              <w:rPr>
                <w:rStyle w:val="Hyperlink"/>
                <w:noProof/>
              </w:rPr>
              <w:t>Recommendation 3</w:t>
            </w:r>
            <w:r w:rsidR="005D6DCA">
              <w:rPr>
                <w:noProof/>
                <w:webHidden/>
              </w:rPr>
              <w:tab/>
            </w:r>
            <w:r w:rsidR="005D6DCA">
              <w:rPr>
                <w:noProof/>
                <w:webHidden/>
              </w:rPr>
              <w:fldChar w:fldCharType="begin"/>
            </w:r>
            <w:r w:rsidR="005D6DCA">
              <w:rPr>
                <w:noProof/>
                <w:webHidden/>
              </w:rPr>
              <w:instrText xml:space="preserve"> PAGEREF _Toc116570821 \h </w:instrText>
            </w:r>
            <w:r w:rsidR="005D6DCA">
              <w:rPr>
                <w:noProof/>
                <w:webHidden/>
              </w:rPr>
            </w:r>
            <w:r w:rsidR="005D6DCA">
              <w:rPr>
                <w:noProof/>
                <w:webHidden/>
              </w:rPr>
              <w:fldChar w:fldCharType="separate"/>
            </w:r>
            <w:r w:rsidR="009A47BF">
              <w:rPr>
                <w:noProof/>
                <w:webHidden/>
              </w:rPr>
              <w:t>5</w:t>
            </w:r>
            <w:r w:rsidR="005D6DCA">
              <w:rPr>
                <w:noProof/>
                <w:webHidden/>
              </w:rPr>
              <w:fldChar w:fldCharType="end"/>
            </w:r>
          </w:hyperlink>
        </w:p>
        <w:p w14:paraId="3E5A48FF" w14:textId="05C0C181" w:rsidR="005D6DCA" w:rsidRDefault="00D62EB6">
          <w:pPr>
            <w:pStyle w:val="TOC1"/>
            <w:rPr>
              <w:rFonts w:eastAsiaTheme="minorEastAsia"/>
              <w:noProof/>
              <w:lang w:eastAsia="en-AU"/>
            </w:rPr>
          </w:pPr>
          <w:hyperlink w:anchor="_Toc116570822" w:history="1">
            <w:r w:rsidR="005D6DCA" w:rsidRPr="00DE57DC">
              <w:rPr>
                <w:rStyle w:val="Hyperlink"/>
                <w:noProof/>
              </w:rPr>
              <w:t>Recommendation 4</w:t>
            </w:r>
            <w:r w:rsidR="005D6DCA">
              <w:rPr>
                <w:noProof/>
                <w:webHidden/>
              </w:rPr>
              <w:tab/>
            </w:r>
            <w:r w:rsidR="005D6DCA">
              <w:rPr>
                <w:noProof/>
                <w:webHidden/>
              </w:rPr>
              <w:fldChar w:fldCharType="begin"/>
            </w:r>
            <w:r w:rsidR="005D6DCA">
              <w:rPr>
                <w:noProof/>
                <w:webHidden/>
              </w:rPr>
              <w:instrText xml:space="preserve"> PAGEREF _Toc116570822 \h </w:instrText>
            </w:r>
            <w:r w:rsidR="005D6DCA">
              <w:rPr>
                <w:noProof/>
                <w:webHidden/>
              </w:rPr>
            </w:r>
            <w:r w:rsidR="005D6DCA">
              <w:rPr>
                <w:noProof/>
                <w:webHidden/>
              </w:rPr>
              <w:fldChar w:fldCharType="separate"/>
            </w:r>
            <w:r w:rsidR="009A47BF">
              <w:rPr>
                <w:noProof/>
                <w:webHidden/>
              </w:rPr>
              <w:t>6</w:t>
            </w:r>
            <w:r w:rsidR="005D6DCA">
              <w:rPr>
                <w:noProof/>
                <w:webHidden/>
              </w:rPr>
              <w:fldChar w:fldCharType="end"/>
            </w:r>
          </w:hyperlink>
        </w:p>
        <w:p w14:paraId="28AF28E4" w14:textId="0C70CC67" w:rsidR="005D6DCA" w:rsidRDefault="00D62EB6">
          <w:pPr>
            <w:pStyle w:val="TOC1"/>
            <w:rPr>
              <w:rFonts w:eastAsiaTheme="minorEastAsia"/>
              <w:noProof/>
              <w:lang w:eastAsia="en-AU"/>
            </w:rPr>
          </w:pPr>
          <w:hyperlink w:anchor="_Toc116570823" w:history="1">
            <w:r w:rsidR="005D6DCA" w:rsidRPr="00DE57DC">
              <w:rPr>
                <w:rStyle w:val="Hyperlink"/>
                <w:noProof/>
              </w:rPr>
              <w:t>Recommendation 5</w:t>
            </w:r>
            <w:r w:rsidR="005D6DCA">
              <w:rPr>
                <w:noProof/>
                <w:webHidden/>
              </w:rPr>
              <w:tab/>
            </w:r>
            <w:r w:rsidR="005D6DCA">
              <w:rPr>
                <w:noProof/>
                <w:webHidden/>
              </w:rPr>
              <w:fldChar w:fldCharType="begin"/>
            </w:r>
            <w:r w:rsidR="005D6DCA">
              <w:rPr>
                <w:noProof/>
                <w:webHidden/>
              </w:rPr>
              <w:instrText xml:space="preserve"> PAGEREF _Toc116570823 \h </w:instrText>
            </w:r>
            <w:r w:rsidR="005D6DCA">
              <w:rPr>
                <w:noProof/>
                <w:webHidden/>
              </w:rPr>
            </w:r>
            <w:r w:rsidR="005D6DCA">
              <w:rPr>
                <w:noProof/>
                <w:webHidden/>
              </w:rPr>
              <w:fldChar w:fldCharType="separate"/>
            </w:r>
            <w:r w:rsidR="009A47BF">
              <w:rPr>
                <w:noProof/>
                <w:webHidden/>
              </w:rPr>
              <w:t>7</w:t>
            </w:r>
            <w:r w:rsidR="005D6DCA">
              <w:rPr>
                <w:noProof/>
                <w:webHidden/>
              </w:rPr>
              <w:fldChar w:fldCharType="end"/>
            </w:r>
          </w:hyperlink>
        </w:p>
        <w:p w14:paraId="62C08CE4" w14:textId="098B2ABA" w:rsidR="005D6DCA" w:rsidRDefault="00D62EB6">
          <w:pPr>
            <w:pStyle w:val="TOC1"/>
            <w:rPr>
              <w:rFonts w:eastAsiaTheme="minorEastAsia"/>
              <w:noProof/>
              <w:lang w:eastAsia="en-AU"/>
            </w:rPr>
          </w:pPr>
          <w:hyperlink w:anchor="_Toc116570824" w:history="1">
            <w:r w:rsidR="005D6DCA" w:rsidRPr="00DE57DC">
              <w:rPr>
                <w:rStyle w:val="Hyperlink"/>
                <w:noProof/>
              </w:rPr>
              <w:t>Recommendation 6</w:t>
            </w:r>
            <w:r w:rsidR="005D6DCA">
              <w:rPr>
                <w:noProof/>
                <w:webHidden/>
              </w:rPr>
              <w:tab/>
            </w:r>
            <w:r w:rsidR="005D6DCA">
              <w:rPr>
                <w:noProof/>
                <w:webHidden/>
              </w:rPr>
              <w:fldChar w:fldCharType="begin"/>
            </w:r>
            <w:r w:rsidR="005D6DCA">
              <w:rPr>
                <w:noProof/>
                <w:webHidden/>
              </w:rPr>
              <w:instrText xml:space="preserve"> PAGEREF _Toc116570824 \h </w:instrText>
            </w:r>
            <w:r w:rsidR="005D6DCA">
              <w:rPr>
                <w:noProof/>
                <w:webHidden/>
              </w:rPr>
            </w:r>
            <w:r w:rsidR="005D6DCA">
              <w:rPr>
                <w:noProof/>
                <w:webHidden/>
              </w:rPr>
              <w:fldChar w:fldCharType="separate"/>
            </w:r>
            <w:r w:rsidR="009A47BF">
              <w:rPr>
                <w:noProof/>
                <w:webHidden/>
              </w:rPr>
              <w:t>8</w:t>
            </w:r>
            <w:r w:rsidR="005D6DCA">
              <w:rPr>
                <w:noProof/>
                <w:webHidden/>
              </w:rPr>
              <w:fldChar w:fldCharType="end"/>
            </w:r>
          </w:hyperlink>
        </w:p>
        <w:p w14:paraId="0FE9ED69" w14:textId="783B697B" w:rsidR="005D6DCA" w:rsidRDefault="00D62EB6">
          <w:pPr>
            <w:pStyle w:val="TOC1"/>
            <w:rPr>
              <w:rFonts w:eastAsiaTheme="minorEastAsia"/>
              <w:noProof/>
              <w:lang w:eastAsia="en-AU"/>
            </w:rPr>
          </w:pPr>
          <w:hyperlink w:anchor="_Toc116570825" w:history="1">
            <w:r w:rsidR="005D6DCA" w:rsidRPr="00DE57DC">
              <w:rPr>
                <w:rStyle w:val="Hyperlink"/>
                <w:noProof/>
              </w:rPr>
              <w:t>Recommendation 7</w:t>
            </w:r>
            <w:r w:rsidR="005D6DCA">
              <w:rPr>
                <w:noProof/>
                <w:webHidden/>
              </w:rPr>
              <w:tab/>
            </w:r>
            <w:r w:rsidR="005D6DCA">
              <w:rPr>
                <w:noProof/>
                <w:webHidden/>
              </w:rPr>
              <w:fldChar w:fldCharType="begin"/>
            </w:r>
            <w:r w:rsidR="005D6DCA">
              <w:rPr>
                <w:noProof/>
                <w:webHidden/>
              </w:rPr>
              <w:instrText xml:space="preserve"> PAGEREF _Toc116570825 \h </w:instrText>
            </w:r>
            <w:r w:rsidR="005D6DCA">
              <w:rPr>
                <w:noProof/>
                <w:webHidden/>
              </w:rPr>
            </w:r>
            <w:r w:rsidR="005D6DCA">
              <w:rPr>
                <w:noProof/>
                <w:webHidden/>
              </w:rPr>
              <w:fldChar w:fldCharType="separate"/>
            </w:r>
            <w:r w:rsidR="009A47BF">
              <w:rPr>
                <w:noProof/>
                <w:webHidden/>
              </w:rPr>
              <w:t>10</w:t>
            </w:r>
            <w:r w:rsidR="005D6DCA">
              <w:rPr>
                <w:noProof/>
                <w:webHidden/>
              </w:rPr>
              <w:fldChar w:fldCharType="end"/>
            </w:r>
          </w:hyperlink>
        </w:p>
        <w:p w14:paraId="1C457BCF" w14:textId="76CAC6FB" w:rsidR="005D6DCA" w:rsidRDefault="00D62EB6">
          <w:pPr>
            <w:pStyle w:val="TOC1"/>
            <w:rPr>
              <w:rFonts w:eastAsiaTheme="minorEastAsia"/>
              <w:noProof/>
              <w:lang w:eastAsia="en-AU"/>
            </w:rPr>
          </w:pPr>
          <w:hyperlink w:anchor="_Toc116570826" w:history="1">
            <w:r w:rsidR="005D6DCA" w:rsidRPr="00DE57DC">
              <w:rPr>
                <w:rStyle w:val="Hyperlink"/>
                <w:noProof/>
              </w:rPr>
              <w:t>Recommendation 8</w:t>
            </w:r>
            <w:r w:rsidR="005D6DCA">
              <w:rPr>
                <w:noProof/>
                <w:webHidden/>
              </w:rPr>
              <w:tab/>
            </w:r>
            <w:r w:rsidR="005D6DCA">
              <w:rPr>
                <w:noProof/>
                <w:webHidden/>
              </w:rPr>
              <w:fldChar w:fldCharType="begin"/>
            </w:r>
            <w:r w:rsidR="005D6DCA">
              <w:rPr>
                <w:noProof/>
                <w:webHidden/>
              </w:rPr>
              <w:instrText xml:space="preserve"> PAGEREF _Toc116570826 \h </w:instrText>
            </w:r>
            <w:r w:rsidR="005D6DCA">
              <w:rPr>
                <w:noProof/>
                <w:webHidden/>
              </w:rPr>
            </w:r>
            <w:r w:rsidR="005D6DCA">
              <w:rPr>
                <w:noProof/>
                <w:webHidden/>
              </w:rPr>
              <w:fldChar w:fldCharType="separate"/>
            </w:r>
            <w:r w:rsidR="009A47BF">
              <w:rPr>
                <w:noProof/>
                <w:webHidden/>
              </w:rPr>
              <w:t>11</w:t>
            </w:r>
            <w:r w:rsidR="005D6DCA">
              <w:rPr>
                <w:noProof/>
                <w:webHidden/>
              </w:rPr>
              <w:fldChar w:fldCharType="end"/>
            </w:r>
          </w:hyperlink>
        </w:p>
        <w:p w14:paraId="22E5F3B4" w14:textId="33AF1F06" w:rsidR="00560088" w:rsidRDefault="00560088">
          <w:r>
            <w:rPr>
              <w:b/>
              <w:bCs/>
              <w:noProof/>
            </w:rPr>
            <w:fldChar w:fldCharType="end"/>
          </w:r>
        </w:p>
      </w:sdtContent>
    </w:sdt>
    <w:p w14:paraId="28BCB7EF" w14:textId="74CCF4A8" w:rsidR="00DF416D" w:rsidRDefault="00DF416D">
      <w:pPr>
        <w:rPr>
          <w:rFonts w:asciiTheme="majorHAnsi" w:eastAsiaTheme="majorEastAsia" w:hAnsiTheme="majorHAnsi" w:cstheme="majorBidi"/>
          <w:color w:val="2F5496" w:themeColor="accent1" w:themeShade="BF"/>
          <w:sz w:val="32"/>
          <w:szCs w:val="32"/>
        </w:rPr>
      </w:pPr>
      <w:r>
        <w:br w:type="page"/>
      </w:r>
    </w:p>
    <w:p w14:paraId="7D2F0B73" w14:textId="3CB103D0" w:rsidR="00DF416D" w:rsidRDefault="00D36F46" w:rsidP="00DF416D">
      <w:pPr>
        <w:pStyle w:val="Heading1"/>
      </w:pPr>
      <w:bookmarkStart w:id="1" w:name="_Toc116570806"/>
      <w:r>
        <w:lastRenderedPageBreak/>
        <w:t>Preamble</w:t>
      </w:r>
      <w:bookmarkEnd w:id="1"/>
    </w:p>
    <w:p w14:paraId="6E4A956A" w14:textId="49EB2BA4" w:rsidR="00EF7A74" w:rsidRPr="007E7606" w:rsidRDefault="00EF7A74" w:rsidP="007E7606">
      <w:pPr>
        <w:pStyle w:val="Heading2"/>
      </w:pPr>
      <w:bookmarkStart w:id="2" w:name="_Toc116570807"/>
      <w:r w:rsidRPr="007E7606">
        <w:t>Background</w:t>
      </w:r>
      <w:bookmarkEnd w:id="2"/>
      <w:r w:rsidRPr="007E7606">
        <w:t xml:space="preserve"> </w:t>
      </w:r>
    </w:p>
    <w:p w14:paraId="47A3C8A5" w14:textId="737100B3" w:rsidR="00943A2C" w:rsidRDefault="00DF416D" w:rsidP="00943A2C">
      <w:r>
        <w:t>On</w:t>
      </w:r>
      <w:r w:rsidR="002A08B2">
        <w:t xml:space="preserve"> 31</w:t>
      </w:r>
      <w:r>
        <w:t xml:space="preserve"> March 2022 the</w:t>
      </w:r>
      <w:r w:rsidR="000A7915">
        <w:t xml:space="preserve"> </w:t>
      </w:r>
      <w:r w:rsidR="00870CA7">
        <w:t xml:space="preserve">then </w:t>
      </w:r>
      <w:r w:rsidRPr="00DF416D">
        <w:t xml:space="preserve">House of Representatives </w:t>
      </w:r>
      <w:bookmarkStart w:id="3" w:name="_Hlk113354874"/>
      <w:r w:rsidRPr="00DF416D">
        <w:t>Standing Committee on Infrastructure, Transport and Cities</w:t>
      </w:r>
      <w:r w:rsidR="00580032">
        <w:t xml:space="preserve"> inquired into and</w:t>
      </w:r>
      <w:r w:rsidRPr="00DF416D">
        <w:t xml:space="preserve"> </w:t>
      </w:r>
      <w:bookmarkEnd w:id="3"/>
      <w:r>
        <w:t xml:space="preserve">released its report </w:t>
      </w:r>
      <w:r w:rsidRPr="00560088">
        <w:t xml:space="preserve">on procurement practices for </w:t>
      </w:r>
      <w:r w:rsidR="00FA0415">
        <w:br/>
      </w:r>
      <w:r w:rsidRPr="00560088">
        <w:t>government-funded infrastructure</w:t>
      </w:r>
      <w:r>
        <w:t xml:space="preserve">. The </w:t>
      </w:r>
      <w:r w:rsidR="00870CA7">
        <w:t>T</w:t>
      </w:r>
      <w:r>
        <w:t xml:space="preserve">erms of </w:t>
      </w:r>
      <w:r w:rsidR="00870CA7">
        <w:t>R</w:t>
      </w:r>
      <w:r>
        <w:t xml:space="preserve">eference </w:t>
      </w:r>
      <w:r w:rsidR="00943A2C">
        <w:t>for the report required the Committee to report on procurement practices for government-funded infrastructure and the potential to enhance the sovereign capability of the Australian industry, with particular reference to:</w:t>
      </w:r>
    </w:p>
    <w:p w14:paraId="6ED4AE76" w14:textId="2FBD5EE9" w:rsidR="00943A2C" w:rsidRDefault="00943A2C" w:rsidP="00D36F46">
      <w:pPr>
        <w:pStyle w:val="ListParagraph"/>
        <w:numPr>
          <w:ilvl w:val="0"/>
          <w:numId w:val="22"/>
        </w:numPr>
        <w:contextualSpacing w:val="0"/>
      </w:pPr>
      <w:r>
        <w:t>existing infrastructure pipelines and related supply requirements</w:t>
      </w:r>
    </w:p>
    <w:p w14:paraId="5E73B75B" w14:textId="0752FBB1" w:rsidR="00943A2C" w:rsidRDefault="00943A2C" w:rsidP="00D36F46">
      <w:pPr>
        <w:pStyle w:val="ListParagraph"/>
        <w:numPr>
          <w:ilvl w:val="0"/>
          <w:numId w:val="22"/>
        </w:numPr>
        <w:contextualSpacing w:val="0"/>
      </w:pPr>
      <w:r>
        <w:t>challenges and opportunities with existing procurement practices, including frameworks, standards, rules and norms, and intersections between tiers of government and the private sector</w:t>
      </w:r>
    </w:p>
    <w:p w14:paraId="018B0B79" w14:textId="633BF6FE" w:rsidR="00943A2C" w:rsidRDefault="00943A2C" w:rsidP="00D36F46">
      <w:pPr>
        <w:pStyle w:val="ListParagraph"/>
        <w:numPr>
          <w:ilvl w:val="0"/>
          <w:numId w:val="22"/>
        </w:numPr>
        <w:contextualSpacing w:val="0"/>
      </w:pPr>
      <w:r>
        <w:t>challenges and opportunities to enhance Australia’s sovereign industry capability, including for Australian owned businesses</w:t>
      </w:r>
    </w:p>
    <w:p w14:paraId="1B3F37BE" w14:textId="2E77185D" w:rsidR="00943A2C" w:rsidRDefault="00943A2C" w:rsidP="00D36F46">
      <w:pPr>
        <w:pStyle w:val="ListParagraph"/>
        <w:numPr>
          <w:ilvl w:val="0"/>
          <w:numId w:val="22"/>
        </w:numPr>
        <w:contextualSpacing w:val="0"/>
      </w:pPr>
      <w:r>
        <w:t>lessons from other Australian jurisdictions and other portfolio areas, including Defence’s industry capability approaches</w:t>
      </w:r>
    </w:p>
    <w:p w14:paraId="2F448663" w14:textId="31C678E5" w:rsidR="00943A2C" w:rsidRDefault="00943A2C" w:rsidP="00D36F46">
      <w:pPr>
        <w:pStyle w:val="ListParagraph"/>
        <w:numPr>
          <w:ilvl w:val="0"/>
          <w:numId w:val="22"/>
        </w:numPr>
        <w:contextualSpacing w:val="0"/>
      </w:pPr>
      <w:r>
        <w:t>how Australia can balance its international obligations with maximising local content opportunities, including by leveraging foreign direct investment</w:t>
      </w:r>
    </w:p>
    <w:p w14:paraId="3E03989A" w14:textId="6439DE9D" w:rsidR="00943A2C" w:rsidRDefault="00943A2C" w:rsidP="00D36F46">
      <w:pPr>
        <w:pStyle w:val="ListParagraph"/>
        <w:numPr>
          <w:ilvl w:val="0"/>
          <w:numId w:val="22"/>
        </w:numPr>
        <w:contextualSpacing w:val="0"/>
      </w:pPr>
      <w:r>
        <w:t>alternative procurement models, including reference to international examples</w:t>
      </w:r>
    </w:p>
    <w:p w14:paraId="65A8D187" w14:textId="7284CD0D" w:rsidR="00DF416D" w:rsidRDefault="00943A2C" w:rsidP="00D36F46">
      <w:pPr>
        <w:pStyle w:val="ListParagraph"/>
        <w:numPr>
          <w:ilvl w:val="0"/>
          <w:numId w:val="22"/>
        </w:numPr>
        <w:contextualSpacing w:val="0"/>
      </w:pPr>
      <w:r>
        <w:t>other relevant matters.</w:t>
      </w:r>
    </w:p>
    <w:p w14:paraId="1CD09A5D" w14:textId="4759024C" w:rsidR="00675E86" w:rsidRDefault="00943A2C" w:rsidP="00DF416D">
      <w:r>
        <w:t>The Inquiry commenced on 1 June 2021</w:t>
      </w:r>
      <w:r w:rsidR="00870CA7">
        <w:t xml:space="preserve"> with </w:t>
      </w:r>
      <w:r w:rsidR="002A08B2">
        <w:t>s</w:t>
      </w:r>
      <w:r>
        <w:t>ix public hearings held over September to November</w:t>
      </w:r>
      <w:r w:rsidR="00896E04">
        <w:t> </w:t>
      </w:r>
      <w:r>
        <w:t>2021. The Committee received 63 submissions</w:t>
      </w:r>
      <w:r w:rsidR="00675E86">
        <w:t>, including from the Australian National Audit Office, the Department of Finance, Infrastructure Australia, the</w:t>
      </w:r>
      <w:r w:rsidR="00E64938">
        <w:t xml:space="preserve"> then</w:t>
      </w:r>
      <w:r w:rsidR="00675E86">
        <w:t xml:space="preserve"> </w:t>
      </w:r>
      <w:r w:rsidR="00675E86" w:rsidRPr="00675E86">
        <w:t>Department of Infrastructure, Transport, Regional Development and Communications</w:t>
      </w:r>
      <w:r w:rsidR="00675E86">
        <w:t>, and the</w:t>
      </w:r>
      <w:r w:rsidR="00E24ABF">
        <w:t xml:space="preserve"> then</w:t>
      </w:r>
      <w:r w:rsidR="00675E86">
        <w:t xml:space="preserve"> Department of Industry, Science, Energy and Resources.</w:t>
      </w:r>
    </w:p>
    <w:p w14:paraId="30AF0888" w14:textId="08360E55" w:rsidR="00943A2C" w:rsidRDefault="00943A2C" w:rsidP="00DF416D">
      <w:r>
        <w:t>The final report note</w:t>
      </w:r>
      <w:r w:rsidR="002A08B2">
        <w:t>s</w:t>
      </w:r>
      <w:r>
        <w:t xml:space="preserve"> eight recommendations </w:t>
      </w:r>
      <w:r w:rsidR="002A08B2">
        <w:t xml:space="preserve">to the Australian Government </w:t>
      </w:r>
      <w:r>
        <w:t>for consideration</w:t>
      </w:r>
      <w:r w:rsidR="002A08B2">
        <w:t xml:space="preserve"> across the broad themes of</w:t>
      </w:r>
      <w:r w:rsidR="00D36F46">
        <w:t>:</w:t>
      </w:r>
    </w:p>
    <w:p w14:paraId="0C780368" w14:textId="7E1628A9" w:rsidR="001F39D7" w:rsidRDefault="002A08B2" w:rsidP="00D36F46">
      <w:pPr>
        <w:pStyle w:val="ListParagraph"/>
        <w:numPr>
          <w:ilvl w:val="0"/>
          <w:numId w:val="21"/>
        </w:numPr>
        <w:ind w:left="714" w:hanging="357"/>
        <w:contextualSpacing w:val="0"/>
      </w:pPr>
      <w:r>
        <w:t>F</w:t>
      </w:r>
      <w:r w:rsidR="001F39D7">
        <w:t>acilitat</w:t>
      </w:r>
      <w:r>
        <w:t xml:space="preserve">ion of </w:t>
      </w:r>
      <w:r w:rsidR="001F39D7">
        <w:t>better planning and co-ordination across the national infrastructure pipeline</w:t>
      </w:r>
      <w:r w:rsidR="00870CA7">
        <w:t>.</w:t>
      </w:r>
    </w:p>
    <w:p w14:paraId="0B907BD2" w14:textId="0045475E" w:rsidR="001F39D7" w:rsidRDefault="002A08B2" w:rsidP="00D36F46">
      <w:pPr>
        <w:pStyle w:val="ListParagraph"/>
        <w:numPr>
          <w:ilvl w:val="0"/>
          <w:numId w:val="21"/>
        </w:numPr>
        <w:contextualSpacing w:val="0"/>
      </w:pPr>
      <w:r>
        <w:t xml:space="preserve">The </w:t>
      </w:r>
      <w:r w:rsidR="001F39D7">
        <w:t>practical application of the Commonwealth Procurement Rules, and options to improve the training of government procurement officials</w:t>
      </w:r>
      <w:r w:rsidR="00870CA7">
        <w:t>.</w:t>
      </w:r>
    </w:p>
    <w:p w14:paraId="219E0F4C" w14:textId="11AD0E1A" w:rsidR="001F39D7" w:rsidRPr="00D36F46" w:rsidRDefault="002A08B2" w:rsidP="00D36F46">
      <w:pPr>
        <w:pStyle w:val="ListParagraph"/>
        <w:numPr>
          <w:ilvl w:val="0"/>
          <w:numId w:val="21"/>
        </w:numPr>
        <w:ind w:left="714" w:hanging="357"/>
        <w:contextualSpacing w:val="0"/>
      </w:pPr>
      <w:r>
        <w:t xml:space="preserve">The introduction of a </w:t>
      </w:r>
      <w:r w:rsidR="001F39D7">
        <w:t xml:space="preserve">mechanism </w:t>
      </w:r>
      <w:r>
        <w:t xml:space="preserve">to </w:t>
      </w:r>
      <w:r w:rsidR="00D36F46" w:rsidRPr="00D36F46">
        <w:t>monitor</w:t>
      </w:r>
      <w:r>
        <w:t xml:space="preserve"> </w:t>
      </w:r>
      <w:r w:rsidR="00D36F46" w:rsidRPr="00D36F46">
        <w:t>and rat</w:t>
      </w:r>
      <w:r>
        <w:t>e</w:t>
      </w:r>
      <w:r w:rsidR="00D36F46" w:rsidRPr="00D36F46">
        <w:t xml:space="preserve"> funding recipients’ performance on government-funded infrastructure projects</w:t>
      </w:r>
      <w:r w:rsidR="00870CA7">
        <w:t>.</w:t>
      </w:r>
    </w:p>
    <w:p w14:paraId="7AE0B6E8" w14:textId="41273790" w:rsidR="00D36F46" w:rsidRDefault="002A08B2" w:rsidP="00D36F46">
      <w:pPr>
        <w:pStyle w:val="ListParagraph"/>
        <w:numPr>
          <w:ilvl w:val="0"/>
          <w:numId w:val="21"/>
        </w:numPr>
        <w:ind w:left="714" w:hanging="357"/>
        <w:contextualSpacing w:val="0"/>
      </w:pPr>
      <w:r>
        <w:t>The introduction of a</w:t>
      </w:r>
      <w:r w:rsidR="00D36F46">
        <w:t xml:space="preserve"> </w:t>
      </w:r>
      <w:r w:rsidR="00292A68">
        <w:t>collaborative mechanism</w:t>
      </w:r>
      <w:r w:rsidR="00D36F46">
        <w:t xml:space="preserve"> for the Australian Government, or another entity, </w:t>
      </w:r>
      <w:r w:rsidR="00292A68">
        <w:t>to draw lessons from completed projects</w:t>
      </w:r>
      <w:r w:rsidR="00870CA7">
        <w:t>.</w:t>
      </w:r>
    </w:p>
    <w:p w14:paraId="0C38202B" w14:textId="58175BBF" w:rsidR="00D36F46" w:rsidRDefault="00D36F46" w:rsidP="00D36F46">
      <w:pPr>
        <w:pStyle w:val="ListParagraph"/>
        <w:numPr>
          <w:ilvl w:val="0"/>
          <w:numId w:val="21"/>
        </w:numPr>
        <w:ind w:left="714" w:hanging="357"/>
        <w:contextualSpacing w:val="0"/>
      </w:pPr>
      <w:r>
        <w:t xml:space="preserve">Opportunities for standardisation on </w:t>
      </w:r>
      <w:r w:rsidR="00870CA7">
        <w:t xml:space="preserve">similar </w:t>
      </w:r>
      <w:r>
        <w:t>projects</w:t>
      </w:r>
      <w:r w:rsidR="00870CA7">
        <w:t>.</w:t>
      </w:r>
    </w:p>
    <w:p w14:paraId="222FA841" w14:textId="59CFDD1A" w:rsidR="00D36F46" w:rsidRDefault="002A08B2" w:rsidP="00D36F46">
      <w:pPr>
        <w:pStyle w:val="ListParagraph"/>
        <w:numPr>
          <w:ilvl w:val="0"/>
          <w:numId w:val="21"/>
        </w:numPr>
        <w:ind w:left="714" w:hanging="357"/>
        <w:contextualSpacing w:val="0"/>
      </w:pPr>
      <w:r>
        <w:t>M</w:t>
      </w:r>
      <w:r w:rsidR="00D36F46">
        <w:t>aximis</w:t>
      </w:r>
      <w:r>
        <w:t xml:space="preserve">ing </w:t>
      </w:r>
      <w:r w:rsidR="00D36F46">
        <w:t>development of Australia’s sovereign capacity to deliver infrastructure projects</w:t>
      </w:r>
      <w:r w:rsidR="00870CA7">
        <w:t>.</w:t>
      </w:r>
    </w:p>
    <w:p w14:paraId="62AE199B" w14:textId="6D967F34" w:rsidR="00D36F46" w:rsidRDefault="00D36F46" w:rsidP="00D36F46">
      <w:pPr>
        <w:pStyle w:val="ListParagraph"/>
        <w:numPr>
          <w:ilvl w:val="0"/>
          <w:numId w:val="21"/>
        </w:numPr>
        <w:ind w:left="714" w:hanging="357"/>
        <w:contextualSpacing w:val="0"/>
      </w:pPr>
      <w:r>
        <w:t>Adoption of a digital by default approach in infrastructure projects</w:t>
      </w:r>
      <w:r w:rsidR="00870CA7">
        <w:t>.</w:t>
      </w:r>
    </w:p>
    <w:p w14:paraId="6A0E029C" w14:textId="0F172507" w:rsidR="00D36F46" w:rsidRDefault="00D36F46" w:rsidP="00D36F46">
      <w:pPr>
        <w:pStyle w:val="ListParagraph"/>
        <w:numPr>
          <w:ilvl w:val="0"/>
          <w:numId w:val="21"/>
        </w:numPr>
        <w:ind w:left="714" w:hanging="357"/>
        <w:contextualSpacing w:val="0"/>
      </w:pPr>
      <w:r>
        <w:t>Means to improve productivity in the construction industry.</w:t>
      </w:r>
    </w:p>
    <w:p w14:paraId="26D71362" w14:textId="251A5C77" w:rsidR="00A60235" w:rsidRPr="001B207A" w:rsidRDefault="00A60235" w:rsidP="007E7606">
      <w:pPr>
        <w:pStyle w:val="Heading2"/>
      </w:pPr>
      <w:bookmarkStart w:id="4" w:name="_Toc116570808"/>
      <w:r w:rsidRPr="00F015B2">
        <w:lastRenderedPageBreak/>
        <w:t>The state of the infrastructure inves</w:t>
      </w:r>
      <w:r w:rsidRPr="001B207A">
        <w:t>tment market</w:t>
      </w:r>
      <w:bookmarkEnd w:id="4"/>
    </w:p>
    <w:p w14:paraId="6C748216" w14:textId="33AC3032" w:rsidR="00487B19" w:rsidRDefault="00E07163" w:rsidP="00487B19">
      <w:r>
        <w:t xml:space="preserve">The Australian Government </w:t>
      </w:r>
      <w:r w:rsidR="00A34018">
        <w:t xml:space="preserve">acknowledges </w:t>
      </w:r>
      <w:r>
        <w:t xml:space="preserve">this report, which highlights </w:t>
      </w:r>
      <w:r w:rsidR="00870CA7">
        <w:t>both the challenges</w:t>
      </w:r>
      <w:r>
        <w:t xml:space="preserve"> in the heavy civil construction sector, </w:t>
      </w:r>
      <w:r w:rsidR="004632EC">
        <w:t xml:space="preserve">and </w:t>
      </w:r>
      <w:r>
        <w:t>the complexity of infrastructure delivery.</w:t>
      </w:r>
      <w:r w:rsidR="00487B19" w:rsidRPr="00487B19">
        <w:t xml:space="preserve"> The Government is committed to building the infrastructure </w:t>
      </w:r>
      <w:r w:rsidR="00A34018">
        <w:t>needed</w:t>
      </w:r>
      <w:r w:rsidR="00487B19" w:rsidRPr="00487B19">
        <w:t xml:space="preserve"> for </w:t>
      </w:r>
      <w:r w:rsidR="00870CA7">
        <w:t>the future</w:t>
      </w:r>
      <w:r w:rsidR="00870CA7" w:rsidRPr="00487B19">
        <w:t xml:space="preserve"> </w:t>
      </w:r>
      <w:r w:rsidR="00487B19" w:rsidRPr="00487B19">
        <w:t xml:space="preserve">through </w:t>
      </w:r>
      <w:r w:rsidR="00870CA7">
        <w:t xml:space="preserve">its </w:t>
      </w:r>
      <w:r w:rsidR="00487B19" w:rsidRPr="00487B19">
        <w:t xml:space="preserve">infrastructure investment pipeline. </w:t>
      </w:r>
      <w:r w:rsidR="00487B19">
        <w:t>In acknowledgement of the complexity of each of these issues, th</w:t>
      </w:r>
      <w:r w:rsidR="00870CA7">
        <w:t>e</w:t>
      </w:r>
      <w:r w:rsidR="00487B19">
        <w:t xml:space="preserve"> response</w:t>
      </w:r>
      <w:r w:rsidR="00870CA7">
        <w:t>s</w:t>
      </w:r>
      <w:r w:rsidR="00487B19">
        <w:t xml:space="preserve"> address each recommendation individually.</w:t>
      </w:r>
    </w:p>
    <w:p w14:paraId="6DB121AF" w14:textId="31B59DD6" w:rsidR="00675E86" w:rsidRPr="00F015B2" w:rsidRDefault="00487B19" w:rsidP="00E07163">
      <w:r>
        <w:t xml:space="preserve">More broadly, it is crucial to note </w:t>
      </w:r>
      <w:r w:rsidR="00675E86">
        <w:t>three</w:t>
      </w:r>
      <w:r w:rsidR="00870CA7">
        <w:t xml:space="preserve"> key</w:t>
      </w:r>
      <w:r w:rsidR="00675E86">
        <w:t xml:space="preserve"> factors </w:t>
      </w:r>
      <w:r>
        <w:t>in considering the recommendations of this report.</w:t>
      </w:r>
    </w:p>
    <w:p w14:paraId="2BB4B123" w14:textId="1A7E3652" w:rsidR="00675E86" w:rsidRPr="007E7606" w:rsidRDefault="00A34018" w:rsidP="007E7606">
      <w:pPr>
        <w:pStyle w:val="Heading3"/>
        <w:numPr>
          <w:ilvl w:val="0"/>
          <w:numId w:val="31"/>
        </w:numPr>
      </w:pPr>
      <w:bookmarkStart w:id="5" w:name="_Toc113370933"/>
      <w:bookmarkStart w:id="6" w:name="_Toc116570809"/>
      <w:bookmarkStart w:id="7" w:name="_Hlk117086899"/>
      <w:r>
        <w:t>Governments</w:t>
      </w:r>
      <w:r w:rsidR="00675E86" w:rsidRPr="007E7606">
        <w:t xml:space="preserve"> </w:t>
      </w:r>
      <w:r w:rsidR="00F015B2">
        <w:t xml:space="preserve">make significant </w:t>
      </w:r>
      <w:r w:rsidR="00675E86" w:rsidRPr="007E7606">
        <w:t>investments</w:t>
      </w:r>
      <w:bookmarkEnd w:id="5"/>
      <w:bookmarkEnd w:id="6"/>
    </w:p>
    <w:p w14:paraId="35BFE569" w14:textId="6678A1AB" w:rsidR="00856C57" w:rsidRDefault="00856C57" w:rsidP="00856C57">
      <w:r w:rsidRPr="009479FA">
        <w:t>Governments at all levels used significant infrastructure investments to stimulate the Australian economy during the COVID-19 pandemic</w:t>
      </w:r>
      <w:r>
        <w:t>, with</w:t>
      </w:r>
      <w:r w:rsidRPr="009479FA">
        <w:t xml:space="preserve"> public investment in transport infrastructure alone </w:t>
      </w:r>
      <w:r>
        <w:t xml:space="preserve">increasing </w:t>
      </w:r>
      <w:r w:rsidR="00327BFB">
        <w:t>22</w:t>
      </w:r>
      <w:r w:rsidRPr="009479FA">
        <w:t xml:space="preserve"> per cent over two years from $</w:t>
      </w:r>
      <w:r w:rsidR="00327BFB" w:rsidRPr="009479FA">
        <w:t>2</w:t>
      </w:r>
      <w:r w:rsidR="00327BFB">
        <w:t>2</w:t>
      </w:r>
      <w:r w:rsidRPr="009479FA">
        <w:t>.</w:t>
      </w:r>
      <w:r w:rsidR="00327BFB">
        <w:t>1</w:t>
      </w:r>
      <w:r w:rsidR="00327BFB" w:rsidRPr="009479FA">
        <w:t xml:space="preserve"> </w:t>
      </w:r>
      <w:r w:rsidRPr="009479FA">
        <w:t>billion in 2019</w:t>
      </w:r>
      <w:r w:rsidR="00327BFB">
        <w:t>-20</w:t>
      </w:r>
      <w:r w:rsidRPr="009479FA">
        <w:t xml:space="preserve"> to $</w:t>
      </w:r>
      <w:r w:rsidR="00327BFB" w:rsidRPr="009479FA">
        <w:t>2</w:t>
      </w:r>
      <w:r w:rsidR="00327BFB">
        <w:t>7</w:t>
      </w:r>
      <w:r w:rsidRPr="009479FA">
        <w:t>.</w:t>
      </w:r>
      <w:r w:rsidR="00327BFB">
        <w:t>0</w:t>
      </w:r>
      <w:r w:rsidR="00327BFB" w:rsidRPr="009479FA">
        <w:t xml:space="preserve"> </w:t>
      </w:r>
      <w:r w:rsidRPr="009479FA">
        <w:t>billion in 2021</w:t>
      </w:r>
      <w:r w:rsidR="00327BFB">
        <w:t>-22 (2021</w:t>
      </w:r>
      <w:r w:rsidR="00327BFB">
        <w:noBreakHyphen/>
        <w:t>22 prices)</w:t>
      </w:r>
      <w:r w:rsidRPr="009479FA">
        <w:t>.</w:t>
      </w:r>
      <w:r>
        <w:t xml:space="preserve"> </w:t>
      </w:r>
    </w:p>
    <w:p w14:paraId="1DD0B261" w14:textId="351131B3" w:rsidR="00856C57" w:rsidRPr="007E7606" w:rsidRDefault="00856C57" w:rsidP="00856C57">
      <w:r w:rsidRPr="00487B19">
        <w:t>Total infrastructure investment in Australia, both public and private, for all infrastructure types has been steady in recent years, at $</w:t>
      </w:r>
      <w:r w:rsidR="00327BFB" w:rsidRPr="00487B19">
        <w:t>6</w:t>
      </w:r>
      <w:r w:rsidR="00327BFB">
        <w:t>4</w:t>
      </w:r>
      <w:r w:rsidRPr="00487B19">
        <w:t>.6 billion in 2019</w:t>
      </w:r>
      <w:r w:rsidR="00327BFB">
        <w:t>-20</w:t>
      </w:r>
      <w:r w:rsidRPr="00487B19">
        <w:t>, $</w:t>
      </w:r>
      <w:r w:rsidR="00327BFB" w:rsidRPr="00487B19">
        <w:t>5</w:t>
      </w:r>
      <w:r w:rsidR="00327BFB">
        <w:t>8</w:t>
      </w:r>
      <w:r w:rsidRPr="00487B19">
        <w:t>.</w:t>
      </w:r>
      <w:r w:rsidR="00327BFB">
        <w:t>8</w:t>
      </w:r>
      <w:r w:rsidR="00327BFB" w:rsidRPr="00487B19">
        <w:t xml:space="preserve"> </w:t>
      </w:r>
      <w:r w:rsidRPr="00487B19">
        <w:t>billion in 2020</w:t>
      </w:r>
      <w:r w:rsidR="00327BFB">
        <w:t>-21</w:t>
      </w:r>
      <w:r w:rsidRPr="00487B19">
        <w:t>, and $</w:t>
      </w:r>
      <w:r w:rsidR="00327BFB" w:rsidRPr="00487B19">
        <w:t>6</w:t>
      </w:r>
      <w:r w:rsidR="00327BFB">
        <w:t>7</w:t>
      </w:r>
      <w:r w:rsidRPr="00487B19">
        <w:t>.</w:t>
      </w:r>
      <w:r w:rsidR="00327BFB">
        <w:t>6</w:t>
      </w:r>
      <w:r w:rsidR="00327BFB" w:rsidRPr="00487B19">
        <w:t xml:space="preserve"> </w:t>
      </w:r>
      <w:r w:rsidRPr="00487B19">
        <w:t>billion in 2021</w:t>
      </w:r>
      <w:r w:rsidR="00327BFB">
        <w:t>-22</w:t>
      </w:r>
      <w:r w:rsidRPr="00487B19">
        <w:t xml:space="preserve"> (</w:t>
      </w:r>
      <w:r w:rsidR="00327BFB" w:rsidRPr="00487B19">
        <w:t>20</w:t>
      </w:r>
      <w:r w:rsidR="00327BFB">
        <w:t>21</w:t>
      </w:r>
      <w:r w:rsidR="008C7A92">
        <w:t>–</w:t>
      </w:r>
      <w:r w:rsidR="00327BFB" w:rsidRPr="00487B19">
        <w:t>2</w:t>
      </w:r>
      <w:r w:rsidR="00327BFB">
        <w:t>2</w:t>
      </w:r>
      <w:r w:rsidR="00327BFB" w:rsidRPr="00487B19">
        <w:t xml:space="preserve"> </w:t>
      </w:r>
      <w:r w:rsidRPr="00487B19">
        <w:t>prices).</w:t>
      </w:r>
    </w:p>
    <w:p w14:paraId="148CF52E" w14:textId="5B7C9950" w:rsidR="009B5A03" w:rsidRDefault="00675E86" w:rsidP="009B5A03">
      <w:r w:rsidRPr="007E7606">
        <w:t xml:space="preserve">The Australian Government makes significant investments in land transport infrastructure across Australia through its </w:t>
      </w:r>
      <w:r w:rsidR="009479FA">
        <w:t>I</w:t>
      </w:r>
      <w:r w:rsidRPr="007E7606">
        <w:t xml:space="preserve">nfrastructure </w:t>
      </w:r>
      <w:r w:rsidR="009479FA">
        <w:t>I</w:t>
      </w:r>
      <w:r w:rsidRPr="007E7606">
        <w:t xml:space="preserve">nvestment </w:t>
      </w:r>
      <w:r w:rsidR="009479FA">
        <w:t>P</w:t>
      </w:r>
      <w:r w:rsidRPr="007E7606">
        <w:t>rogram</w:t>
      </w:r>
      <w:r w:rsidR="009479FA">
        <w:t xml:space="preserve"> (IIP)</w:t>
      </w:r>
      <w:r w:rsidRPr="007E7606">
        <w:t>.</w:t>
      </w:r>
      <w:r w:rsidR="00292A68">
        <w:t xml:space="preserve"> </w:t>
      </w:r>
    </w:p>
    <w:p w14:paraId="7172E537" w14:textId="04620271" w:rsidR="00675E86" w:rsidRPr="001B207A" w:rsidRDefault="00675E86" w:rsidP="007E7606">
      <w:pPr>
        <w:pStyle w:val="Heading3"/>
        <w:numPr>
          <w:ilvl w:val="0"/>
          <w:numId w:val="31"/>
        </w:numPr>
      </w:pPr>
      <w:bookmarkStart w:id="8" w:name="_Toc113370934"/>
      <w:bookmarkStart w:id="9" w:name="_Toc116570810"/>
      <w:bookmarkEnd w:id="7"/>
      <w:r w:rsidRPr="00F015B2">
        <w:t xml:space="preserve">State, </w:t>
      </w:r>
      <w:r w:rsidRPr="00747230">
        <w:t xml:space="preserve">territory and local governments </w:t>
      </w:r>
      <w:r w:rsidR="00C43456">
        <w:t xml:space="preserve">are responsible for the </w:t>
      </w:r>
      <w:r w:rsidRPr="00747230">
        <w:t>deliver</w:t>
      </w:r>
      <w:r w:rsidR="00C43456">
        <w:t>y of most</w:t>
      </w:r>
      <w:r w:rsidR="00A34018">
        <w:t xml:space="preserve"> IIP</w:t>
      </w:r>
      <w:r w:rsidRPr="00747230">
        <w:t xml:space="preserve"> projects</w:t>
      </w:r>
      <w:bookmarkEnd w:id="8"/>
      <w:bookmarkEnd w:id="9"/>
    </w:p>
    <w:p w14:paraId="4DA2D561" w14:textId="0CB39BB5" w:rsidR="00487B19" w:rsidRDefault="00BC7EC5" w:rsidP="00E07163">
      <w:r>
        <w:rPr>
          <w:rFonts w:ascii="Calibri" w:hAnsi="Calibri" w:cs="Calibri"/>
        </w:rPr>
        <w:t xml:space="preserve">It is critical to </w:t>
      </w:r>
      <w:r w:rsidR="00C43456">
        <w:rPr>
          <w:rFonts w:ascii="Calibri" w:hAnsi="Calibri" w:cs="Calibri"/>
        </w:rPr>
        <w:t>acknowledge that</w:t>
      </w:r>
      <w:r w:rsidR="009E6B8C">
        <w:rPr>
          <w:rFonts w:ascii="Calibri" w:hAnsi="Calibri" w:cs="Calibri"/>
        </w:rPr>
        <w:t xml:space="preserve"> states</w:t>
      </w:r>
      <w:r w:rsidR="00F609AF">
        <w:rPr>
          <w:rFonts w:ascii="Calibri" w:hAnsi="Calibri" w:cs="Calibri"/>
        </w:rPr>
        <w:t>, territories and local governments</w:t>
      </w:r>
      <w:r w:rsidR="00C43456">
        <w:rPr>
          <w:rFonts w:ascii="Calibri" w:hAnsi="Calibri" w:cs="Calibri"/>
        </w:rPr>
        <w:t xml:space="preserve"> are responsible for delivering </w:t>
      </w:r>
      <w:r w:rsidR="005F733A">
        <w:rPr>
          <w:rFonts w:ascii="Calibri" w:hAnsi="Calibri" w:cs="Calibri"/>
        </w:rPr>
        <w:t xml:space="preserve">most </w:t>
      </w:r>
      <w:r w:rsidR="00C43456">
        <w:rPr>
          <w:rFonts w:ascii="Calibri" w:hAnsi="Calibri" w:cs="Calibri"/>
        </w:rPr>
        <w:t>infrastructure projects funded under the IIP. T</w:t>
      </w:r>
      <w:r>
        <w:rPr>
          <w:rFonts w:ascii="Calibri" w:hAnsi="Calibri" w:cs="Calibri"/>
        </w:rPr>
        <w:t>he Australian Government works closely with s</w:t>
      </w:r>
      <w:r w:rsidR="01983828">
        <w:rPr>
          <w:rFonts w:ascii="Calibri" w:hAnsi="Calibri" w:cs="Calibri"/>
        </w:rPr>
        <w:t>tate</w:t>
      </w:r>
      <w:r w:rsidR="28391E15">
        <w:rPr>
          <w:rFonts w:ascii="Calibri" w:hAnsi="Calibri" w:cs="Calibri"/>
        </w:rPr>
        <w:t>,</w:t>
      </w:r>
      <w:r w:rsidR="01983828">
        <w:rPr>
          <w:rFonts w:ascii="Calibri" w:hAnsi="Calibri" w:cs="Calibri"/>
        </w:rPr>
        <w:t xml:space="preserve"> terr</w:t>
      </w:r>
      <w:r w:rsidR="104E3434">
        <w:rPr>
          <w:rFonts w:ascii="Calibri" w:hAnsi="Calibri" w:cs="Calibri"/>
        </w:rPr>
        <w:t xml:space="preserve">itory </w:t>
      </w:r>
      <w:r w:rsidR="28391E15">
        <w:rPr>
          <w:rFonts w:ascii="Calibri" w:hAnsi="Calibri" w:cs="Calibri"/>
        </w:rPr>
        <w:t xml:space="preserve">and local </w:t>
      </w:r>
      <w:r w:rsidR="104E3434">
        <w:rPr>
          <w:rFonts w:ascii="Calibri" w:hAnsi="Calibri" w:cs="Calibri"/>
        </w:rPr>
        <w:t>governments</w:t>
      </w:r>
      <w:r>
        <w:rPr>
          <w:rFonts w:ascii="Calibri" w:hAnsi="Calibri" w:cs="Calibri"/>
        </w:rPr>
        <w:t xml:space="preserve"> to deliver infrastructure projects</w:t>
      </w:r>
      <w:r w:rsidR="005F733A">
        <w:rPr>
          <w:rFonts w:ascii="Calibri" w:hAnsi="Calibri" w:cs="Calibri"/>
        </w:rPr>
        <w:t>,</w:t>
      </w:r>
      <w:r>
        <w:rPr>
          <w:rFonts w:ascii="Calibri" w:hAnsi="Calibri" w:cs="Calibri"/>
        </w:rPr>
        <w:t xml:space="preserve"> including ensuring that procurement practices deliver value for money and support the longer-term capacity and diversity of the construction market. </w:t>
      </w:r>
      <w:r w:rsidR="00FC6A77">
        <w:rPr>
          <w:rFonts w:ascii="Calibri" w:hAnsi="Calibri" w:cs="Calibri"/>
        </w:rPr>
        <w:t xml:space="preserve"> </w:t>
      </w:r>
    </w:p>
    <w:p w14:paraId="24BC716A" w14:textId="74BC759B" w:rsidR="00BC7EC5" w:rsidRPr="001B207A" w:rsidRDefault="00F015B2" w:rsidP="007E7606">
      <w:pPr>
        <w:pStyle w:val="Heading3"/>
        <w:numPr>
          <w:ilvl w:val="0"/>
          <w:numId w:val="31"/>
        </w:numPr>
      </w:pPr>
      <w:bookmarkStart w:id="10" w:name="_Toc113370935"/>
      <w:bookmarkStart w:id="11" w:name="_Toc116570811"/>
      <w:r>
        <w:t>Challenges in the construction sector</w:t>
      </w:r>
      <w:bookmarkEnd w:id="10"/>
      <w:bookmarkEnd w:id="11"/>
    </w:p>
    <w:p w14:paraId="645D1CCB" w14:textId="1F1A51FC" w:rsidR="0042529B" w:rsidRDefault="00BC7EC5" w:rsidP="4F780569">
      <w:r>
        <w:t>T</w:t>
      </w:r>
      <w:r w:rsidR="00CC40F4">
        <w:t xml:space="preserve">he </w:t>
      </w:r>
      <w:r w:rsidR="00CC40F4" w:rsidRPr="00487B19">
        <w:t>Australian Government acknowledges the challenges facing the infrastructure sector</w:t>
      </w:r>
      <w:r w:rsidR="00CC40F4">
        <w:t>.</w:t>
      </w:r>
      <w:r w:rsidR="00487B19" w:rsidRPr="00487B19">
        <w:t xml:space="preserve"> </w:t>
      </w:r>
      <w:r w:rsidRPr="00A00751">
        <w:t xml:space="preserve">Governments at all levels </w:t>
      </w:r>
      <w:r w:rsidR="005D3BCE">
        <w:t>invested a significant amount</w:t>
      </w:r>
      <w:r w:rsidRPr="00A00751">
        <w:t xml:space="preserve"> to stimulate the Australian economy during the COVID-19 pandemic. </w:t>
      </w:r>
    </w:p>
    <w:p w14:paraId="2B4CE744" w14:textId="6A5ECFAC" w:rsidR="00BC7EC5" w:rsidRPr="00A00751" w:rsidRDefault="00BC7EC5" w:rsidP="007E7606">
      <w:r w:rsidRPr="00A00751">
        <w:t>Th</w:t>
      </w:r>
      <w:r w:rsidR="00707A4D">
        <w:t>e</w:t>
      </w:r>
      <w:r w:rsidRPr="00A00751">
        <w:t xml:space="preserve"> high level of infrastructure investment, particularly in transport infrastructure, is contributing to a range of economic challenges in the construction industry</w:t>
      </w:r>
      <w:r w:rsidR="00707A4D">
        <w:t>,</w:t>
      </w:r>
      <w:r w:rsidRPr="00A00751">
        <w:t xml:space="preserve"> including </w:t>
      </w:r>
      <w:r w:rsidR="003523AD">
        <w:t>upward pressure on</w:t>
      </w:r>
      <w:r w:rsidRPr="00A00751">
        <w:t xml:space="preserve"> project costs and labour force capacity constraints. This </w:t>
      </w:r>
      <w:r w:rsidR="00A34018">
        <w:t>can lead to</w:t>
      </w:r>
      <w:r w:rsidRPr="00A00751">
        <w:t xml:space="preserve"> the</w:t>
      </w:r>
      <w:r w:rsidR="00A34018">
        <w:t xml:space="preserve"> increased</w:t>
      </w:r>
      <w:r w:rsidRPr="00A00751">
        <w:t xml:space="preserve"> cost of delivering commitments, with </w:t>
      </w:r>
      <w:r w:rsidR="00F94482">
        <w:t>g</w:t>
      </w:r>
      <w:r w:rsidRPr="00A00751">
        <w:t>overnments competing for resources</w:t>
      </w:r>
      <w:r w:rsidR="00A34018">
        <w:t xml:space="preserve"> </w:t>
      </w:r>
      <w:r w:rsidRPr="00A00751">
        <w:t>and delaying project completion timeframes.</w:t>
      </w:r>
    </w:p>
    <w:p w14:paraId="59CFADF6" w14:textId="52EE72C9" w:rsidR="00BC7EC5" w:rsidRPr="00A00751" w:rsidRDefault="00BC7EC5">
      <w:r w:rsidRPr="00A00751">
        <w:t xml:space="preserve">As the Australian economy stabilises, the Australian Government needs to </w:t>
      </w:r>
      <w:r w:rsidR="00A34018">
        <w:t xml:space="preserve">help </w:t>
      </w:r>
      <w:r w:rsidRPr="00A00751">
        <w:t xml:space="preserve">ensure </w:t>
      </w:r>
      <w:r w:rsidR="00A34018">
        <w:t xml:space="preserve">that </w:t>
      </w:r>
      <w:r w:rsidRPr="00A00751">
        <w:t>infrastructure investment settings are sustainable</w:t>
      </w:r>
      <w:r w:rsidR="005D3BCE">
        <w:t>,</w:t>
      </w:r>
      <w:r w:rsidRPr="00A00751">
        <w:t xml:space="preserve"> well targeted, and aligned to market capacity and resource availability.</w:t>
      </w:r>
      <w:r w:rsidR="009778A8">
        <w:t xml:space="preserve"> </w:t>
      </w:r>
    </w:p>
    <w:p w14:paraId="3D9A1540" w14:textId="3F49E8B1" w:rsidR="00BC7EC5" w:rsidRDefault="00A60235" w:rsidP="643C5789">
      <w:pPr>
        <w:pStyle w:val="Heading2"/>
      </w:pPr>
      <w:bookmarkStart w:id="12" w:name="_Toc116570812"/>
      <w:r w:rsidRPr="007E7606">
        <w:t>Initiatives</w:t>
      </w:r>
      <w:r w:rsidRPr="00A60235">
        <w:t xml:space="preserve"> under way</w:t>
      </w:r>
      <w:bookmarkEnd w:id="12"/>
    </w:p>
    <w:p w14:paraId="78E1494A" w14:textId="77777777" w:rsidR="00A34018" w:rsidRPr="001B207A" w:rsidRDefault="00A34018" w:rsidP="00A34018">
      <w:pPr>
        <w:rPr>
          <w:rFonts w:ascii="Calibri" w:eastAsia="Times New Roman" w:hAnsi="Calibri" w:cs="Calibri"/>
          <w:lang w:eastAsia="en-AU"/>
        </w:rPr>
      </w:pPr>
      <w:r>
        <w:t>T</w:t>
      </w:r>
      <w:r w:rsidRPr="007E7606">
        <w:t xml:space="preserve">he Australian Government </w:t>
      </w:r>
      <w:r>
        <w:t>supports</w:t>
      </w:r>
      <w:r w:rsidRPr="007E7606">
        <w:t xml:space="preserve"> the development and use of</w:t>
      </w:r>
      <w:r>
        <w:t xml:space="preserve"> innovative</w:t>
      </w:r>
      <w:r w:rsidRPr="007E7606">
        <w:t xml:space="preserve"> procurement practices that </w:t>
      </w:r>
      <w:r>
        <w:t xml:space="preserve">are fit-for-purpose, </w:t>
      </w:r>
      <w:r w:rsidRPr="007E7606">
        <w:t>maximise the effectiveness of planning</w:t>
      </w:r>
      <w:r>
        <w:t>,</w:t>
      </w:r>
      <w:r>
        <w:rPr>
          <w:rFonts w:ascii="Calibri" w:eastAsia="Times New Roman" w:hAnsi="Calibri" w:cs="Calibri"/>
          <w:lang w:eastAsia="en-AU"/>
        </w:rPr>
        <w:t xml:space="preserve"> support </w:t>
      </w:r>
      <w:r w:rsidRPr="009641CF">
        <w:rPr>
          <w:rFonts w:ascii="Calibri" w:eastAsia="Times New Roman" w:hAnsi="Calibri" w:cs="Calibri"/>
          <w:lang w:eastAsia="en-AU"/>
        </w:rPr>
        <w:t xml:space="preserve">early </w:t>
      </w:r>
      <w:r>
        <w:rPr>
          <w:rFonts w:ascii="Calibri" w:eastAsia="Times New Roman" w:hAnsi="Calibri" w:cs="Calibri"/>
          <w:lang w:eastAsia="en-AU"/>
        </w:rPr>
        <w:t xml:space="preserve">stakeholder </w:t>
      </w:r>
      <w:r w:rsidRPr="009641CF">
        <w:rPr>
          <w:rFonts w:ascii="Calibri" w:eastAsia="Times New Roman" w:hAnsi="Calibri" w:cs="Calibri"/>
          <w:lang w:eastAsia="en-AU"/>
        </w:rPr>
        <w:t>engagement</w:t>
      </w:r>
      <w:r>
        <w:rPr>
          <w:rFonts w:ascii="Calibri" w:eastAsia="Times New Roman" w:hAnsi="Calibri" w:cs="Calibri"/>
          <w:lang w:eastAsia="en-AU"/>
        </w:rPr>
        <w:t>,</w:t>
      </w:r>
      <w:r w:rsidRPr="009641CF">
        <w:rPr>
          <w:rFonts w:ascii="Calibri" w:eastAsia="Times New Roman" w:hAnsi="Calibri" w:cs="Calibri"/>
          <w:lang w:eastAsia="en-AU"/>
        </w:rPr>
        <w:t xml:space="preserve"> achi</w:t>
      </w:r>
      <w:r>
        <w:rPr>
          <w:rFonts w:ascii="Calibri" w:eastAsia="Times New Roman" w:hAnsi="Calibri" w:cs="Calibri"/>
          <w:lang w:eastAsia="en-AU"/>
        </w:rPr>
        <w:t xml:space="preserve">eve </w:t>
      </w:r>
      <w:r w:rsidRPr="009641CF">
        <w:rPr>
          <w:rFonts w:ascii="Calibri" w:eastAsia="Times New Roman" w:hAnsi="Calibri" w:cs="Calibri"/>
          <w:lang w:eastAsia="en-AU"/>
        </w:rPr>
        <w:t>value for money outcome</w:t>
      </w:r>
      <w:r>
        <w:rPr>
          <w:rFonts w:ascii="Calibri" w:eastAsia="Times New Roman" w:hAnsi="Calibri" w:cs="Calibri"/>
          <w:lang w:eastAsia="en-AU"/>
        </w:rPr>
        <w:t>s, build Australian capability</w:t>
      </w:r>
      <w:r w:rsidRPr="009641CF">
        <w:rPr>
          <w:rFonts w:ascii="Calibri" w:eastAsia="Times New Roman" w:hAnsi="Calibri" w:cs="Calibri"/>
          <w:lang w:eastAsia="en-AU"/>
        </w:rPr>
        <w:t xml:space="preserve"> and make tendering processes more efficient, cost effective and flexible. </w:t>
      </w:r>
    </w:p>
    <w:p w14:paraId="1170ADD6" w14:textId="254695D4" w:rsidR="00F015B2" w:rsidRPr="007E7606" w:rsidRDefault="00F015B2" w:rsidP="00F015B2">
      <w:r>
        <w:lastRenderedPageBreak/>
        <w:t xml:space="preserve">The Australian Government is progressing a series of initiatives to address </w:t>
      </w:r>
      <w:r w:rsidR="005D3BCE">
        <w:t>challenges in the market</w:t>
      </w:r>
      <w:r>
        <w:t>, including:</w:t>
      </w:r>
    </w:p>
    <w:p w14:paraId="0E0655BC" w14:textId="5E585A6D" w:rsidR="00BC7EC5" w:rsidRDefault="005D3BCE" w:rsidP="007E7606">
      <w:pPr>
        <w:pStyle w:val="Heading3"/>
        <w:numPr>
          <w:ilvl w:val="0"/>
          <w:numId w:val="36"/>
        </w:numPr>
      </w:pPr>
      <w:bookmarkStart w:id="13" w:name="_Toc113370937"/>
      <w:bookmarkStart w:id="14" w:name="_Toc116570813"/>
      <w:r>
        <w:t>Reviewing the</w:t>
      </w:r>
      <w:r w:rsidR="00F015B2">
        <w:t xml:space="preserve"> investment pipeline</w:t>
      </w:r>
      <w:bookmarkEnd w:id="13"/>
      <w:bookmarkEnd w:id="14"/>
    </w:p>
    <w:p w14:paraId="12CC2528" w14:textId="573E109F" w:rsidR="00BC7EC5" w:rsidRPr="007E7606" w:rsidRDefault="005D3BCE" w:rsidP="001B207A">
      <w:pPr>
        <w:rPr>
          <w:rFonts w:ascii="Calibri" w:eastAsia="Times New Roman" w:hAnsi="Calibri" w:cs="Calibri"/>
          <w:lang w:eastAsia="en-AU"/>
        </w:rPr>
      </w:pPr>
      <w:r>
        <w:rPr>
          <w:rFonts w:ascii="Calibri" w:eastAsia="Times New Roman" w:hAnsi="Calibri" w:cs="Calibri"/>
          <w:lang w:eastAsia="en-AU"/>
        </w:rPr>
        <w:t xml:space="preserve">The </w:t>
      </w:r>
      <w:r w:rsidR="001357E9">
        <w:rPr>
          <w:rFonts w:ascii="Calibri" w:eastAsia="Times New Roman" w:hAnsi="Calibri" w:cs="Calibri"/>
          <w:lang w:eastAsia="en-AU"/>
        </w:rPr>
        <w:t xml:space="preserve">Australian </w:t>
      </w:r>
      <w:r>
        <w:rPr>
          <w:rFonts w:ascii="Calibri" w:eastAsia="Times New Roman" w:hAnsi="Calibri" w:cs="Calibri"/>
          <w:lang w:eastAsia="en-AU"/>
        </w:rPr>
        <w:t xml:space="preserve">Government is reviewing </w:t>
      </w:r>
      <w:r w:rsidR="00BC7EC5" w:rsidRPr="007E7606">
        <w:rPr>
          <w:rFonts w:ascii="Calibri" w:eastAsia="Times New Roman" w:hAnsi="Calibri" w:cs="Calibri"/>
          <w:lang w:eastAsia="en-AU"/>
        </w:rPr>
        <w:t xml:space="preserve">the national </w:t>
      </w:r>
      <w:r w:rsidR="001357E9">
        <w:rPr>
          <w:rFonts w:ascii="Calibri" w:eastAsia="Times New Roman" w:hAnsi="Calibri" w:cs="Calibri"/>
          <w:lang w:eastAsia="en-AU"/>
        </w:rPr>
        <w:t xml:space="preserve">infrastructure investment </w:t>
      </w:r>
      <w:r w:rsidR="00BC7EC5" w:rsidRPr="007E7606">
        <w:rPr>
          <w:rFonts w:ascii="Calibri" w:eastAsia="Times New Roman" w:hAnsi="Calibri" w:cs="Calibri"/>
          <w:lang w:eastAsia="en-AU"/>
        </w:rPr>
        <w:t xml:space="preserve">pipeline </w:t>
      </w:r>
      <w:r>
        <w:rPr>
          <w:rFonts w:ascii="Calibri" w:eastAsia="Times New Roman" w:hAnsi="Calibri" w:cs="Calibri"/>
          <w:lang w:eastAsia="en-AU"/>
        </w:rPr>
        <w:t>to</w:t>
      </w:r>
      <w:r w:rsidR="00BC7EC5" w:rsidRPr="007E7606">
        <w:rPr>
          <w:rFonts w:ascii="Calibri" w:eastAsia="Times New Roman" w:hAnsi="Calibri" w:cs="Calibri"/>
          <w:lang w:eastAsia="en-AU"/>
        </w:rPr>
        <w:t xml:space="preserve"> ensure delivery is focused on nationally significant projects that will deliver the greatest productivity gains for the Australian economy. A nationally coordinated, clearly defined, transparent and predictable pipeline of infrastructure projects will provide the construction sector with more certainty and enable better strategic planning</w:t>
      </w:r>
      <w:r w:rsidR="00AE6592">
        <w:rPr>
          <w:rFonts w:ascii="Calibri" w:eastAsia="Times New Roman" w:hAnsi="Calibri" w:cs="Calibri"/>
          <w:lang w:eastAsia="en-AU"/>
        </w:rPr>
        <w:t>. This will</w:t>
      </w:r>
      <w:r w:rsidR="00BC7EC5" w:rsidRPr="007E7606">
        <w:rPr>
          <w:rFonts w:ascii="Calibri" w:eastAsia="Times New Roman" w:hAnsi="Calibri" w:cs="Calibri"/>
          <w:lang w:eastAsia="en-AU"/>
        </w:rPr>
        <w:t xml:space="preserve"> support the industry to respond to the chronic skills and labour shortages it is currently facing. </w:t>
      </w:r>
    </w:p>
    <w:p w14:paraId="058951E3" w14:textId="60323229" w:rsidR="00747230" w:rsidRDefault="00747230" w:rsidP="007E7606">
      <w:pPr>
        <w:pStyle w:val="Heading3"/>
        <w:numPr>
          <w:ilvl w:val="0"/>
          <w:numId w:val="36"/>
        </w:numPr>
      </w:pPr>
      <w:bookmarkStart w:id="15" w:name="_Toc113370939"/>
      <w:bookmarkStart w:id="16" w:name="_Toc116570814"/>
      <w:bookmarkStart w:id="17" w:name="_Toc113370938"/>
      <w:r>
        <w:t>Updates to the Commonwealth Procurement Rules</w:t>
      </w:r>
      <w:bookmarkEnd w:id="15"/>
      <w:bookmarkEnd w:id="16"/>
    </w:p>
    <w:p w14:paraId="00173355" w14:textId="290475A9" w:rsidR="00747230" w:rsidRPr="009E66AB" w:rsidRDefault="00747230" w:rsidP="00747230">
      <w:pPr>
        <w:rPr>
          <w:rFonts w:ascii="Calibri" w:eastAsia="Times New Roman" w:hAnsi="Calibri" w:cs="Calibri"/>
          <w:lang w:eastAsia="en-AU"/>
        </w:rPr>
      </w:pPr>
      <w:r w:rsidRPr="009E66AB">
        <w:rPr>
          <w:rFonts w:ascii="Calibri" w:eastAsia="Times New Roman" w:hAnsi="Calibri" w:cs="Calibri"/>
          <w:lang w:eastAsia="en-AU"/>
        </w:rPr>
        <w:t xml:space="preserve">On 1 </w:t>
      </w:r>
      <w:r w:rsidRPr="00707A4D">
        <w:rPr>
          <w:rFonts w:ascii="Calibri" w:eastAsia="Times New Roman" w:hAnsi="Calibri" w:cs="Calibri"/>
          <w:lang w:eastAsia="en-AU"/>
        </w:rPr>
        <w:t>Ju</w:t>
      </w:r>
      <w:r w:rsidR="009D2AB7" w:rsidRPr="00707A4D">
        <w:rPr>
          <w:rFonts w:ascii="Calibri" w:eastAsia="Times New Roman" w:hAnsi="Calibri" w:cs="Calibri"/>
          <w:lang w:eastAsia="en-AU"/>
        </w:rPr>
        <w:t>ly</w:t>
      </w:r>
      <w:r w:rsidRPr="009E66AB">
        <w:rPr>
          <w:rFonts w:ascii="Calibri" w:eastAsia="Times New Roman" w:hAnsi="Calibri" w:cs="Calibri"/>
          <w:lang w:eastAsia="en-AU"/>
        </w:rPr>
        <w:t xml:space="preserve"> 2022 update</w:t>
      </w:r>
      <w:r w:rsidR="00F94482">
        <w:rPr>
          <w:rFonts w:ascii="Calibri" w:eastAsia="Times New Roman" w:hAnsi="Calibri" w:cs="Calibri"/>
          <w:lang w:eastAsia="en-AU"/>
        </w:rPr>
        <w:t>s</w:t>
      </w:r>
      <w:r w:rsidRPr="009E66AB">
        <w:rPr>
          <w:rFonts w:ascii="Calibri" w:eastAsia="Times New Roman" w:hAnsi="Calibri" w:cs="Calibri"/>
          <w:lang w:eastAsia="en-AU"/>
        </w:rPr>
        <w:t xml:space="preserve"> to the Commonwealth Procurement Rules (CPRs) came into effect to reflect the Australian Government’s commitment to sourcing from small and medium enterprises (SMEs) and ensur</w:t>
      </w:r>
      <w:r w:rsidR="00AE6592">
        <w:rPr>
          <w:rFonts w:ascii="Calibri" w:eastAsia="Times New Roman" w:hAnsi="Calibri" w:cs="Calibri"/>
          <w:lang w:eastAsia="en-AU"/>
        </w:rPr>
        <w:t>e</w:t>
      </w:r>
      <w:r w:rsidRPr="009E66AB">
        <w:rPr>
          <w:rFonts w:ascii="Calibri" w:eastAsia="Times New Roman" w:hAnsi="Calibri" w:cs="Calibri"/>
          <w:lang w:eastAsia="en-AU"/>
        </w:rPr>
        <w:t xml:space="preserve"> more opportunities are available to SMEs to participate in Commonwealth procurement. </w:t>
      </w:r>
    </w:p>
    <w:p w14:paraId="7E8A97A1" w14:textId="0B3FE66B" w:rsidR="00F015B2" w:rsidRDefault="00F015B2" w:rsidP="007E7606">
      <w:pPr>
        <w:pStyle w:val="Heading3"/>
        <w:numPr>
          <w:ilvl w:val="0"/>
          <w:numId w:val="36"/>
        </w:numPr>
      </w:pPr>
      <w:bookmarkStart w:id="18" w:name="_Toc116570815"/>
      <w:r>
        <w:t>A review of Infrastructure Australia</w:t>
      </w:r>
      <w:bookmarkEnd w:id="17"/>
      <w:bookmarkEnd w:id="18"/>
    </w:p>
    <w:p w14:paraId="6C83240C" w14:textId="42262975" w:rsidR="00F015B2" w:rsidRPr="007E7606" w:rsidRDefault="00F015B2" w:rsidP="007E7606">
      <w:pPr>
        <w:rPr>
          <w:rFonts w:ascii="Calibri" w:eastAsia="Times New Roman" w:hAnsi="Calibri" w:cs="Calibri"/>
          <w:lang w:eastAsia="en-AU"/>
        </w:rPr>
      </w:pPr>
      <w:r w:rsidRPr="007E7606">
        <w:rPr>
          <w:rFonts w:ascii="Calibri" w:eastAsia="Times New Roman" w:hAnsi="Calibri" w:cs="Calibri"/>
          <w:lang w:eastAsia="en-AU"/>
        </w:rPr>
        <w:t>On 22 July</w:t>
      </w:r>
      <w:r w:rsidR="00747230">
        <w:rPr>
          <w:rFonts w:ascii="Calibri" w:eastAsia="Times New Roman" w:hAnsi="Calibri" w:cs="Calibri"/>
          <w:lang w:eastAsia="en-AU"/>
        </w:rPr>
        <w:t xml:space="preserve"> 2022</w:t>
      </w:r>
      <w:r w:rsidRPr="007E7606">
        <w:rPr>
          <w:rFonts w:ascii="Calibri" w:eastAsia="Times New Roman" w:hAnsi="Calibri" w:cs="Calibri"/>
          <w:lang w:eastAsia="en-AU"/>
        </w:rPr>
        <w:t xml:space="preserve"> the Australian Government announced an independent review of I</w:t>
      </w:r>
      <w:r w:rsidR="00785B84">
        <w:rPr>
          <w:rFonts w:ascii="Calibri" w:eastAsia="Times New Roman" w:hAnsi="Calibri" w:cs="Calibri"/>
          <w:lang w:eastAsia="en-AU"/>
        </w:rPr>
        <w:t xml:space="preserve">nfrastructure </w:t>
      </w:r>
      <w:r w:rsidRPr="007E7606">
        <w:rPr>
          <w:rFonts w:ascii="Calibri" w:eastAsia="Times New Roman" w:hAnsi="Calibri" w:cs="Calibri"/>
          <w:lang w:eastAsia="en-AU"/>
        </w:rPr>
        <w:t>A</w:t>
      </w:r>
      <w:r w:rsidR="00785B84">
        <w:rPr>
          <w:rFonts w:ascii="Calibri" w:eastAsia="Times New Roman" w:hAnsi="Calibri" w:cs="Calibri"/>
          <w:lang w:eastAsia="en-AU"/>
        </w:rPr>
        <w:t>ustralia</w:t>
      </w:r>
      <w:r w:rsidRPr="007E7606">
        <w:rPr>
          <w:rFonts w:ascii="Calibri" w:eastAsia="Times New Roman" w:hAnsi="Calibri" w:cs="Calibri"/>
          <w:lang w:eastAsia="en-AU"/>
        </w:rPr>
        <w:t xml:space="preserve"> (</w:t>
      </w:r>
      <w:r w:rsidR="00785B84">
        <w:rPr>
          <w:rFonts w:ascii="Calibri" w:eastAsia="Times New Roman" w:hAnsi="Calibri" w:cs="Calibri"/>
          <w:lang w:eastAsia="en-AU"/>
        </w:rPr>
        <w:t>IA</w:t>
      </w:r>
      <w:r w:rsidRPr="007E7606">
        <w:rPr>
          <w:rFonts w:ascii="Calibri" w:eastAsia="Times New Roman" w:hAnsi="Calibri" w:cs="Calibri"/>
          <w:lang w:eastAsia="en-AU"/>
        </w:rPr>
        <w:t xml:space="preserve">). The </w:t>
      </w:r>
      <w:r w:rsidR="00785B84">
        <w:rPr>
          <w:rFonts w:ascii="Calibri" w:eastAsia="Times New Roman" w:hAnsi="Calibri" w:cs="Calibri"/>
          <w:lang w:eastAsia="en-AU"/>
        </w:rPr>
        <w:t>r</w:t>
      </w:r>
      <w:r w:rsidRPr="007E7606">
        <w:rPr>
          <w:rFonts w:ascii="Calibri" w:eastAsia="Times New Roman" w:hAnsi="Calibri" w:cs="Calibri"/>
          <w:lang w:eastAsia="en-AU"/>
        </w:rPr>
        <w:t>eview consider</w:t>
      </w:r>
      <w:r w:rsidR="0075298E">
        <w:rPr>
          <w:rFonts w:ascii="Calibri" w:eastAsia="Times New Roman" w:hAnsi="Calibri" w:cs="Calibri"/>
          <w:lang w:eastAsia="en-AU"/>
        </w:rPr>
        <w:t>ed</w:t>
      </w:r>
      <w:r w:rsidRPr="007E7606">
        <w:rPr>
          <w:rFonts w:ascii="Calibri" w:eastAsia="Times New Roman" w:hAnsi="Calibri" w:cs="Calibri"/>
          <w:lang w:eastAsia="en-AU"/>
        </w:rPr>
        <w:t xml:space="preserve"> IA's role as an independent adviser to the Commonwealth on nationally significant infrastructure priorities</w:t>
      </w:r>
      <w:r w:rsidR="00F94482">
        <w:rPr>
          <w:rFonts w:ascii="Calibri" w:eastAsia="Times New Roman" w:hAnsi="Calibri" w:cs="Calibri"/>
          <w:lang w:eastAsia="en-AU"/>
        </w:rPr>
        <w:t>,</w:t>
      </w:r>
      <w:r w:rsidRPr="007E7606">
        <w:rPr>
          <w:rFonts w:ascii="Calibri" w:eastAsia="Times New Roman" w:hAnsi="Calibri" w:cs="Calibri"/>
          <w:lang w:eastAsia="en-AU"/>
        </w:rPr>
        <w:t xml:space="preserve"> and advise</w:t>
      </w:r>
      <w:r w:rsidR="0075298E">
        <w:rPr>
          <w:rFonts w:ascii="Calibri" w:eastAsia="Times New Roman" w:hAnsi="Calibri" w:cs="Calibri"/>
          <w:lang w:eastAsia="en-AU"/>
        </w:rPr>
        <w:t>d</w:t>
      </w:r>
      <w:r w:rsidRPr="007E7606">
        <w:rPr>
          <w:rFonts w:ascii="Calibri" w:eastAsia="Times New Roman" w:hAnsi="Calibri" w:cs="Calibri"/>
          <w:lang w:eastAsia="en-AU"/>
        </w:rPr>
        <w:t xml:space="preserve"> on what changes may be needed to IA’s focus, priorities and legislation. </w:t>
      </w:r>
      <w:r w:rsidR="00E24ABF">
        <w:rPr>
          <w:rFonts w:ascii="Calibri" w:eastAsia="Times New Roman" w:hAnsi="Calibri" w:cs="Calibri"/>
          <w:lang w:eastAsia="en-AU"/>
        </w:rPr>
        <w:t xml:space="preserve">On 8 December the </w:t>
      </w:r>
      <w:r w:rsidR="00E24ABF" w:rsidRPr="00E24ABF">
        <w:rPr>
          <w:rFonts w:ascii="Calibri" w:eastAsia="Times New Roman" w:hAnsi="Calibri" w:cs="Calibri"/>
          <w:lang w:eastAsia="en-AU"/>
        </w:rPr>
        <w:t>Minister for Infrastructure, Transport, Regional Development and Local Government</w:t>
      </w:r>
      <w:r w:rsidR="00E24ABF">
        <w:rPr>
          <w:rFonts w:ascii="Calibri" w:eastAsia="Times New Roman" w:hAnsi="Calibri" w:cs="Calibri"/>
          <w:lang w:eastAsia="en-AU"/>
        </w:rPr>
        <w:t xml:space="preserve"> released the reviewers’ report and the Australian Government’s response</w:t>
      </w:r>
      <w:r w:rsidR="00F96F1C">
        <w:rPr>
          <w:rFonts w:ascii="Calibri" w:eastAsia="Times New Roman" w:hAnsi="Calibri" w:cs="Calibri"/>
          <w:lang w:eastAsia="en-AU"/>
        </w:rPr>
        <w:t>, which supported most of the recommendations</w:t>
      </w:r>
      <w:r w:rsidR="00E24ABF">
        <w:rPr>
          <w:rFonts w:ascii="Calibri" w:eastAsia="Times New Roman" w:hAnsi="Calibri" w:cs="Calibri"/>
          <w:lang w:eastAsia="en-AU"/>
        </w:rPr>
        <w:t>.</w:t>
      </w:r>
    </w:p>
    <w:p w14:paraId="6371C0B8" w14:textId="753B2AE7" w:rsidR="00747230" w:rsidRDefault="00747230" w:rsidP="007E7606">
      <w:pPr>
        <w:pStyle w:val="Heading3"/>
        <w:numPr>
          <w:ilvl w:val="0"/>
          <w:numId w:val="36"/>
        </w:numPr>
      </w:pPr>
      <w:bookmarkStart w:id="19" w:name="_Toc113370941"/>
      <w:bookmarkStart w:id="20" w:name="_Toc116570816"/>
      <w:bookmarkStart w:id="21" w:name="_Toc113370940"/>
      <w:r w:rsidRPr="00FC6A77">
        <w:t>Secure Australian Jobs</w:t>
      </w:r>
      <w:r>
        <w:t xml:space="preserve"> Plan</w:t>
      </w:r>
      <w:bookmarkEnd w:id="19"/>
      <w:bookmarkEnd w:id="20"/>
    </w:p>
    <w:p w14:paraId="1DFB3AC6" w14:textId="458D99D0" w:rsidR="00747230" w:rsidRDefault="004E635D" w:rsidP="00747230">
      <w:pPr>
        <w:rPr>
          <w:rFonts w:ascii="Calibri" w:eastAsia="Times New Roman" w:hAnsi="Calibri" w:cs="Calibri"/>
          <w:lang w:eastAsia="en-AU"/>
        </w:rPr>
      </w:pPr>
      <w:r>
        <w:t xml:space="preserve">The Australian Government’s Secure Australian Jobs Plan includes the Australian Skills Guarantee, which will ensure that one in 10 workers on major, </w:t>
      </w:r>
      <w:r w:rsidRPr="006914BA">
        <w:rPr>
          <w:bCs/>
        </w:rPr>
        <w:t>federally funded</w:t>
      </w:r>
      <w:r>
        <w:t xml:space="preserve"> government projects is an apprentice, trainee or </w:t>
      </w:r>
      <w:r w:rsidRPr="006914BA">
        <w:rPr>
          <w:bCs/>
        </w:rPr>
        <w:t>paid cadet</w:t>
      </w:r>
      <w:r>
        <w:t xml:space="preserve">. </w:t>
      </w:r>
      <w:r w:rsidR="00747230" w:rsidRPr="00B42917">
        <w:rPr>
          <w:rFonts w:ascii="Calibri" w:eastAsia="Times New Roman" w:hAnsi="Calibri" w:cs="Calibri"/>
          <w:lang w:eastAsia="en-AU"/>
        </w:rPr>
        <w:t xml:space="preserve">The Australian Skills Guarantee will use the </w:t>
      </w:r>
      <w:r w:rsidR="009D2AB7" w:rsidRPr="00785B84">
        <w:rPr>
          <w:rFonts w:ascii="Calibri" w:eastAsia="Times New Roman" w:hAnsi="Calibri" w:cs="Calibri"/>
          <w:lang w:eastAsia="en-AU"/>
        </w:rPr>
        <w:t>Australian Government</w:t>
      </w:r>
      <w:r w:rsidR="00747230" w:rsidRPr="00B42917">
        <w:rPr>
          <w:rFonts w:ascii="Calibri" w:eastAsia="Times New Roman" w:hAnsi="Calibri" w:cs="Calibri"/>
          <w:lang w:eastAsia="en-AU"/>
        </w:rPr>
        <w:t>’s investments in major projects to secure a pipeline of skilled workers into the future.</w:t>
      </w:r>
    </w:p>
    <w:p w14:paraId="0FA4AAB8" w14:textId="54AE8705" w:rsidR="005830E7" w:rsidRPr="00862648" w:rsidRDefault="005830E7" w:rsidP="005830E7">
      <w:pPr>
        <w:pStyle w:val="Heading3"/>
        <w:numPr>
          <w:ilvl w:val="0"/>
          <w:numId w:val="36"/>
        </w:numPr>
      </w:pPr>
      <w:bookmarkStart w:id="22" w:name="_Toc116570817"/>
      <w:r w:rsidRPr="00862648">
        <w:t xml:space="preserve">Buy </w:t>
      </w:r>
      <w:r w:rsidRPr="00785B84">
        <w:t>Australian</w:t>
      </w:r>
      <w:r w:rsidRPr="00862648">
        <w:t xml:space="preserve"> Plan</w:t>
      </w:r>
      <w:bookmarkEnd w:id="22"/>
    </w:p>
    <w:p w14:paraId="4A11864F" w14:textId="350DAB8B" w:rsidR="009D2AB7" w:rsidRPr="00B42917" w:rsidRDefault="005830E7" w:rsidP="005830E7">
      <w:pPr>
        <w:rPr>
          <w:rFonts w:ascii="Calibri" w:eastAsia="Times New Roman" w:hAnsi="Calibri" w:cs="Calibri"/>
          <w:lang w:eastAsia="en-AU"/>
        </w:rPr>
      </w:pPr>
      <w:r w:rsidRPr="00785B84">
        <w:rPr>
          <w:rFonts w:ascii="Calibri" w:eastAsia="Times New Roman" w:hAnsi="Calibri" w:cs="Calibri"/>
          <w:lang w:eastAsia="en-AU"/>
        </w:rPr>
        <w:t xml:space="preserve">Under the Australian Government’s 10-point </w:t>
      </w:r>
      <w:r w:rsidRPr="00785B84">
        <w:rPr>
          <w:rFonts w:ascii="Calibri" w:eastAsia="Times New Roman" w:hAnsi="Calibri" w:cs="Calibri"/>
          <w:i/>
          <w:lang w:eastAsia="en-AU"/>
        </w:rPr>
        <w:t>Buy Australian Plan</w:t>
      </w:r>
      <w:r w:rsidRPr="00785B84">
        <w:rPr>
          <w:rFonts w:ascii="Calibri" w:eastAsia="Times New Roman" w:hAnsi="Calibri" w:cs="Calibri"/>
          <w:lang w:eastAsia="en-AU"/>
        </w:rPr>
        <w:t>, National Partnerships will drive increased local participation in major projects. The Future Made in Australia Office has been established to coordinate the delivery and implementation of the Buy Australian Plan across the Australian Public Service and engage directly with businesses and industry sectors to help lift their competitive capabilities.</w:t>
      </w:r>
    </w:p>
    <w:p w14:paraId="25B38B57" w14:textId="5E83B543" w:rsidR="00F015B2" w:rsidRDefault="00F015B2" w:rsidP="007E7606">
      <w:pPr>
        <w:pStyle w:val="Heading3"/>
        <w:numPr>
          <w:ilvl w:val="0"/>
          <w:numId w:val="36"/>
        </w:numPr>
      </w:pPr>
      <w:bookmarkStart w:id="23" w:name="_Toc116570818"/>
      <w:r>
        <w:t>Australian Industry Participation Plan</w:t>
      </w:r>
      <w:bookmarkEnd w:id="21"/>
      <w:bookmarkEnd w:id="23"/>
    </w:p>
    <w:p w14:paraId="3DBE4563" w14:textId="36D2AE72" w:rsidR="0086217F" w:rsidRDefault="00F015B2" w:rsidP="007E7606">
      <w:pPr>
        <w:rPr>
          <w:rFonts w:ascii="Calibri" w:eastAsia="Times New Roman" w:hAnsi="Calibri" w:cs="Calibri"/>
          <w:lang w:eastAsia="en-AU"/>
        </w:rPr>
      </w:pPr>
      <w:r w:rsidRPr="007E7606">
        <w:rPr>
          <w:rFonts w:ascii="Calibri" w:eastAsia="Times New Roman" w:hAnsi="Calibri" w:cs="Calibri"/>
          <w:lang w:eastAsia="en-AU"/>
        </w:rPr>
        <w:t xml:space="preserve">The </w:t>
      </w:r>
      <w:r w:rsidRPr="007E7606">
        <w:rPr>
          <w:rFonts w:ascii="Calibri" w:eastAsia="Times New Roman" w:hAnsi="Calibri" w:cs="Calibri"/>
          <w:i/>
          <w:lang w:eastAsia="en-AU"/>
        </w:rPr>
        <w:t>Australian Jobs Act 2013</w:t>
      </w:r>
      <w:r w:rsidRPr="007E7606">
        <w:rPr>
          <w:rFonts w:ascii="Calibri" w:eastAsia="Times New Roman" w:hAnsi="Calibri" w:cs="Calibri"/>
          <w:lang w:eastAsia="en-AU"/>
        </w:rPr>
        <w:t xml:space="preserve"> requires proponents of eligible major public and private projects with capital expenditure of $500 million or more to develop an Australian Industry Participation Plan (AIP</w:t>
      </w:r>
      <w:r w:rsidR="003644C2">
        <w:rPr>
          <w:rFonts w:ascii="Calibri" w:eastAsia="Times New Roman" w:hAnsi="Calibri" w:cs="Calibri"/>
          <w:lang w:eastAsia="en-AU"/>
        </w:rPr>
        <w:t> </w:t>
      </w:r>
      <w:r w:rsidRPr="007E7606">
        <w:rPr>
          <w:rFonts w:ascii="Calibri" w:eastAsia="Times New Roman" w:hAnsi="Calibri" w:cs="Calibri"/>
          <w:lang w:eastAsia="en-AU"/>
        </w:rPr>
        <w:t xml:space="preserve">plan). An AIP plan must set out how the proponent will provide Australian suppliers, including those located in the project region, the opportunity to bid for work on the project. </w:t>
      </w:r>
    </w:p>
    <w:p w14:paraId="421257F9" w14:textId="25B22190" w:rsidR="00F015B2" w:rsidRPr="007E7606" w:rsidRDefault="00F015B2" w:rsidP="007E7606">
      <w:pPr>
        <w:rPr>
          <w:rFonts w:ascii="Calibri" w:eastAsia="Times New Roman" w:hAnsi="Calibri" w:cs="Calibri"/>
          <w:lang w:eastAsia="en-AU"/>
        </w:rPr>
      </w:pPr>
      <w:r w:rsidRPr="007E7606">
        <w:rPr>
          <w:rFonts w:ascii="Calibri" w:eastAsia="Times New Roman" w:hAnsi="Calibri" w:cs="Calibri"/>
          <w:lang w:eastAsia="en-AU"/>
        </w:rPr>
        <w:t xml:space="preserve">The overarching AIP Framework was agreed to by the Australian Government and state and territory governments, and supports a nationally-consistent approach to maximising Australian industry participation in major projects, including those receiving Commonwealth funding. </w:t>
      </w:r>
    </w:p>
    <w:p w14:paraId="6322ADF0" w14:textId="5836B2CD" w:rsidR="00BE1C98" w:rsidRDefault="007D47DC" w:rsidP="00BE1C98">
      <w:r>
        <w:t xml:space="preserve">Under the </w:t>
      </w:r>
      <w:r w:rsidR="0086217F">
        <w:t>National Partnership Agreement</w:t>
      </w:r>
      <w:r>
        <w:t xml:space="preserve"> </w:t>
      </w:r>
      <w:r w:rsidR="009C4020">
        <w:t>on</w:t>
      </w:r>
      <w:r w:rsidR="009B5A03">
        <w:t xml:space="preserve"> Land Transport Infrastructure</w:t>
      </w:r>
      <w:r w:rsidR="009C4020">
        <w:t xml:space="preserve"> Projects</w:t>
      </w:r>
      <w:r w:rsidR="009B5A03">
        <w:t xml:space="preserve">, </w:t>
      </w:r>
      <w:r w:rsidR="009C4020">
        <w:t xml:space="preserve">state and territory project </w:t>
      </w:r>
      <w:r w:rsidR="0086217F">
        <w:t xml:space="preserve">proponents </w:t>
      </w:r>
      <w:r w:rsidR="00840B4A">
        <w:t xml:space="preserve">must </w:t>
      </w:r>
      <w:r w:rsidR="00BE1C98">
        <w:t xml:space="preserve">develop </w:t>
      </w:r>
      <w:r w:rsidR="00BE1C98" w:rsidRPr="00BE1C98">
        <w:t>a Local Industry Participation Plan (LIPP) or an AIP</w:t>
      </w:r>
      <w:r w:rsidR="009C4020">
        <w:t xml:space="preserve"> plan </w:t>
      </w:r>
      <w:r w:rsidR="00BE1C98" w:rsidRPr="00BE1C98">
        <w:t>for all projects in receipt of Commonwealth payments over $20 million</w:t>
      </w:r>
      <w:r w:rsidR="00BE1C98">
        <w:t>.</w:t>
      </w:r>
    </w:p>
    <w:p w14:paraId="3B9869D1" w14:textId="77777777" w:rsidR="003D404E" w:rsidRDefault="003D404E" w:rsidP="00BE1C98">
      <w:pPr>
        <w:rPr>
          <w:color w:val="1F497D"/>
        </w:rPr>
        <w:sectPr w:rsidR="003D404E" w:rsidSect="003D404E">
          <w:headerReference w:type="default" r:id="rId9"/>
          <w:footerReference w:type="default" r:id="rId10"/>
          <w:headerReference w:type="first" r:id="rId11"/>
          <w:pgSz w:w="11906" w:h="16838"/>
          <w:pgMar w:top="1440" w:right="1440" w:bottom="1440" w:left="1440" w:header="708" w:footer="708" w:gutter="0"/>
          <w:pgNumType w:fmt="lowerRoman" w:start="1"/>
          <w:cols w:space="708"/>
          <w:titlePg/>
          <w:docGrid w:linePitch="360"/>
        </w:sectPr>
      </w:pPr>
    </w:p>
    <w:p w14:paraId="1B6E9FD2" w14:textId="103E00B6" w:rsidR="00DF416D" w:rsidRDefault="00560088" w:rsidP="00560088">
      <w:pPr>
        <w:pStyle w:val="Heading1"/>
      </w:pPr>
      <w:bookmarkStart w:id="24" w:name="_Toc113354426"/>
      <w:bookmarkStart w:id="25" w:name="_Toc113354463"/>
      <w:bookmarkStart w:id="26" w:name="_Toc116570819"/>
      <w:r>
        <w:lastRenderedPageBreak/>
        <w:t>R</w:t>
      </w:r>
      <w:r w:rsidR="00DF416D">
        <w:t>ecommendation 1</w:t>
      </w:r>
      <w:bookmarkEnd w:id="24"/>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F47674" w14:paraId="0E1ED764" w14:textId="77777777" w:rsidTr="007E7606">
        <w:trPr>
          <w:trHeight w:val="567"/>
        </w:trPr>
        <w:tc>
          <w:tcPr>
            <w:tcW w:w="1134" w:type="dxa"/>
            <w:shd w:val="clear" w:color="auto" w:fill="1F3864"/>
            <w:vAlign w:val="center"/>
          </w:tcPr>
          <w:p w14:paraId="7B631586" w14:textId="2183A471" w:rsidR="00F47674" w:rsidRDefault="00F47674" w:rsidP="00687069">
            <w:r>
              <w:t>Number</w:t>
            </w:r>
          </w:p>
        </w:tc>
        <w:tc>
          <w:tcPr>
            <w:tcW w:w="7882" w:type="dxa"/>
            <w:shd w:val="clear" w:color="auto" w:fill="1F3864"/>
            <w:vAlign w:val="center"/>
          </w:tcPr>
          <w:p w14:paraId="233D9F8E" w14:textId="77777777" w:rsidR="00F47674" w:rsidRDefault="00F47674" w:rsidP="00687069">
            <w:r>
              <w:t>Recommendation</w:t>
            </w:r>
          </w:p>
        </w:tc>
      </w:tr>
      <w:tr w:rsidR="00F47674" w14:paraId="72DE9B2D" w14:textId="77777777" w:rsidTr="007E7606">
        <w:tc>
          <w:tcPr>
            <w:tcW w:w="1134" w:type="dxa"/>
            <w:tcBorders>
              <w:bottom w:val="single" w:sz="4" w:space="0" w:color="auto"/>
            </w:tcBorders>
          </w:tcPr>
          <w:p w14:paraId="5039D1C6" w14:textId="77777777" w:rsidR="00F47674" w:rsidRDefault="00F47674">
            <w:r>
              <w:t>1</w:t>
            </w:r>
          </w:p>
        </w:tc>
        <w:tc>
          <w:tcPr>
            <w:tcW w:w="7882" w:type="dxa"/>
            <w:tcBorders>
              <w:bottom w:val="single" w:sz="4" w:space="0" w:color="auto"/>
            </w:tcBorders>
          </w:tcPr>
          <w:p w14:paraId="5531667B" w14:textId="77777777" w:rsidR="00F47674" w:rsidRDefault="00F47674" w:rsidP="001B207A">
            <w:pPr>
              <w:spacing w:before="100" w:beforeAutospacing="1" w:after="120"/>
            </w:pPr>
            <w:r>
              <w:t xml:space="preserve">The committee recommends, with a view to addressing Australia’s historically piecemeal approach to infrastructure planning and project delivery, the Australian Government investigate, in consultation with state, territory and local governments, and relevant industry bodies and stakeholders, how to facilitate better planning and coordination of the infrastructure pipeline. </w:t>
            </w:r>
          </w:p>
          <w:p w14:paraId="63355672" w14:textId="77777777" w:rsidR="00F47674" w:rsidRDefault="00F47674" w:rsidP="00F47674">
            <w:r>
              <w:t>As part of this work, consideration should be given to:</w:t>
            </w:r>
          </w:p>
          <w:p w14:paraId="1042447C" w14:textId="77777777" w:rsidR="00F47674" w:rsidRDefault="00F47674" w:rsidP="00F47674">
            <w:pPr>
              <w:pStyle w:val="ListParagraph"/>
              <w:numPr>
                <w:ilvl w:val="0"/>
                <w:numId w:val="1"/>
              </w:numPr>
            </w:pPr>
            <w:r>
              <w:t>the effectiveness of planning, and stakeholder and industry engagement prior to project commitments being made</w:t>
            </w:r>
          </w:p>
          <w:p w14:paraId="594A0031" w14:textId="77777777" w:rsidR="00F47674" w:rsidRDefault="00F47674" w:rsidP="00F47674">
            <w:pPr>
              <w:pStyle w:val="ListParagraph"/>
              <w:numPr>
                <w:ilvl w:val="0"/>
                <w:numId w:val="1"/>
              </w:numPr>
            </w:pPr>
            <w:r>
              <w:t>avenues for enhancing cooperation with existing bodies, and/or bolstering independent expertise, to support more integrated and holistic infrastructure planning</w:t>
            </w:r>
          </w:p>
          <w:p w14:paraId="06F64C05" w14:textId="77777777" w:rsidR="00F47674" w:rsidRDefault="00F47674" w:rsidP="00F47674">
            <w:pPr>
              <w:pStyle w:val="ListParagraph"/>
              <w:numPr>
                <w:ilvl w:val="0"/>
                <w:numId w:val="1"/>
              </w:numPr>
            </w:pPr>
            <w:r>
              <w:t>extending governments’ approach to long‐term infrastructure planning from a decade to a strategic outlook of 20 to 50 years, as applicable</w:t>
            </w:r>
          </w:p>
          <w:p w14:paraId="31CF04BA" w14:textId="77777777" w:rsidR="00F47674" w:rsidRDefault="00F47674" w:rsidP="00F47674">
            <w:pPr>
              <w:pStyle w:val="ListParagraph"/>
              <w:numPr>
                <w:ilvl w:val="0"/>
                <w:numId w:val="1"/>
              </w:numPr>
            </w:pPr>
            <w:r>
              <w:t xml:space="preserve">periodic reporting on priorities and progress on the </w:t>
            </w:r>
            <w:r w:rsidRPr="009C4020">
              <w:rPr>
                <w:i/>
              </w:rPr>
              <w:t>2021 Australian Infrastructure Plan</w:t>
            </w:r>
            <w:r>
              <w:t xml:space="preserve"> items for which the Australian Government has been identified as the proposed lead agency.</w:t>
            </w:r>
          </w:p>
          <w:p w14:paraId="6DF53427" w14:textId="77777777" w:rsidR="00F47674" w:rsidRDefault="00F47674" w:rsidP="00F47674">
            <w:pPr>
              <w:pStyle w:val="ListParagraph"/>
            </w:pPr>
          </w:p>
        </w:tc>
      </w:tr>
    </w:tbl>
    <w:p w14:paraId="60F3F379" w14:textId="77777777" w:rsidR="00F47674" w:rsidRDefault="00F47674"/>
    <w:p w14:paraId="09D058FA" w14:textId="77777777" w:rsidR="00F47674" w:rsidRPr="001B207A" w:rsidRDefault="00146A46">
      <w:pPr>
        <w:rPr>
          <w:b/>
        </w:rPr>
      </w:pPr>
      <w:r w:rsidRPr="001B207A">
        <w:rPr>
          <w:b/>
        </w:rPr>
        <w:t>Support</w:t>
      </w:r>
      <w:r w:rsidR="002023A0" w:rsidRPr="001B207A">
        <w:rPr>
          <w:b/>
        </w:rPr>
        <w:t>.</w:t>
      </w:r>
    </w:p>
    <w:p w14:paraId="4D3666FF" w14:textId="208DDDEF" w:rsidR="002A7CBF" w:rsidRDefault="008555D8" w:rsidP="00982184">
      <w:r w:rsidRPr="003D431A">
        <w:t xml:space="preserve">The </w:t>
      </w:r>
      <w:r w:rsidR="00382F0C">
        <w:t xml:space="preserve">Australian </w:t>
      </w:r>
      <w:r w:rsidRPr="003D431A">
        <w:t>Government supports</w:t>
      </w:r>
      <w:r w:rsidR="002A7CBF">
        <w:t xml:space="preserve"> better planning and coordination of the infrastructure pipeline and acknowledges the importance of working with </w:t>
      </w:r>
      <w:r w:rsidR="002A7CBF" w:rsidRPr="002A7CBF">
        <w:t>state, territory and local governments, and relevant industry bodies and stakeholders</w:t>
      </w:r>
      <w:r w:rsidR="002A7CBF">
        <w:t xml:space="preserve">. At the 30 September 2022 </w:t>
      </w:r>
      <w:r w:rsidR="002A7CBF" w:rsidRPr="002A7CBF">
        <w:t>Infrastructure and Transport Ministers’ Meeting</w:t>
      </w:r>
      <w:r w:rsidR="00200516">
        <w:t xml:space="preserve"> (ITMM)</w:t>
      </w:r>
      <w:r w:rsidR="002A7CBF">
        <w:t>, Ministers finalised a new workplan that will guide activities through to the end of 2023, with a focus on market capacity constraints affecting the construction industry, improving interoperability of rail systems, decarbonisation of infrastructure and transport, heavy vehicle productivity and road safety.</w:t>
      </w:r>
    </w:p>
    <w:p w14:paraId="18F23781" w14:textId="1ECDB1A9" w:rsidR="007B6EA8" w:rsidRDefault="002A7CBF" w:rsidP="00982184">
      <w:r>
        <w:t>The Australian Government supports t</w:t>
      </w:r>
      <w:r w:rsidR="008555D8" w:rsidRPr="003D431A">
        <w:t xml:space="preserve">he development and use of practices </w:t>
      </w:r>
      <w:r w:rsidR="00382F0C">
        <w:t>to</w:t>
      </w:r>
      <w:r w:rsidR="00382F0C" w:rsidRPr="003D431A">
        <w:t xml:space="preserve"> </w:t>
      </w:r>
      <w:r w:rsidR="008555D8" w:rsidRPr="003D431A">
        <w:t>maximi</w:t>
      </w:r>
      <w:r w:rsidR="00382F0C">
        <w:t>s</w:t>
      </w:r>
      <w:r w:rsidR="008555D8" w:rsidRPr="003D431A">
        <w:t xml:space="preserve">e the effectiveness of </w:t>
      </w:r>
      <w:r w:rsidR="00092EC8">
        <w:t>infrastructure planning and project delivery</w:t>
      </w:r>
      <w:r w:rsidR="004C0A88">
        <w:t>,</w:t>
      </w:r>
      <w:r w:rsidR="00092EC8">
        <w:t xml:space="preserve"> </w:t>
      </w:r>
      <w:r w:rsidR="00393A5E">
        <w:t xml:space="preserve">including better co-ordination of the pipeline for </w:t>
      </w:r>
      <w:r w:rsidR="00382F0C">
        <w:t>publicly</w:t>
      </w:r>
      <w:r w:rsidR="00393A5E">
        <w:t xml:space="preserve"> funded projects</w:t>
      </w:r>
      <w:r w:rsidR="008555D8">
        <w:t xml:space="preserve">. </w:t>
      </w:r>
      <w:r w:rsidR="00382F0C">
        <w:t xml:space="preserve">This work is already underway in close consultation with state, territory and local governments. </w:t>
      </w:r>
    </w:p>
    <w:p w14:paraId="53D7D808" w14:textId="285FD641" w:rsidR="00842636" w:rsidRDefault="001E5247" w:rsidP="00982184">
      <w:r>
        <w:t>Reforms to expedite major projects through approvals process</w:t>
      </w:r>
      <w:r w:rsidR="008F4100">
        <w:t>es</w:t>
      </w:r>
      <w:r>
        <w:t xml:space="preserve"> and optimis</w:t>
      </w:r>
      <w:r w:rsidR="007D47DC">
        <w:t>e</w:t>
      </w:r>
      <w:r>
        <w:t xml:space="preserve"> job opportunities from the national infrastructure pipeline </w:t>
      </w:r>
      <w:r w:rsidR="007D47DC">
        <w:t>are being implemented</w:t>
      </w:r>
      <w:r w:rsidR="002A7CBF">
        <w:t xml:space="preserve"> with states and territories</w:t>
      </w:r>
      <w:r>
        <w:t xml:space="preserve">. </w:t>
      </w:r>
      <w:r w:rsidR="00842636">
        <w:t xml:space="preserve">A number of forums have been established to progress the Government’s commitment to a more integrated and </w:t>
      </w:r>
      <w:r w:rsidR="007D47DC">
        <w:t xml:space="preserve">collaborative </w:t>
      </w:r>
      <w:r w:rsidR="00842636">
        <w:t>approach nationally:</w:t>
      </w:r>
    </w:p>
    <w:p w14:paraId="02AE9F4E" w14:textId="5BE56B0F" w:rsidR="00346B50" w:rsidRDefault="00346B50" w:rsidP="007E7606">
      <w:pPr>
        <w:pStyle w:val="ListParagraph"/>
        <w:numPr>
          <w:ilvl w:val="0"/>
          <w:numId w:val="39"/>
        </w:numPr>
        <w:contextualSpacing w:val="0"/>
      </w:pPr>
      <w:r>
        <w:t>Commonwealth</w:t>
      </w:r>
      <w:r w:rsidR="007206E9">
        <w:t xml:space="preserve">, </w:t>
      </w:r>
      <w:r>
        <w:t>state</w:t>
      </w:r>
      <w:r w:rsidR="007206E9">
        <w:t xml:space="preserve"> and </w:t>
      </w:r>
      <w:r>
        <w:t xml:space="preserve">territory infrastructure ministers meet regularly at </w:t>
      </w:r>
      <w:r w:rsidR="00200516">
        <w:t>I</w:t>
      </w:r>
      <w:r>
        <w:t>TMM. The</w:t>
      </w:r>
      <w:r w:rsidR="003644C2">
        <w:t> </w:t>
      </w:r>
      <w:r>
        <w:t xml:space="preserve">ITMM provides </w:t>
      </w:r>
      <w:r w:rsidRPr="00F97FB5">
        <w:t>a forum for intergovernmental collaboration, decision-making and progressing priorities of national importance</w:t>
      </w:r>
      <w:r w:rsidR="005203D2">
        <w:t>, which going forward will include promoting a more consistent approach to the national infrastructure pipeline.</w:t>
      </w:r>
    </w:p>
    <w:p w14:paraId="4CAB4325" w14:textId="5C4E45AF" w:rsidR="00346B50" w:rsidRDefault="00200516" w:rsidP="007E7606">
      <w:pPr>
        <w:pStyle w:val="ListParagraph"/>
        <w:numPr>
          <w:ilvl w:val="0"/>
          <w:numId w:val="39"/>
        </w:numPr>
        <w:contextualSpacing w:val="0"/>
      </w:pPr>
      <w:r>
        <w:t>A</w:t>
      </w:r>
      <w:r w:rsidR="00346B50">
        <w:t xml:space="preserve"> Streamlining and Optimising Working Group (SOWG) was established in 2021 as a forum for Commonwealth, state and territory infrastructure and transport officials to discuss progress made to streamline planning and approval processes and optimise job </w:t>
      </w:r>
      <w:r w:rsidR="00346B50">
        <w:lastRenderedPageBreak/>
        <w:t xml:space="preserve">opportunities. It also provides a forum to share planning, approvals and procurement best practice and identify opportunities to enhance efficiency and productivity. </w:t>
      </w:r>
    </w:p>
    <w:p w14:paraId="08433EA0" w14:textId="7F4C8FC9" w:rsidR="007D47DC" w:rsidRDefault="00200516" w:rsidP="007D47DC">
      <w:pPr>
        <w:pStyle w:val="ListParagraph"/>
        <w:numPr>
          <w:ilvl w:val="0"/>
          <w:numId w:val="39"/>
        </w:numPr>
        <w:contextualSpacing w:val="0"/>
      </w:pPr>
      <w:r>
        <w:t>A</w:t>
      </w:r>
      <w:r w:rsidR="00846DA8">
        <w:t xml:space="preserve"> </w:t>
      </w:r>
      <w:r w:rsidR="007D47DC">
        <w:t>ro</w:t>
      </w:r>
      <w:r w:rsidR="001E5247">
        <w:t>undtable</w:t>
      </w:r>
      <w:r w:rsidR="007D47DC">
        <w:t xml:space="preserve"> with industry</w:t>
      </w:r>
      <w:r w:rsidR="001E5247">
        <w:t xml:space="preserve"> </w:t>
      </w:r>
      <w:r w:rsidR="00842636">
        <w:t xml:space="preserve">was </w:t>
      </w:r>
      <w:r w:rsidR="00846DA8">
        <w:t>held on 19 August 2022</w:t>
      </w:r>
      <w:r w:rsidR="00840B4A">
        <w:t>, led by the</w:t>
      </w:r>
      <w:r w:rsidR="00D10B90">
        <w:t> </w:t>
      </w:r>
      <w:r w:rsidR="00840B4A">
        <w:t>Hon Catherine King</w:t>
      </w:r>
      <w:r w:rsidR="003644C2">
        <w:t> </w:t>
      </w:r>
      <w:r w:rsidR="00840B4A">
        <w:t xml:space="preserve">MP, Minister for </w:t>
      </w:r>
      <w:r w:rsidR="00840B4A" w:rsidRPr="00840B4A">
        <w:t>Infrastructure, Transport, Regional Development and Local Government</w:t>
      </w:r>
      <w:r w:rsidR="00840B4A">
        <w:t xml:space="preserve">. The discussion </w:t>
      </w:r>
      <w:r w:rsidR="00D76592">
        <w:t xml:space="preserve">was focused on exploring means to </w:t>
      </w:r>
      <w:r w:rsidR="00D76592" w:rsidRPr="00D76592">
        <w:t xml:space="preserve">build </w:t>
      </w:r>
      <w:r w:rsidR="007206E9">
        <w:t xml:space="preserve">a </w:t>
      </w:r>
      <w:r w:rsidR="00D76592" w:rsidRPr="00D76592">
        <w:t>robust, better-trained and more productive workforce</w:t>
      </w:r>
      <w:r w:rsidR="00D76592">
        <w:t>.</w:t>
      </w:r>
    </w:p>
    <w:p w14:paraId="7CE7CA61" w14:textId="1C0F18D5" w:rsidR="00874B9C" w:rsidRDefault="007D47DC" w:rsidP="00FC6A77">
      <w:pPr>
        <w:rPr>
          <w:rFonts w:ascii="Calibri" w:eastAsia="Times New Roman" w:hAnsi="Calibri" w:cs="Calibri"/>
          <w:lang w:eastAsia="en-AU"/>
        </w:rPr>
      </w:pPr>
      <w:r>
        <w:t>On 22 July 2022 t</w:t>
      </w:r>
      <w:r w:rsidR="005203D2" w:rsidRPr="00146A46">
        <w:t>he Australian Government announced an independent review of</w:t>
      </w:r>
      <w:r w:rsidR="005203D2">
        <w:t xml:space="preserve"> </w:t>
      </w:r>
      <w:r w:rsidR="008E7A7B">
        <w:t>Infrastructure Australia (</w:t>
      </w:r>
      <w:r w:rsidR="005203D2">
        <w:t>IA</w:t>
      </w:r>
      <w:r w:rsidR="008E7A7B">
        <w:t>)</w:t>
      </w:r>
      <w:r w:rsidR="005203D2" w:rsidRPr="00146A46">
        <w:t xml:space="preserve">. The </w:t>
      </w:r>
      <w:r w:rsidR="00785B84">
        <w:t>r</w:t>
      </w:r>
      <w:r w:rsidR="005203D2" w:rsidRPr="00146A46">
        <w:t>eview consider</w:t>
      </w:r>
      <w:r w:rsidR="0074440D">
        <w:t>ed</w:t>
      </w:r>
      <w:r w:rsidR="005203D2" w:rsidRPr="00146A46">
        <w:t xml:space="preserve"> </w:t>
      </w:r>
      <w:r w:rsidR="005203D2">
        <w:t>IA</w:t>
      </w:r>
      <w:r w:rsidR="005203D2" w:rsidRPr="00146A46">
        <w:t>'s role as an independent adviser to the Commonwealth on nationally significant infrastructure priorities</w:t>
      </w:r>
      <w:r w:rsidR="001B4D8F">
        <w:t>,</w:t>
      </w:r>
      <w:r w:rsidR="005203D2" w:rsidRPr="00146A46">
        <w:t xml:space="preserve"> and advise</w:t>
      </w:r>
      <w:r w:rsidR="0074440D">
        <w:t>d</w:t>
      </w:r>
      <w:r w:rsidR="005203D2" w:rsidRPr="00146A46">
        <w:t xml:space="preserve"> on what changes may be needed to </w:t>
      </w:r>
      <w:r w:rsidR="005203D2" w:rsidRPr="009C463D">
        <w:t>IA’s</w:t>
      </w:r>
      <w:r w:rsidR="005203D2">
        <w:t xml:space="preserve"> </w:t>
      </w:r>
      <w:r w:rsidR="005203D2" w:rsidRPr="00146A46">
        <w:t>focus, priorities and</w:t>
      </w:r>
      <w:r w:rsidR="00DB530F">
        <w:t>,</w:t>
      </w:r>
      <w:r w:rsidR="005203D2" w:rsidRPr="00146A46">
        <w:t xml:space="preserve"> legislation.</w:t>
      </w:r>
      <w:r w:rsidR="005203D2" w:rsidRPr="00642F8D">
        <w:t xml:space="preserve"> </w:t>
      </w:r>
      <w:r w:rsidR="0077582E">
        <w:t xml:space="preserve">The IA </w:t>
      </w:r>
      <w:r w:rsidR="00785B84">
        <w:t>r</w:t>
      </w:r>
      <w:r w:rsidR="0077582E">
        <w:t>eview provide</w:t>
      </w:r>
      <w:r w:rsidR="0074440D">
        <w:t>d</w:t>
      </w:r>
      <w:r w:rsidR="0077582E">
        <w:t xml:space="preserve"> advice on how IA should best interact with </w:t>
      </w:r>
      <w:r w:rsidR="0077582E" w:rsidDel="00C913EE">
        <w:t>state</w:t>
      </w:r>
      <w:r w:rsidR="0077582E">
        <w:t xml:space="preserve"> and </w:t>
      </w:r>
      <w:r w:rsidR="0077582E" w:rsidDel="00C913EE">
        <w:t xml:space="preserve">territory </w:t>
      </w:r>
      <w:r w:rsidR="007206E9">
        <w:t xml:space="preserve">infrastructure advisory </w:t>
      </w:r>
      <w:r w:rsidR="0077582E">
        <w:t>bodies to achieve a nationally coordinated approach</w:t>
      </w:r>
      <w:r w:rsidR="00874B9C">
        <w:t>. The</w:t>
      </w:r>
      <w:r w:rsidR="003644C2">
        <w:t> </w:t>
      </w:r>
      <w:r w:rsidR="00874B9C">
        <w:t>Australian Government supported most of the recommendations from the review.</w:t>
      </w:r>
    </w:p>
    <w:p w14:paraId="5A463F65" w14:textId="793A6DAA" w:rsidR="005203D2" w:rsidRDefault="005203D2" w:rsidP="00FC6A77"/>
    <w:p w14:paraId="3441901A" w14:textId="498C4DA1" w:rsidR="00DF416D" w:rsidRDefault="00DF416D" w:rsidP="00577D4D">
      <w:pPr>
        <w:spacing w:after="120"/>
      </w:pPr>
      <w:r>
        <w:br w:type="page"/>
      </w:r>
    </w:p>
    <w:p w14:paraId="48C84D1F" w14:textId="6EABBFA7" w:rsidR="00720456" w:rsidRDefault="00DF416D" w:rsidP="00DF416D">
      <w:pPr>
        <w:pStyle w:val="Heading1"/>
      </w:pPr>
      <w:bookmarkStart w:id="27" w:name="_Toc113354464"/>
      <w:bookmarkStart w:id="28" w:name="_Toc116570820"/>
      <w:r>
        <w:lastRenderedPageBreak/>
        <w:t>Recommendation 2</w:t>
      </w:r>
      <w:bookmarkEnd w:id="27"/>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4CC3C0D8" w14:textId="77777777" w:rsidTr="007E7606">
        <w:trPr>
          <w:trHeight w:val="567"/>
        </w:trPr>
        <w:tc>
          <w:tcPr>
            <w:tcW w:w="1134" w:type="dxa"/>
            <w:shd w:val="clear" w:color="auto" w:fill="1F3864"/>
            <w:vAlign w:val="center"/>
          </w:tcPr>
          <w:p w14:paraId="47436ECF" w14:textId="60D20B18" w:rsidR="00687069" w:rsidRDefault="00687069" w:rsidP="00146A46">
            <w:r>
              <w:t>Number</w:t>
            </w:r>
          </w:p>
        </w:tc>
        <w:tc>
          <w:tcPr>
            <w:tcW w:w="7882" w:type="dxa"/>
            <w:shd w:val="clear" w:color="auto" w:fill="1F3864"/>
            <w:vAlign w:val="center"/>
          </w:tcPr>
          <w:p w14:paraId="00FEDF28" w14:textId="77777777" w:rsidR="00687069" w:rsidRDefault="00687069" w:rsidP="00146A46">
            <w:r>
              <w:t>Recommendation</w:t>
            </w:r>
          </w:p>
        </w:tc>
      </w:tr>
      <w:tr w:rsidR="00687069" w14:paraId="5A8918E7" w14:textId="77777777" w:rsidTr="007E7606">
        <w:tc>
          <w:tcPr>
            <w:tcW w:w="1134" w:type="dxa"/>
            <w:tcBorders>
              <w:bottom w:val="single" w:sz="4" w:space="0" w:color="auto"/>
            </w:tcBorders>
          </w:tcPr>
          <w:p w14:paraId="0CCA0AF8" w14:textId="77777777" w:rsidR="00687069" w:rsidRDefault="00687069" w:rsidP="00146A46">
            <w:r>
              <w:t>2</w:t>
            </w:r>
          </w:p>
        </w:tc>
        <w:tc>
          <w:tcPr>
            <w:tcW w:w="7882" w:type="dxa"/>
            <w:tcBorders>
              <w:bottom w:val="single" w:sz="4" w:space="0" w:color="auto"/>
            </w:tcBorders>
          </w:tcPr>
          <w:p w14:paraId="3E138BA2" w14:textId="77777777" w:rsidR="00B340BE" w:rsidRDefault="00687069" w:rsidP="001B207A">
            <w:pPr>
              <w:spacing w:before="100" w:beforeAutospacing="1" w:after="120"/>
            </w:pPr>
            <w:r>
              <w:t>Given the crucial role that procurement plays in planning, the tendering process and delivery of infrastructure projects, the committee recommends that the Australian Government review the practical application of the Commonwealth Procurement Rules, with a particular focus on the extent to which factors other than price are assessed in practice.</w:t>
            </w:r>
          </w:p>
          <w:p w14:paraId="0EE0A0E5" w14:textId="77777777" w:rsidR="00687069" w:rsidRDefault="00687069" w:rsidP="001B207A">
            <w:pPr>
              <w:spacing w:before="100" w:beforeAutospacing="1" w:after="120"/>
            </w:pPr>
            <w:r>
              <w:t>As part of this work, the Australian Government should explore ways to support the training of government procurement officials in procurement best practice approaches to support sophisticated assessments of value for money, and ways to maximise Australian local industry engagement.</w:t>
            </w:r>
          </w:p>
        </w:tc>
      </w:tr>
    </w:tbl>
    <w:p w14:paraId="588D3A19" w14:textId="77777777" w:rsidR="00687069" w:rsidRDefault="00687069"/>
    <w:p w14:paraId="3CFAA54D" w14:textId="77777777" w:rsidR="00687069" w:rsidRPr="001B207A" w:rsidRDefault="00146A46">
      <w:pPr>
        <w:rPr>
          <w:b/>
        </w:rPr>
      </w:pPr>
      <w:r w:rsidRPr="001B207A">
        <w:rPr>
          <w:b/>
        </w:rPr>
        <w:t>Support</w:t>
      </w:r>
      <w:r w:rsidR="002023A0" w:rsidRPr="001B207A">
        <w:rPr>
          <w:b/>
        </w:rPr>
        <w:t>.</w:t>
      </w:r>
    </w:p>
    <w:p w14:paraId="75961C25" w14:textId="0C311A9C" w:rsidR="00F1373B" w:rsidRDefault="00B84D2E" w:rsidP="00376EA8">
      <w:r>
        <w:t xml:space="preserve">The Australian Government acknowledges the </w:t>
      </w:r>
      <w:r w:rsidR="0093519D">
        <w:t xml:space="preserve">importance of </w:t>
      </w:r>
      <w:r>
        <w:t>procurement in the successful delivery of infrastructure proj</w:t>
      </w:r>
      <w:r w:rsidR="007379A8">
        <w:t>ects. The Government</w:t>
      </w:r>
      <w:r w:rsidR="00791E63">
        <w:t>, via the Department of Finance,</w:t>
      </w:r>
      <w:r w:rsidR="007379A8">
        <w:t xml:space="preserve"> regularly assesses the operation and impact of the </w:t>
      </w:r>
      <w:r w:rsidR="008E7A7B" w:rsidRPr="008E7A7B">
        <w:t xml:space="preserve">Commonwealth Procurement Rules </w:t>
      </w:r>
      <w:r w:rsidR="008E7A7B">
        <w:t>(</w:t>
      </w:r>
      <w:r w:rsidR="007379A8">
        <w:t>CPRs</w:t>
      </w:r>
      <w:r w:rsidR="008E7A7B">
        <w:t>)</w:t>
      </w:r>
      <w:r w:rsidR="007379A8">
        <w:t xml:space="preserve"> and updates them as required</w:t>
      </w:r>
      <w:r w:rsidR="00D01514">
        <w:t xml:space="preserve"> with appropriate consultations</w:t>
      </w:r>
      <w:r w:rsidR="007379A8">
        <w:t xml:space="preserve">, including providing updated guidance and support. </w:t>
      </w:r>
    </w:p>
    <w:p w14:paraId="76A45B1A" w14:textId="6F30DBB9" w:rsidR="007379A8" w:rsidRDefault="008B0DA6" w:rsidP="00376EA8">
      <w:r>
        <w:t>The most recent updates to the CPRs, which came into effect on 1 Ju</w:t>
      </w:r>
      <w:r w:rsidR="005830E7">
        <w:t>ly</w:t>
      </w:r>
      <w:r>
        <w:t xml:space="preserve"> 2022, reflect </w:t>
      </w:r>
      <w:r w:rsidRPr="008B0DA6">
        <w:t>the Government’s commitment to sourcing from small and medium enterprises (SMEs) and ensuring more opportunities are available to SMEs to participate in Commonwealth procuremen</w:t>
      </w:r>
      <w:r>
        <w:t xml:space="preserve">t. </w:t>
      </w:r>
    </w:p>
    <w:p w14:paraId="1A47F660" w14:textId="17FEDA23" w:rsidR="00720456" w:rsidRDefault="0093519D" w:rsidP="00376EA8">
      <w:r>
        <w:t>T</w:t>
      </w:r>
      <w:r w:rsidR="007379A8">
        <w:t xml:space="preserve">he CPRs require that </w:t>
      </w:r>
      <w:r w:rsidR="00B340BE">
        <w:t>officials responsible for a procurement must be satisfied, after reasonable enquiries, that a procurement achieves a value for money outcome</w:t>
      </w:r>
      <w:r>
        <w:t>, including factors other than price</w:t>
      </w:r>
      <w:r w:rsidR="00B340BE">
        <w:t>.</w:t>
      </w:r>
      <w:r w:rsidR="007379A8">
        <w:t xml:space="preserve"> This includes a consideration of relevant financial and non-financial costs and benefits</w:t>
      </w:r>
      <w:r w:rsidR="00384845">
        <w:t xml:space="preserve">. </w:t>
      </w:r>
    </w:p>
    <w:p w14:paraId="42AC5BD2" w14:textId="3E05EEFD" w:rsidR="00F1373B" w:rsidRDefault="00F1373B" w:rsidP="00376EA8">
      <w:r>
        <w:t xml:space="preserve">In </w:t>
      </w:r>
      <w:r w:rsidR="008143C2">
        <w:t>support of Australian local industry engagement</w:t>
      </w:r>
      <w:r>
        <w:t xml:space="preserve">, </w:t>
      </w:r>
      <w:r w:rsidR="005830E7">
        <w:t>t</w:t>
      </w:r>
      <w:r w:rsidRPr="002D5DCD">
        <w:t xml:space="preserve">he </w:t>
      </w:r>
      <w:r w:rsidRPr="001B207A">
        <w:rPr>
          <w:i/>
        </w:rPr>
        <w:t xml:space="preserve">Australian Jobs Act 2013 </w:t>
      </w:r>
      <w:r w:rsidRPr="004B2144">
        <w:t>requires p</w:t>
      </w:r>
      <w:r w:rsidRPr="002D5DCD">
        <w:t xml:space="preserve">roponents of </w:t>
      </w:r>
      <w:r>
        <w:t xml:space="preserve">eligible </w:t>
      </w:r>
      <w:r w:rsidRPr="002D5DCD">
        <w:t xml:space="preserve">major </w:t>
      </w:r>
      <w:r>
        <w:t xml:space="preserve">public and private </w:t>
      </w:r>
      <w:r w:rsidRPr="002D5DCD">
        <w:t xml:space="preserve">projects </w:t>
      </w:r>
      <w:r>
        <w:t xml:space="preserve">with capital expenditure of $500 million or more </w:t>
      </w:r>
      <w:r w:rsidRPr="002D5DCD">
        <w:t xml:space="preserve">to develop </w:t>
      </w:r>
      <w:r>
        <w:t xml:space="preserve">an Australian Industry Participation </w:t>
      </w:r>
      <w:r w:rsidR="00F015B2">
        <w:t xml:space="preserve">Plan </w:t>
      </w:r>
      <w:r>
        <w:t>(AIP plan)</w:t>
      </w:r>
      <w:r w:rsidRPr="002D5DCD">
        <w:t>.</w:t>
      </w:r>
      <w:r>
        <w:t xml:space="preserve"> The AIP Framework</w:t>
      </w:r>
      <w:r w:rsidRPr="001B207A">
        <w:rPr>
          <w:i/>
        </w:rPr>
        <w:t xml:space="preserve">, </w:t>
      </w:r>
      <w:r w:rsidRPr="004B2144">
        <w:t>agreed to by the Australian</w:t>
      </w:r>
      <w:r w:rsidRPr="00297600">
        <w:t xml:space="preserve"> Government and state and territory governments,</w:t>
      </w:r>
      <w:r w:rsidRPr="001B207A">
        <w:rPr>
          <w:i/>
        </w:rPr>
        <w:t xml:space="preserve"> </w:t>
      </w:r>
      <w:r w:rsidRPr="002D5DCD">
        <w:t>supports a nationally-consistent approach to maximising Australian industry participation in major projects</w:t>
      </w:r>
      <w:r>
        <w:t>, including those receiving Commonwealth funding</w:t>
      </w:r>
      <w:r w:rsidRPr="002D5DCD">
        <w:t xml:space="preserve">. </w:t>
      </w:r>
    </w:p>
    <w:p w14:paraId="7239A798" w14:textId="1A3E781F" w:rsidR="00F1373B" w:rsidRDefault="00F1373B" w:rsidP="00376EA8">
      <w:r w:rsidRPr="002D5DCD">
        <w:t xml:space="preserve">The key principle of the </w:t>
      </w:r>
      <w:r w:rsidR="00785B84">
        <w:t xml:space="preserve">AIP </w:t>
      </w:r>
      <w:r w:rsidRPr="002D5DCD">
        <w:t xml:space="preserve">Framework is to provide Australian </w:t>
      </w:r>
      <w:r>
        <w:t>businesses</w:t>
      </w:r>
      <w:r w:rsidRPr="002D5DCD">
        <w:t xml:space="preserve"> with</w:t>
      </w:r>
      <w:r>
        <w:t xml:space="preserve"> a</w:t>
      </w:r>
      <w:r w:rsidRPr="002D5DCD">
        <w:t xml:space="preserve"> full, fair and reasonable opportunity to participate</w:t>
      </w:r>
      <w:r w:rsidR="008143C2">
        <w:t>. This is applied</w:t>
      </w:r>
      <w:r w:rsidRPr="002D5DCD">
        <w:t xml:space="preserve"> </w:t>
      </w:r>
      <w:r w:rsidR="008143C2">
        <w:t>to</w:t>
      </w:r>
      <w:r w:rsidRPr="002D5DCD">
        <w:t xml:space="preserve"> major projects</w:t>
      </w:r>
      <w:r>
        <w:t xml:space="preserve"> by:</w:t>
      </w:r>
    </w:p>
    <w:p w14:paraId="28DF7558" w14:textId="18D76738" w:rsidR="00F1373B" w:rsidRPr="007E7606" w:rsidRDefault="00E22DF0" w:rsidP="007E7606">
      <w:pPr>
        <w:pStyle w:val="ListParagraph"/>
        <w:numPr>
          <w:ilvl w:val="0"/>
          <w:numId w:val="39"/>
        </w:numPr>
        <w:contextualSpacing w:val="0"/>
      </w:pPr>
      <w:r w:rsidRPr="007E7606">
        <w:t>c</w:t>
      </w:r>
      <w:r w:rsidR="00F1373B" w:rsidRPr="007E7606">
        <w:t xml:space="preserve">onducting </w:t>
      </w:r>
      <w:r w:rsidR="00D81645">
        <w:t>Australian</w:t>
      </w:r>
      <w:r w:rsidR="00F1373B" w:rsidRPr="007E7606">
        <w:t xml:space="preserve"> Government procurements through an Australian Industry Participation procurement connected policy</w:t>
      </w:r>
    </w:p>
    <w:p w14:paraId="1FA58604" w14:textId="11CA13B0" w:rsidR="00F1373B" w:rsidRPr="007E7606" w:rsidRDefault="00E22DF0" w:rsidP="007E7606">
      <w:pPr>
        <w:pStyle w:val="ListParagraph"/>
        <w:numPr>
          <w:ilvl w:val="0"/>
          <w:numId w:val="39"/>
        </w:numPr>
        <w:contextualSpacing w:val="0"/>
      </w:pPr>
      <w:r w:rsidRPr="007E7606">
        <w:t>p</w:t>
      </w:r>
      <w:r w:rsidR="00F1373B" w:rsidRPr="007E7606">
        <w:t>roviding grants though the Commonwealth Grants Rules and Guidelines</w:t>
      </w:r>
    </w:p>
    <w:p w14:paraId="2C130126" w14:textId="57314165" w:rsidR="00F1373B" w:rsidRPr="007E7606" w:rsidRDefault="00E22DF0" w:rsidP="007E7606">
      <w:pPr>
        <w:pStyle w:val="ListParagraph"/>
        <w:numPr>
          <w:ilvl w:val="0"/>
          <w:numId w:val="39"/>
        </w:numPr>
        <w:contextualSpacing w:val="0"/>
      </w:pPr>
      <w:r w:rsidRPr="007E7606">
        <w:t>i</w:t>
      </w:r>
      <w:r w:rsidR="00F1373B" w:rsidRPr="007E7606">
        <w:t>ssuing loans</w:t>
      </w:r>
      <w:r w:rsidR="00D81645">
        <w:t xml:space="preserve"> or </w:t>
      </w:r>
      <w:r w:rsidR="00F1373B" w:rsidRPr="007E7606">
        <w:t>investments by the Clean Energy Finance Corporation and the Northern Australia Infrastructure Facility through their mandates</w:t>
      </w:r>
    </w:p>
    <w:p w14:paraId="701FE365" w14:textId="328A27D7" w:rsidR="00F1373B" w:rsidRPr="007E7606" w:rsidRDefault="00E22DF0" w:rsidP="007E7606">
      <w:pPr>
        <w:pStyle w:val="ListParagraph"/>
        <w:numPr>
          <w:ilvl w:val="0"/>
          <w:numId w:val="39"/>
        </w:numPr>
        <w:contextualSpacing w:val="0"/>
      </w:pPr>
      <w:r w:rsidRPr="007E7606">
        <w:t>m</w:t>
      </w:r>
      <w:r w:rsidR="00F1373B" w:rsidRPr="007E7606">
        <w:t>aking payments to state and territory governments for large infrastructure projects through the National Partnership Agreement on Land Transport</w:t>
      </w:r>
      <w:r w:rsidR="00D81645">
        <w:t xml:space="preserve"> Infrastructure Projects</w:t>
      </w:r>
      <w:r w:rsidR="00F1373B" w:rsidRPr="007E7606">
        <w:t>.</w:t>
      </w:r>
    </w:p>
    <w:p w14:paraId="0452F871" w14:textId="6F652A2B" w:rsidR="00F1373B" w:rsidRDefault="00F1373B" w:rsidP="00376EA8">
      <w:r>
        <w:lastRenderedPageBreak/>
        <w:t xml:space="preserve">Further, an AIP </w:t>
      </w:r>
      <w:r w:rsidRPr="002D5DCD">
        <w:t xml:space="preserve">plan </w:t>
      </w:r>
      <w:r>
        <w:t xml:space="preserve">must </w:t>
      </w:r>
      <w:r w:rsidRPr="002D5DCD">
        <w:t>set out</w:t>
      </w:r>
      <w:r>
        <w:t xml:space="preserve"> how the proponent </w:t>
      </w:r>
      <w:r w:rsidRPr="002D5DCD">
        <w:t xml:space="preserve">will provide Australian suppliers, including those located in the project region, the opportunity to bid for work on the project. </w:t>
      </w:r>
      <w:r>
        <w:t>The AIP plan</w:t>
      </w:r>
      <w:r w:rsidRPr="002D5DCD">
        <w:t xml:space="preserve"> must include</w:t>
      </w:r>
      <w:r>
        <w:t xml:space="preserve"> outlining</w:t>
      </w:r>
      <w:r w:rsidRPr="002D5DCD">
        <w:t xml:space="preserve"> an engagement and communication strategy for suppliers and publication of any pre-qualification requirement</w:t>
      </w:r>
      <w:r>
        <w:t xml:space="preserve">s. </w:t>
      </w:r>
      <w:r w:rsidRPr="002D5DCD" w:rsidDel="006F6CEA">
        <w:t xml:space="preserve"> </w:t>
      </w:r>
    </w:p>
    <w:p w14:paraId="2FEAA016" w14:textId="5974D13E" w:rsidR="00F1373B" w:rsidRDefault="00F1373B" w:rsidP="00376EA8">
      <w:r>
        <w:t xml:space="preserve">Effective training for government officials to undertake such assessments is a priority for the </w:t>
      </w:r>
      <w:r w:rsidR="00D81645">
        <w:t xml:space="preserve">Australian </w:t>
      </w:r>
      <w:r>
        <w:t xml:space="preserve">Government, which has committed to a significant procurement reform program under the </w:t>
      </w:r>
      <w:r w:rsidRPr="001B207A">
        <w:rPr>
          <w:i/>
        </w:rPr>
        <w:t>Buy Australian Plan</w:t>
      </w:r>
      <w:r>
        <w:t xml:space="preserve">. To deliver this commitment, the Future Made in Australia Office (Office) </w:t>
      </w:r>
      <w:r w:rsidR="005830E7">
        <w:t>has been</w:t>
      </w:r>
      <w:r>
        <w:t xml:space="preserve"> established within the Department of Finance. A priority for the Office will be the development and delivery of procurement and contract management training and capability building for entities. This will be delivered in collaboration with the Australian Public Service Commission’s APS Academy. </w:t>
      </w:r>
    </w:p>
    <w:p w14:paraId="782B8282" w14:textId="1C2B2B88" w:rsidR="0093519D" w:rsidRPr="00ED3D5D" w:rsidRDefault="0093519D" w:rsidP="00ED3D5D">
      <w:r w:rsidRPr="00ED3D5D">
        <w:t>The National Partnership Agreement on Land Transport Infrastructure Projects</w:t>
      </w:r>
      <w:r>
        <w:t xml:space="preserve"> (NPA)</w:t>
      </w:r>
      <w:r w:rsidRPr="00ED3D5D">
        <w:t xml:space="preserve"> supports a competitive infrastructure market that promotes opportunities for local and Indigenous participation, and includes provisions assessing and approving targets for Indigenous Participation Plans. </w:t>
      </w:r>
    </w:p>
    <w:p w14:paraId="383ABA60" w14:textId="339E8236" w:rsidR="0093519D" w:rsidRPr="00ED3D5D" w:rsidRDefault="0093519D" w:rsidP="00ED3D5D">
      <w:r w:rsidRPr="00ED3D5D">
        <w:t>Under the NPA, state and territory jurisdictions must develop and implement a local Industry Participation Plan or an</w:t>
      </w:r>
      <w:r>
        <w:t xml:space="preserve"> </w:t>
      </w:r>
      <w:r w:rsidRPr="00ED3D5D">
        <w:t xml:space="preserve">AIP plan for all infrastructure projects in receipt of Commonwealth payments over $20 million. </w:t>
      </w:r>
    </w:p>
    <w:p w14:paraId="400CC62C" w14:textId="01466B0D" w:rsidR="0093519D" w:rsidRPr="00ED3D5D" w:rsidRDefault="0093519D" w:rsidP="00ED3D5D">
      <w:r w:rsidRPr="00ED3D5D">
        <w:t xml:space="preserve">The plans provide detail on the expected opportunities to supply goods and services to the project, how proponents will communicate project opportunities and pre-qualification requirements to potential Australian suppliers, and how proponents will assist suppliers to develop capability and integrate into global supply chains. </w:t>
      </w:r>
    </w:p>
    <w:p w14:paraId="2D82519B" w14:textId="10D1241A" w:rsidR="00384845" w:rsidRDefault="00DB28C9" w:rsidP="007B4AE0">
      <w:r w:rsidRPr="005D3BC3">
        <w:t>Further, most states and territories have policies in place to support and facilitate the participation of small and medium enterprises in their government procurement practices, promoting the engagement of local and regional businesses and employees in government contracts.</w:t>
      </w:r>
    </w:p>
    <w:p w14:paraId="1F1F6DC4" w14:textId="77777777" w:rsidR="00DF416D" w:rsidRDefault="00DF416D">
      <w:r>
        <w:br w:type="page"/>
      </w:r>
    </w:p>
    <w:p w14:paraId="358895D3" w14:textId="29F07F7E" w:rsidR="00720456" w:rsidRDefault="00DF416D" w:rsidP="00DF416D">
      <w:pPr>
        <w:pStyle w:val="Heading1"/>
      </w:pPr>
      <w:bookmarkStart w:id="29" w:name="_Toc113354465"/>
      <w:bookmarkStart w:id="30" w:name="_Toc116570821"/>
      <w:r>
        <w:lastRenderedPageBreak/>
        <w:t>Recommendation 3</w:t>
      </w:r>
      <w:bookmarkEnd w:id="29"/>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1B9E8443" w14:textId="77777777" w:rsidTr="007E7606">
        <w:trPr>
          <w:trHeight w:val="567"/>
        </w:trPr>
        <w:tc>
          <w:tcPr>
            <w:tcW w:w="1134" w:type="dxa"/>
            <w:shd w:val="clear" w:color="auto" w:fill="1F3864"/>
            <w:vAlign w:val="center"/>
          </w:tcPr>
          <w:p w14:paraId="53E88290" w14:textId="77777777" w:rsidR="00687069" w:rsidRDefault="00687069" w:rsidP="00146A46">
            <w:r>
              <w:t>Number</w:t>
            </w:r>
          </w:p>
        </w:tc>
        <w:tc>
          <w:tcPr>
            <w:tcW w:w="7882" w:type="dxa"/>
            <w:shd w:val="clear" w:color="auto" w:fill="1F3864"/>
            <w:vAlign w:val="center"/>
          </w:tcPr>
          <w:p w14:paraId="19E5B006" w14:textId="77777777" w:rsidR="00687069" w:rsidRDefault="00687069" w:rsidP="00146A46">
            <w:r>
              <w:t>Recommendation</w:t>
            </w:r>
          </w:p>
        </w:tc>
      </w:tr>
      <w:tr w:rsidR="00687069" w14:paraId="61E8B649" w14:textId="77777777" w:rsidTr="007E7606">
        <w:tc>
          <w:tcPr>
            <w:tcW w:w="1134" w:type="dxa"/>
            <w:tcBorders>
              <w:bottom w:val="single" w:sz="4" w:space="0" w:color="auto"/>
            </w:tcBorders>
          </w:tcPr>
          <w:p w14:paraId="2B44CD04" w14:textId="77777777" w:rsidR="00687069" w:rsidRDefault="00687069" w:rsidP="00146A46">
            <w:r>
              <w:t>3</w:t>
            </w:r>
          </w:p>
        </w:tc>
        <w:tc>
          <w:tcPr>
            <w:tcW w:w="7882" w:type="dxa"/>
            <w:tcBorders>
              <w:bottom w:val="single" w:sz="4" w:space="0" w:color="auto"/>
            </w:tcBorders>
          </w:tcPr>
          <w:p w14:paraId="0979E1A8" w14:textId="77777777" w:rsidR="00687069" w:rsidRDefault="00687069" w:rsidP="00687069">
            <w:r w:rsidRPr="00687069">
              <w:t>The committee recommends that the Australian Government, in consultation with state, territory and local governments, establish a mechanism for monitoring and rating funding recipients’ performance on government-funded infrastructure projects, capturing elements of whether the project was delivered to the required standards, on time and on budget.</w:t>
            </w:r>
          </w:p>
          <w:p w14:paraId="23D29D49" w14:textId="77777777" w:rsidR="00687069" w:rsidRDefault="00687069" w:rsidP="00687069"/>
        </w:tc>
      </w:tr>
    </w:tbl>
    <w:p w14:paraId="37A5F446" w14:textId="77777777" w:rsidR="00F47674" w:rsidRDefault="00F47674"/>
    <w:p w14:paraId="7498EE87" w14:textId="4C39FCAD" w:rsidR="00384845" w:rsidRPr="001B207A" w:rsidRDefault="009E5A84">
      <w:pPr>
        <w:rPr>
          <w:b/>
        </w:rPr>
      </w:pPr>
      <w:r w:rsidRPr="001B207A">
        <w:rPr>
          <w:b/>
        </w:rPr>
        <w:t>Noted.</w:t>
      </w:r>
    </w:p>
    <w:p w14:paraId="4374BD62" w14:textId="1106B362" w:rsidR="00747230" w:rsidRDefault="6C3D8D92" w:rsidP="00376EA8">
      <w:r>
        <w:t>The Australian Government monitors state, territory and local government delivery of infrastructure projects that receive Commonwealth funding</w:t>
      </w:r>
      <w:r w:rsidR="00354674">
        <w:t xml:space="preserve"> through </w:t>
      </w:r>
      <w:r w:rsidR="00066C91">
        <w:t xml:space="preserve">required reporting against milestone payments </w:t>
      </w:r>
      <w:r w:rsidR="002708AF">
        <w:t>under</w:t>
      </w:r>
      <w:r w:rsidR="00066C91">
        <w:t xml:space="preserve"> funding agreements</w:t>
      </w:r>
      <w:r>
        <w:t xml:space="preserve">. The </w:t>
      </w:r>
      <w:r w:rsidR="009A485A">
        <w:t xml:space="preserve">Australian </w:t>
      </w:r>
      <w:r>
        <w:t xml:space="preserve">Government is </w:t>
      </w:r>
      <w:r w:rsidR="00EF0B61">
        <w:t xml:space="preserve">also </w:t>
      </w:r>
      <w:r>
        <w:t xml:space="preserve">working with state and territory governments through the forums noted </w:t>
      </w:r>
      <w:r w:rsidR="0077582E">
        <w:t>at</w:t>
      </w:r>
      <w:r>
        <w:t xml:space="preserve"> Recommendation 1</w:t>
      </w:r>
      <w:r w:rsidR="0077582E">
        <w:t>.</w:t>
      </w:r>
      <w:r>
        <w:t xml:space="preserve"> </w:t>
      </w:r>
    </w:p>
    <w:p w14:paraId="1BEC68CC" w14:textId="2A5E2B2A" w:rsidR="009E5A84" w:rsidRDefault="6C3D8D92" w:rsidP="00376EA8">
      <w:r>
        <w:t>Any further</w:t>
      </w:r>
      <w:r w:rsidR="00747230">
        <w:t xml:space="preserve"> formal</w:t>
      </w:r>
      <w:r>
        <w:t xml:space="preserve"> </w:t>
      </w:r>
      <w:r w:rsidR="0077582E">
        <w:t xml:space="preserve">rating </w:t>
      </w:r>
      <w:r>
        <w:t>mechanisms w</w:t>
      </w:r>
      <w:r w:rsidR="0093519D">
        <w:t xml:space="preserve">ould </w:t>
      </w:r>
      <w:r w:rsidR="00747230">
        <w:t xml:space="preserve">need </w:t>
      </w:r>
      <w:r w:rsidR="0093519D">
        <w:t xml:space="preserve">careful consideration of the risks and </w:t>
      </w:r>
      <w:r>
        <w:t>be developed and established in consultation with state and territory governments, local governments</w:t>
      </w:r>
      <w:r w:rsidR="0033722A" w:rsidRPr="0033722A">
        <w:t xml:space="preserve"> and</w:t>
      </w:r>
      <w:r w:rsidR="00E22DF0">
        <w:t>,</w:t>
      </w:r>
      <w:r w:rsidR="0033722A" w:rsidRPr="0033722A">
        <w:t xml:space="preserve"> where </w:t>
      </w:r>
      <w:r w:rsidR="0093519D">
        <w:t>appropriate</w:t>
      </w:r>
      <w:r w:rsidR="00E22DF0">
        <w:t>,</w:t>
      </w:r>
      <w:r w:rsidR="0033722A" w:rsidRPr="0033722A">
        <w:t xml:space="preserve"> with</w:t>
      </w:r>
      <w:r w:rsidR="0033722A">
        <w:t xml:space="preserve"> industry</w:t>
      </w:r>
      <w:r>
        <w:t>.</w:t>
      </w:r>
    </w:p>
    <w:p w14:paraId="656BFC94" w14:textId="77777777" w:rsidR="00DF416D" w:rsidRDefault="00DF416D">
      <w:r>
        <w:br w:type="page"/>
      </w:r>
    </w:p>
    <w:p w14:paraId="46A9C97A" w14:textId="6A140958" w:rsidR="00687069" w:rsidRDefault="00DF416D" w:rsidP="00DF416D">
      <w:pPr>
        <w:pStyle w:val="Heading1"/>
      </w:pPr>
      <w:bookmarkStart w:id="31" w:name="_Toc113354466"/>
      <w:bookmarkStart w:id="32" w:name="_Toc116570822"/>
      <w:r>
        <w:lastRenderedPageBreak/>
        <w:t>Recommendation 4</w:t>
      </w:r>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25FD07BA" w14:textId="77777777" w:rsidTr="007E7606">
        <w:trPr>
          <w:trHeight w:val="567"/>
        </w:trPr>
        <w:tc>
          <w:tcPr>
            <w:tcW w:w="1134" w:type="dxa"/>
            <w:shd w:val="clear" w:color="auto" w:fill="1F3864"/>
            <w:vAlign w:val="center"/>
          </w:tcPr>
          <w:p w14:paraId="7AA3304C" w14:textId="77777777" w:rsidR="00687069" w:rsidRDefault="00687069" w:rsidP="00146A46">
            <w:r>
              <w:t>Number</w:t>
            </w:r>
          </w:p>
        </w:tc>
        <w:tc>
          <w:tcPr>
            <w:tcW w:w="7882" w:type="dxa"/>
            <w:shd w:val="clear" w:color="auto" w:fill="1F3864"/>
            <w:vAlign w:val="center"/>
          </w:tcPr>
          <w:p w14:paraId="6180D1C9" w14:textId="77777777" w:rsidR="00687069" w:rsidRDefault="00687069" w:rsidP="00146A46">
            <w:r>
              <w:t>Recommendation</w:t>
            </w:r>
          </w:p>
        </w:tc>
      </w:tr>
      <w:tr w:rsidR="00687069" w14:paraId="6B83D0BF" w14:textId="77777777" w:rsidTr="007E7606">
        <w:tc>
          <w:tcPr>
            <w:tcW w:w="1134" w:type="dxa"/>
            <w:tcBorders>
              <w:bottom w:val="single" w:sz="4" w:space="0" w:color="auto"/>
            </w:tcBorders>
          </w:tcPr>
          <w:p w14:paraId="771E4023" w14:textId="77777777" w:rsidR="00687069" w:rsidRDefault="00687069" w:rsidP="00146A46">
            <w:r>
              <w:t>4</w:t>
            </w:r>
          </w:p>
        </w:tc>
        <w:tc>
          <w:tcPr>
            <w:tcW w:w="7882" w:type="dxa"/>
            <w:tcBorders>
              <w:bottom w:val="single" w:sz="4" w:space="0" w:color="auto"/>
            </w:tcBorders>
          </w:tcPr>
          <w:p w14:paraId="5E8F6930" w14:textId="77777777" w:rsidR="005C69A0" w:rsidRDefault="005C69A0" w:rsidP="00146A46">
            <w:r w:rsidRPr="005C69A0">
              <w:t xml:space="preserve">The committee recommends that state, territory and local government infrastructure projects that receive Australian Government funding should be subject to verification of value for money by the Australian Government or a specified entity. </w:t>
            </w:r>
          </w:p>
          <w:p w14:paraId="3EC3349F" w14:textId="77777777" w:rsidR="005C69A0" w:rsidRDefault="005C69A0" w:rsidP="00146A46"/>
          <w:p w14:paraId="61C69DF6" w14:textId="77777777" w:rsidR="00687069" w:rsidRDefault="005C69A0" w:rsidP="00146A46">
            <w:r w:rsidRPr="005C69A0">
              <w:t>To support this, the Australian Government should establish a mechanism for assessing state, territory and local governments’ plans and performance for proposed and delivered infrastructure projects using Australian Government funds, capturing elements of project delivery to the required standards, on time and on budget.</w:t>
            </w:r>
          </w:p>
          <w:p w14:paraId="1BA6DD48" w14:textId="77777777" w:rsidR="005C69A0" w:rsidRDefault="005C69A0" w:rsidP="00146A46"/>
        </w:tc>
      </w:tr>
    </w:tbl>
    <w:p w14:paraId="3AEC1511" w14:textId="77777777" w:rsidR="00F47674" w:rsidRDefault="00F47674"/>
    <w:p w14:paraId="0DF0F363" w14:textId="0553CB44" w:rsidR="00687069" w:rsidRDefault="009E5A84">
      <w:r w:rsidRPr="001B207A">
        <w:rPr>
          <w:b/>
        </w:rPr>
        <w:t>Noted.</w:t>
      </w:r>
    </w:p>
    <w:p w14:paraId="21889190" w14:textId="62AA2043" w:rsidR="00D76592" w:rsidRDefault="6C3D8D92">
      <w:r>
        <w:t xml:space="preserve">The Australian Government works with </w:t>
      </w:r>
      <w:r w:rsidR="00D81645" w:rsidRPr="00D81645">
        <w:t>state, territory and local government</w:t>
      </w:r>
      <w:r>
        <w:t>s to ensure optimal management of projects which receive Australian Government funding</w:t>
      </w:r>
      <w:r w:rsidR="00D76592">
        <w:t>, and there is a recognised mutual understanding that all parties have an interest in improving outcomes in infrastructure and need to work together to achieve those outcomes.</w:t>
      </w:r>
    </w:p>
    <w:p w14:paraId="3619DDE6" w14:textId="5E0E4D0D" w:rsidR="00677BE1" w:rsidRDefault="00D76592" w:rsidP="00D76592">
      <w:r>
        <w:t xml:space="preserve">To deliver these outcomes, the </w:t>
      </w:r>
      <w:r w:rsidR="00D81645">
        <w:t>Australian</w:t>
      </w:r>
      <w:r>
        <w:t xml:space="preserve"> Government and </w:t>
      </w:r>
      <w:r w:rsidR="00D81645">
        <w:t>s</w:t>
      </w:r>
      <w:r>
        <w:t xml:space="preserve">tate and </w:t>
      </w:r>
      <w:r w:rsidR="00D81645">
        <w:t>t</w:t>
      </w:r>
      <w:r>
        <w:t xml:space="preserve">erritory </w:t>
      </w:r>
      <w:r w:rsidR="00D81645">
        <w:t>g</w:t>
      </w:r>
      <w:r>
        <w:t>overnments have agreed to a National Partnership Agreement on Land Transport Infrastructure</w:t>
      </w:r>
      <w:r w:rsidR="00D81645">
        <w:t xml:space="preserve"> Projects</w:t>
      </w:r>
      <w:r>
        <w:t xml:space="preserve"> (NPA). The</w:t>
      </w:r>
      <w:r w:rsidR="003644C2">
        <w:t xml:space="preserve"> </w:t>
      </w:r>
      <w:r>
        <w:t>NPA, and various supporting governance documents</w:t>
      </w:r>
      <w:r w:rsidR="00D81645">
        <w:t>,</w:t>
      </w:r>
      <w:r>
        <w:t xml:space="preserve"> such as the Notes on Administration, set out the necessary administrative arrangements for the delivery of projects under the I</w:t>
      </w:r>
      <w:r w:rsidR="008E7A7B">
        <w:t xml:space="preserve">nfrastructure </w:t>
      </w:r>
      <w:r>
        <w:t>I</w:t>
      </w:r>
      <w:r w:rsidR="008E7A7B">
        <w:t xml:space="preserve">nvestment </w:t>
      </w:r>
      <w:r>
        <w:t>P</w:t>
      </w:r>
      <w:r w:rsidR="008E7A7B">
        <w:t>rogram</w:t>
      </w:r>
      <w:r w:rsidR="004632EC">
        <w:t xml:space="preserve"> (IIP)</w:t>
      </w:r>
      <w:r>
        <w:t>. The NPA includes a section setting out Performance Monitoring and Reporting obligations (Part 4).</w:t>
      </w:r>
    </w:p>
    <w:p w14:paraId="42418B7B" w14:textId="08BB7500" w:rsidR="00C4488B" w:rsidRDefault="00A36CB4" w:rsidP="00376EA8">
      <w:r>
        <w:t>W</w:t>
      </w:r>
      <w:r w:rsidR="00677BE1">
        <w:t xml:space="preserve">hen </w:t>
      </w:r>
      <w:r w:rsidR="6C3D8D92">
        <w:t xml:space="preserve">a </w:t>
      </w:r>
      <w:r w:rsidR="0077582E">
        <w:t xml:space="preserve">proponent </w:t>
      </w:r>
      <w:r w:rsidR="6C3D8D92">
        <w:t xml:space="preserve">seeks Australian </w:t>
      </w:r>
      <w:r w:rsidR="0077582E">
        <w:t>G</w:t>
      </w:r>
      <w:r w:rsidR="6C3D8D92">
        <w:t>overnment funding for a project, under the NPA</w:t>
      </w:r>
      <w:r w:rsidR="00A57422">
        <w:t>,</w:t>
      </w:r>
      <w:r w:rsidR="0077582E">
        <w:t xml:space="preserve"> it must</w:t>
      </w:r>
      <w:r w:rsidR="6C3D8D92">
        <w:t xml:space="preserve"> provide a Project Proposal Report (PPR)</w:t>
      </w:r>
      <w:r w:rsidR="007A17C0">
        <w:t xml:space="preserve"> to support decision making</w:t>
      </w:r>
      <w:r w:rsidR="6C3D8D92">
        <w:t xml:space="preserve">. </w:t>
      </w:r>
    </w:p>
    <w:p w14:paraId="045EAE0B" w14:textId="55FD11B3" w:rsidR="00C4488B" w:rsidRDefault="0077582E" w:rsidP="007E7606">
      <w:pPr>
        <w:pStyle w:val="ListParagraph"/>
        <w:numPr>
          <w:ilvl w:val="0"/>
          <w:numId w:val="39"/>
        </w:numPr>
        <w:contextualSpacing w:val="0"/>
      </w:pPr>
      <w:r>
        <w:t>The PPR contains</w:t>
      </w:r>
      <w:r w:rsidR="00677BE1">
        <w:t xml:space="preserve"> information such as project rationale/objectives, total outturn costs, a Benefit Cost Ratio, preferred procurement method, budget profiles, governance structures, information on financing and procurement, risk, sustainability, and stakeholder engagement plans.</w:t>
      </w:r>
    </w:p>
    <w:p w14:paraId="215243D1" w14:textId="7035F222" w:rsidR="00677BE1" w:rsidRDefault="00677BE1" w:rsidP="007E7606">
      <w:pPr>
        <w:pStyle w:val="ListParagraph"/>
        <w:numPr>
          <w:ilvl w:val="0"/>
          <w:numId w:val="39"/>
        </w:numPr>
        <w:contextualSpacing w:val="0"/>
      </w:pPr>
      <w:r>
        <w:t xml:space="preserve">Proponents seeking an Australian Government contribution of </w:t>
      </w:r>
      <w:r w:rsidRPr="00F77FEE">
        <w:t>greater than $7.5 million</w:t>
      </w:r>
      <w:r>
        <w:t xml:space="preserve"> must also provide</w:t>
      </w:r>
      <w:r w:rsidRPr="00F77FEE">
        <w:t xml:space="preserve"> </w:t>
      </w:r>
      <w:r>
        <w:t xml:space="preserve">an </w:t>
      </w:r>
      <w:r w:rsidRPr="00F77FEE">
        <w:t>Indigenous Participation Plan</w:t>
      </w:r>
      <w:r>
        <w:t xml:space="preserve">. </w:t>
      </w:r>
    </w:p>
    <w:p w14:paraId="5DD928B5" w14:textId="2978DC66" w:rsidR="00677BE1" w:rsidRDefault="0077582E" w:rsidP="007E7606">
      <w:pPr>
        <w:pStyle w:val="ListParagraph"/>
        <w:numPr>
          <w:ilvl w:val="0"/>
          <w:numId w:val="39"/>
        </w:numPr>
        <w:contextualSpacing w:val="0"/>
      </w:pPr>
      <w:r>
        <w:t>P</w:t>
      </w:r>
      <w:r w:rsidR="00677BE1">
        <w:t>rojects seeking an</w:t>
      </w:r>
      <w:r w:rsidR="00677BE1" w:rsidRPr="00F77FEE">
        <w:t xml:space="preserve"> </w:t>
      </w:r>
      <w:r w:rsidR="00677BE1">
        <w:t xml:space="preserve">Australian Government contribution of </w:t>
      </w:r>
      <w:r w:rsidR="00677BE1" w:rsidRPr="00F77FEE">
        <w:t>greater than $</w:t>
      </w:r>
      <w:r w:rsidR="00677BE1">
        <w:t>20</w:t>
      </w:r>
      <w:r w:rsidR="00677BE1" w:rsidRPr="00F77FEE">
        <w:t xml:space="preserve"> million</w:t>
      </w:r>
      <w:r w:rsidR="00677BE1">
        <w:t xml:space="preserve"> must also provide an AIP</w:t>
      </w:r>
      <w:r w:rsidR="00A57422">
        <w:t xml:space="preserve"> plan</w:t>
      </w:r>
      <w:r w:rsidR="00677BE1">
        <w:t>.</w:t>
      </w:r>
    </w:p>
    <w:p w14:paraId="746E05C9" w14:textId="03E6A0DE" w:rsidR="0077582E" w:rsidRDefault="0077582E" w:rsidP="007E7606">
      <w:pPr>
        <w:pStyle w:val="ListParagraph"/>
        <w:numPr>
          <w:ilvl w:val="0"/>
          <w:numId w:val="39"/>
        </w:numPr>
        <w:contextualSpacing w:val="0"/>
      </w:pPr>
      <w:r>
        <w:t>I</w:t>
      </w:r>
      <w:r w:rsidR="00ED3D5D">
        <w:t xml:space="preserve">nfrastructure </w:t>
      </w:r>
      <w:r>
        <w:t>A</w:t>
      </w:r>
      <w:r w:rsidR="00ED3D5D">
        <w:t>ustralia</w:t>
      </w:r>
      <w:r>
        <w:t xml:space="preserve"> </w:t>
      </w:r>
      <w:r w:rsidR="00A57422">
        <w:t>is</w:t>
      </w:r>
      <w:r>
        <w:t xml:space="preserve"> required to assess the business case for projects seeking </w:t>
      </w:r>
      <w:r w:rsidRPr="00A36CB4">
        <w:t>more than $250</w:t>
      </w:r>
      <w:r>
        <w:t> </w:t>
      </w:r>
      <w:r w:rsidRPr="00A36CB4">
        <w:t>million in Australian Government funding</w:t>
      </w:r>
      <w:r>
        <w:t xml:space="preserve">. </w:t>
      </w:r>
    </w:p>
    <w:p w14:paraId="3C336634" w14:textId="573D0451" w:rsidR="00DF416D" w:rsidRDefault="0077582E">
      <w:r>
        <w:t xml:space="preserve">The Department of </w:t>
      </w:r>
      <w:r w:rsidRPr="0077582E">
        <w:t>Infrastructure, Transport, Regional Development, Communications and the Arts</w:t>
      </w:r>
      <w:r w:rsidR="00A36CB4">
        <w:t xml:space="preserve"> </w:t>
      </w:r>
      <w:r>
        <w:t>assess</w:t>
      </w:r>
      <w:r w:rsidR="00A57422">
        <w:t>es</w:t>
      </w:r>
      <w:r>
        <w:t xml:space="preserve"> the PPR and </w:t>
      </w:r>
      <w:r w:rsidR="00A36CB4">
        <w:t>provide</w:t>
      </w:r>
      <w:r w:rsidR="00E22DF0">
        <w:t>s</w:t>
      </w:r>
      <w:r w:rsidR="00A36CB4">
        <w:t xml:space="preserve"> advice to the </w:t>
      </w:r>
      <w:r>
        <w:t xml:space="preserve">responsible </w:t>
      </w:r>
      <w:r w:rsidR="00A36CB4">
        <w:t xml:space="preserve">Minister. </w:t>
      </w:r>
      <w:r>
        <w:t>M</w:t>
      </w:r>
      <w:r w:rsidR="00941D1D">
        <w:t xml:space="preserve">ilestone payments </w:t>
      </w:r>
      <w:r>
        <w:t>for projects under the IIP are also required to meet specific criteria and</w:t>
      </w:r>
      <w:r w:rsidR="00677BE1">
        <w:t xml:space="preserve"> are assessed against information provided by the proponent, and against the PPR.</w:t>
      </w:r>
      <w:r w:rsidR="00871E9C">
        <w:t xml:space="preserve"> </w:t>
      </w:r>
      <w:r w:rsidR="00A57422">
        <w:t>Project proponent</w:t>
      </w:r>
      <w:r w:rsidR="00941D1D">
        <w:t>s are</w:t>
      </w:r>
      <w:r w:rsidR="000F757A">
        <w:t xml:space="preserve"> </w:t>
      </w:r>
      <w:r w:rsidR="00941D1D">
        <w:t>also</w:t>
      </w:r>
      <w:r w:rsidR="000F757A">
        <w:t xml:space="preserve"> required </w:t>
      </w:r>
      <w:r w:rsidR="006C79A3">
        <w:t>to provide a P</w:t>
      </w:r>
      <w:r w:rsidR="00A379EF">
        <w:t>roject Completion Report</w:t>
      </w:r>
      <w:r w:rsidR="00941D1D">
        <w:t xml:space="preserve"> as part of </w:t>
      </w:r>
      <w:r w:rsidR="008446C7">
        <w:t>their final</w:t>
      </w:r>
      <w:r w:rsidR="00941D1D">
        <w:t xml:space="preserve"> milestone claim. </w:t>
      </w:r>
      <w:r w:rsidR="00C4488B">
        <w:t>This report requires the project proponent to provide advice on results against Indigenous Participation Targets, as well as on performance against cost, time and schedule</w:t>
      </w:r>
      <w:r w:rsidR="00941D1D">
        <w:t xml:space="preserve"> more generally</w:t>
      </w:r>
      <w:r w:rsidR="00C4488B">
        <w:t xml:space="preserve">. </w:t>
      </w:r>
      <w:r w:rsidR="00687069">
        <w:br w:type="page"/>
      </w:r>
    </w:p>
    <w:p w14:paraId="1D45C224" w14:textId="0C76370C" w:rsidR="00687069" w:rsidRDefault="00DF416D" w:rsidP="00DF416D">
      <w:pPr>
        <w:pStyle w:val="Heading1"/>
      </w:pPr>
      <w:bookmarkStart w:id="33" w:name="_Toc113354467"/>
      <w:bookmarkStart w:id="34" w:name="_Toc116570823"/>
      <w:r>
        <w:lastRenderedPageBreak/>
        <w:t>Recommendation 5</w:t>
      </w:r>
      <w:bookmarkEnd w:id="33"/>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146CF2FD" w14:textId="77777777" w:rsidTr="007E7606">
        <w:trPr>
          <w:trHeight w:val="567"/>
        </w:trPr>
        <w:tc>
          <w:tcPr>
            <w:tcW w:w="1134" w:type="dxa"/>
            <w:shd w:val="clear" w:color="auto" w:fill="1F3864"/>
            <w:vAlign w:val="center"/>
          </w:tcPr>
          <w:p w14:paraId="1AE4BEDF" w14:textId="77777777" w:rsidR="00687069" w:rsidRDefault="00687069" w:rsidP="00146A46">
            <w:r>
              <w:t>Number</w:t>
            </w:r>
          </w:p>
        </w:tc>
        <w:tc>
          <w:tcPr>
            <w:tcW w:w="7882" w:type="dxa"/>
            <w:shd w:val="clear" w:color="auto" w:fill="1F3864"/>
            <w:vAlign w:val="center"/>
          </w:tcPr>
          <w:p w14:paraId="547B2CA7" w14:textId="77777777" w:rsidR="00687069" w:rsidRDefault="00687069" w:rsidP="00146A46">
            <w:r>
              <w:t>Recommendation</w:t>
            </w:r>
          </w:p>
        </w:tc>
      </w:tr>
      <w:tr w:rsidR="00687069" w14:paraId="5FA90587" w14:textId="77777777" w:rsidTr="007E7606">
        <w:tc>
          <w:tcPr>
            <w:tcW w:w="1134" w:type="dxa"/>
            <w:tcBorders>
              <w:bottom w:val="single" w:sz="4" w:space="0" w:color="auto"/>
            </w:tcBorders>
          </w:tcPr>
          <w:p w14:paraId="32B2921A" w14:textId="77777777" w:rsidR="00687069" w:rsidRDefault="00687069" w:rsidP="00146A46">
            <w:r>
              <w:t>5</w:t>
            </w:r>
          </w:p>
        </w:tc>
        <w:tc>
          <w:tcPr>
            <w:tcW w:w="7882" w:type="dxa"/>
            <w:tcBorders>
              <w:bottom w:val="single" w:sz="4" w:space="0" w:color="auto"/>
            </w:tcBorders>
          </w:tcPr>
          <w:p w14:paraId="079BC026" w14:textId="77777777" w:rsidR="00AC0C13" w:rsidRDefault="00687069" w:rsidP="00146A46">
            <w:r w:rsidRPr="00687069">
              <w:t>To improve planning, procurement and delivery efficiencies for infrastructure projects, the committee recommends the Australian Government, in consultation with state, territory and local governments, explores opportunities for standardisation on like projects</w:t>
            </w:r>
            <w:r w:rsidR="00AC0C13">
              <w:t>.</w:t>
            </w:r>
          </w:p>
          <w:p w14:paraId="7D2716F7" w14:textId="77777777" w:rsidR="00AC0C13" w:rsidRDefault="00AC0C13" w:rsidP="00146A46"/>
        </w:tc>
      </w:tr>
    </w:tbl>
    <w:p w14:paraId="7245F95C" w14:textId="77777777" w:rsidR="00AC0C13" w:rsidRDefault="00AC0C13"/>
    <w:p w14:paraId="017C3F27" w14:textId="5F74DFE6" w:rsidR="00687069" w:rsidRDefault="6C3D8D92" w:rsidP="6C3D8D92">
      <w:pPr>
        <w:rPr>
          <w:b/>
          <w:bCs/>
        </w:rPr>
      </w:pPr>
      <w:r w:rsidRPr="6C3D8D92">
        <w:rPr>
          <w:b/>
          <w:bCs/>
        </w:rPr>
        <w:t>Support-in-principle.</w:t>
      </w:r>
    </w:p>
    <w:p w14:paraId="168F710B" w14:textId="57996935" w:rsidR="00102F54" w:rsidRDefault="00102F54" w:rsidP="00376EA8">
      <w:r>
        <w:t xml:space="preserve">The </w:t>
      </w:r>
      <w:r w:rsidR="00AA4A45">
        <w:t>Australian</w:t>
      </w:r>
      <w:r>
        <w:t xml:space="preserve"> Government has committed to a significant procurement reform program under the </w:t>
      </w:r>
      <w:r w:rsidRPr="001B207A">
        <w:rPr>
          <w:i/>
        </w:rPr>
        <w:t>Buy Australian Plan</w:t>
      </w:r>
      <w:r w:rsidR="007908BE">
        <w:t>, which includes exploring opportunities for standardisation. T</w:t>
      </w:r>
      <w:r>
        <w:t xml:space="preserve">he Future Made in Australia Office </w:t>
      </w:r>
      <w:r w:rsidR="007908BE">
        <w:t>has</w:t>
      </w:r>
      <w:r>
        <w:t xml:space="preserve"> been tasked with enhancing multilateral engagement with states and territories on public sector procurement and contracting.</w:t>
      </w:r>
    </w:p>
    <w:p w14:paraId="7E5F91F5" w14:textId="2CC4AC74" w:rsidR="003C6197" w:rsidRDefault="6C3D8D92" w:rsidP="00376EA8">
      <w:r>
        <w:t xml:space="preserve">Progress has </w:t>
      </w:r>
      <w:r w:rsidR="007908BE">
        <w:t>also</w:t>
      </w:r>
      <w:r>
        <w:t xml:space="preserve"> been made toward</w:t>
      </w:r>
      <w:r w:rsidR="00FE2D06">
        <w:t>s</w:t>
      </w:r>
      <w:r>
        <w:t xml:space="preserve"> harmonising construction contractual documents and implementing standardised contracts within some jurisdictions, with the lessons learn</w:t>
      </w:r>
      <w:r w:rsidR="00357BB0">
        <w:t>t</w:t>
      </w:r>
      <w:r>
        <w:t xml:space="preserve"> shared through the forums noted in the response to Recommendation 1. </w:t>
      </w:r>
    </w:p>
    <w:p w14:paraId="2CAB8E08" w14:textId="035BA715" w:rsidR="00BC7EC5" w:rsidRPr="009641CF" w:rsidRDefault="00BC7EC5" w:rsidP="00BC7EC5">
      <w:pPr>
        <w:spacing w:line="240" w:lineRule="auto"/>
        <w:textAlignment w:val="center"/>
        <w:rPr>
          <w:rFonts w:ascii="Calibri" w:eastAsia="Times New Roman" w:hAnsi="Calibri" w:cs="Calibri"/>
          <w:color w:val="000000"/>
          <w:lang w:val="en-US" w:eastAsia="en-AU"/>
        </w:rPr>
      </w:pPr>
      <w:r w:rsidRPr="009641CF">
        <w:rPr>
          <w:rFonts w:ascii="Calibri" w:eastAsia="Times New Roman" w:hAnsi="Calibri" w:cs="Calibri"/>
          <w:color w:val="000000"/>
          <w:lang w:val="en-US" w:eastAsia="en-AU"/>
        </w:rPr>
        <w:t>Through the</w:t>
      </w:r>
      <w:r w:rsidR="0077582E">
        <w:rPr>
          <w:rFonts w:ascii="Calibri" w:eastAsia="Times New Roman" w:hAnsi="Calibri" w:cs="Calibri"/>
          <w:color w:val="000000"/>
          <w:lang w:val="en-US" w:eastAsia="en-AU"/>
        </w:rPr>
        <w:t xml:space="preserve"> I</w:t>
      </w:r>
      <w:r w:rsidR="008E7A7B">
        <w:rPr>
          <w:rFonts w:ascii="Calibri" w:eastAsia="Times New Roman" w:hAnsi="Calibri" w:cs="Calibri"/>
          <w:color w:val="000000"/>
          <w:lang w:val="en-US" w:eastAsia="en-AU"/>
        </w:rPr>
        <w:t xml:space="preserve">nfrastructure </w:t>
      </w:r>
      <w:r w:rsidR="0077582E">
        <w:rPr>
          <w:rFonts w:ascii="Calibri" w:eastAsia="Times New Roman" w:hAnsi="Calibri" w:cs="Calibri"/>
          <w:color w:val="000000"/>
          <w:lang w:val="en-US" w:eastAsia="en-AU"/>
        </w:rPr>
        <w:t>I</w:t>
      </w:r>
      <w:r w:rsidR="008E7A7B">
        <w:rPr>
          <w:rFonts w:ascii="Calibri" w:eastAsia="Times New Roman" w:hAnsi="Calibri" w:cs="Calibri"/>
          <w:color w:val="000000"/>
          <w:lang w:val="en-US" w:eastAsia="en-AU"/>
        </w:rPr>
        <w:t xml:space="preserve">nvestment </w:t>
      </w:r>
      <w:r w:rsidR="0077582E">
        <w:rPr>
          <w:rFonts w:ascii="Calibri" w:eastAsia="Times New Roman" w:hAnsi="Calibri" w:cs="Calibri"/>
          <w:color w:val="000000"/>
          <w:lang w:val="en-US" w:eastAsia="en-AU"/>
        </w:rPr>
        <w:t>P</w:t>
      </w:r>
      <w:r w:rsidR="008E7A7B">
        <w:rPr>
          <w:rFonts w:ascii="Calibri" w:eastAsia="Times New Roman" w:hAnsi="Calibri" w:cs="Calibri"/>
          <w:color w:val="000000"/>
          <w:lang w:val="en-US" w:eastAsia="en-AU"/>
        </w:rPr>
        <w:t>rogram</w:t>
      </w:r>
      <w:r w:rsidRPr="009641CF">
        <w:rPr>
          <w:rFonts w:ascii="Calibri" w:eastAsia="Times New Roman" w:hAnsi="Calibri" w:cs="Calibri"/>
          <w:color w:val="000000"/>
          <w:lang w:val="en-US" w:eastAsia="en-AU"/>
        </w:rPr>
        <w:t xml:space="preserve">, the </w:t>
      </w:r>
      <w:r>
        <w:rPr>
          <w:rFonts w:ascii="Calibri" w:eastAsia="Times New Roman" w:hAnsi="Calibri" w:cs="Calibri"/>
          <w:color w:val="000000"/>
          <w:lang w:val="en-US" w:eastAsia="en-AU"/>
        </w:rPr>
        <w:t xml:space="preserve">Government </w:t>
      </w:r>
      <w:r w:rsidRPr="009641CF">
        <w:rPr>
          <w:rFonts w:ascii="Calibri" w:eastAsia="Times New Roman" w:hAnsi="Calibri" w:cs="Calibri"/>
          <w:color w:val="000000"/>
          <w:lang w:val="en-US" w:eastAsia="en-AU"/>
        </w:rPr>
        <w:t xml:space="preserve">is funding projects that demonstrate collaborative contracting arrangements, early contractor engagement and a smoother delivery </w:t>
      </w:r>
      <w:r w:rsidR="0077582E" w:rsidRPr="009641CF">
        <w:rPr>
          <w:rFonts w:ascii="Calibri" w:eastAsia="Times New Roman" w:hAnsi="Calibri" w:cs="Calibri"/>
          <w:color w:val="000000"/>
          <w:lang w:val="en-US" w:eastAsia="en-AU"/>
        </w:rPr>
        <w:t>process</w:t>
      </w:r>
      <w:r w:rsidRPr="009641CF">
        <w:rPr>
          <w:rFonts w:ascii="Calibri" w:eastAsia="Times New Roman" w:hAnsi="Calibri" w:cs="Calibri"/>
          <w:color w:val="000000"/>
          <w:lang w:val="en-US" w:eastAsia="en-AU"/>
        </w:rPr>
        <w:t xml:space="preserve">. For example:  </w:t>
      </w:r>
    </w:p>
    <w:p w14:paraId="4C748DEA" w14:textId="2A92876E" w:rsidR="00BC7EC5" w:rsidRPr="007E7606" w:rsidRDefault="00BC7EC5" w:rsidP="007E7606">
      <w:pPr>
        <w:pStyle w:val="ListParagraph"/>
        <w:numPr>
          <w:ilvl w:val="0"/>
          <w:numId w:val="39"/>
        </w:numPr>
        <w:contextualSpacing w:val="0"/>
      </w:pPr>
      <w:r w:rsidRPr="009641CF">
        <w:rPr>
          <w:rFonts w:ascii="Calibri" w:eastAsia="Times New Roman" w:hAnsi="Calibri" w:cs="Calibri"/>
          <w:b/>
          <w:bCs/>
          <w:lang w:eastAsia="en-AU"/>
        </w:rPr>
        <w:t>Alliance contracting</w:t>
      </w:r>
      <w:r w:rsidR="00FE2D06">
        <w:rPr>
          <w:rFonts w:ascii="Calibri" w:eastAsia="Times New Roman" w:hAnsi="Calibri" w:cs="Calibri"/>
          <w:lang w:eastAsia="en-AU"/>
        </w:rPr>
        <w:t>:</w:t>
      </w:r>
      <w:r w:rsidRPr="009641CF">
        <w:rPr>
          <w:rFonts w:ascii="Calibri" w:eastAsia="Times New Roman" w:hAnsi="Calibri" w:cs="Calibri"/>
          <w:lang w:eastAsia="en-AU"/>
        </w:rPr>
        <w:t xml:space="preserve"> government clients work collaboratively with private suppliers to deliver a project. Risks of project delivery are often jointly managed by the parties, </w:t>
      </w:r>
      <w:r w:rsidRPr="007E7606">
        <w:t>although financial exposure lies mostly with the government client.</w:t>
      </w:r>
    </w:p>
    <w:p w14:paraId="2E752F03" w14:textId="6CC2278A" w:rsidR="00BC7EC5" w:rsidRPr="007E7606" w:rsidRDefault="00BC7EC5" w:rsidP="007E7606">
      <w:pPr>
        <w:pStyle w:val="ListParagraph"/>
        <w:numPr>
          <w:ilvl w:val="0"/>
          <w:numId w:val="39"/>
        </w:numPr>
        <w:contextualSpacing w:val="0"/>
      </w:pPr>
      <w:r w:rsidRPr="007E7606">
        <w:rPr>
          <w:b/>
        </w:rPr>
        <w:t>Public-Private Partnerships</w:t>
      </w:r>
      <w:r w:rsidR="00FE2D06">
        <w:t>:</w:t>
      </w:r>
      <w:r w:rsidRPr="007E7606">
        <w:t xml:space="preserve"> a service contract between the public and private sectors where the Australian Government pays the private sector (typically a consortium) to deliver infrastructure and related services over the long term. The private provider will build the facility and operate or maintain it to specified standards over a long period. The private provider usually finances the project.</w:t>
      </w:r>
    </w:p>
    <w:p w14:paraId="60995A3C" w14:textId="3E7B2067" w:rsidR="00BC7EC5" w:rsidRPr="009641CF" w:rsidRDefault="00BC7EC5" w:rsidP="007E7606">
      <w:pPr>
        <w:pStyle w:val="ListParagraph"/>
        <w:numPr>
          <w:ilvl w:val="0"/>
          <w:numId w:val="39"/>
        </w:numPr>
        <w:contextualSpacing w:val="0"/>
        <w:rPr>
          <w:rFonts w:ascii="Calibri" w:eastAsia="Times New Roman" w:hAnsi="Calibri" w:cs="Calibri"/>
          <w:lang w:eastAsia="en-AU"/>
        </w:rPr>
      </w:pPr>
      <w:r w:rsidRPr="007E7606">
        <w:rPr>
          <w:b/>
        </w:rPr>
        <w:t>Government packaging</w:t>
      </w:r>
      <w:r w:rsidRPr="007E7606">
        <w:t xml:space="preserve"> of works into smaller scopes</w:t>
      </w:r>
      <w:r w:rsidR="008F7660">
        <w:t>,</w:t>
      </w:r>
      <w:r w:rsidRPr="007E7606">
        <w:t xml:space="preserve"> package sizes and risk profiles that lower</w:t>
      </w:r>
      <w:r w:rsidRPr="009641CF">
        <w:rPr>
          <w:rFonts w:ascii="Calibri" w:eastAsia="Times New Roman" w:hAnsi="Calibri" w:cs="Calibri"/>
          <w:lang w:eastAsia="en-AU"/>
        </w:rPr>
        <w:t xml:space="preserve">-tiered contractors are more capable of managing, increasing participation. </w:t>
      </w:r>
    </w:p>
    <w:p w14:paraId="6F2395BE" w14:textId="7739BA77" w:rsidR="00605AD0" w:rsidRDefault="00BC7EC5" w:rsidP="00376EA8">
      <w:r w:rsidRPr="007E7606">
        <w:t>Governments are driving systemic change through procurement practices</w:t>
      </w:r>
      <w:r w:rsidR="00605AD0">
        <w:t>,</w:t>
      </w:r>
      <w:r w:rsidRPr="007E7606">
        <w:t xml:space="preserve"> opting for more collaborative engagements</w:t>
      </w:r>
      <w:r w:rsidR="00605AD0">
        <w:t xml:space="preserve"> and</w:t>
      </w:r>
      <w:r w:rsidRPr="007E7606">
        <w:t xml:space="preserve"> reducing the use of tendering practices that lead to adversarial relationships. </w:t>
      </w:r>
      <w:r w:rsidR="6C3D8D92">
        <w:t>However</w:t>
      </w:r>
      <w:r w:rsidR="00605AD0">
        <w:t>,</w:t>
      </w:r>
      <w:r w:rsidR="004227F5">
        <w:t xml:space="preserve"> </w:t>
      </w:r>
      <w:r w:rsidR="6C3D8D92">
        <w:t>state</w:t>
      </w:r>
      <w:r w:rsidR="004227F5">
        <w:t xml:space="preserve">, </w:t>
      </w:r>
      <w:r w:rsidR="6C3D8D92">
        <w:t xml:space="preserve">territory </w:t>
      </w:r>
      <w:r w:rsidR="004227F5">
        <w:t xml:space="preserve">and local </w:t>
      </w:r>
      <w:r w:rsidR="6C3D8D92">
        <w:t>government planning, procurement and delivery activities are governed by the</w:t>
      </w:r>
      <w:r w:rsidR="00605AD0">
        <w:t>ir respective</w:t>
      </w:r>
      <w:r w:rsidR="6C3D8D92">
        <w:t xml:space="preserve"> frameworks. </w:t>
      </w:r>
      <w:r w:rsidR="00605AD0">
        <w:t>Therefore</w:t>
      </w:r>
      <w:r w:rsidR="00FC6A77">
        <w:t>,</w:t>
      </w:r>
      <w:r w:rsidR="00605AD0">
        <w:t xml:space="preserve"> </w:t>
      </w:r>
      <w:r w:rsidR="004227F5">
        <w:t xml:space="preserve">further opportunities </w:t>
      </w:r>
      <w:r w:rsidR="003C6197">
        <w:t xml:space="preserve">for standardisation will need to be </w:t>
      </w:r>
      <w:r w:rsidR="004227F5">
        <w:t xml:space="preserve">pursued </w:t>
      </w:r>
      <w:r w:rsidR="003C6197">
        <w:t>in close consultation with state</w:t>
      </w:r>
      <w:r w:rsidR="004227F5">
        <w:t xml:space="preserve">, </w:t>
      </w:r>
      <w:r w:rsidR="003C6197">
        <w:t xml:space="preserve">territory, </w:t>
      </w:r>
      <w:r w:rsidR="004227F5">
        <w:t xml:space="preserve">and </w:t>
      </w:r>
      <w:r w:rsidR="003C6197">
        <w:t>local governments</w:t>
      </w:r>
      <w:r w:rsidR="003C6197" w:rsidRPr="0033722A">
        <w:t xml:space="preserve"> and</w:t>
      </w:r>
      <w:r w:rsidR="003C6197">
        <w:t>,</w:t>
      </w:r>
      <w:r w:rsidR="003C6197" w:rsidRPr="0033722A">
        <w:t xml:space="preserve"> where relevant</w:t>
      </w:r>
      <w:r w:rsidR="003C6197">
        <w:t xml:space="preserve">, </w:t>
      </w:r>
      <w:r w:rsidR="003C6197" w:rsidRPr="0033722A">
        <w:t>with</w:t>
      </w:r>
      <w:r w:rsidR="003C6197">
        <w:t xml:space="preserve"> industry.</w:t>
      </w:r>
      <w:r w:rsidR="004227F5">
        <w:t xml:space="preserve"> </w:t>
      </w:r>
    </w:p>
    <w:p w14:paraId="74FDDCFA" w14:textId="4AD72005" w:rsidR="007B4AE0" w:rsidRDefault="007B4AE0">
      <w:r>
        <w:br w:type="page"/>
      </w:r>
    </w:p>
    <w:p w14:paraId="3278441F" w14:textId="559A6B4B" w:rsidR="00687069" w:rsidRDefault="00DF416D" w:rsidP="00DF416D">
      <w:pPr>
        <w:pStyle w:val="Heading1"/>
      </w:pPr>
      <w:bookmarkStart w:id="35" w:name="_Toc113354468"/>
      <w:bookmarkStart w:id="36" w:name="_Toc116570824"/>
      <w:r>
        <w:lastRenderedPageBreak/>
        <w:t>Recommendation 6</w:t>
      </w:r>
      <w:bookmarkEnd w:id="35"/>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3F8836DE" w14:textId="77777777" w:rsidTr="007E7606">
        <w:trPr>
          <w:trHeight w:val="567"/>
        </w:trPr>
        <w:tc>
          <w:tcPr>
            <w:tcW w:w="1134" w:type="dxa"/>
            <w:shd w:val="clear" w:color="auto" w:fill="1F3864"/>
            <w:vAlign w:val="center"/>
          </w:tcPr>
          <w:p w14:paraId="5365706E" w14:textId="77777777" w:rsidR="00687069" w:rsidRDefault="00687069" w:rsidP="00146A46">
            <w:r>
              <w:t>Number</w:t>
            </w:r>
          </w:p>
        </w:tc>
        <w:tc>
          <w:tcPr>
            <w:tcW w:w="7882" w:type="dxa"/>
            <w:shd w:val="clear" w:color="auto" w:fill="1F3864"/>
            <w:vAlign w:val="center"/>
          </w:tcPr>
          <w:p w14:paraId="75971186" w14:textId="77777777" w:rsidR="00687069" w:rsidRDefault="00687069" w:rsidP="00146A46">
            <w:r>
              <w:t>Recommendation</w:t>
            </w:r>
          </w:p>
        </w:tc>
      </w:tr>
      <w:tr w:rsidR="00687069" w14:paraId="3558692B" w14:textId="77777777" w:rsidTr="007E7606">
        <w:tc>
          <w:tcPr>
            <w:tcW w:w="1134" w:type="dxa"/>
            <w:tcBorders>
              <w:bottom w:val="single" w:sz="4" w:space="0" w:color="auto"/>
            </w:tcBorders>
          </w:tcPr>
          <w:p w14:paraId="67ADBFC8" w14:textId="77777777" w:rsidR="00687069" w:rsidRDefault="00687069" w:rsidP="00146A46">
            <w:r>
              <w:t>6</w:t>
            </w:r>
          </w:p>
        </w:tc>
        <w:tc>
          <w:tcPr>
            <w:tcW w:w="7882" w:type="dxa"/>
            <w:tcBorders>
              <w:bottom w:val="single" w:sz="4" w:space="0" w:color="auto"/>
            </w:tcBorders>
          </w:tcPr>
          <w:p w14:paraId="0FA35365" w14:textId="77777777" w:rsidR="00AC0C13" w:rsidRDefault="00AC0C13" w:rsidP="00AC0C13">
            <w:pPr>
              <w:spacing w:before="120" w:after="120"/>
              <w:contextualSpacing/>
            </w:pPr>
            <w:r>
              <w:t>The committee sees increasing the access of tier two and three companies, and related Australian small and medium enterprises, to projects in the Australian infrastructure pipeline as key to enhancing Australia’s sovereign industry capacity.</w:t>
            </w:r>
          </w:p>
          <w:p w14:paraId="07C30736" w14:textId="77777777" w:rsidR="00AC0C13" w:rsidRDefault="00AC0C13" w:rsidP="00AC0C13">
            <w:pPr>
              <w:spacing w:before="120" w:after="120"/>
              <w:contextualSpacing/>
            </w:pPr>
          </w:p>
          <w:p w14:paraId="5FF85AF6" w14:textId="77777777" w:rsidR="00AC0C13" w:rsidRDefault="00AC0C13" w:rsidP="00AC0C13">
            <w:pPr>
              <w:spacing w:before="120" w:after="120"/>
              <w:contextualSpacing/>
            </w:pPr>
            <w:r>
              <w:t xml:space="preserve">Accordingly, the committee recommends that the Australian Government examine ways to maximise developing Australia’s sovereign capacity in infrastructure delivery. </w:t>
            </w:r>
          </w:p>
          <w:p w14:paraId="55C67FFC" w14:textId="77777777" w:rsidR="00AC0C13" w:rsidRDefault="00AC0C13" w:rsidP="00AC0C13">
            <w:pPr>
              <w:spacing w:before="120" w:after="120"/>
              <w:contextualSpacing/>
            </w:pPr>
          </w:p>
          <w:p w14:paraId="3B28C09C" w14:textId="77777777" w:rsidR="00AC0C13" w:rsidRDefault="00AC0C13" w:rsidP="00AC0C13">
            <w:pPr>
              <w:spacing w:before="120" w:after="120"/>
              <w:contextualSpacing/>
            </w:pPr>
            <w:r>
              <w:t>As part of this work, consideration should be given to:</w:t>
            </w:r>
          </w:p>
          <w:p w14:paraId="25720740" w14:textId="77777777" w:rsidR="00AC0C13" w:rsidRDefault="00AC0C13" w:rsidP="00AC0C13">
            <w:pPr>
              <w:pStyle w:val="ListParagraph"/>
              <w:numPr>
                <w:ilvl w:val="0"/>
                <w:numId w:val="4"/>
              </w:numPr>
              <w:spacing w:before="120" w:after="120"/>
            </w:pPr>
            <w:r>
              <w:t>providing opportunities in procurement and contracting to engage local industry and utilise local content</w:t>
            </w:r>
          </w:p>
          <w:p w14:paraId="228CEF47" w14:textId="77777777" w:rsidR="00AC0C13" w:rsidRDefault="00AC0C13" w:rsidP="00AC0C13">
            <w:pPr>
              <w:pStyle w:val="ListParagraph"/>
              <w:numPr>
                <w:ilvl w:val="0"/>
                <w:numId w:val="4"/>
              </w:numPr>
              <w:spacing w:before="120" w:after="120"/>
            </w:pPr>
            <w:r>
              <w:t>ways to break up projects into packages of less than $500 million to increase competitiveness by tier two and three companies</w:t>
            </w:r>
          </w:p>
          <w:p w14:paraId="13C44625" w14:textId="77777777" w:rsidR="00AC0C13" w:rsidRDefault="00AC0C13" w:rsidP="00AC0C13">
            <w:pPr>
              <w:pStyle w:val="ListParagraph"/>
              <w:numPr>
                <w:ilvl w:val="0"/>
                <w:numId w:val="4"/>
              </w:numPr>
              <w:spacing w:before="120" w:after="120"/>
            </w:pPr>
            <w:r>
              <w:t>making as a condition of Australian Government funding for major infrastructure projects over $500 million industry sustainability criteria within the early stages of procurement design that encourage tier one contractors to partner/joint venture with a non‐tier one company in the head contract</w:t>
            </w:r>
          </w:p>
          <w:p w14:paraId="6BC3BAA0" w14:textId="77777777" w:rsidR="00AC0C13" w:rsidRDefault="00AC0C13" w:rsidP="00AC0C13">
            <w:pPr>
              <w:pStyle w:val="ListParagraph"/>
              <w:numPr>
                <w:ilvl w:val="0"/>
                <w:numId w:val="4"/>
              </w:numPr>
              <w:spacing w:before="120" w:after="120"/>
            </w:pPr>
            <w:r>
              <w:t>education and training for government officials to support these objectives</w:t>
            </w:r>
          </w:p>
          <w:p w14:paraId="4EDB8D60" w14:textId="77777777" w:rsidR="00687069" w:rsidRDefault="00AC0C13" w:rsidP="00AC0C13">
            <w:pPr>
              <w:pStyle w:val="ListParagraph"/>
              <w:numPr>
                <w:ilvl w:val="0"/>
                <w:numId w:val="4"/>
              </w:numPr>
              <w:spacing w:before="120" w:after="120"/>
            </w:pPr>
            <w:r>
              <w:t>reviewing market conditions for infrastructure insurances and the impact on small and medium enterprises.</w:t>
            </w:r>
          </w:p>
          <w:p w14:paraId="57CB8273" w14:textId="77777777" w:rsidR="00AC0C13" w:rsidRDefault="00AC0C13" w:rsidP="00AC0C13">
            <w:pPr>
              <w:pStyle w:val="ListParagraph"/>
              <w:spacing w:before="120" w:after="120"/>
            </w:pPr>
          </w:p>
        </w:tc>
      </w:tr>
    </w:tbl>
    <w:p w14:paraId="3732D4FC" w14:textId="77777777" w:rsidR="0057477F" w:rsidRDefault="0057477F" w:rsidP="00687069">
      <w:pPr>
        <w:rPr>
          <w:b/>
        </w:rPr>
      </w:pPr>
    </w:p>
    <w:p w14:paraId="4B9FC2A5" w14:textId="5897F66C" w:rsidR="00687069" w:rsidRPr="001B207A" w:rsidRDefault="00605AD0" w:rsidP="00687069">
      <w:pPr>
        <w:rPr>
          <w:b/>
        </w:rPr>
      </w:pPr>
      <w:r>
        <w:rPr>
          <w:b/>
        </w:rPr>
        <w:t>Noted</w:t>
      </w:r>
      <w:r w:rsidR="00145005" w:rsidRPr="001B207A">
        <w:rPr>
          <w:b/>
        </w:rPr>
        <w:t>.</w:t>
      </w:r>
    </w:p>
    <w:p w14:paraId="4AF5B728" w14:textId="126F045D" w:rsidR="00D92D89" w:rsidRPr="001B207A" w:rsidRDefault="00145005" w:rsidP="00376EA8">
      <w:pPr>
        <w:rPr>
          <w:color w:val="000000"/>
        </w:rPr>
      </w:pPr>
      <w:r w:rsidRPr="00145005">
        <w:t>The Australian Government is working across a number of</w:t>
      </w:r>
      <w:r w:rsidR="00D044B1">
        <w:t xml:space="preserve"> </w:t>
      </w:r>
      <w:r w:rsidRPr="00145005">
        <w:t xml:space="preserve">areas to boost participation of </w:t>
      </w:r>
      <w:r w:rsidR="00357BB0">
        <w:t>t</w:t>
      </w:r>
      <w:r w:rsidRPr="00145005">
        <w:t xml:space="preserve">ier </w:t>
      </w:r>
      <w:r w:rsidR="00357BB0">
        <w:t>two</w:t>
      </w:r>
      <w:r w:rsidRPr="00145005">
        <w:t xml:space="preserve"> and </w:t>
      </w:r>
      <w:r w:rsidR="00357BB0">
        <w:t>three</w:t>
      </w:r>
      <w:r w:rsidRPr="00145005">
        <w:t xml:space="preserve"> companies.</w:t>
      </w:r>
      <w:r w:rsidR="00D044B1">
        <w:t xml:space="preserve"> Recent changes to the C</w:t>
      </w:r>
      <w:r w:rsidR="00567122">
        <w:t xml:space="preserve">ommonwealth </w:t>
      </w:r>
      <w:r w:rsidR="00D044B1">
        <w:t>P</w:t>
      </w:r>
      <w:r w:rsidR="00567122">
        <w:t xml:space="preserve">rocurement </w:t>
      </w:r>
      <w:r w:rsidR="00D044B1">
        <w:t>R</w:t>
      </w:r>
      <w:r w:rsidR="00567122">
        <w:t>ule</w:t>
      </w:r>
      <w:r w:rsidR="00D044B1">
        <w:t xml:space="preserve">s will </w:t>
      </w:r>
      <w:r w:rsidR="00D044B1" w:rsidRPr="001B207A">
        <w:rPr>
          <w:color w:val="000000"/>
        </w:rPr>
        <w:t xml:space="preserve">allow more opportunity for small and medium enterprises to bid for </w:t>
      </w:r>
      <w:r w:rsidR="00844759">
        <w:rPr>
          <w:color w:val="000000"/>
        </w:rPr>
        <w:t>g</w:t>
      </w:r>
      <w:r w:rsidR="00D044B1" w:rsidRPr="001B207A">
        <w:rPr>
          <w:color w:val="000000"/>
        </w:rPr>
        <w:t>overnment work and develop Australia’s sovereign capability. These include</w:t>
      </w:r>
      <w:r w:rsidR="00357BB0" w:rsidRPr="001B207A">
        <w:rPr>
          <w:color w:val="000000"/>
        </w:rPr>
        <w:t>:</w:t>
      </w:r>
    </w:p>
    <w:p w14:paraId="234F5580" w14:textId="609B5295" w:rsidR="00D92D89" w:rsidRPr="007E7606" w:rsidRDefault="00D92D89" w:rsidP="007E7606">
      <w:pPr>
        <w:pStyle w:val="ListParagraph"/>
        <w:numPr>
          <w:ilvl w:val="0"/>
          <w:numId w:val="39"/>
        </w:numPr>
        <w:contextualSpacing w:val="0"/>
      </w:pPr>
      <w:r w:rsidRPr="007E7606">
        <w:t>r</w:t>
      </w:r>
      <w:r w:rsidR="00D044B1" w:rsidRPr="007E7606">
        <w:t xml:space="preserve">equiring a consideration </w:t>
      </w:r>
      <w:r w:rsidRPr="007E7606">
        <w:t xml:space="preserve">of whether large </w:t>
      </w:r>
      <w:r w:rsidR="00D044B1" w:rsidRPr="007E7606">
        <w:t xml:space="preserve">projects </w:t>
      </w:r>
      <w:r w:rsidRPr="007E7606">
        <w:t xml:space="preserve">should be broken </w:t>
      </w:r>
      <w:r w:rsidR="00D044B1" w:rsidRPr="007E7606">
        <w:t>into smaller packages to maximise competition (disaggregation)</w:t>
      </w:r>
    </w:p>
    <w:p w14:paraId="060E4819" w14:textId="7D6C37AC" w:rsidR="00D92D89" w:rsidRPr="007E7606" w:rsidRDefault="00D92D89" w:rsidP="007E7606">
      <w:pPr>
        <w:pStyle w:val="ListParagraph"/>
        <w:numPr>
          <w:ilvl w:val="0"/>
          <w:numId w:val="39"/>
        </w:numPr>
        <w:contextualSpacing w:val="0"/>
      </w:pPr>
      <w:r w:rsidRPr="007E7606">
        <w:t xml:space="preserve">recommending the limitation of </w:t>
      </w:r>
      <w:r w:rsidR="00D044B1" w:rsidRPr="007E7606">
        <w:t xml:space="preserve">insurance requirements in contracts </w:t>
      </w:r>
      <w:r w:rsidRPr="007E7606">
        <w:t xml:space="preserve">to </w:t>
      </w:r>
      <w:r w:rsidR="00D044B1" w:rsidRPr="007E7606">
        <w:t>reflect</w:t>
      </w:r>
      <w:r w:rsidRPr="007E7606">
        <w:t xml:space="preserve"> </w:t>
      </w:r>
      <w:r w:rsidR="00D044B1" w:rsidRPr="007E7606">
        <w:t>actual risk borne by suppliers</w:t>
      </w:r>
    </w:p>
    <w:p w14:paraId="1C74C185" w14:textId="3BA0AB49" w:rsidR="00D044B1" w:rsidRPr="007E7606" w:rsidRDefault="00D92D89" w:rsidP="007E7606">
      <w:pPr>
        <w:pStyle w:val="ListParagraph"/>
        <w:numPr>
          <w:ilvl w:val="0"/>
          <w:numId w:val="39"/>
        </w:numPr>
        <w:contextualSpacing w:val="0"/>
      </w:pPr>
      <w:r w:rsidRPr="007E7606">
        <w:t>recommending</w:t>
      </w:r>
      <w:r w:rsidR="00D044B1" w:rsidRPr="007E7606">
        <w:t xml:space="preserve"> suppliers should not be directed to take out insurances until a contract is to be awarded.</w:t>
      </w:r>
    </w:p>
    <w:p w14:paraId="35CF3D1C" w14:textId="24D6F4DC" w:rsidR="00D92D89" w:rsidRDefault="00D044B1" w:rsidP="00376EA8">
      <w:r w:rsidRPr="001B207A">
        <w:rPr>
          <w:color w:val="000000"/>
        </w:rPr>
        <w:t xml:space="preserve">In addition, </w:t>
      </w:r>
      <w:r w:rsidR="00357BB0">
        <w:t>t</w:t>
      </w:r>
      <w:r>
        <w:t xml:space="preserve">he Future Made in Australia Office has been tasked with enhancing multilateral engagement with states and territories on public sector procurement and contracting. </w:t>
      </w:r>
    </w:p>
    <w:p w14:paraId="6CA8AD00" w14:textId="737421EF" w:rsidR="009D2AB7" w:rsidRPr="009D2AB7" w:rsidRDefault="009D2AB7" w:rsidP="009D2AB7">
      <w:pPr>
        <w:rPr>
          <w:rFonts w:eastAsia="Times New Roman" w:cstheme="minorHAnsi"/>
          <w:color w:val="000000"/>
          <w:highlight w:val="green"/>
          <w:lang w:eastAsia="en-AU"/>
        </w:rPr>
      </w:pPr>
      <w:r w:rsidRPr="00EF0B61">
        <w:rPr>
          <w:lang w:val="en-US"/>
        </w:rPr>
        <w:t xml:space="preserve">The Australian </w:t>
      </w:r>
      <w:r w:rsidRPr="00EF0B61">
        <w:t>Government</w:t>
      </w:r>
      <w:r w:rsidRPr="00EF0B61">
        <w:rPr>
          <w:lang w:val="en-US"/>
        </w:rPr>
        <w:t xml:space="preserve"> is committed to delivering the Secure Australian Jobs Plan to invest in the skills and training Australia needs to drive future economic growth. </w:t>
      </w:r>
      <w:r w:rsidR="004E635D">
        <w:t xml:space="preserve">The Government’s plan includes the Australian Skills Guarantee, which will ensure that one in 10 workers on major, </w:t>
      </w:r>
      <w:r w:rsidR="004E635D" w:rsidRPr="006914BA">
        <w:rPr>
          <w:bCs/>
        </w:rPr>
        <w:t>federally funded</w:t>
      </w:r>
      <w:r w:rsidR="004E635D">
        <w:t xml:space="preserve"> government projects is </w:t>
      </w:r>
      <w:r w:rsidR="004E635D" w:rsidRPr="006914BA">
        <w:rPr>
          <w:bCs/>
        </w:rPr>
        <w:t>an apprentice, trainee or paid cadet</w:t>
      </w:r>
      <w:r w:rsidR="004E635D">
        <w:t>.</w:t>
      </w:r>
    </w:p>
    <w:p w14:paraId="1E01C413" w14:textId="77777777" w:rsidR="009D2AB7" w:rsidRPr="001B43B2" w:rsidRDefault="009D2AB7" w:rsidP="009D2AB7">
      <w:r w:rsidRPr="00EF0B61">
        <w:rPr>
          <w:rFonts w:eastAsia="Times New Roman" w:cstheme="minorHAnsi"/>
          <w:color w:val="000000"/>
          <w:lang w:eastAsia="en-AU"/>
        </w:rPr>
        <w:lastRenderedPageBreak/>
        <w:t>The</w:t>
      </w:r>
      <w:r w:rsidRPr="00EF0B61">
        <w:rPr>
          <w:rFonts w:eastAsia="Times New Roman"/>
          <w:color w:val="000000"/>
          <w:lang w:eastAsia="en-AU"/>
        </w:rPr>
        <w:t xml:space="preserve"> Australian Skills Guarantee will use the Commonwealth’s investments in major projects</w:t>
      </w:r>
      <w:r w:rsidRPr="00EF0B61">
        <w:rPr>
          <w:lang w:val="en-US"/>
        </w:rPr>
        <w:t xml:space="preserve"> to secure a pipeline of skilled workers into the future. This policy will help to address skilled worker shortages and build capability, including for future infrastructure delivery.</w:t>
      </w:r>
      <w:r>
        <w:rPr>
          <w:lang w:val="en-US"/>
        </w:rPr>
        <w:t xml:space="preserve">  </w:t>
      </w:r>
    </w:p>
    <w:p w14:paraId="20EE2C45" w14:textId="0152592E" w:rsidR="00145005" w:rsidRPr="002D5DCD" w:rsidRDefault="00296A66" w:rsidP="00376EA8">
      <w:r>
        <w:t>T</w:t>
      </w:r>
      <w:r w:rsidR="00145005" w:rsidRPr="002D5DCD">
        <w:t xml:space="preserve">he </w:t>
      </w:r>
      <w:r w:rsidR="00145005" w:rsidRPr="007E7606">
        <w:rPr>
          <w:rFonts w:cstheme="minorHAnsi"/>
          <w:i/>
          <w:color w:val="000000"/>
        </w:rPr>
        <w:t>Australian</w:t>
      </w:r>
      <w:r w:rsidR="00145005" w:rsidRPr="001B207A">
        <w:rPr>
          <w:i/>
        </w:rPr>
        <w:t xml:space="preserve"> Jobs Act 2013 </w:t>
      </w:r>
      <w:r w:rsidR="00145005" w:rsidRPr="004B2144">
        <w:t>requires p</w:t>
      </w:r>
      <w:r w:rsidR="00145005" w:rsidRPr="002D5DCD">
        <w:t xml:space="preserve">roponents of </w:t>
      </w:r>
      <w:r w:rsidR="00145005">
        <w:t xml:space="preserve">eligible </w:t>
      </w:r>
      <w:r w:rsidR="00145005" w:rsidRPr="002D5DCD">
        <w:t xml:space="preserve">major projects </w:t>
      </w:r>
      <w:r w:rsidR="00DB530F" w:rsidRPr="00DB530F">
        <w:t>with capital expenditure of $500</w:t>
      </w:r>
      <w:r>
        <w:t> </w:t>
      </w:r>
      <w:r w:rsidR="00DB530F" w:rsidRPr="00DB530F">
        <w:t>million or more</w:t>
      </w:r>
      <w:r w:rsidR="00DB530F">
        <w:t xml:space="preserve"> </w:t>
      </w:r>
      <w:r w:rsidR="00145005" w:rsidRPr="002D5DCD">
        <w:t xml:space="preserve">to develop </w:t>
      </w:r>
      <w:r w:rsidR="00145005">
        <w:t xml:space="preserve">an </w:t>
      </w:r>
      <w:r w:rsidR="000F2C27" w:rsidRPr="000F2C27">
        <w:t xml:space="preserve">Australian Industry Participation Plan </w:t>
      </w:r>
      <w:r w:rsidR="000F2C27">
        <w:t>(</w:t>
      </w:r>
      <w:r w:rsidR="00145005">
        <w:t>AIP plan</w:t>
      </w:r>
      <w:r w:rsidR="000F2C27">
        <w:t>)</w:t>
      </w:r>
      <w:r w:rsidR="00145005" w:rsidRPr="002D5DCD">
        <w:t xml:space="preserve">. </w:t>
      </w:r>
      <w:r w:rsidR="00605AD0">
        <w:t>Th</w:t>
      </w:r>
      <w:r w:rsidR="00FC6A77">
        <w:t>e</w:t>
      </w:r>
      <w:r w:rsidR="00605AD0">
        <w:t xml:space="preserve"> A</w:t>
      </w:r>
      <w:r w:rsidR="00145005">
        <w:t xml:space="preserve">IP </w:t>
      </w:r>
      <w:r w:rsidR="00145005" w:rsidRPr="002D5DCD">
        <w:t>plan set</w:t>
      </w:r>
      <w:r w:rsidR="00605AD0">
        <w:t>s</w:t>
      </w:r>
      <w:r w:rsidR="00145005" w:rsidRPr="002D5DCD">
        <w:t xml:space="preserve"> out</w:t>
      </w:r>
      <w:r w:rsidR="00145005">
        <w:t xml:space="preserve"> how the proponent </w:t>
      </w:r>
      <w:r w:rsidR="00145005" w:rsidRPr="002D5DCD">
        <w:t>will provide Australian</w:t>
      </w:r>
      <w:r w:rsidR="00145005">
        <w:t xml:space="preserve"> </w:t>
      </w:r>
      <w:r w:rsidR="00145005" w:rsidRPr="002D5DCD">
        <w:t xml:space="preserve">suppliers, including those located in the project region, the opportunity to bid for work on the project. </w:t>
      </w:r>
    </w:p>
    <w:p w14:paraId="51F91CBB" w14:textId="36CEF75B" w:rsidR="004227F5" w:rsidRDefault="00B300FA" w:rsidP="00376EA8">
      <w:pPr>
        <w:rPr>
          <w:rFonts w:cstheme="minorHAnsi"/>
          <w:szCs w:val="20"/>
          <w:lang w:val="en-US"/>
        </w:rPr>
      </w:pPr>
      <w:r w:rsidRPr="001B207A">
        <w:rPr>
          <w:lang w:val="en-US"/>
        </w:rPr>
        <w:t>Through</w:t>
      </w:r>
      <w:r w:rsidRPr="00E705DC">
        <w:rPr>
          <w:rFonts w:cstheme="minorHAnsi"/>
          <w:szCs w:val="20"/>
          <w:lang w:val="en-US"/>
        </w:rPr>
        <w:t xml:space="preserve"> </w:t>
      </w:r>
      <w:r w:rsidR="004227F5">
        <w:rPr>
          <w:rFonts w:cstheme="minorHAnsi"/>
          <w:szCs w:val="20"/>
          <w:lang w:val="en-US"/>
        </w:rPr>
        <w:t>the</w:t>
      </w:r>
      <w:r w:rsidR="004227F5" w:rsidRPr="001B207A">
        <w:rPr>
          <w:lang w:val="en-US"/>
        </w:rPr>
        <w:t xml:space="preserve"> </w:t>
      </w:r>
      <w:r w:rsidR="00844759">
        <w:rPr>
          <w:lang w:val="en-US"/>
        </w:rPr>
        <w:t>I</w:t>
      </w:r>
      <w:r w:rsidR="000F2C27">
        <w:rPr>
          <w:lang w:val="en-US"/>
        </w:rPr>
        <w:t xml:space="preserve">nfrastructure </w:t>
      </w:r>
      <w:r w:rsidR="00844759">
        <w:rPr>
          <w:lang w:val="en-US"/>
        </w:rPr>
        <w:t>I</w:t>
      </w:r>
      <w:r w:rsidR="000F2C27">
        <w:rPr>
          <w:lang w:val="en-US"/>
        </w:rPr>
        <w:t xml:space="preserve">nvestment </w:t>
      </w:r>
      <w:r w:rsidR="00844759">
        <w:rPr>
          <w:lang w:val="en-US"/>
        </w:rPr>
        <w:t>P</w:t>
      </w:r>
      <w:r w:rsidR="000F2C27">
        <w:rPr>
          <w:lang w:val="en-US"/>
        </w:rPr>
        <w:t>rogram</w:t>
      </w:r>
      <w:r w:rsidRPr="001B207A">
        <w:rPr>
          <w:lang w:val="en-US"/>
        </w:rPr>
        <w:t>, the Australian Government is helping to build the capability and capacity of lower tier companies by providing increased opportunities to be involved in significant projects, including through joint ventures, collaboration and partnerships with larger companies.</w:t>
      </w:r>
      <w:r w:rsidR="00D044B1" w:rsidRPr="001B207A">
        <w:rPr>
          <w:lang w:val="en-US"/>
        </w:rPr>
        <w:t xml:space="preserve"> </w:t>
      </w:r>
    </w:p>
    <w:p w14:paraId="21D2E7EA" w14:textId="7E499FB4" w:rsidR="00687069" w:rsidRPr="007B4AE0" w:rsidRDefault="00B300FA" w:rsidP="007B4AE0">
      <w:pPr>
        <w:rPr>
          <w:lang w:val="en-US"/>
        </w:rPr>
      </w:pPr>
      <w:r w:rsidRPr="001B207A">
        <w:rPr>
          <w:lang w:val="en-US"/>
        </w:rPr>
        <w:t xml:space="preserve">Under the </w:t>
      </w:r>
      <w:r w:rsidR="00EF0B61" w:rsidRPr="00EF0B61">
        <w:rPr>
          <w:lang w:val="en-US"/>
        </w:rPr>
        <w:t>National Partnership Agreement on Land Transport Infrastructure Projects</w:t>
      </w:r>
      <w:r w:rsidRPr="001B207A">
        <w:rPr>
          <w:lang w:val="en-US"/>
        </w:rPr>
        <w:t xml:space="preserve">, </w:t>
      </w:r>
      <w:r w:rsidR="000F2C27">
        <w:rPr>
          <w:lang w:val="en-US"/>
        </w:rPr>
        <w:t>proponent</w:t>
      </w:r>
      <w:r w:rsidRPr="001B207A">
        <w:rPr>
          <w:lang w:val="en-US"/>
        </w:rPr>
        <w:t xml:space="preserve">s must develop and implement a Local Industry Participation Plan or an </w:t>
      </w:r>
      <w:r w:rsidR="00006217" w:rsidRPr="001B207A">
        <w:rPr>
          <w:lang w:val="en-US"/>
        </w:rPr>
        <w:t>AIP</w:t>
      </w:r>
      <w:r w:rsidRPr="001B207A">
        <w:rPr>
          <w:lang w:val="en-US"/>
        </w:rPr>
        <w:t xml:space="preserve"> Plan for all infrastructure projects in receipt of Commonwealth payments of $20 million or more. These plans assist to promote, develop and maintain a sustainable Australian industry capability by encouraging </w:t>
      </w:r>
      <w:r w:rsidRPr="00B300FA">
        <w:t>competition</w:t>
      </w:r>
      <w:r w:rsidRPr="001B207A">
        <w:rPr>
          <w:lang w:val="en-US"/>
        </w:rPr>
        <w:t xml:space="preserve"> in investment projects.</w:t>
      </w:r>
    </w:p>
    <w:p w14:paraId="7DC564E6" w14:textId="77777777" w:rsidR="00DF416D" w:rsidRDefault="00DF416D">
      <w:r>
        <w:br w:type="page"/>
      </w:r>
    </w:p>
    <w:p w14:paraId="3317BFE5" w14:textId="6ED85F1A" w:rsidR="00720456" w:rsidRDefault="00DF416D" w:rsidP="00DF416D">
      <w:pPr>
        <w:pStyle w:val="Heading1"/>
      </w:pPr>
      <w:bookmarkStart w:id="37" w:name="_Toc113354469"/>
      <w:bookmarkStart w:id="38" w:name="_Toc116570825"/>
      <w:r>
        <w:lastRenderedPageBreak/>
        <w:t>Recommendation 7</w:t>
      </w:r>
      <w:bookmarkEnd w:id="37"/>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1C39256E" w14:textId="77777777" w:rsidTr="007E7606">
        <w:trPr>
          <w:trHeight w:val="567"/>
        </w:trPr>
        <w:tc>
          <w:tcPr>
            <w:tcW w:w="1134" w:type="dxa"/>
            <w:shd w:val="clear" w:color="auto" w:fill="1F3864"/>
            <w:vAlign w:val="center"/>
          </w:tcPr>
          <w:p w14:paraId="31297D66" w14:textId="77777777" w:rsidR="00687069" w:rsidRDefault="00687069" w:rsidP="00146A46">
            <w:r>
              <w:t>Number</w:t>
            </w:r>
          </w:p>
        </w:tc>
        <w:tc>
          <w:tcPr>
            <w:tcW w:w="7882" w:type="dxa"/>
            <w:shd w:val="clear" w:color="auto" w:fill="1F3864"/>
            <w:vAlign w:val="center"/>
          </w:tcPr>
          <w:p w14:paraId="1FBC774A" w14:textId="77777777" w:rsidR="00687069" w:rsidRDefault="00687069" w:rsidP="00146A46">
            <w:r>
              <w:t>Recommendation</w:t>
            </w:r>
          </w:p>
        </w:tc>
      </w:tr>
      <w:tr w:rsidR="00687069" w14:paraId="632FA170" w14:textId="77777777" w:rsidTr="007E7606">
        <w:tc>
          <w:tcPr>
            <w:tcW w:w="1134" w:type="dxa"/>
            <w:tcBorders>
              <w:bottom w:val="single" w:sz="4" w:space="0" w:color="auto"/>
            </w:tcBorders>
          </w:tcPr>
          <w:p w14:paraId="575DB4BE" w14:textId="77777777" w:rsidR="00687069" w:rsidRDefault="00687069" w:rsidP="00146A46">
            <w:r>
              <w:t>7</w:t>
            </w:r>
          </w:p>
        </w:tc>
        <w:tc>
          <w:tcPr>
            <w:tcW w:w="7882" w:type="dxa"/>
            <w:tcBorders>
              <w:bottom w:val="single" w:sz="4" w:space="0" w:color="auto"/>
            </w:tcBorders>
          </w:tcPr>
          <w:p w14:paraId="40EBB750" w14:textId="77777777" w:rsidR="00AC0C13" w:rsidRDefault="00AC0C13" w:rsidP="00AC0C13">
            <w:pPr>
              <w:spacing w:before="120" w:after="120"/>
              <w:contextualSpacing/>
            </w:pPr>
            <w:r>
              <w:t>The committee recognises the potential benefits for increased efficiencies and productivity through the adoption of a digital by default approach in infrastructure projects, in which governments take the lead in providing accessible digital options that can be utilised by government officials and businesses, from planning to post‐delivery assessment and, where applicable, for future application to like projects.</w:t>
            </w:r>
          </w:p>
          <w:p w14:paraId="2DE44D2F" w14:textId="77777777" w:rsidR="00AC0C13" w:rsidRDefault="00AC0C13" w:rsidP="00AC0C13">
            <w:pPr>
              <w:spacing w:before="120" w:after="120"/>
              <w:contextualSpacing/>
            </w:pPr>
          </w:p>
          <w:p w14:paraId="2A71C4BD" w14:textId="77777777" w:rsidR="00AC0C13" w:rsidRDefault="00AC0C13" w:rsidP="00AC0C13">
            <w:pPr>
              <w:spacing w:before="120" w:after="120"/>
              <w:contextualSpacing/>
            </w:pPr>
            <w:r>
              <w:t>The committee recommends that the Australian Government in consultation with state, territory and local governments, support a digital by default approach in infrastructure projects, with consideration for:</w:t>
            </w:r>
          </w:p>
          <w:p w14:paraId="69955722" w14:textId="77777777" w:rsidR="00AC0C13" w:rsidRDefault="00AC0C13" w:rsidP="00AC0C13">
            <w:pPr>
              <w:pStyle w:val="ListParagraph"/>
              <w:numPr>
                <w:ilvl w:val="0"/>
                <w:numId w:val="3"/>
              </w:numPr>
              <w:spacing w:before="120" w:after="120"/>
            </w:pPr>
            <w:r>
              <w:t xml:space="preserve">the digital by default recommendations in the </w:t>
            </w:r>
            <w:r w:rsidRPr="00B306C1">
              <w:rPr>
                <w:i/>
              </w:rPr>
              <w:t>2021 Australian Infrastructure Plan</w:t>
            </w:r>
          </w:p>
          <w:p w14:paraId="213C9057" w14:textId="77777777" w:rsidR="00AC0C13" w:rsidRDefault="00AC0C13" w:rsidP="00AC0C13">
            <w:pPr>
              <w:pStyle w:val="ListParagraph"/>
              <w:numPr>
                <w:ilvl w:val="0"/>
                <w:numId w:val="3"/>
              </w:numPr>
              <w:spacing w:before="120" w:after="120"/>
            </w:pPr>
            <w:r>
              <w:t>tender requirements that utilise Building Information Modelling (BIM) or similar technologies</w:t>
            </w:r>
          </w:p>
          <w:p w14:paraId="2B7A1D0B" w14:textId="06416F79" w:rsidR="00AC0C13" w:rsidRDefault="00AC0C13" w:rsidP="00AC0C13">
            <w:pPr>
              <w:pStyle w:val="ListParagraph"/>
              <w:numPr>
                <w:ilvl w:val="0"/>
                <w:numId w:val="3"/>
              </w:numPr>
              <w:spacing w:before="120" w:after="120"/>
            </w:pPr>
            <w:r>
              <w:t xml:space="preserve">supporting </w:t>
            </w:r>
            <w:r w:rsidR="00B306C1">
              <w:t>open</w:t>
            </w:r>
            <w:r>
              <w:t>BIM or similarly interoperable methods for digital delivery that allow for exchanging project information</w:t>
            </w:r>
          </w:p>
          <w:p w14:paraId="06B8F4C2" w14:textId="77777777" w:rsidR="00AC0C13" w:rsidRDefault="00AC0C13" w:rsidP="00AC0C13">
            <w:pPr>
              <w:pStyle w:val="ListParagraph"/>
              <w:numPr>
                <w:ilvl w:val="0"/>
                <w:numId w:val="3"/>
              </w:numPr>
              <w:spacing w:before="120" w:after="120"/>
            </w:pPr>
            <w:r>
              <w:t>fostering contractor upskilling for small and medium enterprises in digital approaches when undertaking government‐funded infrastructure projects</w:t>
            </w:r>
          </w:p>
          <w:p w14:paraId="00926E14" w14:textId="77777777" w:rsidR="00687069" w:rsidRDefault="00AC0C13" w:rsidP="00AC0C13">
            <w:pPr>
              <w:pStyle w:val="ListParagraph"/>
              <w:numPr>
                <w:ilvl w:val="0"/>
                <w:numId w:val="3"/>
              </w:numPr>
              <w:spacing w:before="120" w:after="120"/>
            </w:pPr>
            <w:r>
              <w:t>facilitating whole of life digital strategies in project plans.</w:t>
            </w:r>
          </w:p>
          <w:p w14:paraId="0C95A034" w14:textId="77777777" w:rsidR="00AC0C13" w:rsidRDefault="00AC0C13" w:rsidP="00AC0C13">
            <w:pPr>
              <w:pStyle w:val="ListParagraph"/>
              <w:spacing w:before="120" w:after="120"/>
            </w:pPr>
          </w:p>
        </w:tc>
      </w:tr>
    </w:tbl>
    <w:p w14:paraId="35513405" w14:textId="77777777" w:rsidR="00687069" w:rsidRDefault="00687069" w:rsidP="00687069"/>
    <w:p w14:paraId="07457C63" w14:textId="77777777" w:rsidR="00687069" w:rsidRDefault="00B300FA" w:rsidP="00687069">
      <w:r w:rsidRPr="001B207A">
        <w:rPr>
          <w:b/>
        </w:rPr>
        <w:t>Support</w:t>
      </w:r>
      <w:r>
        <w:t>.</w:t>
      </w:r>
    </w:p>
    <w:p w14:paraId="0FC189E8" w14:textId="482B4E77" w:rsidR="00B02D67" w:rsidRDefault="00DD54E0" w:rsidP="00376EA8">
      <w:r w:rsidRPr="001B207A">
        <w:rPr>
          <w:lang w:eastAsia="en-AU"/>
        </w:rPr>
        <w:t>The Australian Government acknowledges the potential for digit</w:t>
      </w:r>
      <w:r w:rsidR="008F7660">
        <w:rPr>
          <w:lang w:eastAsia="en-AU"/>
        </w:rPr>
        <w:t>al</w:t>
      </w:r>
      <w:r w:rsidRPr="001B207A">
        <w:rPr>
          <w:lang w:eastAsia="en-AU"/>
        </w:rPr>
        <w:t xml:space="preserve"> technologies to improve the efficiencies and productivity of the heavy civil construction sector. </w:t>
      </w:r>
    </w:p>
    <w:p w14:paraId="6137F42A" w14:textId="199ACD2F" w:rsidR="00605AD0" w:rsidRDefault="00CB5FB6" w:rsidP="00376EA8">
      <w:pPr>
        <w:rPr>
          <w:lang w:eastAsia="en-AU"/>
        </w:rPr>
      </w:pPr>
      <w:r w:rsidRPr="00CB5FB6">
        <w:rPr>
          <w:lang w:val="en-US"/>
        </w:rPr>
        <w:t>The Australian Government will work with industry and all levels of government to understand the barriers to the adoption of a digital by default approach in infrastructure projects. The implementation of digital by default options will need to be developed in close consultation with state, territory and local governments, as well as industry partners.</w:t>
      </w:r>
    </w:p>
    <w:p w14:paraId="7E1A9C6E" w14:textId="100855D3" w:rsidR="00F309CB" w:rsidRPr="007B4AE0" w:rsidRDefault="00F309CB" w:rsidP="00CB5FB6"/>
    <w:p w14:paraId="5DF02F94" w14:textId="18BCC085" w:rsidR="00DF416D" w:rsidRDefault="00DF416D">
      <w:r>
        <w:br w:type="page"/>
      </w:r>
    </w:p>
    <w:p w14:paraId="625E3846" w14:textId="063491A6" w:rsidR="00720456" w:rsidRDefault="00DF416D" w:rsidP="00DF416D">
      <w:pPr>
        <w:pStyle w:val="Heading1"/>
      </w:pPr>
      <w:bookmarkStart w:id="39" w:name="_Toc113354470"/>
      <w:bookmarkStart w:id="40" w:name="_Toc116570826"/>
      <w:r>
        <w:lastRenderedPageBreak/>
        <w:t>Recommendation 8</w:t>
      </w:r>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687069" w14:paraId="1299E8ED" w14:textId="77777777" w:rsidTr="007E7606">
        <w:trPr>
          <w:trHeight w:val="567"/>
        </w:trPr>
        <w:tc>
          <w:tcPr>
            <w:tcW w:w="1134" w:type="dxa"/>
            <w:shd w:val="clear" w:color="auto" w:fill="1F3864"/>
            <w:vAlign w:val="center"/>
          </w:tcPr>
          <w:p w14:paraId="53A1CAC4" w14:textId="77777777" w:rsidR="00687069" w:rsidRDefault="00687069" w:rsidP="00146A46">
            <w:r>
              <w:t>Number</w:t>
            </w:r>
          </w:p>
        </w:tc>
        <w:tc>
          <w:tcPr>
            <w:tcW w:w="7882" w:type="dxa"/>
            <w:shd w:val="clear" w:color="auto" w:fill="1F3864"/>
            <w:vAlign w:val="center"/>
          </w:tcPr>
          <w:p w14:paraId="00ECAC48" w14:textId="77777777" w:rsidR="00687069" w:rsidRDefault="00687069" w:rsidP="00146A46">
            <w:r>
              <w:t>Recommendation</w:t>
            </w:r>
          </w:p>
        </w:tc>
      </w:tr>
      <w:tr w:rsidR="00687069" w14:paraId="6961A219" w14:textId="77777777" w:rsidTr="007E7606">
        <w:tc>
          <w:tcPr>
            <w:tcW w:w="1134" w:type="dxa"/>
            <w:tcBorders>
              <w:bottom w:val="single" w:sz="4" w:space="0" w:color="auto"/>
            </w:tcBorders>
          </w:tcPr>
          <w:p w14:paraId="35898A5D" w14:textId="77777777" w:rsidR="00687069" w:rsidRDefault="00687069" w:rsidP="00146A46">
            <w:r>
              <w:t>8</w:t>
            </w:r>
          </w:p>
        </w:tc>
        <w:tc>
          <w:tcPr>
            <w:tcW w:w="7882" w:type="dxa"/>
            <w:tcBorders>
              <w:bottom w:val="single" w:sz="4" w:space="0" w:color="auto"/>
            </w:tcBorders>
          </w:tcPr>
          <w:p w14:paraId="788DF4F3" w14:textId="77777777" w:rsidR="00687069" w:rsidRDefault="00687069" w:rsidP="00AC0C13">
            <w:pPr>
              <w:spacing w:before="120" w:after="120"/>
              <w:contextualSpacing/>
            </w:pPr>
            <w:r>
              <w:t>To deliver on Australia’s significant infrastructure pipeline of projects over the next decade, the committee acknowledges the importance of improving productivity in the construction industry and recommends that the Australian Government investigate how in the tender and delivery processes for government-funded infrastructure projects, firms can demonstrate their:</w:t>
            </w:r>
          </w:p>
          <w:p w14:paraId="78FB0AA8" w14:textId="77777777" w:rsidR="00687069" w:rsidRDefault="00687069" w:rsidP="00AC0C13">
            <w:pPr>
              <w:pStyle w:val="ListParagraph"/>
              <w:numPr>
                <w:ilvl w:val="0"/>
                <w:numId w:val="2"/>
              </w:numPr>
              <w:spacing w:before="120" w:after="120"/>
              <w:ind w:left="714" w:hanging="357"/>
            </w:pPr>
            <w:r>
              <w:t>commitment to, and compliance with, modern workplace standards</w:t>
            </w:r>
          </w:p>
          <w:p w14:paraId="51D4BCF3" w14:textId="77777777" w:rsidR="00AC0C13" w:rsidRDefault="00687069" w:rsidP="00AC0C13">
            <w:pPr>
              <w:pStyle w:val="ListParagraph"/>
              <w:numPr>
                <w:ilvl w:val="0"/>
                <w:numId w:val="2"/>
              </w:numPr>
              <w:spacing w:before="120" w:after="120"/>
              <w:ind w:left="714" w:hanging="357"/>
            </w:pPr>
            <w:r>
              <w:t>support for sector cultural reform in areas including wellbeing, working hours and diversity of their workforces, and having regard to the Culture Standard for the Construction Industry being developed by the Construction Industry Culture Taskforce.</w:t>
            </w:r>
          </w:p>
        </w:tc>
      </w:tr>
    </w:tbl>
    <w:p w14:paraId="61948188" w14:textId="77777777" w:rsidR="00687069" w:rsidRDefault="00687069" w:rsidP="00687069"/>
    <w:p w14:paraId="193A2031" w14:textId="26C00835" w:rsidR="00AC0C13" w:rsidRDefault="00F309CB" w:rsidP="00687069">
      <w:r w:rsidRPr="001B207A">
        <w:rPr>
          <w:b/>
        </w:rPr>
        <w:t>Support</w:t>
      </w:r>
      <w:r w:rsidR="00293107" w:rsidRPr="001B207A">
        <w:rPr>
          <w:b/>
        </w:rPr>
        <w:t>-in-principle</w:t>
      </w:r>
      <w:r w:rsidR="00293107">
        <w:t>.</w:t>
      </w:r>
    </w:p>
    <w:p w14:paraId="65F1ACD9" w14:textId="20EBFA19" w:rsidR="00DD54E0" w:rsidRDefault="00332F3C" w:rsidP="00376EA8">
      <w:r>
        <w:t xml:space="preserve">The Australian Government is committed to improving the productivity of the construction sector, </w:t>
      </w:r>
      <w:r w:rsidR="00DD54E0">
        <w:t xml:space="preserve">and </w:t>
      </w:r>
      <w:r>
        <w:t xml:space="preserve">supports </w:t>
      </w:r>
      <w:r w:rsidR="00605AD0">
        <w:t>proposals that will</w:t>
      </w:r>
      <w:r w:rsidR="00DD54E0">
        <w:t xml:space="preserve"> drive improvements in delivery processes.</w:t>
      </w:r>
      <w:r w:rsidR="00D044B1">
        <w:t xml:space="preserve"> </w:t>
      </w:r>
    </w:p>
    <w:p w14:paraId="7F3D6C19" w14:textId="30A67AE9" w:rsidR="002E7AFB" w:rsidRPr="002E7AFB" w:rsidRDefault="002E7AFB" w:rsidP="002E7AFB">
      <w:pPr>
        <w:rPr>
          <w:rFonts w:cstheme="minorHAnsi"/>
        </w:rPr>
      </w:pPr>
      <w:r w:rsidRPr="002E7AFB">
        <w:rPr>
          <w:rFonts w:cstheme="minorHAnsi"/>
        </w:rPr>
        <w:t xml:space="preserve">In terms of ensuring ‘commitment to, and compliance with, modern workplace standards’, the Government is committed to removing punitive and unnecessary rules imposed on building and construction workers and their representatives. In this regard, the Government introduced the </w:t>
      </w:r>
      <w:r w:rsidRPr="00057628">
        <w:rPr>
          <w:rFonts w:cstheme="minorHAnsi"/>
          <w:i/>
        </w:rPr>
        <w:t xml:space="preserve">Fair Work Legislation Amendment (Secure Jobs, Better Pay) </w:t>
      </w:r>
      <w:r w:rsidR="00057628" w:rsidRPr="00057628">
        <w:rPr>
          <w:rFonts w:cstheme="minorHAnsi"/>
          <w:i/>
        </w:rPr>
        <w:t>Act</w:t>
      </w:r>
      <w:r w:rsidRPr="00057628">
        <w:rPr>
          <w:rFonts w:cstheme="minorHAnsi"/>
          <w:i/>
        </w:rPr>
        <w:t xml:space="preserve"> 2022</w:t>
      </w:r>
      <w:r w:rsidRPr="002E7AFB">
        <w:rPr>
          <w:rFonts w:cstheme="minorHAnsi"/>
        </w:rPr>
        <w:t xml:space="preserve"> </w:t>
      </w:r>
      <w:r w:rsidR="00057628">
        <w:rPr>
          <w:rFonts w:cstheme="minorHAnsi"/>
        </w:rPr>
        <w:t xml:space="preserve">(Secure Jobs, Better Pay Act) to </w:t>
      </w:r>
      <w:r w:rsidRPr="002E7AFB">
        <w:rPr>
          <w:rFonts w:cstheme="minorHAnsi"/>
        </w:rPr>
        <w:t xml:space="preserve">abolish the Australian Building and Construction Commission and the </w:t>
      </w:r>
      <w:r w:rsidRPr="002E7AFB">
        <w:rPr>
          <w:rFonts w:cstheme="minorHAnsi"/>
          <w:i/>
        </w:rPr>
        <w:t>Code for the Tendering and Performance of Building Work 2016</w:t>
      </w:r>
      <w:r w:rsidRPr="002E7AFB">
        <w:rPr>
          <w:rFonts w:cstheme="minorHAnsi"/>
        </w:rPr>
        <w:t xml:space="preserve"> (Building Code). </w:t>
      </w:r>
    </w:p>
    <w:p w14:paraId="7268F3F0" w14:textId="084CC21F" w:rsidR="002E7AFB" w:rsidRPr="002E7AFB" w:rsidRDefault="002E7AFB" w:rsidP="002E7AFB">
      <w:pPr>
        <w:rPr>
          <w:rFonts w:cstheme="minorHAnsi"/>
        </w:rPr>
      </w:pPr>
      <w:r w:rsidRPr="002E7AFB">
        <w:rPr>
          <w:rFonts w:cstheme="minorHAnsi"/>
        </w:rPr>
        <w:t xml:space="preserve">The Australian Government supports the tackling of key challenges in the sector, particularly through tripartite consultation and cooperation. This includes recent industry roundtables led by the Minister for Infrastructure, Transport, Regional Development and Local Government, with stakeholders from across industry, local government, peak groups, rural youth, and research and community groups from regional Australia. </w:t>
      </w:r>
    </w:p>
    <w:p w14:paraId="3F633DF1" w14:textId="6201DCE6" w:rsidR="002E7AFB" w:rsidRPr="002E7AFB" w:rsidRDefault="002E7AFB" w:rsidP="002E7AFB">
      <w:pPr>
        <w:rPr>
          <w:rFonts w:cstheme="minorHAnsi"/>
        </w:rPr>
      </w:pPr>
      <w:r w:rsidRPr="002E7AFB">
        <w:rPr>
          <w:rFonts w:cstheme="minorHAnsi"/>
        </w:rPr>
        <w:t xml:space="preserve">The Australian Government hosted the Jobs and Skills Summit on 1 and 2 September 2022. An outcome of the Jobs and Skills Summit was agreement by business, unions and Government to work proactively together to establish a tripartite National Construction Industry Forum to constructively address issues such as mental health, safety, training, apprentices, productivity, culture, diversity and gender equity in the industry. This commitment </w:t>
      </w:r>
      <w:r w:rsidR="00FA0415">
        <w:rPr>
          <w:rFonts w:cstheme="minorHAnsi"/>
        </w:rPr>
        <w:t>is</w:t>
      </w:r>
      <w:r w:rsidRPr="002E7AFB">
        <w:rPr>
          <w:rFonts w:cstheme="minorHAnsi"/>
        </w:rPr>
        <w:t xml:space="preserve"> implemented by the </w:t>
      </w:r>
      <w:r w:rsidR="00FA0415">
        <w:rPr>
          <w:rFonts w:cstheme="minorHAnsi"/>
        </w:rPr>
        <w:t>Secure Jobs, Better Pay Act</w:t>
      </w:r>
      <w:r w:rsidRPr="002E7AFB">
        <w:rPr>
          <w:rFonts w:cstheme="minorHAnsi"/>
        </w:rPr>
        <w:t>.</w:t>
      </w:r>
    </w:p>
    <w:p w14:paraId="5D4C14D9" w14:textId="35824E63" w:rsidR="002E7AFB" w:rsidRPr="002E7AFB" w:rsidRDefault="002E7AFB" w:rsidP="002E7AFB">
      <w:pPr>
        <w:rPr>
          <w:rFonts w:cstheme="minorHAnsi"/>
        </w:rPr>
      </w:pPr>
      <w:r w:rsidRPr="002E7AFB">
        <w:rPr>
          <w:rFonts w:cstheme="minorHAnsi"/>
        </w:rPr>
        <w:t xml:space="preserve">At the Jobs and Skills Summit, the Government </w:t>
      </w:r>
      <w:r w:rsidR="00C26344">
        <w:rPr>
          <w:rFonts w:cstheme="minorHAnsi"/>
        </w:rPr>
        <w:t xml:space="preserve">also </w:t>
      </w:r>
      <w:r w:rsidR="00846303">
        <w:rPr>
          <w:rFonts w:cstheme="minorHAnsi"/>
        </w:rPr>
        <w:t>identified areas for further work</w:t>
      </w:r>
      <w:r w:rsidRPr="002E7AFB">
        <w:rPr>
          <w:rFonts w:cstheme="minorHAnsi"/>
        </w:rPr>
        <w:t xml:space="preserve">. The </w:t>
      </w:r>
      <w:r w:rsidR="00846303">
        <w:rPr>
          <w:rFonts w:cstheme="minorHAnsi"/>
        </w:rPr>
        <w:t>Government committed to</w:t>
      </w:r>
      <w:r w:rsidRPr="002E7AFB">
        <w:rPr>
          <w:rFonts w:cstheme="minorHAnsi"/>
        </w:rPr>
        <w:t xml:space="preserve"> include </w:t>
      </w:r>
      <w:r w:rsidRPr="002E7AFB">
        <w:rPr>
          <w:rFonts w:cstheme="minorHAnsi"/>
          <w:bCs/>
        </w:rPr>
        <w:t>targets</w:t>
      </w:r>
      <w:r w:rsidRPr="002E7AFB">
        <w:rPr>
          <w:rFonts w:cstheme="minorHAnsi"/>
        </w:rPr>
        <w:t xml:space="preserve"> for women in the Australian Skills Guarantee to provide more opportunities for women to work and train on major projects, including in industries like construction that have historically had a low level of female participation.</w:t>
      </w:r>
    </w:p>
    <w:p w14:paraId="4AC8C1EA" w14:textId="77777777" w:rsidR="002E7AFB" w:rsidRPr="002E7AFB" w:rsidRDefault="002E7AFB" w:rsidP="002E7AFB">
      <w:pPr>
        <w:rPr>
          <w:rFonts w:cstheme="minorHAnsi"/>
        </w:rPr>
      </w:pPr>
      <w:r w:rsidRPr="002E7AFB">
        <w:rPr>
          <w:rFonts w:cstheme="minorHAnsi"/>
        </w:rPr>
        <w:t>There are also a range of existing mechanisms in the Commonwealth Procurement Framework that require procuring officials to consider tenderer practices when conducting a procurement process. These include that relevant entities must not seek to benefit from supplier practices that may be dishonest, unethical or unsafe, and any lack of compliance with applicable workplace standards.</w:t>
      </w:r>
    </w:p>
    <w:p w14:paraId="12C41C3B" w14:textId="488DA9E8" w:rsidR="002E7AFB" w:rsidRPr="002E7AFB" w:rsidRDefault="002E7AFB" w:rsidP="002E7AFB">
      <w:pPr>
        <w:rPr>
          <w:rFonts w:cstheme="minorHAnsi"/>
        </w:rPr>
      </w:pPr>
      <w:r w:rsidRPr="002E7AFB">
        <w:rPr>
          <w:rFonts w:cstheme="minorHAnsi"/>
        </w:rPr>
        <w:lastRenderedPageBreak/>
        <w:t>The Australian Government also committed to establishing a Secure Australian Jobs Code as part of its Buy Australian Plan election commitment to prioritise secure work in government contracts and ensure that government purchasing power is being used to support businesses that engage in fair, equitable, ethical and sustainable practices.</w:t>
      </w:r>
    </w:p>
    <w:p w14:paraId="4B91A667" w14:textId="51AA428E" w:rsidR="00AB0405" w:rsidRPr="007E7606" w:rsidRDefault="002E7AFB" w:rsidP="002E7AFB">
      <w:pPr>
        <w:rPr>
          <w:rFonts w:cstheme="minorHAnsi"/>
          <w:color w:val="000000"/>
        </w:rPr>
      </w:pPr>
      <w:r w:rsidRPr="002E7AFB">
        <w:rPr>
          <w:rFonts w:cstheme="minorHAnsi"/>
        </w:rPr>
        <w:t xml:space="preserve">The Australian Government is committed to continual improvement of the safety culture in the building and construction industry through the Federal Safety Commissioner (FSC) and the Work Health and Safety Accreditation Scheme. Building and construction companies must be accredited under the Scheme in order to win contracts for Commonwealth-funded building work above certain financial thresholds. To receive, and maintain accreditation, companies must meet the FSC’s safety standards which apply over and above obligations in </w:t>
      </w:r>
      <w:r w:rsidR="008E39EE">
        <w:rPr>
          <w:rFonts w:cstheme="minorHAnsi"/>
        </w:rPr>
        <w:t>s</w:t>
      </w:r>
      <w:r w:rsidRPr="002E7AFB">
        <w:rPr>
          <w:rFonts w:cstheme="minorHAnsi"/>
        </w:rPr>
        <w:t xml:space="preserve">tate and </w:t>
      </w:r>
      <w:r w:rsidR="008E39EE">
        <w:rPr>
          <w:rFonts w:cstheme="minorHAnsi"/>
        </w:rPr>
        <w:t>t</w:t>
      </w:r>
      <w:r w:rsidRPr="002E7AFB">
        <w:rPr>
          <w:rFonts w:cstheme="minorHAnsi"/>
        </w:rPr>
        <w:t>erritory work health and safety laws. Scheme accredited companies are safer; between 2017 and 2021, accredited companies reduced their lost time injury frequency rate (LTIFR) by 21 per cent</w:t>
      </w:r>
      <w:r w:rsidR="00AB0405" w:rsidRPr="007E7606">
        <w:rPr>
          <w:rFonts w:cstheme="minorHAnsi"/>
          <w:color w:val="000000"/>
        </w:rPr>
        <w:t>.</w:t>
      </w:r>
    </w:p>
    <w:p w14:paraId="789E5B54" w14:textId="0DCD980F" w:rsidR="00AB0405" w:rsidRPr="007E7606" w:rsidRDefault="00AB0405" w:rsidP="00846303">
      <w:pPr>
        <w:rPr>
          <w:rFonts w:ascii="Calibri" w:eastAsia="Times New Roman" w:hAnsi="Calibri" w:cs="Calibri"/>
          <w:lang w:eastAsia="en-AU"/>
        </w:rPr>
      </w:pPr>
    </w:p>
    <w:sectPr w:rsidR="00AB0405" w:rsidRPr="007E7606" w:rsidSect="003D404E">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A2AA7" w14:textId="77777777" w:rsidR="0093519D" w:rsidRDefault="0093519D" w:rsidP="00F47674">
      <w:pPr>
        <w:spacing w:after="0" w:line="240" w:lineRule="auto"/>
      </w:pPr>
      <w:r>
        <w:separator/>
      </w:r>
    </w:p>
  </w:endnote>
  <w:endnote w:type="continuationSeparator" w:id="0">
    <w:p w14:paraId="09607426" w14:textId="77777777" w:rsidR="0093519D" w:rsidRDefault="0093519D" w:rsidP="00F47674">
      <w:pPr>
        <w:spacing w:after="0" w:line="240" w:lineRule="auto"/>
      </w:pPr>
      <w:r>
        <w:continuationSeparator/>
      </w:r>
    </w:p>
  </w:endnote>
  <w:endnote w:type="continuationNotice" w:id="1">
    <w:p w14:paraId="4C81E58A" w14:textId="77777777" w:rsidR="0093519D" w:rsidRDefault="00935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3519D" w14:paraId="520E9ACC" w14:textId="77777777" w:rsidTr="00687069">
      <w:tc>
        <w:tcPr>
          <w:tcW w:w="3005" w:type="dxa"/>
        </w:tcPr>
        <w:p w14:paraId="3AC1BCD5" w14:textId="77777777" w:rsidR="0093519D" w:rsidRDefault="0093519D">
          <w:pPr>
            <w:pStyle w:val="Footer"/>
          </w:pPr>
        </w:p>
      </w:tc>
      <w:tc>
        <w:tcPr>
          <w:tcW w:w="3005" w:type="dxa"/>
        </w:tcPr>
        <w:p w14:paraId="3575F7E5" w14:textId="670990A7" w:rsidR="0093519D" w:rsidRPr="00845B93" w:rsidRDefault="0093519D" w:rsidP="00F47674">
          <w:pPr>
            <w:pStyle w:val="Footer"/>
            <w:jc w:val="center"/>
            <w:rPr>
              <w:b/>
            </w:rPr>
          </w:pPr>
        </w:p>
      </w:tc>
      <w:tc>
        <w:tcPr>
          <w:tcW w:w="3006" w:type="dxa"/>
        </w:tcPr>
        <w:p w14:paraId="09B3CEBB" w14:textId="5B89D65B" w:rsidR="0093519D" w:rsidRPr="001B207A" w:rsidRDefault="0093519D" w:rsidP="00687069">
          <w:pPr>
            <w:pStyle w:val="Footer"/>
            <w:jc w:val="right"/>
            <w:rPr>
              <w:sz w:val="20"/>
              <w:szCs w:val="20"/>
            </w:rPr>
          </w:pPr>
          <w:r w:rsidRPr="001B207A">
            <w:rPr>
              <w:sz w:val="20"/>
              <w:szCs w:val="20"/>
            </w:rPr>
            <w:fldChar w:fldCharType="begin"/>
          </w:r>
          <w:r w:rsidRPr="00BC767B">
            <w:rPr>
              <w:sz w:val="20"/>
            </w:rPr>
            <w:instrText xml:space="preserve"> PAGE   \* MERGEFORMAT </w:instrText>
          </w:r>
          <w:r w:rsidRPr="001B207A">
            <w:rPr>
              <w:sz w:val="20"/>
            </w:rPr>
            <w:fldChar w:fldCharType="separate"/>
          </w:r>
          <w:r w:rsidRPr="007E7606">
            <w:rPr>
              <w:sz w:val="20"/>
              <w:szCs w:val="20"/>
            </w:rPr>
            <w:t>1</w:t>
          </w:r>
          <w:r w:rsidRPr="001B207A">
            <w:rPr>
              <w:sz w:val="20"/>
              <w:szCs w:val="20"/>
            </w:rPr>
            <w:fldChar w:fldCharType="end"/>
          </w:r>
          <w:r w:rsidRPr="001B207A">
            <w:rPr>
              <w:sz w:val="20"/>
              <w:szCs w:val="20"/>
            </w:rPr>
            <w:t xml:space="preserve"> / </w:t>
          </w:r>
          <w:r>
            <w:rPr>
              <w:sz w:val="20"/>
              <w:szCs w:val="20"/>
            </w:rPr>
            <w:fldChar w:fldCharType="begin"/>
          </w:r>
          <w:r>
            <w:rPr>
              <w:sz w:val="20"/>
              <w:szCs w:val="20"/>
            </w:rPr>
            <w:instrText xml:space="preserve"> SECTIONPAGES  \* roman  \* MERGEFORMAT </w:instrText>
          </w:r>
          <w:r>
            <w:rPr>
              <w:sz w:val="20"/>
              <w:szCs w:val="20"/>
            </w:rPr>
            <w:fldChar w:fldCharType="separate"/>
          </w:r>
          <w:r w:rsidR="00D62EB6">
            <w:rPr>
              <w:noProof/>
              <w:sz w:val="20"/>
              <w:szCs w:val="20"/>
            </w:rPr>
            <w:t>v</w:t>
          </w:r>
          <w:r>
            <w:rPr>
              <w:sz w:val="20"/>
              <w:szCs w:val="20"/>
            </w:rPr>
            <w:fldChar w:fldCharType="end"/>
          </w:r>
        </w:p>
      </w:tc>
    </w:tr>
  </w:tbl>
  <w:p w14:paraId="15556D29" w14:textId="77777777" w:rsidR="0093519D" w:rsidRDefault="0093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3519D" w14:paraId="4BA84086" w14:textId="77777777" w:rsidTr="00687069">
      <w:tc>
        <w:tcPr>
          <w:tcW w:w="3005" w:type="dxa"/>
        </w:tcPr>
        <w:p w14:paraId="5802CE00" w14:textId="77777777" w:rsidR="0093519D" w:rsidRDefault="0093519D">
          <w:pPr>
            <w:pStyle w:val="Footer"/>
          </w:pPr>
        </w:p>
      </w:tc>
      <w:tc>
        <w:tcPr>
          <w:tcW w:w="3005" w:type="dxa"/>
        </w:tcPr>
        <w:p w14:paraId="7EA5BA53" w14:textId="76846D07" w:rsidR="0093519D" w:rsidRPr="00845B93" w:rsidRDefault="0093519D" w:rsidP="00F47674">
          <w:pPr>
            <w:pStyle w:val="Footer"/>
            <w:jc w:val="center"/>
            <w:rPr>
              <w:b/>
            </w:rPr>
          </w:pPr>
        </w:p>
      </w:tc>
      <w:tc>
        <w:tcPr>
          <w:tcW w:w="3006" w:type="dxa"/>
        </w:tcPr>
        <w:p w14:paraId="36EA0AAC" w14:textId="6FF3BB20" w:rsidR="0093519D" w:rsidRPr="001B207A" w:rsidRDefault="0093519D" w:rsidP="00687069">
          <w:pPr>
            <w:pStyle w:val="Footer"/>
            <w:jc w:val="right"/>
            <w:rPr>
              <w:sz w:val="20"/>
              <w:szCs w:val="20"/>
            </w:rPr>
          </w:pPr>
          <w:r w:rsidRPr="001B207A">
            <w:rPr>
              <w:sz w:val="20"/>
              <w:szCs w:val="20"/>
            </w:rPr>
            <w:fldChar w:fldCharType="begin"/>
          </w:r>
          <w:r w:rsidRPr="00BC767B">
            <w:rPr>
              <w:sz w:val="20"/>
            </w:rPr>
            <w:instrText xml:space="preserve"> PAGE   \* MERGEFORMAT </w:instrText>
          </w:r>
          <w:r w:rsidRPr="001B207A">
            <w:rPr>
              <w:sz w:val="20"/>
            </w:rPr>
            <w:fldChar w:fldCharType="separate"/>
          </w:r>
          <w:r w:rsidRPr="007E7606">
            <w:rPr>
              <w:sz w:val="20"/>
              <w:szCs w:val="20"/>
            </w:rPr>
            <w:t>1</w:t>
          </w:r>
          <w:r w:rsidRPr="001B207A">
            <w:rPr>
              <w:sz w:val="20"/>
              <w:szCs w:val="20"/>
            </w:rPr>
            <w:fldChar w:fldCharType="end"/>
          </w:r>
          <w:r w:rsidRPr="001B207A">
            <w:rPr>
              <w:sz w:val="20"/>
              <w:szCs w:val="20"/>
            </w:rPr>
            <w:t xml:space="preserve"> / </w:t>
          </w:r>
          <w:r>
            <w:rPr>
              <w:sz w:val="20"/>
              <w:szCs w:val="20"/>
            </w:rPr>
            <w:fldChar w:fldCharType="begin"/>
          </w:r>
          <w:r>
            <w:rPr>
              <w:sz w:val="20"/>
              <w:szCs w:val="20"/>
            </w:rPr>
            <w:instrText xml:space="preserve"> SECTIONPAGES  \* Arabic  \* MERGEFORMAT </w:instrText>
          </w:r>
          <w:r>
            <w:rPr>
              <w:sz w:val="20"/>
              <w:szCs w:val="20"/>
            </w:rPr>
            <w:fldChar w:fldCharType="separate"/>
          </w:r>
          <w:r w:rsidR="00D62EB6">
            <w:rPr>
              <w:noProof/>
              <w:sz w:val="20"/>
              <w:szCs w:val="20"/>
            </w:rPr>
            <w:t>12</w:t>
          </w:r>
          <w:r>
            <w:rPr>
              <w:sz w:val="20"/>
              <w:szCs w:val="20"/>
            </w:rPr>
            <w:fldChar w:fldCharType="end"/>
          </w:r>
        </w:p>
      </w:tc>
    </w:tr>
  </w:tbl>
  <w:p w14:paraId="10C03EEE" w14:textId="77777777" w:rsidR="0093519D" w:rsidRDefault="0093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CDC9" w14:textId="77777777" w:rsidR="0093519D" w:rsidRDefault="0093519D" w:rsidP="00F47674">
      <w:pPr>
        <w:spacing w:after="0" w:line="240" w:lineRule="auto"/>
      </w:pPr>
      <w:r>
        <w:separator/>
      </w:r>
    </w:p>
  </w:footnote>
  <w:footnote w:type="continuationSeparator" w:id="0">
    <w:p w14:paraId="148A7109" w14:textId="77777777" w:rsidR="0093519D" w:rsidRDefault="0093519D" w:rsidP="00F47674">
      <w:pPr>
        <w:spacing w:after="0" w:line="240" w:lineRule="auto"/>
      </w:pPr>
      <w:r>
        <w:continuationSeparator/>
      </w:r>
    </w:p>
  </w:footnote>
  <w:footnote w:type="continuationNotice" w:id="1">
    <w:p w14:paraId="2C4ACD9E" w14:textId="77777777" w:rsidR="0093519D" w:rsidRDefault="00935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5E4F" w14:textId="3295CEE9" w:rsidR="0093519D" w:rsidRPr="001B207A" w:rsidRDefault="0093519D" w:rsidP="003D404E">
    <w:pPr>
      <w:pStyle w:val="Footer"/>
      <w:jc w:val="center"/>
      <w:rPr>
        <w:b/>
      </w:rPr>
    </w:pPr>
  </w:p>
  <w:p w14:paraId="076A4930" w14:textId="77777777" w:rsidR="0093519D" w:rsidRDefault="00935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3519D" w14:paraId="2C006558" w14:textId="77777777" w:rsidTr="002A08B2">
      <w:tc>
        <w:tcPr>
          <w:tcW w:w="3005" w:type="dxa"/>
        </w:tcPr>
        <w:p w14:paraId="017668CF" w14:textId="77777777" w:rsidR="0093519D" w:rsidRPr="00BC767B" w:rsidRDefault="0093519D" w:rsidP="00B75F8F">
          <w:pPr>
            <w:pStyle w:val="Footer"/>
            <w:rPr>
              <w:sz w:val="20"/>
            </w:rPr>
          </w:pPr>
        </w:p>
      </w:tc>
      <w:tc>
        <w:tcPr>
          <w:tcW w:w="3005" w:type="dxa"/>
        </w:tcPr>
        <w:p w14:paraId="369F8B77" w14:textId="09E9B50A" w:rsidR="0093519D" w:rsidRPr="001B207A" w:rsidRDefault="0093519D" w:rsidP="00560088">
          <w:pPr>
            <w:pStyle w:val="Footer"/>
            <w:jc w:val="center"/>
            <w:rPr>
              <w:b/>
            </w:rPr>
          </w:pPr>
        </w:p>
      </w:tc>
      <w:tc>
        <w:tcPr>
          <w:tcW w:w="3006" w:type="dxa"/>
        </w:tcPr>
        <w:p w14:paraId="0B0DD065" w14:textId="77777777" w:rsidR="0093519D" w:rsidRDefault="0093519D" w:rsidP="00B75F8F">
          <w:pPr>
            <w:pStyle w:val="Footer"/>
            <w:jc w:val="right"/>
          </w:pPr>
        </w:p>
      </w:tc>
    </w:tr>
  </w:tbl>
  <w:p w14:paraId="1B6F7581" w14:textId="32CDC29B" w:rsidR="0093519D" w:rsidRDefault="0093519D" w:rsidP="00560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F11"/>
    <w:multiLevelType w:val="multilevel"/>
    <w:tmpl w:val="244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02729"/>
    <w:multiLevelType w:val="hybridMultilevel"/>
    <w:tmpl w:val="33BE6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25455B"/>
    <w:multiLevelType w:val="hybridMultilevel"/>
    <w:tmpl w:val="BBCE5826"/>
    <w:lvl w:ilvl="0" w:tplc="31620B0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D46AC5"/>
    <w:multiLevelType w:val="hybridMultilevel"/>
    <w:tmpl w:val="C70EE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6B57C6"/>
    <w:multiLevelType w:val="multilevel"/>
    <w:tmpl w:val="404E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958D6"/>
    <w:multiLevelType w:val="hybridMultilevel"/>
    <w:tmpl w:val="B7884F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563B99"/>
    <w:multiLevelType w:val="hybridMultilevel"/>
    <w:tmpl w:val="2F821A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D66D54"/>
    <w:multiLevelType w:val="hybridMultilevel"/>
    <w:tmpl w:val="53E4B0C8"/>
    <w:lvl w:ilvl="0" w:tplc="0D5843C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54F0F"/>
    <w:multiLevelType w:val="hybridMultilevel"/>
    <w:tmpl w:val="542ED6C4"/>
    <w:lvl w:ilvl="0" w:tplc="33A6B1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3C64460"/>
    <w:multiLevelType w:val="multilevel"/>
    <w:tmpl w:val="C702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1877E3"/>
    <w:multiLevelType w:val="hybridMultilevel"/>
    <w:tmpl w:val="542ED6C4"/>
    <w:lvl w:ilvl="0" w:tplc="33A6B1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D3A6C"/>
    <w:multiLevelType w:val="hybridMultilevel"/>
    <w:tmpl w:val="ECF4D812"/>
    <w:lvl w:ilvl="0" w:tplc="ED60FC4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A151BF"/>
    <w:multiLevelType w:val="hybridMultilevel"/>
    <w:tmpl w:val="0914A3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626F92"/>
    <w:multiLevelType w:val="hybridMultilevel"/>
    <w:tmpl w:val="000623D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22B6578C"/>
    <w:multiLevelType w:val="hybridMultilevel"/>
    <w:tmpl w:val="6A2A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C62BE"/>
    <w:multiLevelType w:val="hybridMultilevel"/>
    <w:tmpl w:val="AE825C6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2A57150D"/>
    <w:multiLevelType w:val="hybridMultilevel"/>
    <w:tmpl w:val="9D30D3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0586B"/>
    <w:multiLevelType w:val="hybridMultilevel"/>
    <w:tmpl w:val="55F8A2C8"/>
    <w:lvl w:ilvl="0" w:tplc="B7BE9B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6A07BC"/>
    <w:multiLevelType w:val="multilevel"/>
    <w:tmpl w:val="BD5E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928E5"/>
    <w:multiLevelType w:val="hybridMultilevel"/>
    <w:tmpl w:val="ABB48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627ACE"/>
    <w:multiLevelType w:val="hybridMultilevel"/>
    <w:tmpl w:val="21F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123C2"/>
    <w:multiLevelType w:val="hybridMultilevel"/>
    <w:tmpl w:val="102022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30CB1998"/>
    <w:multiLevelType w:val="hybridMultilevel"/>
    <w:tmpl w:val="4120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14525"/>
    <w:multiLevelType w:val="hybridMultilevel"/>
    <w:tmpl w:val="BAF2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A38DB"/>
    <w:multiLevelType w:val="multilevel"/>
    <w:tmpl w:val="ABD21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73295E"/>
    <w:multiLevelType w:val="multilevel"/>
    <w:tmpl w:val="5B2C35CE"/>
    <w:lvl w:ilvl="0">
      <w:start w:val="1"/>
      <w:numFmt w:val="bullet"/>
      <w:pStyle w:val="Bullet1"/>
      <w:lvlText w:val="•"/>
      <w:lvlJc w:val="left"/>
      <w:pPr>
        <w:ind w:left="284" w:hanging="284"/>
      </w:pPr>
      <w:rPr>
        <w:rFonts w:ascii="Calibri" w:hAnsi="Calibri" w:cs="Times New Roman" w:hint="default"/>
        <w:color w:val="auto"/>
      </w:rPr>
    </w:lvl>
    <w:lvl w:ilvl="1">
      <w:start w:val="1"/>
      <w:numFmt w:val="bullet"/>
      <w:pStyle w:val="Bullet2"/>
      <w:lvlText w:val="–"/>
      <w:lvlJc w:val="left"/>
      <w:pPr>
        <w:ind w:left="568" w:hanging="284"/>
      </w:pPr>
      <w:rPr>
        <w:rFonts w:ascii="Calibri" w:hAnsi="Calibri" w:cs="Times New Roman" w:hint="default"/>
        <w:color w:val="auto"/>
      </w:rPr>
    </w:lvl>
    <w:lvl w:ilvl="2">
      <w:start w:val="1"/>
      <w:numFmt w:val="bullet"/>
      <w:pStyle w:val="Bullet3"/>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6" w15:restartNumberingAfterBreak="0">
    <w:nsid w:val="44DD063F"/>
    <w:multiLevelType w:val="hybridMultilevel"/>
    <w:tmpl w:val="C04A8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FF2684"/>
    <w:multiLevelType w:val="hybridMultilevel"/>
    <w:tmpl w:val="B78632E0"/>
    <w:lvl w:ilvl="0" w:tplc="1A7209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090D4E"/>
    <w:multiLevelType w:val="hybridMultilevel"/>
    <w:tmpl w:val="85A23C40"/>
    <w:lvl w:ilvl="0" w:tplc="33A6B1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C3B3A2E"/>
    <w:multiLevelType w:val="hybridMultilevel"/>
    <w:tmpl w:val="5CDAA0E2"/>
    <w:lvl w:ilvl="0" w:tplc="0C090001">
      <w:start w:val="1"/>
      <w:numFmt w:val="bullet"/>
      <w:lvlText w:val=""/>
      <w:lvlJc w:val="left"/>
      <w:pPr>
        <w:ind w:left="-540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360" w:hanging="360"/>
      </w:pPr>
      <w:rPr>
        <w:rFonts w:ascii="Courier New" w:hAnsi="Courier New" w:cs="Courier New" w:hint="default"/>
      </w:rPr>
    </w:lvl>
    <w:lvl w:ilvl="8" w:tplc="0C090005" w:tentative="1">
      <w:start w:val="1"/>
      <w:numFmt w:val="bullet"/>
      <w:lvlText w:val=""/>
      <w:lvlJc w:val="left"/>
      <w:pPr>
        <w:ind w:left="360" w:hanging="360"/>
      </w:pPr>
      <w:rPr>
        <w:rFonts w:ascii="Wingdings" w:hAnsi="Wingdings" w:hint="default"/>
      </w:rPr>
    </w:lvl>
  </w:abstractNum>
  <w:abstractNum w:abstractNumId="30" w15:restartNumberingAfterBreak="0">
    <w:nsid w:val="4CC72587"/>
    <w:multiLevelType w:val="hybridMultilevel"/>
    <w:tmpl w:val="3376A884"/>
    <w:lvl w:ilvl="0" w:tplc="3BB858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17553B"/>
    <w:multiLevelType w:val="hybridMultilevel"/>
    <w:tmpl w:val="85A23C40"/>
    <w:lvl w:ilvl="0" w:tplc="33A6B1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48068B9"/>
    <w:multiLevelType w:val="multilevel"/>
    <w:tmpl w:val="AEA48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F70BB4"/>
    <w:multiLevelType w:val="hybridMultilevel"/>
    <w:tmpl w:val="3092B1AA"/>
    <w:lvl w:ilvl="0" w:tplc="DB5ACE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C4484C"/>
    <w:multiLevelType w:val="hybridMultilevel"/>
    <w:tmpl w:val="803A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016901"/>
    <w:multiLevelType w:val="hybridMultilevel"/>
    <w:tmpl w:val="19FEAA58"/>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7E1DA7"/>
    <w:multiLevelType w:val="hybridMultilevel"/>
    <w:tmpl w:val="A1E44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665B8"/>
    <w:multiLevelType w:val="multilevel"/>
    <w:tmpl w:val="176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E1400C"/>
    <w:multiLevelType w:val="hybridMultilevel"/>
    <w:tmpl w:val="755A89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44251C"/>
    <w:multiLevelType w:val="hybridMultilevel"/>
    <w:tmpl w:val="FFC61C86"/>
    <w:lvl w:ilvl="0" w:tplc="63726402">
      <w:numFmt w:val="bullet"/>
      <w:lvlText w:val=""/>
      <w:lvlJc w:val="left"/>
      <w:pPr>
        <w:ind w:left="720" w:hanging="360"/>
      </w:pPr>
      <w:rPr>
        <w:rFonts w:ascii="Symbol" w:eastAsiaTheme="minorEastAsia" w:hAnsi="Symbol"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34"/>
  </w:num>
  <w:num w:numId="4">
    <w:abstractNumId w:val="26"/>
  </w:num>
  <w:num w:numId="5">
    <w:abstractNumId w:val="35"/>
  </w:num>
  <w:num w:numId="6">
    <w:abstractNumId w:val="22"/>
  </w:num>
  <w:num w:numId="7">
    <w:abstractNumId w:val="15"/>
  </w:num>
  <w:num w:numId="8">
    <w:abstractNumId w:val="32"/>
  </w:num>
  <w:num w:numId="9">
    <w:abstractNumId w:val="14"/>
  </w:num>
  <w:num w:numId="10">
    <w:abstractNumId w:val="1"/>
  </w:num>
  <w:num w:numId="11">
    <w:abstractNumId w:val="3"/>
  </w:num>
  <w:num w:numId="12">
    <w:abstractNumId w:val="21"/>
  </w:num>
  <w:num w:numId="13">
    <w:abstractNumId w:val="20"/>
  </w:num>
  <w:num w:numId="14">
    <w:abstractNumId w:val="6"/>
  </w:num>
  <w:num w:numId="15">
    <w:abstractNumId w:val="29"/>
  </w:num>
  <w:num w:numId="16">
    <w:abstractNumId w:val="2"/>
  </w:num>
  <w:num w:numId="17">
    <w:abstractNumId w:val="37"/>
  </w:num>
  <w:num w:numId="18">
    <w:abstractNumId w:val="13"/>
  </w:num>
  <w:num w:numId="19">
    <w:abstractNumId w:val="5"/>
  </w:num>
  <w:num w:numId="20">
    <w:abstractNumId w:val="30"/>
  </w:num>
  <w:num w:numId="21">
    <w:abstractNumId w:val="12"/>
  </w:num>
  <w:num w:numId="22">
    <w:abstractNumId w:val="38"/>
  </w:num>
  <w:num w:numId="23">
    <w:abstractNumId w:val="25"/>
  </w:num>
  <w:num w:numId="24">
    <w:abstractNumId w:val="39"/>
  </w:num>
  <w:num w:numId="25">
    <w:abstractNumId w:val="4"/>
  </w:num>
  <w:num w:numId="26">
    <w:abstractNumId w:val="0"/>
  </w:num>
  <w:num w:numId="27">
    <w:abstractNumId w:val="24"/>
  </w:num>
  <w:num w:numId="28">
    <w:abstractNumId w:val="18"/>
  </w:num>
  <w:num w:numId="29">
    <w:abstractNumId w:val="9"/>
  </w:num>
  <w:num w:numId="30">
    <w:abstractNumId w:val="7"/>
  </w:num>
  <w:num w:numId="31">
    <w:abstractNumId w:val="33"/>
  </w:num>
  <w:num w:numId="32">
    <w:abstractNumId w:val="17"/>
  </w:num>
  <w:num w:numId="33">
    <w:abstractNumId w:val="8"/>
  </w:num>
  <w:num w:numId="34">
    <w:abstractNumId w:val="10"/>
  </w:num>
  <w:num w:numId="35">
    <w:abstractNumId w:val="27"/>
  </w:num>
  <w:num w:numId="36">
    <w:abstractNumId w:val="31"/>
  </w:num>
  <w:num w:numId="37">
    <w:abstractNumId w:val="11"/>
  </w:num>
  <w:num w:numId="38">
    <w:abstractNumId w:val="28"/>
  </w:num>
  <w:num w:numId="39">
    <w:abstractNumId w:val="16"/>
  </w:num>
  <w:num w:numId="40">
    <w:abstractNumId w:val="1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74"/>
    <w:rsid w:val="00006217"/>
    <w:rsid w:val="00014BA7"/>
    <w:rsid w:val="000217DD"/>
    <w:rsid w:val="00026FE7"/>
    <w:rsid w:val="00042772"/>
    <w:rsid w:val="000435DC"/>
    <w:rsid w:val="000455E5"/>
    <w:rsid w:val="000467F6"/>
    <w:rsid w:val="00051584"/>
    <w:rsid w:val="00057628"/>
    <w:rsid w:val="00063ECF"/>
    <w:rsid w:val="00066C91"/>
    <w:rsid w:val="000726D3"/>
    <w:rsid w:val="0007626A"/>
    <w:rsid w:val="00087BDC"/>
    <w:rsid w:val="00092EC8"/>
    <w:rsid w:val="000A7915"/>
    <w:rsid w:val="000C0429"/>
    <w:rsid w:val="000D2D65"/>
    <w:rsid w:val="000E3C47"/>
    <w:rsid w:val="000F0F76"/>
    <w:rsid w:val="000F2C27"/>
    <w:rsid w:val="000F757A"/>
    <w:rsid w:val="000F782F"/>
    <w:rsid w:val="00101191"/>
    <w:rsid w:val="00102F54"/>
    <w:rsid w:val="00116399"/>
    <w:rsid w:val="001260DD"/>
    <w:rsid w:val="0012732C"/>
    <w:rsid w:val="00130B7C"/>
    <w:rsid w:val="001357E9"/>
    <w:rsid w:val="00143BFB"/>
    <w:rsid w:val="00145005"/>
    <w:rsid w:val="00146A46"/>
    <w:rsid w:val="00166B61"/>
    <w:rsid w:val="00175FC4"/>
    <w:rsid w:val="00195E8F"/>
    <w:rsid w:val="001A5436"/>
    <w:rsid w:val="001A5AF3"/>
    <w:rsid w:val="001B0147"/>
    <w:rsid w:val="001B207A"/>
    <w:rsid w:val="001B43B2"/>
    <w:rsid w:val="001B4D8F"/>
    <w:rsid w:val="001C409C"/>
    <w:rsid w:val="001D2A65"/>
    <w:rsid w:val="001D6B04"/>
    <w:rsid w:val="001D7F9E"/>
    <w:rsid w:val="001E3366"/>
    <w:rsid w:val="001E5247"/>
    <w:rsid w:val="001F39D7"/>
    <w:rsid w:val="00200516"/>
    <w:rsid w:val="002023A0"/>
    <w:rsid w:val="00205D39"/>
    <w:rsid w:val="002067F5"/>
    <w:rsid w:val="0021252F"/>
    <w:rsid w:val="00241297"/>
    <w:rsid w:val="00254C12"/>
    <w:rsid w:val="002708AF"/>
    <w:rsid w:val="00292A68"/>
    <w:rsid w:val="00293107"/>
    <w:rsid w:val="00293C47"/>
    <w:rsid w:val="00296A66"/>
    <w:rsid w:val="002A08B2"/>
    <w:rsid w:val="002A7CBF"/>
    <w:rsid w:val="002B3E08"/>
    <w:rsid w:val="002C0CEE"/>
    <w:rsid w:val="002C19C0"/>
    <w:rsid w:val="002C7801"/>
    <w:rsid w:val="002C7BBC"/>
    <w:rsid w:val="002E5490"/>
    <w:rsid w:val="002E7AFB"/>
    <w:rsid w:val="00302033"/>
    <w:rsid w:val="003072E1"/>
    <w:rsid w:val="00323EFD"/>
    <w:rsid w:val="00324474"/>
    <w:rsid w:val="00324E95"/>
    <w:rsid w:val="00327BFB"/>
    <w:rsid w:val="00332F3C"/>
    <w:rsid w:val="0033412F"/>
    <w:rsid w:val="0033663F"/>
    <w:rsid w:val="00336E76"/>
    <w:rsid w:val="0033722A"/>
    <w:rsid w:val="00346B50"/>
    <w:rsid w:val="003523AD"/>
    <w:rsid w:val="00354674"/>
    <w:rsid w:val="0035551E"/>
    <w:rsid w:val="00357BB0"/>
    <w:rsid w:val="00361F57"/>
    <w:rsid w:val="003644C2"/>
    <w:rsid w:val="003676D7"/>
    <w:rsid w:val="00372DE7"/>
    <w:rsid w:val="00376EA8"/>
    <w:rsid w:val="00380BAE"/>
    <w:rsid w:val="00382F0C"/>
    <w:rsid w:val="00384845"/>
    <w:rsid w:val="003906FC"/>
    <w:rsid w:val="00393A5E"/>
    <w:rsid w:val="0039576C"/>
    <w:rsid w:val="0039618F"/>
    <w:rsid w:val="003A3F0C"/>
    <w:rsid w:val="003C6197"/>
    <w:rsid w:val="003C6EB7"/>
    <w:rsid w:val="003D404E"/>
    <w:rsid w:val="003D431A"/>
    <w:rsid w:val="00402CA1"/>
    <w:rsid w:val="004155B6"/>
    <w:rsid w:val="004174A7"/>
    <w:rsid w:val="004227F5"/>
    <w:rsid w:val="0042529B"/>
    <w:rsid w:val="00432667"/>
    <w:rsid w:val="004632EC"/>
    <w:rsid w:val="00485563"/>
    <w:rsid w:val="00487B19"/>
    <w:rsid w:val="00497A35"/>
    <w:rsid w:val="004A0241"/>
    <w:rsid w:val="004B2D3B"/>
    <w:rsid w:val="004C0A88"/>
    <w:rsid w:val="004C402A"/>
    <w:rsid w:val="004C5412"/>
    <w:rsid w:val="004D141D"/>
    <w:rsid w:val="004D16EE"/>
    <w:rsid w:val="004E488B"/>
    <w:rsid w:val="004E635D"/>
    <w:rsid w:val="004F62D6"/>
    <w:rsid w:val="005052D4"/>
    <w:rsid w:val="00510025"/>
    <w:rsid w:val="005203D2"/>
    <w:rsid w:val="00545E35"/>
    <w:rsid w:val="00547C1C"/>
    <w:rsid w:val="00560088"/>
    <w:rsid w:val="00567122"/>
    <w:rsid w:val="00567979"/>
    <w:rsid w:val="0057477F"/>
    <w:rsid w:val="00575980"/>
    <w:rsid w:val="00577D4D"/>
    <w:rsid w:val="00580032"/>
    <w:rsid w:val="00581482"/>
    <w:rsid w:val="005830E7"/>
    <w:rsid w:val="00596B55"/>
    <w:rsid w:val="005971B0"/>
    <w:rsid w:val="005A1D54"/>
    <w:rsid w:val="005C529B"/>
    <w:rsid w:val="005C69A0"/>
    <w:rsid w:val="005D3BC3"/>
    <w:rsid w:val="005D3BCE"/>
    <w:rsid w:val="005D6DCA"/>
    <w:rsid w:val="005F733A"/>
    <w:rsid w:val="0060365F"/>
    <w:rsid w:val="00605AD0"/>
    <w:rsid w:val="00615E0F"/>
    <w:rsid w:val="00616A5C"/>
    <w:rsid w:val="00616EE1"/>
    <w:rsid w:val="00623E0F"/>
    <w:rsid w:val="00642F8D"/>
    <w:rsid w:val="006468A1"/>
    <w:rsid w:val="00675E86"/>
    <w:rsid w:val="00677BE1"/>
    <w:rsid w:val="00687069"/>
    <w:rsid w:val="006910E1"/>
    <w:rsid w:val="006914BA"/>
    <w:rsid w:val="006C02C6"/>
    <w:rsid w:val="006C5D03"/>
    <w:rsid w:val="006C79A3"/>
    <w:rsid w:val="00707A4D"/>
    <w:rsid w:val="00720456"/>
    <w:rsid w:val="007206E9"/>
    <w:rsid w:val="007207C2"/>
    <w:rsid w:val="007340EF"/>
    <w:rsid w:val="007379A8"/>
    <w:rsid w:val="0074440D"/>
    <w:rsid w:val="00747230"/>
    <w:rsid w:val="007511BE"/>
    <w:rsid w:val="0075298E"/>
    <w:rsid w:val="00760660"/>
    <w:rsid w:val="0077582E"/>
    <w:rsid w:val="00785B84"/>
    <w:rsid w:val="00787427"/>
    <w:rsid w:val="007908BE"/>
    <w:rsid w:val="0079098A"/>
    <w:rsid w:val="00791E63"/>
    <w:rsid w:val="00793625"/>
    <w:rsid w:val="007A17C0"/>
    <w:rsid w:val="007B4AE0"/>
    <w:rsid w:val="007B6EA8"/>
    <w:rsid w:val="007D47DC"/>
    <w:rsid w:val="007E7606"/>
    <w:rsid w:val="007F713E"/>
    <w:rsid w:val="008143C2"/>
    <w:rsid w:val="008221C6"/>
    <w:rsid w:val="00834B04"/>
    <w:rsid w:val="008353BA"/>
    <w:rsid w:val="00840B4A"/>
    <w:rsid w:val="00842636"/>
    <w:rsid w:val="00843281"/>
    <w:rsid w:val="008446C7"/>
    <w:rsid w:val="00844759"/>
    <w:rsid w:val="00845B93"/>
    <w:rsid w:val="00846303"/>
    <w:rsid w:val="00846D4B"/>
    <w:rsid w:val="00846DA8"/>
    <w:rsid w:val="008471E8"/>
    <w:rsid w:val="0085313E"/>
    <w:rsid w:val="008555D8"/>
    <w:rsid w:val="00856C57"/>
    <w:rsid w:val="0086217F"/>
    <w:rsid w:val="00862648"/>
    <w:rsid w:val="00870CA7"/>
    <w:rsid w:val="00871E9C"/>
    <w:rsid w:val="00874B9C"/>
    <w:rsid w:val="00876049"/>
    <w:rsid w:val="00890052"/>
    <w:rsid w:val="00896E04"/>
    <w:rsid w:val="008B0DA6"/>
    <w:rsid w:val="008B38AE"/>
    <w:rsid w:val="008C2786"/>
    <w:rsid w:val="008C7A92"/>
    <w:rsid w:val="008D18C8"/>
    <w:rsid w:val="008E39EE"/>
    <w:rsid w:val="008E7A7B"/>
    <w:rsid w:val="008F4100"/>
    <w:rsid w:val="008F7660"/>
    <w:rsid w:val="00905800"/>
    <w:rsid w:val="00930B62"/>
    <w:rsid w:val="0093519D"/>
    <w:rsid w:val="00941D1D"/>
    <w:rsid w:val="009437EA"/>
    <w:rsid w:val="00943A2C"/>
    <w:rsid w:val="009479FA"/>
    <w:rsid w:val="00951B6A"/>
    <w:rsid w:val="009641CF"/>
    <w:rsid w:val="009778A8"/>
    <w:rsid w:val="00982184"/>
    <w:rsid w:val="009840A0"/>
    <w:rsid w:val="00994777"/>
    <w:rsid w:val="009A47BF"/>
    <w:rsid w:val="009A485A"/>
    <w:rsid w:val="009B2FDF"/>
    <w:rsid w:val="009B49D9"/>
    <w:rsid w:val="009B5A03"/>
    <w:rsid w:val="009C4020"/>
    <w:rsid w:val="009C463D"/>
    <w:rsid w:val="009D2AB7"/>
    <w:rsid w:val="009E5A84"/>
    <w:rsid w:val="009E6B8C"/>
    <w:rsid w:val="009F4862"/>
    <w:rsid w:val="009F4A96"/>
    <w:rsid w:val="00A00751"/>
    <w:rsid w:val="00A111B3"/>
    <w:rsid w:val="00A162D3"/>
    <w:rsid w:val="00A21889"/>
    <w:rsid w:val="00A33941"/>
    <w:rsid w:val="00A34018"/>
    <w:rsid w:val="00A36CB4"/>
    <w:rsid w:val="00A379EF"/>
    <w:rsid w:val="00A44779"/>
    <w:rsid w:val="00A46BE3"/>
    <w:rsid w:val="00A51FA1"/>
    <w:rsid w:val="00A57422"/>
    <w:rsid w:val="00A60235"/>
    <w:rsid w:val="00A825AF"/>
    <w:rsid w:val="00A84375"/>
    <w:rsid w:val="00A86D7E"/>
    <w:rsid w:val="00A97B38"/>
    <w:rsid w:val="00AA4A45"/>
    <w:rsid w:val="00AB0405"/>
    <w:rsid w:val="00AB2C65"/>
    <w:rsid w:val="00AB3FB9"/>
    <w:rsid w:val="00AC0C13"/>
    <w:rsid w:val="00AD0DB8"/>
    <w:rsid w:val="00AD26DC"/>
    <w:rsid w:val="00AE5A19"/>
    <w:rsid w:val="00AE6412"/>
    <w:rsid w:val="00AE6592"/>
    <w:rsid w:val="00AE65B1"/>
    <w:rsid w:val="00AF532D"/>
    <w:rsid w:val="00B02D67"/>
    <w:rsid w:val="00B25282"/>
    <w:rsid w:val="00B300FA"/>
    <w:rsid w:val="00B306C1"/>
    <w:rsid w:val="00B340BE"/>
    <w:rsid w:val="00B61A5D"/>
    <w:rsid w:val="00B75F8F"/>
    <w:rsid w:val="00B84D2E"/>
    <w:rsid w:val="00B91D8C"/>
    <w:rsid w:val="00BC482F"/>
    <w:rsid w:val="00BC767B"/>
    <w:rsid w:val="00BC7EC5"/>
    <w:rsid w:val="00BD499E"/>
    <w:rsid w:val="00BE1C98"/>
    <w:rsid w:val="00BE3244"/>
    <w:rsid w:val="00C069C2"/>
    <w:rsid w:val="00C26344"/>
    <w:rsid w:val="00C43456"/>
    <w:rsid w:val="00C4488B"/>
    <w:rsid w:val="00C65BCF"/>
    <w:rsid w:val="00C72BEE"/>
    <w:rsid w:val="00C733AA"/>
    <w:rsid w:val="00C814C7"/>
    <w:rsid w:val="00C913EE"/>
    <w:rsid w:val="00C95576"/>
    <w:rsid w:val="00CB5FB6"/>
    <w:rsid w:val="00CC40F4"/>
    <w:rsid w:val="00CD0B16"/>
    <w:rsid w:val="00CD1058"/>
    <w:rsid w:val="00CE0B5C"/>
    <w:rsid w:val="00D0015F"/>
    <w:rsid w:val="00D01514"/>
    <w:rsid w:val="00D0217B"/>
    <w:rsid w:val="00D044B1"/>
    <w:rsid w:val="00D10B90"/>
    <w:rsid w:val="00D17EB3"/>
    <w:rsid w:val="00D2061D"/>
    <w:rsid w:val="00D207A7"/>
    <w:rsid w:val="00D25F41"/>
    <w:rsid w:val="00D36F46"/>
    <w:rsid w:val="00D47B8B"/>
    <w:rsid w:val="00D52119"/>
    <w:rsid w:val="00D52E88"/>
    <w:rsid w:val="00D62EB6"/>
    <w:rsid w:val="00D76592"/>
    <w:rsid w:val="00D81645"/>
    <w:rsid w:val="00D92C0C"/>
    <w:rsid w:val="00D92D89"/>
    <w:rsid w:val="00DA12A9"/>
    <w:rsid w:val="00DA19DE"/>
    <w:rsid w:val="00DA4962"/>
    <w:rsid w:val="00DB28C9"/>
    <w:rsid w:val="00DB530F"/>
    <w:rsid w:val="00DB68BA"/>
    <w:rsid w:val="00DC7BEF"/>
    <w:rsid w:val="00DD54E0"/>
    <w:rsid w:val="00DE4446"/>
    <w:rsid w:val="00DE7880"/>
    <w:rsid w:val="00DF416D"/>
    <w:rsid w:val="00E07163"/>
    <w:rsid w:val="00E22DF0"/>
    <w:rsid w:val="00E246CF"/>
    <w:rsid w:val="00E24ABF"/>
    <w:rsid w:val="00E27D3A"/>
    <w:rsid w:val="00E41FC1"/>
    <w:rsid w:val="00E64938"/>
    <w:rsid w:val="00E705DC"/>
    <w:rsid w:val="00E70FCF"/>
    <w:rsid w:val="00E851D0"/>
    <w:rsid w:val="00E9457E"/>
    <w:rsid w:val="00EA1F2C"/>
    <w:rsid w:val="00EA567F"/>
    <w:rsid w:val="00EB0D75"/>
    <w:rsid w:val="00ED3D5D"/>
    <w:rsid w:val="00EF0B61"/>
    <w:rsid w:val="00EF5B91"/>
    <w:rsid w:val="00EF7A74"/>
    <w:rsid w:val="00F010AF"/>
    <w:rsid w:val="00F015B2"/>
    <w:rsid w:val="00F120FB"/>
    <w:rsid w:val="00F1373B"/>
    <w:rsid w:val="00F27DC5"/>
    <w:rsid w:val="00F309CB"/>
    <w:rsid w:val="00F44302"/>
    <w:rsid w:val="00F46270"/>
    <w:rsid w:val="00F47674"/>
    <w:rsid w:val="00F517F9"/>
    <w:rsid w:val="00F55A27"/>
    <w:rsid w:val="00F609AF"/>
    <w:rsid w:val="00F727A0"/>
    <w:rsid w:val="00F77FEE"/>
    <w:rsid w:val="00F840C3"/>
    <w:rsid w:val="00F94482"/>
    <w:rsid w:val="00F96F1C"/>
    <w:rsid w:val="00F97FB5"/>
    <w:rsid w:val="00FA0415"/>
    <w:rsid w:val="00FA08D4"/>
    <w:rsid w:val="00FA6151"/>
    <w:rsid w:val="00FC6771"/>
    <w:rsid w:val="00FC6A77"/>
    <w:rsid w:val="00FC7877"/>
    <w:rsid w:val="00FE2D06"/>
    <w:rsid w:val="00FF07B2"/>
    <w:rsid w:val="01983828"/>
    <w:rsid w:val="02B9EC3F"/>
    <w:rsid w:val="043A3543"/>
    <w:rsid w:val="0B29623B"/>
    <w:rsid w:val="104E3434"/>
    <w:rsid w:val="16FC6FDD"/>
    <w:rsid w:val="20B334B1"/>
    <w:rsid w:val="26D90607"/>
    <w:rsid w:val="28391E15"/>
    <w:rsid w:val="296A1D42"/>
    <w:rsid w:val="3A0EFFDA"/>
    <w:rsid w:val="3C55FA3F"/>
    <w:rsid w:val="3FD780A6"/>
    <w:rsid w:val="437DCFEA"/>
    <w:rsid w:val="4F780569"/>
    <w:rsid w:val="520042AF"/>
    <w:rsid w:val="55D9E97D"/>
    <w:rsid w:val="5CF0A974"/>
    <w:rsid w:val="60BDE560"/>
    <w:rsid w:val="625374FA"/>
    <w:rsid w:val="643C5789"/>
    <w:rsid w:val="6C3D8D92"/>
    <w:rsid w:val="72962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DF4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1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Bullets"/>
    <w:basedOn w:val="Normal"/>
    <w:link w:val="ListParagraphChar"/>
    <w:uiPriority w:val="34"/>
    <w:qFormat/>
    <w:rsid w:val="00F47674"/>
    <w:pPr>
      <w:ind w:left="720"/>
      <w:contextualSpacing/>
    </w:pPr>
  </w:style>
  <w:style w:type="character" w:customStyle="1" w:styleId="Heading1Char">
    <w:name w:val="Heading 1 Char"/>
    <w:basedOn w:val="DefaultParagraphFont"/>
    <w:link w:val="Heading1"/>
    <w:uiPriority w:val="9"/>
    <w:rsid w:val="00F4767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47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74"/>
  </w:style>
  <w:style w:type="paragraph" w:styleId="Footer">
    <w:name w:val="footer"/>
    <w:basedOn w:val="Normal"/>
    <w:link w:val="FooterChar"/>
    <w:uiPriority w:val="99"/>
    <w:unhideWhenUsed/>
    <w:rsid w:val="00F47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74"/>
  </w:style>
  <w:style w:type="character" w:styleId="Hyperlink">
    <w:name w:val="Hyperlink"/>
    <w:basedOn w:val="DefaultParagraphFont"/>
    <w:uiPriority w:val="99"/>
    <w:unhideWhenUsed/>
    <w:rsid w:val="00687069"/>
    <w:rPr>
      <w:color w:val="0563C1" w:themeColor="hyperlink"/>
      <w:u w:val="single"/>
    </w:rPr>
  </w:style>
  <w:style w:type="character" w:styleId="UnresolvedMention">
    <w:name w:val="Unresolved Mention"/>
    <w:basedOn w:val="DefaultParagraphFont"/>
    <w:uiPriority w:val="99"/>
    <w:semiHidden/>
    <w:unhideWhenUsed/>
    <w:rsid w:val="00687069"/>
    <w:rPr>
      <w:color w:val="605E5C"/>
      <w:shd w:val="clear" w:color="auto" w:fill="E1DFDD"/>
    </w:rPr>
  </w:style>
  <w:style w:type="paragraph" w:styleId="NormalWeb">
    <w:name w:val="Normal (Web)"/>
    <w:basedOn w:val="Normal"/>
    <w:uiPriority w:val="99"/>
    <w:unhideWhenUsed/>
    <w:rsid w:val="000D2D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D431A"/>
    <w:rPr>
      <w:sz w:val="16"/>
      <w:szCs w:val="16"/>
    </w:rPr>
  </w:style>
  <w:style w:type="paragraph" w:styleId="CommentText">
    <w:name w:val="annotation text"/>
    <w:basedOn w:val="Normal"/>
    <w:link w:val="CommentTextChar"/>
    <w:uiPriority w:val="99"/>
    <w:unhideWhenUsed/>
    <w:rsid w:val="003D431A"/>
    <w:pPr>
      <w:spacing w:line="240" w:lineRule="auto"/>
    </w:pPr>
    <w:rPr>
      <w:sz w:val="20"/>
      <w:szCs w:val="20"/>
    </w:rPr>
  </w:style>
  <w:style w:type="character" w:customStyle="1" w:styleId="CommentTextChar">
    <w:name w:val="Comment Text Char"/>
    <w:basedOn w:val="DefaultParagraphFont"/>
    <w:link w:val="CommentText"/>
    <w:uiPriority w:val="99"/>
    <w:rsid w:val="003D431A"/>
    <w:rPr>
      <w:sz w:val="20"/>
      <w:szCs w:val="20"/>
    </w:rPr>
  </w:style>
  <w:style w:type="paragraph" w:styleId="CommentSubject">
    <w:name w:val="annotation subject"/>
    <w:basedOn w:val="CommentText"/>
    <w:next w:val="CommentText"/>
    <w:link w:val="CommentSubjectChar"/>
    <w:uiPriority w:val="99"/>
    <w:semiHidden/>
    <w:unhideWhenUsed/>
    <w:rsid w:val="003D431A"/>
    <w:rPr>
      <w:b/>
      <w:bCs/>
    </w:rPr>
  </w:style>
  <w:style w:type="character" w:customStyle="1" w:styleId="CommentSubjectChar">
    <w:name w:val="Comment Subject Char"/>
    <w:basedOn w:val="CommentTextChar"/>
    <w:link w:val="CommentSubject"/>
    <w:uiPriority w:val="99"/>
    <w:semiHidden/>
    <w:rsid w:val="003D431A"/>
    <w:rPr>
      <w:b/>
      <w:bCs/>
      <w:sz w:val="20"/>
      <w:szCs w:val="20"/>
    </w:rPr>
  </w:style>
  <w:style w:type="paragraph" w:styleId="BalloonText">
    <w:name w:val="Balloon Text"/>
    <w:basedOn w:val="Normal"/>
    <w:link w:val="BalloonTextChar"/>
    <w:uiPriority w:val="99"/>
    <w:semiHidden/>
    <w:unhideWhenUsed/>
    <w:rsid w:val="003D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1A"/>
    <w:rPr>
      <w:rFonts w:ascii="Segoe UI" w:hAnsi="Segoe UI" w:cs="Segoe UI"/>
      <w:sz w:val="18"/>
      <w:szCs w:val="18"/>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3D431A"/>
  </w:style>
  <w:style w:type="character" w:styleId="FollowedHyperlink">
    <w:name w:val="FollowedHyperlink"/>
    <w:basedOn w:val="DefaultParagraphFont"/>
    <w:uiPriority w:val="99"/>
    <w:semiHidden/>
    <w:unhideWhenUsed/>
    <w:rsid w:val="00FA6151"/>
    <w:rPr>
      <w:color w:val="954F72" w:themeColor="followedHyperlink"/>
      <w:u w:val="single"/>
    </w:rPr>
  </w:style>
  <w:style w:type="paragraph" w:styleId="Revision">
    <w:name w:val="Revision"/>
    <w:hidden/>
    <w:uiPriority w:val="99"/>
    <w:semiHidden/>
    <w:rsid w:val="00DA4962"/>
    <w:pPr>
      <w:spacing w:after="0" w:line="240" w:lineRule="auto"/>
    </w:pPr>
  </w:style>
  <w:style w:type="character" w:customStyle="1" w:styleId="Heading2Char">
    <w:name w:val="Heading 2 Char"/>
    <w:basedOn w:val="DefaultParagraphFont"/>
    <w:link w:val="Heading2"/>
    <w:uiPriority w:val="9"/>
    <w:rsid w:val="00DF416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F416D"/>
    <w:pPr>
      <w:outlineLvl w:val="9"/>
    </w:pPr>
    <w:rPr>
      <w:lang w:val="en-US"/>
    </w:rPr>
  </w:style>
  <w:style w:type="paragraph" w:styleId="TOC1">
    <w:name w:val="toc 1"/>
    <w:basedOn w:val="Normal"/>
    <w:next w:val="Normal"/>
    <w:autoRedefine/>
    <w:uiPriority w:val="39"/>
    <w:unhideWhenUsed/>
    <w:rsid w:val="00560088"/>
    <w:pPr>
      <w:tabs>
        <w:tab w:val="right" w:leader="dot" w:pos="9016"/>
      </w:tabs>
      <w:spacing w:after="100"/>
    </w:pPr>
  </w:style>
  <w:style w:type="character" w:styleId="Strong">
    <w:name w:val="Strong"/>
    <w:basedOn w:val="DefaultParagraphFont"/>
    <w:uiPriority w:val="22"/>
    <w:qFormat/>
    <w:rsid w:val="00943A2C"/>
    <w:rPr>
      <w:b/>
      <w:bCs/>
    </w:rPr>
  </w:style>
  <w:style w:type="paragraph" w:customStyle="1" w:styleId="Bullet1">
    <w:name w:val="Bullet 1"/>
    <w:basedOn w:val="Normal"/>
    <w:uiPriority w:val="3"/>
    <w:qFormat/>
    <w:rsid w:val="00D25F41"/>
    <w:pPr>
      <w:numPr>
        <w:numId w:val="23"/>
      </w:numPr>
      <w:suppressAutoHyphens/>
      <w:spacing w:before="80" w:after="80" w:line="240" w:lineRule="auto"/>
    </w:pPr>
    <w:rPr>
      <w:color w:val="000000" w:themeColor="text1"/>
      <w:lang w:val="x-none"/>
    </w:rPr>
  </w:style>
  <w:style w:type="paragraph" w:customStyle="1" w:styleId="Bullet2">
    <w:name w:val="Bullet 2"/>
    <w:basedOn w:val="Bullet1"/>
    <w:uiPriority w:val="3"/>
    <w:rsid w:val="00D25F41"/>
    <w:pPr>
      <w:numPr>
        <w:ilvl w:val="1"/>
      </w:numPr>
    </w:pPr>
  </w:style>
  <w:style w:type="paragraph" w:customStyle="1" w:styleId="Bullet3">
    <w:name w:val="Bullet 3"/>
    <w:basedOn w:val="Bullet2"/>
    <w:uiPriority w:val="3"/>
    <w:rsid w:val="00D25F41"/>
    <w:pPr>
      <w:numPr>
        <w:ilvl w:val="2"/>
      </w:numPr>
    </w:pPr>
  </w:style>
  <w:style w:type="character" w:customStyle="1" w:styleId="Heading3Char">
    <w:name w:val="Heading 3 Char"/>
    <w:basedOn w:val="DefaultParagraphFont"/>
    <w:link w:val="Heading3"/>
    <w:uiPriority w:val="9"/>
    <w:rsid w:val="00793625"/>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015B2"/>
    <w:pPr>
      <w:spacing w:after="100"/>
      <w:ind w:left="220"/>
    </w:pPr>
  </w:style>
  <w:style w:type="paragraph" w:styleId="TOC3">
    <w:name w:val="toc 3"/>
    <w:basedOn w:val="Normal"/>
    <w:next w:val="Normal"/>
    <w:autoRedefine/>
    <w:uiPriority w:val="39"/>
    <w:unhideWhenUsed/>
    <w:rsid w:val="00F015B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187">
      <w:bodyDiv w:val="1"/>
      <w:marLeft w:val="0"/>
      <w:marRight w:val="0"/>
      <w:marTop w:val="0"/>
      <w:marBottom w:val="0"/>
      <w:divBdr>
        <w:top w:val="none" w:sz="0" w:space="0" w:color="auto"/>
        <w:left w:val="none" w:sz="0" w:space="0" w:color="auto"/>
        <w:bottom w:val="none" w:sz="0" w:space="0" w:color="auto"/>
        <w:right w:val="none" w:sz="0" w:space="0" w:color="auto"/>
      </w:divBdr>
    </w:div>
    <w:div w:id="13774727">
      <w:bodyDiv w:val="1"/>
      <w:marLeft w:val="0"/>
      <w:marRight w:val="0"/>
      <w:marTop w:val="0"/>
      <w:marBottom w:val="0"/>
      <w:divBdr>
        <w:top w:val="none" w:sz="0" w:space="0" w:color="auto"/>
        <w:left w:val="none" w:sz="0" w:space="0" w:color="auto"/>
        <w:bottom w:val="none" w:sz="0" w:space="0" w:color="auto"/>
        <w:right w:val="none" w:sz="0" w:space="0" w:color="auto"/>
      </w:divBdr>
    </w:div>
    <w:div w:id="101264372">
      <w:bodyDiv w:val="1"/>
      <w:marLeft w:val="0"/>
      <w:marRight w:val="0"/>
      <w:marTop w:val="0"/>
      <w:marBottom w:val="0"/>
      <w:divBdr>
        <w:top w:val="none" w:sz="0" w:space="0" w:color="auto"/>
        <w:left w:val="none" w:sz="0" w:space="0" w:color="auto"/>
        <w:bottom w:val="none" w:sz="0" w:space="0" w:color="auto"/>
        <w:right w:val="none" w:sz="0" w:space="0" w:color="auto"/>
      </w:divBdr>
    </w:div>
    <w:div w:id="134687143">
      <w:bodyDiv w:val="1"/>
      <w:marLeft w:val="0"/>
      <w:marRight w:val="0"/>
      <w:marTop w:val="0"/>
      <w:marBottom w:val="0"/>
      <w:divBdr>
        <w:top w:val="none" w:sz="0" w:space="0" w:color="auto"/>
        <w:left w:val="none" w:sz="0" w:space="0" w:color="auto"/>
        <w:bottom w:val="none" w:sz="0" w:space="0" w:color="auto"/>
        <w:right w:val="none" w:sz="0" w:space="0" w:color="auto"/>
      </w:divBdr>
    </w:div>
    <w:div w:id="151483868">
      <w:bodyDiv w:val="1"/>
      <w:marLeft w:val="0"/>
      <w:marRight w:val="0"/>
      <w:marTop w:val="0"/>
      <w:marBottom w:val="0"/>
      <w:divBdr>
        <w:top w:val="none" w:sz="0" w:space="0" w:color="auto"/>
        <w:left w:val="none" w:sz="0" w:space="0" w:color="auto"/>
        <w:bottom w:val="none" w:sz="0" w:space="0" w:color="auto"/>
        <w:right w:val="none" w:sz="0" w:space="0" w:color="auto"/>
      </w:divBdr>
    </w:div>
    <w:div w:id="153645539">
      <w:bodyDiv w:val="1"/>
      <w:marLeft w:val="0"/>
      <w:marRight w:val="0"/>
      <w:marTop w:val="0"/>
      <w:marBottom w:val="0"/>
      <w:divBdr>
        <w:top w:val="none" w:sz="0" w:space="0" w:color="auto"/>
        <w:left w:val="none" w:sz="0" w:space="0" w:color="auto"/>
        <w:bottom w:val="none" w:sz="0" w:space="0" w:color="auto"/>
        <w:right w:val="none" w:sz="0" w:space="0" w:color="auto"/>
      </w:divBdr>
    </w:div>
    <w:div w:id="249238145">
      <w:bodyDiv w:val="1"/>
      <w:marLeft w:val="0"/>
      <w:marRight w:val="0"/>
      <w:marTop w:val="0"/>
      <w:marBottom w:val="0"/>
      <w:divBdr>
        <w:top w:val="none" w:sz="0" w:space="0" w:color="auto"/>
        <w:left w:val="none" w:sz="0" w:space="0" w:color="auto"/>
        <w:bottom w:val="none" w:sz="0" w:space="0" w:color="auto"/>
        <w:right w:val="none" w:sz="0" w:space="0" w:color="auto"/>
      </w:divBdr>
    </w:div>
    <w:div w:id="257910844">
      <w:bodyDiv w:val="1"/>
      <w:marLeft w:val="0"/>
      <w:marRight w:val="0"/>
      <w:marTop w:val="0"/>
      <w:marBottom w:val="0"/>
      <w:divBdr>
        <w:top w:val="none" w:sz="0" w:space="0" w:color="auto"/>
        <w:left w:val="none" w:sz="0" w:space="0" w:color="auto"/>
        <w:bottom w:val="none" w:sz="0" w:space="0" w:color="auto"/>
        <w:right w:val="none" w:sz="0" w:space="0" w:color="auto"/>
      </w:divBdr>
    </w:div>
    <w:div w:id="338890073">
      <w:bodyDiv w:val="1"/>
      <w:marLeft w:val="0"/>
      <w:marRight w:val="0"/>
      <w:marTop w:val="0"/>
      <w:marBottom w:val="0"/>
      <w:divBdr>
        <w:top w:val="none" w:sz="0" w:space="0" w:color="auto"/>
        <w:left w:val="none" w:sz="0" w:space="0" w:color="auto"/>
        <w:bottom w:val="none" w:sz="0" w:space="0" w:color="auto"/>
        <w:right w:val="none" w:sz="0" w:space="0" w:color="auto"/>
      </w:divBdr>
    </w:div>
    <w:div w:id="553545632">
      <w:bodyDiv w:val="1"/>
      <w:marLeft w:val="0"/>
      <w:marRight w:val="0"/>
      <w:marTop w:val="0"/>
      <w:marBottom w:val="0"/>
      <w:divBdr>
        <w:top w:val="none" w:sz="0" w:space="0" w:color="auto"/>
        <w:left w:val="none" w:sz="0" w:space="0" w:color="auto"/>
        <w:bottom w:val="none" w:sz="0" w:space="0" w:color="auto"/>
        <w:right w:val="none" w:sz="0" w:space="0" w:color="auto"/>
      </w:divBdr>
      <w:divsChild>
        <w:div w:id="99839218">
          <w:marLeft w:val="0"/>
          <w:marRight w:val="0"/>
          <w:marTop w:val="0"/>
          <w:marBottom w:val="0"/>
          <w:divBdr>
            <w:top w:val="none" w:sz="0" w:space="0" w:color="auto"/>
            <w:left w:val="none" w:sz="0" w:space="0" w:color="auto"/>
            <w:bottom w:val="none" w:sz="0" w:space="0" w:color="auto"/>
            <w:right w:val="none" w:sz="0" w:space="0" w:color="auto"/>
          </w:divBdr>
          <w:divsChild>
            <w:div w:id="2007703581">
              <w:marLeft w:val="840"/>
              <w:marRight w:val="0"/>
              <w:marTop w:val="0"/>
              <w:marBottom w:val="120"/>
              <w:divBdr>
                <w:top w:val="none" w:sz="0" w:space="0" w:color="auto"/>
                <w:left w:val="none" w:sz="0" w:space="0" w:color="auto"/>
                <w:bottom w:val="none" w:sz="0" w:space="0" w:color="auto"/>
                <w:right w:val="none" w:sz="0" w:space="0" w:color="auto"/>
              </w:divBdr>
            </w:div>
          </w:divsChild>
        </w:div>
        <w:div w:id="803044765">
          <w:marLeft w:val="840"/>
          <w:marRight w:val="0"/>
          <w:marTop w:val="0"/>
          <w:marBottom w:val="120"/>
          <w:divBdr>
            <w:top w:val="none" w:sz="0" w:space="0" w:color="auto"/>
            <w:left w:val="none" w:sz="0" w:space="0" w:color="auto"/>
            <w:bottom w:val="none" w:sz="0" w:space="0" w:color="auto"/>
            <w:right w:val="none" w:sz="0" w:space="0" w:color="auto"/>
          </w:divBdr>
        </w:div>
      </w:divsChild>
    </w:div>
    <w:div w:id="599064968">
      <w:bodyDiv w:val="1"/>
      <w:marLeft w:val="0"/>
      <w:marRight w:val="0"/>
      <w:marTop w:val="0"/>
      <w:marBottom w:val="0"/>
      <w:divBdr>
        <w:top w:val="none" w:sz="0" w:space="0" w:color="auto"/>
        <w:left w:val="none" w:sz="0" w:space="0" w:color="auto"/>
        <w:bottom w:val="none" w:sz="0" w:space="0" w:color="auto"/>
        <w:right w:val="none" w:sz="0" w:space="0" w:color="auto"/>
      </w:divBdr>
    </w:div>
    <w:div w:id="687366244">
      <w:bodyDiv w:val="1"/>
      <w:marLeft w:val="0"/>
      <w:marRight w:val="0"/>
      <w:marTop w:val="0"/>
      <w:marBottom w:val="0"/>
      <w:divBdr>
        <w:top w:val="none" w:sz="0" w:space="0" w:color="auto"/>
        <w:left w:val="none" w:sz="0" w:space="0" w:color="auto"/>
        <w:bottom w:val="none" w:sz="0" w:space="0" w:color="auto"/>
        <w:right w:val="none" w:sz="0" w:space="0" w:color="auto"/>
      </w:divBdr>
    </w:div>
    <w:div w:id="803889751">
      <w:bodyDiv w:val="1"/>
      <w:marLeft w:val="0"/>
      <w:marRight w:val="0"/>
      <w:marTop w:val="0"/>
      <w:marBottom w:val="0"/>
      <w:divBdr>
        <w:top w:val="none" w:sz="0" w:space="0" w:color="auto"/>
        <w:left w:val="none" w:sz="0" w:space="0" w:color="auto"/>
        <w:bottom w:val="none" w:sz="0" w:space="0" w:color="auto"/>
        <w:right w:val="none" w:sz="0" w:space="0" w:color="auto"/>
      </w:divBdr>
    </w:div>
    <w:div w:id="932055984">
      <w:bodyDiv w:val="1"/>
      <w:marLeft w:val="0"/>
      <w:marRight w:val="0"/>
      <w:marTop w:val="0"/>
      <w:marBottom w:val="0"/>
      <w:divBdr>
        <w:top w:val="none" w:sz="0" w:space="0" w:color="auto"/>
        <w:left w:val="none" w:sz="0" w:space="0" w:color="auto"/>
        <w:bottom w:val="none" w:sz="0" w:space="0" w:color="auto"/>
        <w:right w:val="none" w:sz="0" w:space="0" w:color="auto"/>
      </w:divBdr>
    </w:div>
    <w:div w:id="1107698337">
      <w:bodyDiv w:val="1"/>
      <w:marLeft w:val="0"/>
      <w:marRight w:val="0"/>
      <w:marTop w:val="0"/>
      <w:marBottom w:val="0"/>
      <w:divBdr>
        <w:top w:val="none" w:sz="0" w:space="0" w:color="auto"/>
        <w:left w:val="none" w:sz="0" w:space="0" w:color="auto"/>
        <w:bottom w:val="none" w:sz="0" w:space="0" w:color="auto"/>
        <w:right w:val="none" w:sz="0" w:space="0" w:color="auto"/>
      </w:divBdr>
    </w:div>
    <w:div w:id="1107886736">
      <w:bodyDiv w:val="1"/>
      <w:marLeft w:val="0"/>
      <w:marRight w:val="0"/>
      <w:marTop w:val="0"/>
      <w:marBottom w:val="0"/>
      <w:divBdr>
        <w:top w:val="none" w:sz="0" w:space="0" w:color="auto"/>
        <w:left w:val="none" w:sz="0" w:space="0" w:color="auto"/>
        <w:bottom w:val="none" w:sz="0" w:space="0" w:color="auto"/>
        <w:right w:val="none" w:sz="0" w:space="0" w:color="auto"/>
      </w:divBdr>
    </w:div>
    <w:div w:id="1124733465">
      <w:bodyDiv w:val="1"/>
      <w:marLeft w:val="0"/>
      <w:marRight w:val="0"/>
      <w:marTop w:val="0"/>
      <w:marBottom w:val="0"/>
      <w:divBdr>
        <w:top w:val="none" w:sz="0" w:space="0" w:color="auto"/>
        <w:left w:val="none" w:sz="0" w:space="0" w:color="auto"/>
        <w:bottom w:val="none" w:sz="0" w:space="0" w:color="auto"/>
        <w:right w:val="none" w:sz="0" w:space="0" w:color="auto"/>
      </w:divBdr>
    </w:div>
    <w:div w:id="1146555597">
      <w:bodyDiv w:val="1"/>
      <w:marLeft w:val="0"/>
      <w:marRight w:val="0"/>
      <w:marTop w:val="0"/>
      <w:marBottom w:val="0"/>
      <w:divBdr>
        <w:top w:val="none" w:sz="0" w:space="0" w:color="auto"/>
        <w:left w:val="none" w:sz="0" w:space="0" w:color="auto"/>
        <w:bottom w:val="none" w:sz="0" w:space="0" w:color="auto"/>
        <w:right w:val="none" w:sz="0" w:space="0" w:color="auto"/>
      </w:divBdr>
    </w:div>
    <w:div w:id="1186751123">
      <w:bodyDiv w:val="1"/>
      <w:marLeft w:val="0"/>
      <w:marRight w:val="0"/>
      <w:marTop w:val="0"/>
      <w:marBottom w:val="0"/>
      <w:divBdr>
        <w:top w:val="none" w:sz="0" w:space="0" w:color="auto"/>
        <w:left w:val="none" w:sz="0" w:space="0" w:color="auto"/>
        <w:bottom w:val="none" w:sz="0" w:space="0" w:color="auto"/>
        <w:right w:val="none" w:sz="0" w:space="0" w:color="auto"/>
      </w:divBdr>
      <w:divsChild>
        <w:div w:id="299460158">
          <w:marLeft w:val="0"/>
          <w:marRight w:val="0"/>
          <w:marTop w:val="0"/>
          <w:marBottom w:val="0"/>
          <w:divBdr>
            <w:top w:val="none" w:sz="0" w:space="0" w:color="auto"/>
            <w:left w:val="none" w:sz="0" w:space="0" w:color="auto"/>
            <w:bottom w:val="none" w:sz="0" w:space="0" w:color="auto"/>
            <w:right w:val="none" w:sz="0" w:space="0" w:color="auto"/>
          </w:divBdr>
          <w:divsChild>
            <w:div w:id="824933322">
              <w:marLeft w:val="840"/>
              <w:marRight w:val="0"/>
              <w:marTop w:val="0"/>
              <w:marBottom w:val="120"/>
              <w:divBdr>
                <w:top w:val="none" w:sz="0" w:space="0" w:color="auto"/>
                <w:left w:val="none" w:sz="0" w:space="0" w:color="auto"/>
                <w:bottom w:val="none" w:sz="0" w:space="0" w:color="auto"/>
                <w:right w:val="none" w:sz="0" w:space="0" w:color="auto"/>
              </w:divBdr>
            </w:div>
          </w:divsChild>
        </w:div>
        <w:div w:id="69811152">
          <w:marLeft w:val="840"/>
          <w:marRight w:val="0"/>
          <w:marTop w:val="0"/>
          <w:marBottom w:val="120"/>
          <w:divBdr>
            <w:top w:val="none" w:sz="0" w:space="0" w:color="auto"/>
            <w:left w:val="none" w:sz="0" w:space="0" w:color="auto"/>
            <w:bottom w:val="none" w:sz="0" w:space="0" w:color="auto"/>
            <w:right w:val="none" w:sz="0" w:space="0" w:color="auto"/>
          </w:divBdr>
        </w:div>
        <w:div w:id="1042368512">
          <w:marLeft w:val="1080"/>
          <w:marRight w:val="0"/>
          <w:marTop w:val="0"/>
          <w:marBottom w:val="120"/>
          <w:divBdr>
            <w:top w:val="none" w:sz="0" w:space="0" w:color="auto"/>
            <w:left w:val="none" w:sz="0" w:space="0" w:color="auto"/>
            <w:bottom w:val="none" w:sz="0" w:space="0" w:color="auto"/>
            <w:right w:val="none" w:sz="0" w:space="0" w:color="auto"/>
          </w:divBdr>
          <w:divsChild>
            <w:div w:id="775757084">
              <w:marLeft w:val="240"/>
              <w:marRight w:val="0"/>
              <w:marTop w:val="0"/>
              <w:marBottom w:val="0"/>
              <w:divBdr>
                <w:top w:val="none" w:sz="0" w:space="0" w:color="auto"/>
                <w:left w:val="none" w:sz="0" w:space="0" w:color="auto"/>
                <w:bottom w:val="none" w:sz="0" w:space="0" w:color="auto"/>
                <w:right w:val="none" w:sz="0" w:space="0" w:color="auto"/>
              </w:divBdr>
            </w:div>
          </w:divsChild>
        </w:div>
        <w:div w:id="5058429">
          <w:marLeft w:val="1080"/>
          <w:marRight w:val="0"/>
          <w:marTop w:val="0"/>
          <w:marBottom w:val="120"/>
          <w:divBdr>
            <w:top w:val="none" w:sz="0" w:space="0" w:color="auto"/>
            <w:left w:val="none" w:sz="0" w:space="0" w:color="auto"/>
            <w:bottom w:val="none" w:sz="0" w:space="0" w:color="auto"/>
            <w:right w:val="none" w:sz="0" w:space="0" w:color="auto"/>
          </w:divBdr>
          <w:divsChild>
            <w:div w:id="992485995">
              <w:marLeft w:val="240"/>
              <w:marRight w:val="0"/>
              <w:marTop w:val="0"/>
              <w:marBottom w:val="0"/>
              <w:divBdr>
                <w:top w:val="none" w:sz="0" w:space="0" w:color="auto"/>
                <w:left w:val="none" w:sz="0" w:space="0" w:color="auto"/>
                <w:bottom w:val="none" w:sz="0" w:space="0" w:color="auto"/>
                <w:right w:val="none" w:sz="0" w:space="0" w:color="auto"/>
              </w:divBdr>
            </w:div>
          </w:divsChild>
        </w:div>
        <w:div w:id="670068061">
          <w:marLeft w:val="1080"/>
          <w:marRight w:val="0"/>
          <w:marTop w:val="0"/>
          <w:marBottom w:val="120"/>
          <w:divBdr>
            <w:top w:val="none" w:sz="0" w:space="0" w:color="auto"/>
            <w:left w:val="none" w:sz="0" w:space="0" w:color="auto"/>
            <w:bottom w:val="none" w:sz="0" w:space="0" w:color="auto"/>
            <w:right w:val="none" w:sz="0" w:space="0" w:color="auto"/>
          </w:divBdr>
          <w:divsChild>
            <w:div w:id="1856729570">
              <w:marLeft w:val="240"/>
              <w:marRight w:val="0"/>
              <w:marTop w:val="0"/>
              <w:marBottom w:val="0"/>
              <w:divBdr>
                <w:top w:val="none" w:sz="0" w:space="0" w:color="auto"/>
                <w:left w:val="none" w:sz="0" w:space="0" w:color="auto"/>
                <w:bottom w:val="none" w:sz="0" w:space="0" w:color="auto"/>
                <w:right w:val="none" w:sz="0" w:space="0" w:color="auto"/>
              </w:divBdr>
            </w:div>
          </w:divsChild>
        </w:div>
        <w:div w:id="1484857286">
          <w:marLeft w:val="1080"/>
          <w:marRight w:val="0"/>
          <w:marTop w:val="0"/>
          <w:marBottom w:val="120"/>
          <w:divBdr>
            <w:top w:val="none" w:sz="0" w:space="0" w:color="auto"/>
            <w:left w:val="none" w:sz="0" w:space="0" w:color="auto"/>
            <w:bottom w:val="none" w:sz="0" w:space="0" w:color="auto"/>
            <w:right w:val="none" w:sz="0" w:space="0" w:color="auto"/>
          </w:divBdr>
          <w:divsChild>
            <w:div w:id="1125347124">
              <w:marLeft w:val="240"/>
              <w:marRight w:val="0"/>
              <w:marTop w:val="0"/>
              <w:marBottom w:val="0"/>
              <w:divBdr>
                <w:top w:val="none" w:sz="0" w:space="0" w:color="auto"/>
                <w:left w:val="none" w:sz="0" w:space="0" w:color="auto"/>
                <w:bottom w:val="none" w:sz="0" w:space="0" w:color="auto"/>
                <w:right w:val="none" w:sz="0" w:space="0" w:color="auto"/>
              </w:divBdr>
            </w:div>
          </w:divsChild>
        </w:div>
        <w:div w:id="841817232">
          <w:marLeft w:val="1080"/>
          <w:marRight w:val="0"/>
          <w:marTop w:val="0"/>
          <w:marBottom w:val="120"/>
          <w:divBdr>
            <w:top w:val="none" w:sz="0" w:space="0" w:color="auto"/>
            <w:left w:val="none" w:sz="0" w:space="0" w:color="auto"/>
            <w:bottom w:val="none" w:sz="0" w:space="0" w:color="auto"/>
            <w:right w:val="none" w:sz="0" w:space="0" w:color="auto"/>
          </w:divBdr>
          <w:divsChild>
            <w:div w:id="2852792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488977">
      <w:bodyDiv w:val="1"/>
      <w:marLeft w:val="0"/>
      <w:marRight w:val="0"/>
      <w:marTop w:val="0"/>
      <w:marBottom w:val="0"/>
      <w:divBdr>
        <w:top w:val="none" w:sz="0" w:space="0" w:color="auto"/>
        <w:left w:val="none" w:sz="0" w:space="0" w:color="auto"/>
        <w:bottom w:val="none" w:sz="0" w:space="0" w:color="auto"/>
        <w:right w:val="none" w:sz="0" w:space="0" w:color="auto"/>
      </w:divBdr>
      <w:divsChild>
        <w:div w:id="1422215975">
          <w:marLeft w:val="0"/>
          <w:marRight w:val="0"/>
          <w:marTop w:val="0"/>
          <w:marBottom w:val="0"/>
          <w:divBdr>
            <w:top w:val="none" w:sz="0" w:space="0" w:color="auto"/>
            <w:left w:val="none" w:sz="0" w:space="0" w:color="auto"/>
            <w:bottom w:val="none" w:sz="0" w:space="0" w:color="auto"/>
            <w:right w:val="none" w:sz="0" w:space="0" w:color="auto"/>
          </w:divBdr>
          <w:divsChild>
            <w:div w:id="1756241804">
              <w:marLeft w:val="840"/>
              <w:marRight w:val="0"/>
              <w:marTop w:val="0"/>
              <w:marBottom w:val="120"/>
              <w:divBdr>
                <w:top w:val="none" w:sz="0" w:space="0" w:color="auto"/>
                <w:left w:val="none" w:sz="0" w:space="0" w:color="auto"/>
                <w:bottom w:val="none" w:sz="0" w:space="0" w:color="auto"/>
                <w:right w:val="none" w:sz="0" w:space="0" w:color="auto"/>
              </w:divBdr>
            </w:div>
          </w:divsChild>
        </w:div>
        <w:div w:id="1041442180">
          <w:marLeft w:val="840"/>
          <w:marRight w:val="0"/>
          <w:marTop w:val="0"/>
          <w:marBottom w:val="120"/>
          <w:divBdr>
            <w:top w:val="none" w:sz="0" w:space="0" w:color="auto"/>
            <w:left w:val="none" w:sz="0" w:space="0" w:color="auto"/>
            <w:bottom w:val="none" w:sz="0" w:space="0" w:color="auto"/>
            <w:right w:val="none" w:sz="0" w:space="0" w:color="auto"/>
          </w:divBdr>
        </w:div>
      </w:divsChild>
    </w:div>
    <w:div w:id="1352411427">
      <w:bodyDiv w:val="1"/>
      <w:marLeft w:val="0"/>
      <w:marRight w:val="0"/>
      <w:marTop w:val="0"/>
      <w:marBottom w:val="0"/>
      <w:divBdr>
        <w:top w:val="none" w:sz="0" w:space="0" w:color="auto"/>
        <w:left w:val="none" w:sz="0" w:space="0" w:color="auto"/>
        <w:bottom w:val="none" w:sz="0" w:space="0" w:color="auto"/>
        <w:right w:val="none" w:sz="0" w:space="0" w:color="auto"/>
      </w:divBdr>
    </w:div>
    <w:div w:id="1406416186">
      <w:bodyDiv w:val="1"/>
      <w:marLeft w:val="0"/>
      <w:marRight w:val="0"/>
      <w:marTop w:val="0"/>
      <w:marBottom w:val="0"/>
      <w:divBdr>
        <w:top w:val="none" w:sz="0" w:space="0" w:color="auto"/>
        <w:left w:val="none" w:sz="0" w:space="0" w:color="auto"/>
        <w:bottom w:val="none" w:sz="0" w:space="0" w:color="auto"/>
        <w:right w:val="none" w:sz="0" w:space="0" w:color="auto"/>
      </w:divBdr>
    </w:div>
    <w:div w:id="1466314491">
      <w:bodyDiv w:val="1"/>
      <w:marLeft w:val="0"/>
      <w:marRight w:val="0"/>
      <w:marTop w:val="0"/>
      <w:marBottom w:val="0"/>
      <w:divBdr>
        <w:top w:val="none" w:sz="0" w:space="0" w:color="auto"/>
        <w:left w:val="none" w:sz="0" w:space="0" w:color="auto"/>
        <w:bottom w:val="none" w:sz="0" w:space="0" w:color="auto"/>
        <w:right w:val="none" w:sz="0" w:space="0" w:color="auto"/>
      </w:divBdr>
    </w:div>
    <w:div w:id="1489857430">
      <w:bodyDiv w:val="1"/>
      <w:marLeft w:val="0"/>
      <w:marRight w:val="0"/>
      <w:marTop w:val="0"/>
      <w:marBottom w:val="0"/>
      <w:divBdr>
        <w:top w:val="none" w:sz="0" w:space="0" w:color="auto"/>
        <w:left w:val="none" w:sz="0" w:space="0" w:color="auto"/>
        <w:bottom w:val="none" w:sz="0" w:space="0" w:color="auto"/>
        <w:right w:val="none" w:sz="0" w:space="0" w:color="auto"/>
      </w:divBdr>
      <w:divsChild>
        <w:div w:id="471288527">
          <w:marLeft w:val="0"/>
          <w:marRight w:val="0"/>
          <w:marTop w:val="0"/>
          <w:marBottom w:val="0"/>
          <w:divBdr>
            <w:top w:val="none" w:sz="0" w:space="0" w:color="auto"/>
            <w:left w:val="none" w:sz="0" w:space="0" w:color="auto"/>
            <w:bottom w:val="none" w:sz="0" w:space="0" w:color="auto"/>
            <w:right w:val="none" w:sz="0" w:space="0" w:color="auto"/>
          </w:divBdr>
          <w:divsChild>
            <w:div w:id="1822194160">
              <w:marLeft w:val="840"/>
              <w:marRight w:val="0"/>
              <w:marTop w:val="0"/>
              <w:marBottom w:val="120"/>
              <w:divBdr>
                <w:top w:val="none" w:sz="0" w:space="0" w:color="auto"/>
                <w:left w:val="none" w:sz="0" w:space="0" w:color="auto"/>
                <w:bottom w:val="none" w:sz="0" w:space="0" w:color="auto"/>
                <w:right w:val="none" w:sz="0" w:space="0" w:color="auto"/>
              </w:divBdr>
            </w:div>
          </w:divsChild>
        </w:div>
        <w:div w:id="1803035833">
          <w:marLeft w:val="1080"/>
          <w:marRight w:val="0"/>
          <w:marTop w:val="0"/>
          <w:marBottom w:val="120"/>
          <w:divBdr>
            <w:top w:val="none" w:sz="0" w:space="0" w:color="auto"/>
            <w:left w:val="none" w:sz="0" w:space="0" w:color="auto"/>
            <w:bottom w:val="none" w:sz="0" w:space="0" w:color="auto"/>
            <w:right w:val="none" w:sz="0" w:space="0" w:color="auto"/>
          </w:divBdr>
          <w:divsChild>
            <w:div w:id="338392815">
              <w:marLeft w:val="240"/>
              <w:marRight w:val="0"/>
              <w:marTop w:val="0"/>
              <w:marBottom w:val="0"/>
              <w:divBdr>
                <w:top w:val="none" w:sz="0" w:space="0" w:color="auto"/>
                <w:left w:val="none" w:sz="0" w:space="0" w:color="auto"/>
                <w:bottom w:val="none" w:sz="0" w:space="0" w:color="auto"/>
                <w:right w:val="none" w:sz="0" w:space="0" w:color="auto"/>
              </w:divBdr>
            </w:div>
          </w:divsChild>
        </w:div>
        <w:div w:id="1881478678">
          <w:marLeft w:val="1080"/>
          <w:marRight w:val="0"/>
          <w:marTop w:val="0"/>
          <w:marBottom w:val="120"/>
          <w:divBdr>
            <w:top w:val="none" w:sz="0" w:space="0" w:color="auto"/>
            <w:left w:val="none" w:sz="0" w:space="0" w:color="auto"/>
            <w:bottom w:val="none" w:sz="0" w:space="0" w:color="auto"/>
            <w:right w:val="none" w:sz="0" w:space="0" w:color="auto"/>
          </w:divBdr>
          <w:divsChild>
            <w:div w:id="1626887404">
              <w:marLeft w:val="240"/>
              <w:marRight w:val="0"/>
              <w:marTop w:val="0"/>
              <w:marBottom w:val="0"/>
              <w:divBdr>
                <w:top w:val="none" w:sz="0" w:space="0" w:color="auto"/>
                <w:left w:val="none" w:sz="0" w:space="0" w:color="auto"/>
                <w:bottom w:val="none" w:sz="0" w:space="0" w:color="auto"/>
                <w:right w:val="none" w:sz="0" w:space="0" w:color="auto"/>
              </w:divBdr>
            </w:div>
          </w:divsChild>
        </w:div>
        <w:div w:id="1089933450">
          <w:marLeft w:val="1080"/>
          <w:marRight w:val="0"/>
          <w:marTop w:val="0"/>
          <w:marBottom w:val="120"/>
          <w:divBdr>
            <w:top w:val="none" w:sz="0" w:space="0" w:color="auto"/>
            <w:left w:val="none" w:sz="0" w:space="0" w:color="auto"/>
            <w:bottom w:val="none" w:sz="0" w:space="0" w:color="auto"/>
            <w:right w:val="none" w:sz="0" w:space="0" w:color="auto"/>
          </w:divBdr>
          <w:divsChild>
            <w:div w:id="1259219682">
              <w:marLeft w:val="240"/>
              <w:marRight w:val="0"/>
              <w:marTop w:val="0"/>
              <w:marBottom w:val="0"/>
              <w:divBdr>
                <w:top w:val="none" w:sz="0" w:space="0" w:color="auto"/>
                <w:left w:val="none" w:sz="0" w:space="0" w:color="auto"/>
                <w:bottom w:val="none" w:sz="0" w:space="0" w:color="auto"/>
                <w:right w:val="none" w:sz="0" w:space="0" w:color="auto"/>
              </w:divBdr>
            </w:div>
          </w:divsChild>
        </w:div>
        <w:div w:id="1486892077">
          <w:marLeft w:val="1080"/>
          <w:marRight w:val="0"/>
          <w:marTop w:val="0"/>
          <w:marBottom w:val="120"/>
          <w:divBdr>
            <w:top w:val="none" w:sz="0" w:space="0" w:color="auto"/>
            <w:left w:val="none" w:sz="0" w:space="0" w:color="auto"/>
            <w:bottom w:val="none" w:sz="0" w:space="0" w:color="auto"/>
            <w:right w:val="none" w:sz="0" w:space="0" w:color="auto"/>
          </w:divBdr>
          <w:divsChild>
            <w:div w:id="3215872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6534135">
      <w:bodyDiv w:val="1"/>
      <w:marLeft w:val="0"/>
      <w:marRight w:val="0"/>
      <w:marTop w:val="0"/>
      <w:marBottom w:val="0"/>
      <w:divBdr>
        <w:top w:val="none" w:sz="0" w:space="0" w:color="auto"/>
        <w:left w:val="none" w:sz="0" w:space="0" w:color="auto"/>
        <w:bottom w:val="none" w:sz="0" w:space="0" w:color="auto"/>
        <w:right w:val="none" w:sz="0" w:space="0" w:color="auto"/>
      </w:divBdr>
    </w:div>
    <w:div w:id="1526334496">
      <w:bodyDiv w:val="1"/>
      <w:marLeft w:val="0"/>
      <w:marRight w:val="0"/>
      <w:marTop w:val="0"/>
      <w:marBottom w:val="0"/>
      <w:divBdr>
        <w:top w:val="none" w:sz="0" w:space="0" w:color="auto"/>
        <w:left w:val="none" w:sz="0" w:space="0" w:color="auto"/>
        <w:bottom w:val="none" w:sz="0" w:space="0" w:color="auto"/>
        <w:right w:val="none" w:sz="0" w:space="0" w:color="auto"/>
      </w:divBdr>
      <w:divsChild>
        <w:div w:id="1552502441">
          <w:marLeft w:val="0"/>
          <w:marRight w:val="0"/>
          <w:marTop w:val="0"/>
          <w:marBottom w:val="0"/>
          <w:divBdr>
            <w:top w:val="none" w:sz="0" w:space="0" w:color="auto"/>
            <w:left w:val="none" w:sz="0" w:space="0" w:color="auto"/>
            <w:bottom w:val="none" w:sz="0" w:space="0" w:color="auto"/>
            <w:right w:val="none" w:sz="0" w:space="0" w:color="auto"/>
          </w:divBdr>
          <w:divsChild>
            <w:div w:id="1111827150">
              <w:marLeft w:val="840"/>
              <w:marRight w:val="0"/>
              <w:marTop w:val="0"/>
              <w:marBottom w:val="120"/>
              <w:divBdr>
                <w:top w:val="none" w:sz="0" w:space="0" w:color="auto"/>
                <w:left w:val="none" w:sz="0" w:space="0" w:color="auto"/>
                <w:bottom w:val="none" w:sz="0" w:space="0" w:color="auto"/>
                <w:right w:val="none" w:sz="0" w:space="0" w:color="auto"/>
              </w:divBdr>
            </w:div>
          </w:divsChild>
        </w:div>
        <w:div w:id="1609194639">
          <w:marLeft w:val="1080"/>
          <w:marRight w:val="0"/>
          <w:marTop w:val="0"/>
          <w:marBottom w:val="120"/>
          <w:divBdr>
            <w:top w:val="none" w:sz="0" w:space="0" w:color="auto"/>
            <w:left w:val="none" w:sz="0" w:space="0" w:color="auto"/>
            <w:bottom w:val="none" w:sz="0" w:space="0" w:color="auto"/>
            <w:right w:val="none" w:sz="0" w:space="0" w:color="auto"/>
          </w:divBdr>
          <w:divsChild>
            <w:div w:id="1075589953">
              <w:marLeft w:val="240"/>
              <w:marRight w:val="0"/>
              <w:marTop w:val="0"/>
              <w:marBottom w:val="0"/>
              <w:divBdr>
                <w:top w:val="none" w:sz="0" w:space="0" w:color="auto"/>
                <w:left w:val="none" w:sz="0" w:space="0" w:color="auto"/>
                <w:bottom w:val="none" w:sz="0" w:space="0" w:color="auto"/>
                <w:right w:val="none" w:sz="0" w:space="0" w:color="auto"/>
              </w:divBdr>
            </w:div>
          </w:divsChild>
        </w:div>
        <w:div w:id="127361387">
          <w:marLeft w:val="1080"/>
          <w:marRight w:val="0"/>
          <w:marTop w:val="0"/>
          <w:marBottom w:val="120"/>
          <w:divBdr>
            <w:top w:val="none" w:sz="0" w:space="0" w:color="auto"/>
            <w:left w:val="none" w:sz="0" w:space="0" w:color="auto"/>
            <w:bottom w:val="none" w:sz="0" w:space="0" w:color="auto"/>
            <w:right w:val="none" w:sz="0" w:space="0" w:color="auto"/>
          </w:divBdr>
          <w:divsChild>
            <w:div w:id="2028559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8495374">
      <w:bodyDiv w:val="1"/>
      <w:marLeft w:val="0"/>
      <w:marRight w:val="0"/>
      <w:marTop w:val="0"/>
      <w:marBottom w:val="0"/>
      <w:divBdr>
        <w:top w:val="none" w:sz="0" w:space="0" w:color="auto"/>
        <w:left w:val="none" w:sz="0" w:space="0" w:color="auto"/>
        <w:bottom w:val="none" w:sz="0" w:space="0" w:color="auto"/>
        <w:right w:val="none" w:sz="0" w:space="0" w:color="auto"/>
      </w:divBdr>
    </w:div>
    <w:div w:id="1633049688">
      <w:bodyDiv w:val="1"/>
      <w:marLeft w:val="0"/>
      <w:marRight w:val="0"/>
      <w:marTop w:val="0"/>
      <w:marBottom w:val="0"/>
      <w:divBdr>
        <w:top w:val="none" w:sz="0" w:space="0" w:color="auto"/>
        <w:left w:val="none" w:sz="0" w:space="0" w:color="auto"/>
        <w:bottom w:val="none" w:sz="0" w:space="0" w:color="auto"/>
        <w:right w:val="none" w:sz="0" w:space="0" w:color="auto"/>
      </w:divBdr>
    </w:div>
    <w:div w:id="1649285784">
      <w:bodyDiv w:val="1"/>
      <w:marLeft w:val="0"/>
      <w:marRight w:val="0"/>
      <w:marTop w:val="0"/>
      <w:marBottom w:val="0"/>
      <w:divBdr>
        <w:top w:val="none" w:sz="0" w:space="0" w:color="auto"/>
        <w:left w:val="none" w:sz="0" w:space="0" w:color="auto"/>
        <w:bottom w:val="none" w:sz="0" w:space="0" w:color="auto"/>
        <w:right w:val="none" w:sz="0" w:space="0" w:color="auto"/>
      </w:divBdr>
    </w:div>
    <w:div w:id="1686252158">
      <w:bodyDiv w:val="1"/>
      <w:marLeft w:val="0"/>
      <w:marRight w:val="0"/>
      <w:marTop w:val="0"/>
      <w:marBottom w:val="0"/>
      <w:divBdr>
        <w:top w:val="none" w:sz="0" w:space="0" w:color="auto"/>
        <w:left w:val="none" w:sz="0" w:space="0" w:color="auto"/>
        <w:bottom w:val="none" w:sz="0" w:space="0" w:color="auto"/>
        <w:right w:val="none" w:sz="0" w:space="0" w:color="auto"/>
      </w:divBdr>
    </w:div>
    <w:div w:id="1762293016">
      <w:bodyDiv w:val="1"/>
      <w:marLeft w:val="0"/>
      <w:marRight w:val="0"/>
      <w:marTop w:val="0"/>
      <w:marBottom w:val="0"/>
      <w:divBdr>
        <w:top w:val="none" w:sz="0" w:space="0" w:color="auto"/>
        <w:left w:val="none" w:sz="0" w:space="0" w:color="auto"/>
        <w:bottom w:val="none" w:sz="0" w:space="0" w:color="auto"/>
        <w:right w:val="none" w:sz="0" w:space="0" w:color="auto"/>
      </w:divBdr>
      <w:divsChild>
        <w:div w:id="585043076">
          <w:marLeft w:val="0"/>
          <w:marRight w:val="0"/>
          <w:marTop w:val="0"/>
          <w:marBottom w:val="0"/>
          <w:divBdr>
            <w:top w:val="none" w:sz="0" w:space="0" w:color="auto"/>
            <w:left w:val="none" w:sz="0" w:space="0" w:color="auto"/>
            <w:bottom w:val="none" w:sz="0" w:space="0" w:color="auto"/>
            <w:right w:val="none" w:sz="0" w:space="0" w:color="auto"/>
          </w:divBdr>
          <w:divsChild>
            <w:div w:id="1292637917">
              <w:marLeft w:val="840"/>
              <w:marRight w:val="0"/>
              <w:marTop w:val="0"/>
              <w:marBottom w:val="120"/>
              <w:divBdr>
                <w:top w:val="none" w:sz="0" w:space="0" w:color="auto"/>
                <w:left w:val="none" w:sz="0" w:space="0" w:color="auto"/>
                <w:bottom w:val="none" w:sz="0" w:space="0" w:color="auto"/>
                <w:right w:val="none" w:sz="0" w:space="0" w:color="auto"/>
              </w:divBdr>
            </w:div>
          </w:divsChild>
        </w:div>
        <w:div w:id="1244489301">
          <w:marLeft w:val="1080"/>
          <w:marRight w:val="0"/>
          <w:marTop w:val="0"/>
          <w:marBottom w:val="120"/>
          <w:divBdr>
            <w:top w:val="none" w:sz="0" w:space="0" w:color="auto"/>
            <w:left w:val="none" w:sz="0" w:space="0" w:color="auto"/>
            <w:bottom w:val="none" w:sz="0" w:space="0" w:color="auto"/>
            <w:right w:val="none" w:sz="0" w:space="0" w:color="auto"/>
          </w:divBdr>
          <w:divsChild>
            <w:div w:id="881556010">
              <w:marLeft w:val="240"/>
              <w:marRight w:val="0"/>
              <w:marTop w:val="0"/>
              <w:marBottom w:val="0"/>
              <w:divBdr>
                <w:top w:val="none" w:sz="0" w:space="0" w:color="auto"/>
                <w:left w:val="none" w:sz="0" w:space="0" w:color="auto"/>
                <w:bottom w:val="none" w:sz="0" w:space="0" w:color="auto"/>
                <w:right w:val="none" w:sz="0" w:space="0" w:color="auto"/>
              </w:divBdr>
            </w:div>
          </w:divsChild>
        </w:div>
        <w:div w:id="1446463970">
          <w:marLeft w:val="1080"/>
          <w:marRight w:val="0"/>
          <w:marTop w:val="0"/>
          <w:marBottom w:val="120"/>
          <w:divBdr>
            <w:top w:val="none" w:sz="0" w:space="0" w:color="auto"/>
            <w:left w:val="none" w:sz="0" w:space="0" w:color="auto"/>
            <w:bottom w:val="none" w:sz="0" w:space="0" w:color="auto"/>
            <w:right w:val="none" w:sz="0" w:space="0" w:color="auto"/>
          </w:divBdr>
          <w:divsChild>
            <w:div w:id="1777167159">
              <w:marLeft w:val="240"/>
              <w:marRight w:val="0"/>
              <w:marTop w:val="0"/>
              <w:marBottom w:val="0"/>
              <w:divBdr>
                <w:top w:val="none" w:sz="0" w:space="0" w:color="auto"/>
                <w:left w:val="none" w:sz="0" w:space="0" w:color="auto"/>
                <w:bottom w:val="none" w:sz="0" w:space="0" w:color="auto"/>
                <w:right w:val="none" w:sz="0" w:space="0" w:color="auto"/>
              </w:divBdr>
            </w:div>
          </w:divsChild>
        </w:div>
        <w:div w:id="590622371">
          <w:marLeft w:val="1080"/>
          <w:marRight w:val="0"/>
          <w:marTop w:val="0"/>
          <w:marBottom w:val="120"/>
          <w:divBdr>
            <w:top w:val="none" w:sz="0" w:space="0" w:color="auto"/>
            <w:left w:val="none" w:sz="0" w:space="0" w:color="auto"/>
            <w:bottom w:val="none" w:sz="0" w:space="0" w:color="auto"/>
            <w:right w:val="none" w:sz="0" w:space="0" w:color="auto"/>
          </w:divBdr>
          <w:divsChild>
            <w:div w:id="2074112756">
              <w:marLeft w:val="240"/>
              <w:marRight w:val="0"/>
              <w:marTop w:val="0"/>
              <w:marBottom w:val="0"/>
              <w:divBdr>
                <w:top w:val="none" w:sz="0" w:space="0" w:color="auto"/>
                <w:left w:val="none" w:sz="0" w:space="0" w:color="auto"/>
                <w:bottom w:val="none" w:sz="0" w:space="0" w:color="auto"/>
                <w:right w:val="none" w:sz="0" w:space="0" w:color="auto"/>
              </w:divBdr>
            </w:div>
          </w:divsChild>
        </w:div>
        <w:div w:id="1968584854">
          <w:marLeft w:val="1080"/>
          <w:marRight w:val="0"/>
          <w:marTop w:val="0"/>
          <w:marBottom w:val="120"/>
          <w:divBdr>
            <w:top w:val="none" w:sz="0" w:space="0" w:color="auto"/>
            <w:left w:val="none" w:sz="0" w:space="0" w:color="auto"/>
            <w:bottom w:val="none" w:sz="0" w:space="0" w:color="auto"/>
            <w:right w:val="none" w:sz="0" w:space="0" w:color="auto"/>
          </w:divBdr>
          <w:divsChild>
            <w:div w:id="1269317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3958093">
      <w:bodyDiv w:val="1"/>
      <w:marLeft w:val="0"/>
      <w:marRight w:val="0"/>
      <w:marTop w:val="0"/>
      <w:marBottom w:val="0"/>
      <w:divBdr>
        <w:top w:val="none" w:sz="0" w:space="0" w:color="auto"/>
        <w:left w:val="none" w:sz="0" w:space="0" w:color="auto"/>
        <w:bottom w:val="none" w:sz="0" w:space="0" w:color="auto"/>
        <w:right w:val="none" w:sz="0" w:space="0" w:color="auto"/>
      </w:divBdr>
    </w:div>
    <w:div w:id="1786388538">
      <w:bodyDiv w:val="1"/>
      <w:marLeft w:val="0"/>
      <w:marRight w:val="0"/>
      <w:marTop w:val="0"/>
      <w:marBottom w:val="0"/>
      <w:divBdr>
        <w:top w:val="none" w:sz="0" w:space="0" w:color="auto"/>
        <w:left w:val="none" w:sz="0" w:space="0" w:color="auto"/>
        <w:bottom w:val="none" w:sz="0" w:space="0" w:color="auto"/>
        <w:right w:val="none" w:sz="0" w:space="0" w:color="auto"/>
      </w:divBdr>
    </w:div>
    <w:div w:id="1820538077">
      <w:bodyDiv w:val="1"/>
      <w:marLeft w:val="0"/>
      <w:marRight w:val="0"/>
      <w:marTop w:val="0"/>
      <w:marBottom w:val="0"/>
      <w:divBdr>
        <w:top w:val="none" w:sz="0" w:space="0" w:color="auto"/>
        <w:left w:val="none" w:sz="0" w:space="0" w:color="auto"/>
        <w:bottom w:val="none" w:sz="0" w:space="0" w:color="auto"/>
        <w:right w:val="none" w:sz="0" w:space="0" w:color="auto"/>
      </w:divBdr>
    </w:div>
    <w:div w:id="1837377702">
      <w:bodyDiv w:val="1"/>
      <w:marLeft w:val="0"/>
      <w:marRight w:val="0"/>
      <w:marTop w:val="0"/>
      <w:marBottom w:val="0"/>
      <w:divBdr>
        <w:top w:val="none" w:sz="0" w:space="0" w:color="auto"/>
        <w:left w:val="none" w:sz="0" w:space="0" w:color="auto"/>
        <w:bottom w:val="none" w:sz="0" w:space="0" w:color="auto"/>
        <w:right w:val="none" w:sz="0" w:space="0" w:color="auto"/>
      </w:divBdr>
      <w:divsChild>
        <w:div w:id="1933783848">
          <w:marLeft w:val="0"/>
          <w:marRight w:val="0"/>
          <w:marTop w:val="0"/>
          <w:marBottom w:val="0"/>
          <w:divBdr>
            <w:top w:val="none" w:sz="0" w:space="0" w:color="auto"/>
            <w:left w:val="none" w:sz="0" w:space="0" w:color="auto"/>
            <w:bottom w:val="none" w:sz="0" w:space="0" w:color="auto"/>
            <w:right w:val="none" w:sz="0" w:space="0" w:color="auto"/>
          </w:divBdr>
          <w:divsChild>
            <w:div w:id="1382707004">
              <w:marLeft w:val="840"/>
              <w:marRight w:val="0"/>
              <w:marTop w:val="0"/>
              <w:marBottom w:val="120"/>
              <w:divBdr>
                <w:top w:val="none" w:sz="0" w:space="0" w:color="auto"/>
                <w:left w:val="none" w:sz="0" w:space="0" w:color="auto"/>
                <w:bottom w:val="none" w:sz="0" w:space="0" w:color="auto"/>
                <w:right w:val="none" w:sz="0" w:space="0" w:color="auto"/>
              </w:divBdr>
            </w:div>
          </w:divsChild>
        </w:div>
        <w:div w:id="299261791">
          <w:marLeft w:val="840"/>
          <w:marRight w:val="0"/>
          <w:marTop w:val="0"/>
          <w:marBottom w:val="120"/>
          <w:divBdr>
            <w:top w:val="none" w:sz="0" w:space="0" w:color="auto"/>
            <w:left w:val="none" w:sz="0" w:space="0" w:color="auto"/>
            <w:bottom w:val="none" w:sz="0" w:space="0" w:color="auto"/>
            <w:right w:val="none" w:sz="0" w:space="0" w:color="auto"/>
          </w:divBdr>
        </w:div>
      </w:divsChild>
    </w:div>
    <w:div w:id="1855070976">
      <w:bodyDiv w:val="1"/>
      <w:marLeft w:val="0"/>
      <w:marRight w:val="0"/>
      <w:marTop w:val="0"/>
      <w:marBottom w:val="0"/>
      <w:divBdr>
        <w:top w:val="none" w:sz="0" w:space="0" w:color="auto"/>
        <w:left w:val="none" w:sz="0" w:space="0" w:color="auto"/>
        <w:bottom w:val="none" w:sz="0" w:space="0" w:color="auto"/>
        <w:right w:val="none" w:sz="0" w:space="0" w:color="auto"/>
      </w:divBdr>
    </w:div>
    <w:div w:id="2066828606">
      <w:bodyDiv w:val="1"/>
      <w:marLeft w:val="0"/>
      <w:marRight w:val="0"/>
      <w:marTop w:val="0"/>
      <w:marBottom w:val="0"/>
      <w:divBdr>
        <w:top w:val="none" w:sz="0" w:space="0" w:color="auto"/>
        <w:left w:val="none" w:sz="0" w:space="0" w:color="auto"/>
        <w:bottom w:val="none" w:sz="0" w:space="0" w:color="auto"/>
        <w:right w:val="none" w:sz="0" w:space="0" w:color="auto"/>
      </w:divBdr>
      <w:divsChild>
        <w:div w:id="1151171224">
          <w:marLeft w:val="0"/>
          <w:marRight w:val="0"/>
          <w:marTop w:val="0"/>
          <w:marBottom w:val="0"/>
          <w:divBdr>
            <w:top w:val="none" w:sz="0" w:space="0" w:color="auto"/>
            <w:left w:val="none" w:sz="0" w:space="0" w:color="auto"/>
            <w:bottom w:val="none" w:sz="0" w:space="0" w:color="auto"/>
            <w:right w:val="none" w:sz="0" w:space="0" w:color="auto"/>
          </w:divBdr>
          <w:divsChild>
            <w:div w:id="1363550425">
              <w:marLeft w:val="840"/>
              <w:marRight w:val="0"/>
              <w:marTop w:val="0"/>
              <w:marBottom w:val="120"/>
              <w:divBdr>
                <w:top w:val="none" w:sz="0" w:space="0" w:color="auto"/>
                <w:left w:val="none" w:sz="0" w:space="0" w:color="auto"/>
                <w:bottom w:val="none" w:sz="0" w:space="0" w:color="auto"/>
                <w:right w:val="none" w:sz="0" w:space="0" w:color="auto"/>
              </w:divBdr>
            </w:div>
          </w:divsChild>
        </w:div>
        <w:div w:id="1010066">
          <w:marLeft w:val="1080"/>
          <w:marRight w:val="0"/>
          <w:marTop w:val="0"/>
          <w:marBottom w:val="120"/>
          <w:divBdr>
            <w:top w:val="none" w:sz="0" w:space="0" w:color="auto"/>
            <w:left w:val="none" w:sz="0" w:space="0" w:color="auto"/>
            <w:bottom w:val="none" w:sz="0" w:space="0" w:color="auto"/>
            <w:right w:val="none" w:sz="0" w:space="0" w:color="auto"/>
          </w:divBdr>
          <w:divsChild>
            <w:div w:id="1385325004">
              <w:marLeft w:val="240"/>
              <w:marRight w:val="0"/>
              <w:marTop w:val="0"/>
              <w:marBottom w:val="0"/>
              <w:divBdr>
                <w:top w:val="none" w:sz="0" w:space="0" w:color="auto"/>
                <w:left w:val="none" w:sz="0" w:space="0" w:color="auto"/>
                <w:bottom w:val="none" w:sz="0" w:space="0" w:color="auto"/>
                <w:right w:val="none" w:sz="0" w:space="0" w:color="auto"/>
              </w:divBdr>
            </w:div>
          </w:divsChild>
        </w:div>
        <w:div w:id="2112168255">
          <w:marLeft w:val="1080"/>
          <w:marRight w:val="0"/>
          <w:marTop w:val="0"/>
          <w:marBottom w:val="120"/>
          <w:divBdr>
            <w:top w:val="none" w:sz="0" w:space="0" w:color="auto"/>
            <w:left w:val="none" w:sz="0" w:space="0" w:color="auto"/>
            <w:bottom w:val="none" w:sz="0" w:space="0" w:color="auto"/>
            <w:right w:val="none" w:sz="0" w:space="0" w:color="auto"/>
          </w:divBdr>
          <w:divsChild>
            <w:div w:id="477963810">
              <w:marLeft w:val="240"/>
              <w:marRight w:val="0"/>
              <w:marTop w:val="0"/>
              <w:marBottom w:val="0"/>
              <w:divBdr>
                <w:top w:val="none" w:sz="0" w:space="0" w:color="auto"/>
                <w:left w:val="none" w:sz="0" w:space="0" w:color="auto"/>
                <w:bottom w:val="none" w:sz="0" w:space="0" w:color="auto"/>
                <w:right w:val="none" w:sz="0" w:space="0" w:color="auto"/>
              </w:divBdr>
            </w:div>
          </w:divsChild>
        </w:div>
        <w:div w:id="817963544">
          <w:marLeft w:val="1080"/>
          <w:marRight w:val="0"/>
          <w:marTop w:val="0"/>
          <w:marBottom w:val="120"/>
          <w:divBdr>
            <w:top w:val="none" w:sz="0" w:space="0" w:color="auto"/>
            <w:left w:val="none" w:sz="0" w:space="0" w:color="auto"/>
            <w:bottom w:val="none" w:sz="0" w:space="0" w:color="auto"/>
            <w:right w:val="none" w:sz="0" w:space="0" w:color="auto"/>
          </w:divBdr>
          <w:divsChild>
            <w:div w:id="2144342822">
              <w:marLeft w:val="240"/>
              <w:marRight w:val="0"/>
              <w:marTop w:val="0"/>
              <w:marBottom w:val="0"/>
              <w:divBdr>
                <w:top w:val="none" w:sz="0" w:space="0" w:color="auto"/>
                <w:left w:val="none" w:sz="0" w:space="0" w:color="auto"/>
                <w:bottom w:val="none" w:sz="0" w:space="0" w:color="auto"/>
                <w:right w:val="none" w:sz="0" w:space="0" w:color="auto"/>
              </w:divBdr>
            </w:div>
          </w:divsChild>
        </w:div>
        <w:div w:id="1632830910">
          <w:marLeft w:val="1080"/>
          <w:marRight w:val="0"/>
          <w:marTop w:val="0"/>
          <w:marBottom w:val="120"/>
          <w:divBdr>
            <w:top w:val="none" w:sz="0" w:space="0" w:color="auto"/>
            <w:left w:val="none" w:sz="0" w:space="0" w:color="auto"/>
            <w:bottom w:val="none" w:sz="0" w:space="0" w:color="auto"/>
            <w:right w:val="none" w:sz="0" w:space="0" w:color="auto"/>
          </w:divBdr>
          <w:divsChild>
            <w:div w:id="309361345">
              <w:marLeft w:val="240"/>
              <w:marRight w:val="0"/>
              <w:marTop w:val="0"/>
              <w:marBottom w:val="0"/>
              <w:divBdr>
                <w:top w:val="none" w:sz="0" w:space="0" w:color="auto"/>
                <w:left w:val="none" w:sz="0" w:space="0" w:color="auto"/>
                <w:bottom w:val="none" w:sz="0" w:space="0" w:color="auto"/>
                <w:right w:val="none" w:sz="0" w:space="0" w:color="auto"/>
              </w:divBdr>
            </w:div>
          </w:divsChild>
        </w:div>
        <w:div w:id="1023750484">
          <w:marLeft w:val="1080"/>
          <w:marRight w:val="0"/>
          <w:marTop w:val="0"/>
          <w:marBottom w:val="120"/>
          <w:divBdr>
            <w:top w:val="none" w:sz="0" w:space="0" w:color="auto"/>
            <w:left w:val="none" w:sz="0" w:space="0" w:color="auto"/>
            <w:bottom w:val="none" w:sz="0" w:space="0" w:color="auto"/>
            <w:right w:val="none" w:sz="0" w:space="0" w:color="auto"/>
          </w:divBdr>
          <w:divsChild>
            <w:div w:id="1528592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87755">
      <w:bodyDiv w:val="1"/>
      <w:marLeft w:val="0"/>
      <w:marRight w:val="0"/>
      <w:marTop w:val="0"/>
      <w:marBottom w:val="0"/>
      <w:divBdr>
        <w:top w:val="none" w:sz="0" w:space="0" w:color="auto"/>
        <w:left w:val="none" w:sz="0" w:space="0" w:color="auto"/>
        <w:bottom w:val="none" w:sz="0" w:space="0" w:color="auto"/>
        <w:right w:val="none" w:sz="0" w:space="0" w:color="auto"/>
      </w:divBdr>
    </w:div>
    <w:div w:id="2089688037">
      <w:bodyDiv w:val="1"/>
      <w:marLeft w:val="0"/>
      <w:marRight w:val="0"/>
      <w:marTop w:val="0"/>
      <w:marBottom w:val="0"/>
      <w:divBdr>
        <w:top w:val="none" w:sz="0" w:space="0" w:color="auto"/>
        <w:left w:val="none" w:sz="0" w:space="0" w:color="auto"/>
        <w:bottom w:val="none" w:sz="0" w:space="0" w:color="auto"/>
        <w:right w:val="none" w:sz="0" w:space="0" w:color="auto"/>
      </w:divBdr>
    </w:div>
    <w:div w:id="21338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1C3B-52EB-4965-AB41-48C650AD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2023-06-21T01:54:00Z</dcterms:created>
  <dcterms:modified xsi:type="dcterms:W3CDTF">2023-06-21T01:54:00Z</dcterms:modified>
</cp:coreProperties>
</file>