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4.jp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534F0" w14:textId="77777777" w:rsidR="007E26C6" w:rsidRDefault="007E26C6" w:rsidP="00441328"/>
    <w:p w14:paraId="3DFCA584" w14:textId="77777777" w:rsidR="007E26C6" w:rsidRDefault="007E26C6" w:rsidP="0007097F">
      <w:pPr>
        <w:pStyle w:val="Heading4"/>
      </w:pPr>
    </w:p>
    <w:p w14:paraId="206699FD" w14:textId="77777777" w:rsidR="00500B39" w:rsidRDefault="00500B39" w:rsidP="00500B39"/>
    <w:p w14:paraId="1B2E3B01" w14:textId="77777777" w:rsidR="00500B39" w:rsidRPr="006C0E48" w:rsidRDefault="006D6DF2" w:rsidP="00500B39">
      <w:pPr>
        <w:spacing w:after="0" w:line="240" w:lineRule="auto"/>
        <w:rPr>
          <w:sz w:val="18"/>
        </w:rPr>
      </w:pPr>
      <w:r w:rsidRPr="006C0E48">
        <w:rPr>
          <w:noProof/>
          <w:sz w:val="1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58BA4" wp14:editId="260AEF57">
                <wp:simplePos x="0" y="0"/>
                <wp:positionH relativeFrom="column">
                  <wp:posOffset>-123190</wp:posOffset>
                </wp:positionH>
                <wp:positionV relativeFrom="paragraph">
                  <wp:posOffset>-936625</wp:posOffset>
                </wp:positionV>
                <wp:extent cx="648652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57927" w14:textId="77777777" w:rsidR="006D6DF2" w:rsidRPr="00B2506A" w:rsidRDefault="00500B39" w:rsidP="006D6DF2">
                            <w:pPr>
                              <w:pStyle w:val="Titl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Tasmanian Freight Equalisation Scheme Information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58B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pt;margin-top:-73.75pt;width:510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AK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" filled="f" stroked="f">
                <v:textbox>
                  <w:txbxContent>
                    <w:p w14:paraId="55057927" w14:textId="77777777" w:rsidR="006D6DF2" w:rsidRPr="00B2506A" w:rsidRDefault="00500B39" w:rsidP="006D6DF2">
                      <w:pPr>
                        <w:pStyle w:val="Titl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Tasmanian Freight Equalisation Scheme Information Paper</w:t>
                      </w:r>
                    </w:p>
                  </w:txbxContent>
                </v:textbox>
              </v:shape>
            </w:pict>
          </mc:Fallback>
        </mc:AlternateContent>
      </w:r>
      <w:r w:rsidR="00500B39" w:rsidRPr="006C0E48">
        <w:rPr>
          <w:sz w:val="18"/>
        </w:rPr>
        <w:t>This information paper is made under subclause 8.3.1 of the Ministerial Directions for the Tasmanian Freight Equalisation Scheme (TFES).</w:t>
      </w:r>
    </w:p>
    <w:p w14:paraId="579A62C3" w14:textId="77777777" w:rsidR="00500B39" w:rsidRDefault="003F7409" w:rsidP="006C0E48">
      <w:pPr>
        <w:pStyle w:val="Heading1"/>
        <w:spacing w:before="360" w:after="360"/>
      </w:pPr>
      <w:r>
        <w:t xml:space="preserve">TFES </w:t>
      </w:r>
      <w:r w:rsidR="00674CC0">
        <w:t>Assistance for Imported Goods</w:t>
      </w:r>
    </w:p>
    <w:p w14:paraId="58CBC508" w14:textId="77777777" w:rsidR="003F7409" w:rsidRDefault="003F7409" w:rsidP="003F7409">
      <w:pPr>
        <w:pStyle w:val="Heading2"/>
        <w:spacing w:before="100" w:line="288" w:lineRule="auto"/>
        <w:rPr>
          <w:rFonts w:asciiTheme="minorHAnsi" w:eastAsiaTheme="minorHAnsi" w:hAnsiTheme="minorHAnsi" w:cstheme="minorBidi"/>
          <w:bCs w:val="0"/>
          <w:color w:val="auto"/>
          <w:sz w:val="20"/>
          <w:szCs w:val="22"/>
        </w:rPr>
      </w:pPr>
      <w:r w:rsidRPr="003F7409">
        <w:rPr>
          <w:rFonts w:asciiTheme="minorHAnsi" w:eastAsiaTheme="minorHAnsi" w:hAnsiTheme="minorHAnsi" w:cstheme="minorBidi"/>
          <w:bCs w:val="0"/>
          <w:color w:val="auto"/>
          <w:sz w:val="20"/>
          <w:szCs w:val="22"/>
        </w:rPr>
        <w:t>On 11 May 2021, the Australian Government announced the Tasmanian Freight Equalisation Scheme (TFES) was being extended to eligible imported goods, w</w:t>
      </w:r>
      <w:r w:rsidR="006B267C">
        <w:rPr>
          <w:rFonts w:asciiTheme="minorHAnsi" w:eastAsiaTheme="minorHAnsi" w:hAnsiTheme="minorHAnsi" w:cstheme="minorBidi"/>
          <w:bCs w:val="0"/>
          <w:color w:val="auto"/>
          <w:sz w:val="20"/>
          <w:szCs w:val="22"/>
        </w:rPr>
        <w:t>hich are shipped to Tasmania from</w:t>
      </w:r>
      <w:r w:rsidRPr="003F7409">
        <w:rPr>
          <w:rFonts w:asciiTheme="minorHAnsi" w:eastAsiaTheme="minorHAnsi" w:hAnsiTheme="minorHAnsi" w:cstheme="minorBidi"/>
          <w:bCs w:val="0"/>
          <w:color w:val="auto"/>
          <w:sz w:val="20"/>
          <w:szCs w:val="22"/>
        </w:rPr>
        <w:t xml:space="preserve"> a mainland port and where there is no Australian equivalent good.</w:t>
      </w:r>
    </w:p>
    <w:p w14:paraId="1C5296DB" w14:textId="1DB86516" w:rsidR="005A4A40" w:rsidRDefault="00674CC0" w:rsidP="00674CC0">
      <w:r>
        <w:t xml:space="preserve">Claims for TFES assistance for imported goods </w:t>
      </w:r>
      <w:r w:rsidR="006234FF">
        <w:t xml:space="preserve">can </w:t>
      </w:r>
      <w:r w:rsidR="00EA1A06">
        <w:t>to</w:t>
      </w:r>
      <w:r>
        <w:t xml:space="preserve"> be lodged online from 1 October 2021 onwards, for eligible goods shipped from the mainland to Tasmania on or after 1 July 2021.</w:t>
      </w:r>
      <w:r w:rsidR="005A4A40">
        <w:t xml:space="preserve">  </w:t>
      </w:r>
    </w:p>
    <w:p w14:paraId="277205F5" w14:textId="197C9345" w:rsidR="00674CC0" w:rsidRDefault="001443B6" w:rsidP="00674CC0">
      <w:r>
        <w:t xml:space="preserve">To be eligible, the </w:t>
      </w:r>
      <w:r w:rsidR="005A4A40">
        <w:t xml:space="preserve">imported goods </w:t>
      </w:r>
      <w:r>
        <w:t xml:space="preserve">must be </w:t>
      </w:r>
      <w:r w:rsidR="005A4A40">
        <w:t>shipped to Tasmania within 6 months of the date the goods were imported to</w:t>
      </w:r>
      <w:r w:rsidR="00620B59">
        <w:t xml:space="preserve"> mainland</w:t>
      </w:r>
      <w:r w:rsidR="005A4A40">
        <w:t xml:space="preserve"> Australia.</w:t>
      </w:r>
    </w:p>
    <w:p w14:paraId="5C5B5CE5" w14:textId="77777777" w:rsidR="003318F6" w:rsidRDefault="003318F6" w:rsidP="00FA59C7">
      <w:pPr>
        <w:pStyle w:val="Heading2"/>
        <w:spacing w:after="240"/>
      </w:pPr>
      <w:r>
        <w:t>TFES Rate of Assistance for Imported Goods</w:t>
      </w:r>
    </w:p>
    <w:p w14:paraId="3807B5AD" w14:textId="37A062EC" w:rsidR="003318F6" w:rsidRDefault="003318F6" w:rsidP="00674CC0">
      <w:r>
        <w:t>The rate of assistance for eligible imported goods</w:t>
      </w:r>
      <w:r w:rsidR="00EC6DDC">
        <w:t xml:space="preserve"> shipped </w:t>
      </w:r>
      <w:r w:rsidR="00321BCD">
        <w:t>from the mainland of Australia to the main island of Tasmania</w:t>
      </w:r>
      <w:r>
        <w:t xml:space="preserve"> is $700 per Twenty-Foot Equivalent Unit</w:t>
      </w:r>
      <w:r w:rsidR="00620B59">
        <w:t xml:space="preserve"> (TEU)</w:t>
      </w:r>
      <w:r>
        <w:t xml:space="preserve">. </w:t>
      </w:r>
    </w:p>
    <w:p w14:paraId="1207DF07" w14:textId="50FE30AB" w:rsidR="00AC2180" w:rsidRDefault="00AC2180" w:rsidP="00674CC0">
      <w:r>
        <w:t xml:space="preserve">For imported goods shipped from the mainland of Australia to </w:t>
      </w:r>
      <w:r w:rsidR="00321BCD">
        <w:t>King Island or</w:t>
      </w:r>
      <w:r w:rsidR="00EC6DDC">
        <w:t xml:space="preserve"> </w:t>
      </w:r>
      <w:r w:rsidR="00321BCD">
        <w:t>Furneaux Group I</w:t>
      </w:r>
      <w:r>
        <w:t>slands the flat rate of assistance is $805 per TEU</w:t>
      </w:r>
      <w:r w:rsidR="003D4A53">
        <w:t>, or $1610 per TEU if the goods were shipped to the Furneaux Group from the mainland of Australia, via the main island of Tasmania, and the shipment involved a land transport component on the main island of Tasmania</w:t>
      </w:r>
      <w:r>
        <w:t>.</w:t>
      </w:r>
    </w:p>
    <w:p w14:paraId="1AD18AB0" w14:textId="369723E8" w:rsidR="003318F6" w:rsidRDefault="003318F6" w:rsidP="00674CC0">
      <w:r>
        <w:t>For full container/trailer loads of other sizes th</w:t>
      </w:r>
      <w:r w:rsidR="008C6386">
        <w:t>ese</w:t>
      </w:r>
      <w:r>
        <w:t xml:space="preserve"> rate</w:t>
      </w:r>
      <w:r w:rsidR="008C6386">
        <w:t>s are</w:t>
      </w:r>
      <w:r>
        <w:t xml:space="preserve"> adjusted based on the length of the shipping unit. </w:t>
      </w:r>
    </w:p>
    <w:p w14:paraId="73C2376F" w14:textId="62EDF551" w:rsidR="003318F6" w:rsidRPr="00674CC0" w:rsidRDefault="003318F6" w:rsidP="00674CC0">
      <w:r>
        <w:t>For less than container load shipments th</w:t>
      </w:r>
      <w:r w:rsidR="008C6386">
        <w:t>ese</w:t>
      </w:r>
      <w:r>
        <w:t xml:space="preserve"> rate</w:t>
      </w:r>
      <w:r w:rsidR="008C6386">
        <w:t>s are</w:t>
      </w:r>
      <w:r>
        <w:t xml:space="preserve"> adjusted to pay on either tonnes or </w:t>
      </w:r>
      <w:r w:rsidR="00620B59">
        <w:t>cubic met</w:t>
      </w:r>
      <w:r w:rsidR="00101130">
        <w:t>res</w:t>
      </w:r>
      <w:r>
        <w:t xml:space="preserve"> shipped.</w:t>
      </w:r>
    </w:p>
    <w:p w14:paraId="7CD591AF" w14:textId="77777777" w:rsidR="00500B39" w:rsidRDefault="00500B39" w:rsidP="0068575F">
      <w:pPr>
        <w:pStyle w:val="Heading2"/>
        <w:spacing w:after="240"/>
      </w:pPr>
      <w:r>
        <w:t xml:space="preserve">General </w:t>
      </w:r>
      <w:r w:rsidR="00B54D84">
        <w:t xml:space="preserve">Southbound </w:t>
      </w:r>
      <w:r>
        <w:t>Eligibility</w:t>
      </w:r>
    </w:p>
    <w:p w14:paraId="2842EA3A" w14:textId="77777777" w:rsidR="005A08FC" w:rsidRDefault="00774EB4" w:rsidP="00500B39">
      <w:r>
        <w:t>To have a TFES imported goods claim paid you will still need to meet the applicable eligibility and lodgement requirements that currently exist for</w:t>
      </w:r>
      <w:r w:rsidR="006B267C">
        <w:t xml:space="preserve"> TFES</w:t>
      </w:r>
      <w:r>
        <w:t xml:space="preserve"> claims for southbound shipments of goods from the mainland to Tasmania. </w:t>
      </w:r>
    </w:p>
    <w:p w14:paraId="2A206C18" w14:textId="233D72D9" w:rsidR="003F7409" w:rsidRDefault="00EA1A06" w:rsidP="00500B39">
      <w:r>
        <w:t>T</w:t>
      </w:r>
      <w:r w:rsidR="00E029EF">
        <w:t xml:space="preserve">o receive </w:t>
      </w:r>
      <w:r w:rsidR="00947B8B">
        <w:t xml:space="preserve">TFES southbound </w:t>
      </w:r>
      <w:r w:rsidR="00E029EF">
        <w:t>assistance a claimant must</w:t>
      </w:r>
      <w:r w:rsidR="003F7409">
        <w:t xml:space="preserve"> be </w:t>
      </w:r>
      <w:r w:rsidR="005A08FC">
        <w:t xml:space="preserve">predominantly </w:t>
      </w:r>
      <w:r w:rsidR="003F7409">
        <w:t xml:space="preserve">engaged in the </w:t>
      </w:r>
      <w:r w:rsidR="003F7409" w:rsidRPr="000C00B9">
        <w:rPr>
          <w:b/>
        </w:rPr>
        <w:t>manufacturing, mining,</w:t>
      </w:r>
      <w:r w:rsidR="003F7409">
        <w:t xml:space="preserve"> or </w:t>
      </w:r>
      <w:r w:rsidR="003F7409" w:rsidRPr="000C00B9">
        <w:rPr>
          <w:b/>
        </w:rPr>
        <w:t>agriculture, forestry</w:t>
      </w:r>
      <w:r w:rsidR="003F7409">
        <w:t xml:space="preserve"> and </w:t>
      </w:r>
      <w:r w:rsidR="003F7409" w:rsidRPr="000C00B9">
        <w:rPr>
          <w:b/>
        </w:rPr>
        <w:t>fishing</w:t>
      </w:r>
      <w:r w:rsidR="003F7409">
        <w:t xml:space="preserve"> industr</w:t>
      </w:r>
      <w:r w:rsidR="008C6386">
        <w:t>ies</w:t>
      </w:r>
      <w:r w:rsidR="00947B8B">
        <w:t xml:space="preserve"> in Tasmania</w:t>
      </w:r>
      <w:r w:rsidR="003F7409">
        <w:t xml:space="preserve"> and the good needs to be a key </w:t>
      </w:r>
      <w:r w:rsidR="006325DC">
        <w:t xml:space="preserve">eligible </w:t>
      </w:r>
      <w:r w:rsidR="003F7409">
        <w:t>input to your business activity in one of these five industries.</w:t>
      </w:r>
    </w:p>
    <w:p w14:paraId="38DF90F6" w14:textId="562446E3" w:rsidR="0068575F" w:rsidRDefault="00E029EF" w:rsidP="0068575F">
      <w:pPr>
        <w:rPr>
          <w:rStyle w:val="Heading2Char"/>
        </w:rPr>
      </w:pPr>
      <w:r>
        <w:lastRenderedPageBreak/>
        <w:t>This information paper focus</w:t>
      </w:r>
      <w:r w:rsidR="00EA1A06">
        <w:t>es</w:t>
      </w:r>
      <w:r>
        <w:t xml:space="preserve"> on the</w:t>
      </w:r>
      <w:r w:rsidR="000171D6">
        <w:t xml:space="preserve"> core</w:t>
      </w:r>
      <w:r>
        <w:t xml:space="preserve"> requirements </w:t>
      </w:r>
      <w:r w:rsidR="00E7718C">
        <w:t xml:space="preserve">for </w:t>
      </w:r>
      <w:r w:rsidR="00BD764B">
        <w:t xml:space="preserve">TFES assistance for </w:t>
      </w:r>
      <w:r>
        <w:t>imported good</w:t>
      </w:r>
      <w:r w:rsidR="00101130">
        <w:t>s</w:t>
      </w:r>
      <w:r>
        <w:t xml:space="preserve"> claims. </w:t>
      </w:r>
      <w:r w:rsidR="003F7409">
        <w:t xml:space="preserve">For more information on </w:t>
      </w:r>
      <w:r>
        <w:t xml:space="preserve">general </w:t>
      </w:r>
      <w:r w:rsidR="003F7409">
        <w:t>eligibility for southbound goods under TFES, please refer to the Information Paper ‘TFES Southbound Assistance’</w:t>
      </w:r>
      <w:r w:rsidR="00947B8B">
        <w:t>.</w:t>
      </w:r>
      <w:r w:rsidR="00620B59">
        <w:t xml:space="preserve"> </w:t>
      </w:r>
    </w:p>
    <w:p w14:paraId="73C908B4" w14:textId="0BD8904A" w:rsidR="0068575F" w:rsidRDefault="0068575F" w:rsidP="0068575F">
      <w:pPr>
        <w:pStyle w:val="Heading2"/>
        <w:spacing w:after="240"/>
      </w:pPr>
      <w:r>
        <w:t>Imported Good Eligibility</w:t>
      </w:r>
    </w:p>
    <w:p w14:paraId="025FCB58" w14:textId="1F36751C" w:rsidR="006325DC" w:rsidRDefault="006325DC" w:rsidP="006325DC">
      <w:r>
        <w:t>For the purposes of assessing your TFES imported good</w:t>
      </w:r>
      <w:r w:rsidR="00101130">
        <w:t>s</w:t>
      </w:r>
      <w:r>
        <w:t xml:space="preserve"> claim, an ‘Australian equivalent’ good is assessed as one that is:</w:t>
      </w:r>
    </w:p>
    <w:p w14:paraId="30089C74" w14:textId="4AFDF96E" w:rsidR="006325DC" w:rsidRDefault="001443B6" w:rsidP="006325DC">
      <w:pPr>
        <w:pStyle w:val="ListParagraph"/>
        <w:numPr>
          <w:ilvl w:val="0"/>
          <w:numId w:val="15"/>
        </w:numPr>
      </w:pPr>
      <w:r>
        <w:t>m</w:t>
      </w:r>
      <w:r w:rsidR="006325DC">
        <w:t>anufactured, produced or grown in Australia (not an imported good)</w:t>
      </w:r>
      <w:r w:rsidR="00E7718C">
        <w:t>; and</w:t>
      </w:r>
    </w:p>
    <w:p w14:paraId="5566CB6F" w14:textId="77777777" w:rsidR="006325DC" w:rsidRDefault="006325DC" w:rsidP="006C0E48">
      <w:pPr>
        <w:pStyle w:val="ListParagraph"/>
        <w:numPr>
          <w:ilvl w:val="0"/>
          <w:numId w:val="15"/>
        </w:numPr>
      </w:pPr>
      <w:r>
        <w:t xml:space="preserve">suitable </w:t>
      </w:r>
      <w:r w:rsidRPr="006C0E48">
        <w:t>for use</w:t>
      </w:r>
      <w:r>
        <w:t xml:space="preserve"> in your eligible business processes or activities</w:t>
      </w:r>
      <w:r w:rsidR="00E7718C">
        <w:t>; and</w:t>
      </w:r>
    </w:p>
    <w:p w14:paraId="63974221" w14:textId="77777777" w:rsidR="006325DC" w:rsidRDefault="006325DC" w:rsidP="006C0E48">
      <w:pPr>
        <w:pStyle w:val="ListParagraph"/>
        <w:numPr>
          <w:ilvl w:val="0"/>
          <w:numId w:val="15"/>
        </w:numPr>
      </w:pPr>
      <w:r>
        <w:t>available to your business</w:t>
      </w:r>
      <w:r w:rsidR="006C17CE">
        <w:t>, and in sufficient scale and</w:t>
      </w:r>
      <w:r>
        <w:t xml:space="preserve"> quality</w:t>
      </w:r>
      <w:r w:rsidR="00E7718C">
        <w:t>.</w:t>
      </w:r>
    </w:p>
    <w:p w14:paraId="3CD0DFE7" w14:textId="1970203E" w:rsidR="006C17CE" w:rsidRDefault="006325DC" w:rsidP="00500B39">
      <w:r>
        <w:t xml:space="preserve">Please note that the assessment of </w:t>
      </w:r>
      <w:r w:rsidR="0031275C">
        <w:t>whether</w:t>
      </w:r>
      <w:r w:rsidR="00830601">
        <w:t xml:space="preserve"> an </w:t>
      </w:r>
      <w:r>
        <w:t>Australia</w:t>
      </w:r>
      <w:r w:rsidR="005A08FC">
        <w:t>n</w:t>
      </w:r>
      <w:r>
        <w:t xml:space="preserve"> equivalent</w:t>
      </w:r>
      <w:r w:rsidR="0031275C">
        <w:t xml:space="preserve"> exists</w:t>
      </w:r>
      <w:r w:rsidR="00830601">
        <w:t xml:space="preserve"> </w:t>
      </w:r>
      <w:r w:rsidR="00056B45">
        <w:t>considers</w:t>
      </w:r>
      <w:r w:rsidR="00947B8B">
        <w:t xml:space="preserve"> the </w:t>
      </w:r>
      <w:r w:rsidR="00830601">
        <w:t>use, availability, supply and quality</w:t>
      </w:r>
      <w:r w:rsidR="00947B8B">
        <w:t xml:space="preserve"> of the good</w:t>
      </w:r>
      <w:r w:rsidR="00620B59">
        <w:t>.  The assessment</w:t>
      </w:r>
      <w:r>
        <w:t xml:space="preserve"> </w:t>
      </w:r>
      <w:r w:rsidR="00830601">
        <w:t xml:space="preserve">does </w:t>
      </w:r>
      <w:r w:rsidR="0031275C">
        <w:t>not consider</w:t>
      </w:r>
      <w:r>
        <w:t xml:space="preserve"> the</w:t>
      </w:r>
      <w:r w:rsidR="00830601">
        <w:t xml:space="preserve"> suitability</w:t>
      </w:r>
      <w:r w:rsidR="00947B8B">
        <w:t xml:space="preserve"> (or not)</w:t>
      </w:r>
      <w:r w:rsidR="00830601">
        <w:t xml:space="preserve"> of the</w:t>
      </w:r>
      <w:r>
        <w:t xml:space="preserve"> cost</w:t>
      </w:r>
      <w:r w:rsidR="00947B8B">
        <w:t xml:space="preserve"> of the Australian </w:t>
      </w:r>
      <w:r w:rsidR="006C17CE">
        <w:t>good when deciding whether it is equivalent to the imported good</w:t>
      </w:r>
      <w:r w:rsidR="00774EB4">
        <w:t>.</w:t>
      </w:r>
    </w:p>
    <w:p w14:paraId="1A47BF4E" w14:textId="77777777" w:rsidR="003F7409" w:rsidRDefault="006325DC" w:rsidP="003F7409">
      <w:r>
        <w:t>Y</w:t>
      </w:r>
      <w:r w:rsidR="002C637A">
        <w:t>ou will</w:t>
      </w:r>
      <w:r w:rsidR="003F7409">
        <w:t xml:space="preserve"> need to verify that your imported good does not have an Australian equivalent in one of two ways:</w:t>
      </w:r>
    </w:p>
    <w:p w14:paraId="4D82E130" w14:textId="77777777" w:rsidR="003F7409" w:rsidRDefault="003F7409" w:rsidP="003F7409">
      <w:pPr>
        <w:pStyle w:val="ListParagraph"/>
        <w:numPr>
          <w:ilvl w:val="0"/>
          <w:numId w:val="14"/>
        </w:numPr>
        <w:spacing w:before="0" w:after="0" w:line="240" w:lineRule="auto"/>
        <w:contextualSpacing w:val="0"/>
      </w:pPr>
      <w:r>
        <w:t>You will n</w:t>
      </w:r>
      <w:r w:rsidR="00B75AD0">
        <w:t>eed to identify that a</w:t>
      </w:r>
      <w:r w:rsidR="006C17CE">
        <w:t xml:space="preserve"> Tariff C</w:t>
      </w:r>
      <w:r>
        <w:t>oncession</w:t>
      </w:r>
      <w:r w:rsidR="006C17CE">
        <w:t xml:space="preserve"> O</w:t>
      </w:r>
      <w:r w:rsidR="00B54D84">
        <w:t>rder</w:t>
      </w:r>
      <w:r>
        <w:t xml:space="preserve"> applies to your imported good under the Department of Home Affairs Tariff Concession System</w:t>
      </w:r>
      <w:r w:rsidR="00B54D84">
        <w:t>.</w:t>
      </w:r>
    </w:p>
    <w:p w14:paraId="3105BDB6" w14:textId="77777777" w:rsidR="003F7409" w:rsidRDefault="003F7409" w:rsidP="006325DC">
      <w:pPr>
        <w:ind w:left="720"/>
      </w:pPr>
      <w:r>
        <w:t>OR</w:t>
      </w:r>
    </w:p>
    <w:p w14:paraId="444BCFB3" w14:textId="77777777" w:rsidR="003F7409" w:rsidRDefault="003F7409" w:rsidP="003F7409">
      <w:pPr>
        <w:pStyle w:val="ListParagraph"/>
        <w:numPr>
          <w:ilvl w:val="0"/>
          <w:numId w:val="15"/>
        </w:numPr>
        <w:spacing w:before="0" w:after="0" w:line="240" w:lineRule="auto"/>
        <w:contextualSpacing w:val="0"/>
      </w:pPr>
      <w:r>
        <w:t>Provide a TFES Statutory Declaration declaring that your imported good has no Australian equivalent and provide concise evidence to substantiate this declaration</w:t>
      </w:r>
      <w:r w:rsidR="00E27C70">
        <w:t xml:space="preserve"> (no more than two pages)</w:t>
      </w:r>
      <w:r>
        <w:t>. This could be a statement from an Australian manufacturer, supplier, industry body or your own research to substantiate your claim.</w:t>
      </w:r>
    </w:p>
    <w:p w14:paraId="2B6BE50A" w14:textId="43B406DB" w:rsidR="00B54D84" w:rsidRDefault="00DD6D05" w:rsidP="005C5C15">
      <w:r>
        <w:t>In addition</w:t>
      </w:r>
      <w:r w:rsidR="005C5C15">
        <w:t>, you will need</w:t>
      </w:r>
      <w:r w:rsidR="00B54D84">
        <w:t xml:space="preserve"> to provide evidence of</w:t>
      </w:r>
    </w:p>
    <w:p w14:paraId="653E7065" w14:textId="5B8CB9CE" w:rsidR="00B54D84" w:rsidRDefault="001443B6" w:rsidP="00B54D84">
      <w:pPr>
        <w:pStyle w:val="ListParagraph"/>
        <w:numPr>
          <w:ilvl w:val="0"/>
          <w:numId w:val="15"/>
        </w:numPr>
      </w:pPr>
      <w:r>
        <w:t>t</w:t>
      </w:r>
      <w:r w:rsidR="00B54D84">
        <w:t xml:space="preserve">he </w:t>
      </w:r>
      <w:r w:rsidR="005C5C15">
        <w:t>importati</w:t>
      </w:r>
      <w:r w:rsidR="00B54D84">
        <w:t xml:space="preserve">on of the goods into Australia, </w:t>
      </w:r>
      <w:r w:rsidR="005C5C15">
        <w:t xml:space="preserve">and </w:t>
      </w:r>
    </w:p>
    <w:p w14:paraId="276AC2A3" w14:textId="77777777" w:rsidR="005C5C15" w:rsidRDefault="005C5C15" w:rsidP="00B54D84">
      <w:pPr>
        <w:pStyle w:val="ListParagraph"/>
        <w:numPr>
          <w:ilvl w:val="0"/>
          <w:numId w:val="15"/>
        </w:numPr>
      </w:pPr>
      <w:r>
        <w:t xml:space="preserve">no more than 6 months </w:t>
      </w:r>
      <w:r w:rsidR="00B54D84">
        <w:t>having passed</w:t>
      </w:r>
      <w:r>
        <w:t xml:space="preserve"> between the good’s arrival on the Australian mainland and its shipment to Tasmania. </w:t>
      </w:r>
    </w:p>
    <w:p w14:paraId="45B9A8ED" w14:textId="49791E1F" w:rsidR="002C637A" w:rsidRDefault="00E7718C" w:rsidP="002C637A">
      <w:r>
        <w:t>This evidence could</w:t>
      </w:r>
      <w:r w:rsidR="00AF09EE">
        <w:t xml:space="preserve"> come from a </w:t>
      </w:r>
      <w:r w:rsidR="005A08FC">
        <w:t>B</w:t>
      </w:r>
      <w:r w:rsidR="00AF09EE" w:rsidRPr="00AF09EE">
        <w:t xml:space="preserve">ill of </w:t>
      </w:r>
      <w:r w:rsidR="005A08FC">
        <w:t>L</w:t>
      </w:r>
      <w:r w:rsidR="00AF09EE" w:rsidRPr="00AF09EE">
        <w:t>ading, fre</w:t>
      </w:r>
      <w:r w:rsidR="00DC3415">
        <w:t>ight invoice/s, packing list,</w:t>
      </w:r>
      <w:r w:rsidR="00AF09EE" w:rsidRPr="00AF09EE">
        <w:t xml:space="preserve"> c</w:t>
      </w:r>
      <w:r w:rsidR="00AF09EE">
        <w:t>ustoms</w:t>
      </w:r>
      <w:r w:rsidR="00DC3415">
        <w:t xml:space="preserve"> or</w:t>
      </w:r>
      <w:r w:rsidR="00AF09EE">
        <w:t xml:space="preserve"> import documentation, as long </w:t>
      </w:r>
      <w:r w:rsidR="00DC3415">
        <w:t>as proof of meeting the requirements is clearly identifiable</w:t>
      </w:r>
      <w:r w:rsidR="00DD6D05">
        <w:t xml:space="preserve"> and legible</w:t>
      </w:r>
      <w:r w:rsidR="00DC3415">
        <w:t>.</w:t>
      </w:r>
    </w:p>
    <w:p w14:paraId="7E927166" w14:textId="77777777" w:rsidR="00500B39" w:rsidRDefault="00500B39" w:rsidP="00500B39">
      <w:pPr>
        <w:pStyle w:val="Heading2"/>
        <w:spacing w:after="240"/>
      </w:pPr>
      <w:r>
        <w:t xml:space="preserve">How to claim TFES </w:t>
      </w:r>
      <w:r w:rsidR="002458FA">
        <w:t>assistance for your imported good</w:t>
      </w:r>
    </w:p>
    <w:p w14:paraId="53154612" w14:textId="77777777" w:rsidR="00500B39" w:rsidRDefault="00500B39" w:rsidP="00500B39">
      <w:pPr>
        <w:pStyle w:val="Heading3"/>
      </w:pPr>
      <w:r>
        <w:t xml:space="preserve">1. </w:t>
      </w:r>
      <w:r w:rsidR="00ED7418" w:rsidRPr="00ED7418">
        <w:t>Register and be approved as a southbound TFES claimant</w:t>
      </w:r>
    </w:p>
    <w:p w14:paraId="722E0FA8" w14:textId="0F348F62" w:rsidR="00500B39" w:rsidRDefault="00500B39" w:rsidP="00500B39">
      <w:r>
        <w:t>To be eligible to claim TFES assistance for southbound shipment</w:t>
      </w:r>
      <w:r w:rsidR="00D46BE8">
        <w:t>s</w:t>
      </w:r>
      <w:r>
        <w:t xml:space="preserve"> of eligible</w:t>
      </w:r>
      <w:r w:rsidR="00B75AD0">
        <w:t xml:space="preserve"> imported</w:t>
      </w:r>
      <w:r>
        <w:t xml:space="preserve"> goods, you must first </w:t>
      </w:r>
      <w:r w:rsidR="00B75AD0">
        <w:t>be registered as an approved</w:t>
      </w:r>
      <w:r w:rsidR="00125CAD">
        <w:t xml:space="preserve"> </w:t>
      </w:r>
      <w:r w:rsidR="00101130">
        <w:t xml:space="preserve">southbound </w:t>
      </w:r>
      <w:r w:rsidR="00125CAD">
        <w:t xml:space="preserve">claimant engaged in the </w:t>
      </w:r>
      <w:r w:rsidR="00125CAD" w:rsidRPr="00125CAD">
        <w:t>manufacturing, minin</w:t>
      </w:r>
      <w:r w:rsidR="00125CAD">
        <w:t xml:space="preserve">g, or agriculture, forestry or </w:t>
      </w:r>
      <w:r w:rsidR="00125CAD" w:rsidRPr="00125CAD">
        <w:t>fishi</w:t>
      </w:r>
      <w:r w:rsidR="00125CAD">
        <w:t>ng industry in Tasmania.</w:t>
      </w:r>
    </w:p>
    <w:p w14:paraId="3EA58894" w14:textId="6ECAC646" w:rsidR="00683A1B" w:rsidRDefault="00E56600" w:rsidP="00500B39">
      <w:r>
        <w:t>If you are not currently an approved southbound claimant you can lodge an application at any time</w:t>
      </w:r>
      <w:r w:rsidR="00D46BE8">
        <w:t xml:space="preserve"> using the </w:t>
      </w:r>
      <w:r w:rsidR="00D46BE8" w:rsidRPr="00FA59C7">
        <w:rPr>
          <w:i/>
        </w:rPr>
        <w:t>TFES Registration and change of details</w:t>
      </w:r>
      <w:r w:rsidR="00D46BE8">
        <w:t xml:space="preserve"> (TAS020) </w:t>
      </w:r>
      <w:r w:rsidR="008C6386">
        <w:t xml:space="preserve">form </w:t>
      </w:r>
      <w:r w:rsidR="00D46BE8">
        <w:t>available on the Services Australia website</w:t>
      </w:r>
      <w:r>
        <w:t>.</w:t>
      </w:r>
      <w:r w:rsidR="008958A9">
        <w:t xml:space="preserve"> </w:t>
      </w:r>
    </w:p>
    <w:p w14:paraId="6C1B882E" w14:textId="0B17B9D0" w:rsidR="001E627A" w:rsidRDefault="00500B39" w:rsidP="00500B39">
      <w:pPr>
        <w:pStyle w:val="Heading3"/>
      </w:pPr>
      <w:r>
        <w:lastRenderedPageBreak/>
        <w:t xml:space="preserve">2. Register </w:t>
      </w:r>
      <w:r w:rsidR="00E56600">
        <w:t xml:space="preserve">imported </w:t>
      </w:r>
      <w:r w:rsidR="00422067">
        <w:t>goods</w:t>
      </w:r>
    </w:p>
    <w:p w14:paraId="19CE019A" w14:textId="5F558D8E" w:rsidR="00E56600" w:rsidRDefault="00500B39" w:rsidP="00683A1B">
      <w:r>
        <w:t>If you are registered</w:t>
      </w:r>
      <w:r w:rsidR="008958A9">
        <w:t xml:space="preserve"> as an eligible TFES southbound claimant</w:t>
      </w:r>
      <w:r>
        <w:t xml:space="preserve"> for the manufacturing and mining industries, you must </w:t>
      </w:r>
      <w:r w:rsidR="00126E81">
        <w:t>also</w:t>
      </w:r>
      <w:r w:rsidR="00F16FF3">
        <w:t xml:space="preserve"> </w:t>
      </w:r>
      <w:r>
        <w:t xml:space="preserve">register </w:t>
      </w:r>
      <w:r w:rsidR="00E56600">
        <w:t>all southbound goods</w:t>
      </w:r>
      <w:r>
        <w:t xml:space="preserve"> you intend to make a claim for</w:t>
      </w:r>
      <w:r w:rsidR="00126E81">
        <w:t xml:space="preserve">. </w:t>
      </w:r>
      <w:r w:rsidR="001A4B6C">
        <w:t xml:space="preserve"> </w:t>
      </w:r>
    </w:p>
    <w:p w14:paraId="2AC521AE" w14:textId="7943B6BA" w:rsidR="00F41760" w:rsidRPr="00683A1B" w:rsidRDefault="00E56600" w:rsidP="00683A1B">
      <w:r>
        <w:t xml:space="preserve">New southbound goods which are </w:t>
      </w:r>
      <w:r w:rsidR="008958A9">
        <w:t>i</w:t>
      </w:r>
      <w:r>
        <w:t xml:space="preserve">mported goods can be registered from 1 October 2021 onwards using a </w:t>
      </w:r>
      <w:r w:rsidR="008C6386" w:rsidRPr="000A2BF1">
        <w:rPr>
          <w:i/>
        </w:rPr>
        <w:t xml:space="preserve">TFES </w:t>
      </w:r>
      <w:r w:rsidRPr="000A2BF1">
        <w:rPr>
          <w:i/>
        </w:rPr>
        <w:t>Ma</w:t>
      </w:r>
      <w:r w:rsidR="00422067" w:rsidRPr="000A2BF1">
        <w:rPr>
          <w:i/>
        </w:rPr>
        <w:t>nufacturers' and Miners' application to register southbound goods</w:t>
      </w:r>
      <w:r w:rsidR="00422067" w:rsidRPr="00683A1B">
        <w:t xml:space="preserve"> (TAS025)</w:t>
      </w:r>
      <w:r w:rsidR="008C6386" w:rsidRPr="00683A1B">
        <w:t xml:space="preserve"> form</w:t>
      </w:r>
      <w:r w:rsidR="00422067" w:rsidRPr="00683A1B">
        <w:t xml:space="preserve"> </w:t>
      </w:r>
      <w:r w:rsidRPr="00683A1B">
        <w:t xml:space="preserve">- </w:t>
      </w:r>
      <w:r w:rsidR="00422067" w:rsidRPr="00683A1B">
        <w:t>available from the Services Australia website</w:t>
      </w:r>
      <w:r w:rsidRPr="00683A1B">
        <w:t xml:space="preserve"> from 1 October 2021</w:t>
      </w:r>
      <w:r w:rsidR="00422067" w:rsidRPr="00683A1B">
        <w:t>.</w:t>
      </w:r>
    </w:p>
    <w:p w14:paraId="0FBB3E7D" w14:textId="77777777" w:rsidR="00683A1B" w:rsidRDefault="00F41760" w:rsidP="00B75AD0">
      <w:r>
        <w:t>If your imported good</w:t>
      </w:r>
      <w:r w:rsidR="00D46BE8">
        <w:t xml:space="preserve"> is</w:t>
      </w:r>
      <w:r>
        <w:t xml:space="preserve"> already registered as a domestic good you do not need to register </w:t>
      </w:r>
      <w:r w:rsidR="00D46BE8">
        <w:t>it</w:t>
      </w:r>
      <w:r>
        <w:t xml:space="preserve"> again.  You can check with Services Australia if you are unsure whether your imported good has already been registered</w:t>
      </w:r>
      <w:r w:rsidR="00683A1B">
        <w:t xml:space="preserve"> as a domestic southbound good.</w:t>
      </w:r>
    </w:p>
    <w:p w14:paraId="3E2BA4A8" w14:textId="42738D62" w:rsidR="00D46BE8" w:rsidRPr="00B75AD0" w:rsidRDefault="001A4B6C" w:rsidP="00B75AD0">
      <w:r>
        <w:t>C</w:t>
      </w:r>
      <w:r w:rsidR="00B75AD0">
        <w:t>laims relating to the agricultural, forestry an</w:t>
      </w:r>
      <w:r>
        <w:t>d fishing industries</w:t>
      </w:r>
      <w:r w:rsidR="00B75AD0">
        <w:t xml:space="preserve"> </w:t>
      </w:r>
      <w:r>
        <w:t>can be lodged</w:t>
      </w:r>
      <w:r w:rsidR="00B75AD0">
        <w:t xml:space="preserve"> without first registering the </w:t>
      </w:r>
      <w:r w:rsidR="000B409D">
        <w:t>goods</w:t>
      </w:r>
      <w:r w:rsidR="00126E81">
        <w:t>, as the eligibility of the good</w:t>
      </w:r>
      <w:r w:rsidR="008958A9">
        <w:t>s</w:t>
      </w:r>
      <w:r w:rsidR="00126E81">
        <w:t xml:space="preserve"> will be </w:t>
      </w:r>
      <w:r w:rsidR="00AC2180">
        <w:t>confirmed during the assessment of</w:t>
      </w:r>
      <w:r w:rsidR="001443B6">
        <w:t xml:space="preserve"> </w:t>
      </w:r>
      <w:r w:rsidR="00B75AD0">
        <w:t>your claim.  For more information on the southbound registration processes</w:t>
      </w:r>
      <w:r w:rsidR="00126E81">
        <w:t xml:space="preserve"> (Steps 1 and 2)</w:t>
      </w:r>
      <w:r w:rsidR="00B75AD0">
        <w:t>, please refer to the Information Paper ‘TFES Southbound Assistance’.</w:t>
      </w:r>
    </w:p>
    <w:p w14:paraId="0F50A0E6" w14:textId="77777777" w:rsidR="00500B39" w:rsidRDefault="00500B39" w:rsidP="00500B39">
      <w:pPr>
        <w:pStyle w:val="Heading3"/>
      </w:pPr>
      <w:r>
        <w:t xml:space="preserve">3. </w:t>
      </w:r>
      <w:r w:rsidR="00ED7418" w:rsidRPr="00ED7418">
        <w:t>Make an imported good claim</w:t>
      </w:r>
    </w:p>
    <w:p w14:paraId="0B92E919" w14:textId="77777777" w:rsidR="00683A1B" w:rsidRDefault="00500B39" w:rsidP="00125CAD">
      <w:r>
        <w:t>Once you have been registered as an eligible TFES southbound claimant and have</w:t>
      </w:r>
      <w:r w:rsidR="00AA3004">
        <w:t xml:space="preserve"> registered </w:t>
      </w:r>
      <w:r w:rsidR="008C6386">
        <w:t xml:space="preserve">your </w:t>
      </w:r>
      <w:r w:rsidR="00AC2180">
        <w:t xml:space="preserve">southbound </w:t>
      </w:r>
      <w:r w:rsidR="000B409D">
        <w:t>goods</w:t>
      </w:r>
      <w:r w:rsidR="008958A9">
        <w:t xml:space="preserve"> </w:t>
      </w:r>
      <w:r w:rsidR="001E627A">
        <w:t>(</w:t>
      </w:r>
      <w:r w:rsidR="00EA1A06">
        <w:t xml:space="preserve">applies to </w:t>
      </w:r>
      <w:r w:rsidR="001E627A">
        <w:t>manufacturing and mining industries only)</w:t>
      </w:r>
      <w:r>
        <w:t xml:space="preserve">, you </w:t>
      </w:r>
      <w:r w:rsidR="004574FA">
        <w:t xml:space="preserve">can </w:t>
      </w:r>
      <w:r w:rsidR="00ED7418">
        <w:t>lodge your imported good</w:t>
      </w:r>
      <w:r w:rsidR="008958A9">
        <w:t>s</w:t>
      </w:r>
      <w:r w:rsidR="00125CAD">
        <w:t xml:space="preserve"> claim.</w:t>
      </w:r>
      <w:r w:rsidR="00F41760">
        <w:br/>
      </w:r>
      <w:r w:rsidR="000B409D">
        <w:t xml:space="preserve">Claims for imported goods must be lodged separately to claims for southbound domestic goods.  </w:t>
      </w:r>
    </w:p>
    <w:p w14:paraId="6EEA23CE" w14:textId="2236C1A2" w:rsidR="00683A1B" w:rsidRDefault="008A02D6" w:rsidP="00125CAD">
      <w:r>
        <w:t xml:space="preserve">Claims </w:t>
      </w:r>
      <w:r w:rsidR="00F16FF3">
        <w:t>should</w:t>
      </w:r>
      <w:r>
        <w:t xml:space="preserve"> be made </w:t>
      </w:r>
      <w:r w:rsidR="004574FA">
        <w:t xml:space="preserve">online using the logon ID and password provided </w:t>
      </w:r>
      <w:r w:rsidR="00DD6D05">
        <w:t xml:space="preserve">by Services Australia </w:t>
      </w:r>
      <w:r w:rsidR="004574FA">
        <w:t>when you registered</w:t>
      </w:r>
      <w:r w:rsidR="00D46BE8">
        <w:t xml:space="preserve"> as an eligible TFES claimant</w:t>
      </w:r>
      <w:r w:rsidR="004574FA">
        <w:t>.</w:t>
      </w:r>
      <w:r w:rsidR="00FB3257">
        <w:t xml:space="preserve"> </w:t>
      </w:r>
      <w:r w:rsidR="00F16FF3">
        <w:t xml:space="preserve">Evidence must be uploaded online </w:t>
      </w:r>
      <w:r w:rsidR="00DD6D05">
        <w:t xml:space="preserve">on the Services Australia website </w:t>
      </w:r>
      <w:r w:rsidR="00F16FF3">
        <w:t>to support all details of your claim</w:t>
      </w:r>
      <w:r w:rsidR="00D46BE8">
        <w:t>.</w:t>
      </w:r>
    </w:p>
    <w:p w14:paraId="3300051F" w14:textId="59B19F23" w:rsidR="00125CAD" w:rsidRDefault="00125CAD" w:rsidP="00125CAD">
      <w:r>
        <w:t>If you cannot</w:t>
      </w:r>
      <w:r w:rsidR="00770FA6">
        <w:t xml:space="preserve"> identify that a Tariff C</w:t>
      </w:r>
      <w:r>
        <w:t>oncession</w:t>
      </w:r>
      <w:r w:rsidR="00770FA6">
        <w:t xml:space="preserve"> O</w:t>
      </w:r>
      <w:r>
        <w:t>rder applies to your imported good under the Department of Home Affairs Tariff Concession System</w:t>
      </w:r>
      <w:r w:rsidR="00770FA6">
        <w:t xml:space="preserve">, you </w:t>
      </w:r>
      <w:r w:rsidR="00DD6D05">
        <w:t>must</w:t>
      </w:r>
      <w:r w:rsidR="00770FA6">
        <w:t xml:space="preserve"> complete a</w:t>
      </w:r>
      <w:r>
        <w:t xml:space="preserve"> TFES Statutory Declaration</w:t>
      </w:r>
      <w:r w:rsidR="005A4A40">
        <w:t>,</w:t>
      </w:r>
      <w:r w:rsidR="001A4B6C">
        <w:t xml:space="preserve"> available on the </w:t>
      </w:r>
      <w:hyperlink r:id="rId10" w:history="1">
        <w:r w:rsidR="00FA59C7" w:rsidRPr="00FA59C7">
          <w:rPr>
            <w:rStyle w:val="Hyperlink"/>
          </w:rPr>
          <w:t>Services Australia website</w:t>
        </w:r>
      </w:hyperlink>
      <w:r w:rsidR="00B07067" w:rsidRPr="00FA59C7">
        <w:t xml:space="preserve"> from 1 October 2021</w:t>
      </w:r>
      <w:r w:rsidR="001A4B6C">
        <w:t xml:space="preserve">, </w:t>
      </w:r>
      <w:r w:rsidR="00E7718C">
        <w:t>and supply</w:t>
      </w:r>
      <w:r>
        <w:t xml:space="preserve"> concise evidence </w:t>
      </w:r>
      <w:r w:rsidR="00E7718C">
        <w:t>supporting</w:t>
      </w:r>
      <w:r>
        <w:t xml:space="preserve"> </w:t>
      </w:r>
      <w:r w:rsidR="005A4A40">
        <w:t>the declaration made on the form</w:t>
      </w:r>
      <w:r w:rsidR="00A35688">
        <w:t>.</w:t>
      </w:r>
    </w:p>
    <w:p w14:paraId="16D6E8A1" w14:textId="77777777" w:rsidR="00683A1B" w:rsidRDefault="00683A1B" w:rsidP="00683A1B">
      <w:pPr>
        <w:pStyle w:val="Heading2"/>
      </w:pPr>
      <w:r>
        <w:t>Contact Us</w:t>
      </w:r>
    </w:p>
    <w:p w14:paraId="4DA73883" w14:textId="34C84B46" w:rsidR="00683A1B" w:rsidRPr="006679E1" w:rsidRDefault="00683A1B" w:rsidP="00683A1B">
      <w:pPr>
        <w:rPr>
          <w:b/>
        </w:rPr>
      </w:pPr>
      <w:r w:rsidRPr="006679E1">
        <w:rPr>
          <w:b/>
        </w:rPr>
        <w:t>Department of Infrastructure, Transport, Regional Development</w:t>
      </w:r>
      <w:r w:rsidR="00071A30">
        <w:rPr>
          <w:b/>
        </w:rPr>
        <w:t>,</w:t>
      </w:r>
      <w:r>
        <w:rPr>
          <w:b/>
        </w:rPr>
        <w:t xml:space="preserve"> Communications</w:t>
      </w:r>
      <w:r w:rsidR="00071A30">
        <w:rPr>
          <w:b/>
        </w:rPr>
        <w:t xml:space="preserve"> and the Arts</w:t>
      </w:r>
    </w:p>
    <w:p w14:paraId="232FD322" w14:textId="77777777" w:rsidR="00683A1B" w:rsidRDefault="00683A1B" w:rsidP="00683A1B">
      <w:r>
        <w:t>Enquiries relating to TFES policy should be directed to:</w:t>
      </w:r>
    </w:p>
    <w:p w14:paraId="7CC37526" w14:textId="1D4A4D37" w:rsidR="00683A1B" w:rsidRDefault="00071A30" w:rsidP="00683A1B">
      <w:pPr>
        <w:spacing w:before="0" w:after="0" w:line="240" w:lineRule="auto"/>
      </w:pPr>
      <w:r>
        <w:t>Regulation</w:t>
      </w:r>
      <w:r w:rsidR="00683A1B">
        <w:t xml:space="preserve"> and Programs Section</w:t>
      </w:r>
    </w:p>
    <w:p w14:paraId="71721CAD" w14:textId="34C2DF18" w:rsidR="00683A1B" w:rsidRDefault="00683A1B" w:rsidP="00683A1B">
      <w:pPr>
        <w:spacing w:before="0" w:after="0" w:line="240" w:lineRule="auto"/>
      </w:pPr>
      <w:r>
        <w:t>Department of Infrastructure, Transport, Regional Development</w:t>
      </w:r>
      <w:r w:rsidR="00AC57D1">
        <w:t xml:space="preserve">, </w:t>
      </w:r>
      <w:r>
        <w:t>Communications</w:t>
      </w:r>
      <w:r w:rsidR="00AC57D1">
        <w:t xml:space="preserve"> and the Arts</w:t>
      </w:r>
      <w:bookmarkStart w:id="0" w:name="_GoBack"/>
      <w:bookmarkEnd w:id="0"/>
    </w:p>
    <w:p w14:paraId="41C30C03" w14:textId="77777777" w:rsidR="00683A1B" w:rsidRDefault="00683A1B" w:rsidP="00683A1B">
      <w:pPr>
        <w:spacing w:before="0" w:after="0" w:line="240" w:lineRule="auto"/>
      </w:pPr>
      <w:r>
        <w:t>GPO BOX 594</w:t>
      </w:r>
    </w:p>
    <w:p w14:paraId="72B0AFF8" w14:textId="77777777" w:rsidR="00683A1B" w:rsidRDefault="00683A1B" w:rsidP="00683A1B">
      <w:pPr>
        <w:spacing w:before="0" w:after="0" w:line="240" w:lineRule="auto"/>
      </w:pPr>
      <w:r>
        <w:t>Canberra ACT 2601</w:t>
      </w:r>
    </w:p>
    <w:p w14:paraId="7F5BB7F9" w14:textId="0E32F1BC" w:rsidR="00683A1B" w:rsidRDefault="00683A1B" w:rsidP="00683A1B">
      <w:r>
        <w:t xml:space="preserve">Email: </w:t>
      </w:r>
      <w:hyperlink r:id="rId11" w:history="1">
        <w:r w:rsidRPr="00DD5E4A">
          <w:rPr>
            <w:rStyle w:val="Hyperlink"/>
          </w:rPr>
          <w:t>TasmanianShipping@infrastructure.gov.au</w:t>
        </w:r>
      </w:hyperlink>
      <w:r>
        <w:t xml:space="preserve"> </w:t>
      </w:r>
    </w:p>
    <w:p w14:paraId="07460DE7" w14:textId="77777777" w:rsidR="005F4350" w:rsidRDefault="005F4350" w:rsidP="00683A1B">
      <w:pPr>
        <w:rPr>
          <w:b/>
          <w:bCs/>
          <w:lang w:val="en-US"/>
        </w:rPr>
      </w:pPr>
    </w:p>
    <w:p w14:paraId="3D077F49" w14:textId="77777777" w:rsidR="005F4350" w:rsidRDefault="005F4350" w:rsidP="00683A1B">
      <w:pPr>
        <w:rPr>
          <w:b/>
          <w:bCs/>
          <w:lang w:val="en-US"/>
        </w:rPr>
      </w:pPr>
    </w:p>
    <w:p w14:paraId="2D4183CE" w14:textId="77777777" w:rsidR="005F4350" w:rsidRDefault="005F4350" w:rsidP="00683A1B">
      <w:pPr>
        <w:rPr>
          <w:b/>
          <w:bCs/>
          <w:lang w:val="en-US"/>
        </w:rPr>
      </w:pPr>
    </w:p>
    <w:p w14:paraId="7CADC776" w14:textId="3754049B" w:rsidR="00683A1B" w:rsidRPr="006679E1" w:rsidRDefault="00683A1B" w:rsidP="00683A1B">
      <w:r>
        <w:rPr>
          <w:b/>
          <w:bCs/>
          <w:lang w:val="en-US"/>
        </w:rPr>
        <w:lastRenderedPageBreak/>
        <w:t>Services Australia</w:t>
      </w:r>
    </w:p>
    <w:p w14:paraId="31C9EB62" w14:textId="77777777" w:rsidR="00683A1B" w:rsidRPr="006679E1" w:rsidRDefault="00683A1B" w:rsidP="00683A1B">
      <w:r w:rsidRPr="006679E1">
        <w:rPr>
          <w:lang w:val="en-US"/>
        </w:rPr>
        <w:t>Enquiries relating to program delivery, claims, payments and other operational matters should be directed to:</w:t>
      </w:r>
    </w:p>
    <w:p w14:paraId="2A57EFA3" w14:textId="77777777" w:rsidR="00683A1B" w:rsidRPr="006679E1" w:rsidRDefault="00683A1B" w:rsidP="00683A1B">
      <w:pPr>
        <w:spacing w:before="0" w:after="0" w:line="240" w:lineRule="auto"/>
      </w:pPr>
      <w:r w:rsidRPr="006679E1">
        <w:t xml:space="preserve">Tasmanian Transport Programs </w:t>
      </w:r>
    </w:p>
    <w:p w14:paraId="0A90FC50" w14:textId="77777777" w:rsidR="00683A1B" w:rsidRPr="006679E1" w:rsidRDefault="00683A1B" w:rsidP="00683A1B">
      <w:pPr>
        <w:spacing w:before="0" w:after="0" w:line="240" w:lineRule="auto"/>
      </w:pPr>
      <w:r>
        <w:t>Services Australia</w:t>
      </w:r>
    </w:p>
    <w:p w14:paraId="772C3019" w14:textId="77777777" w:rsidR="00683A1B" w:rsidRPr="006679E1" w:rsidRDefault="00683A1B" w:rsidP="00683A1B">
      <w:pPr>
        <w:spacing w:before="0" w:after="0" w:line="240" w:lineRule="auto"/>
      </w:pPr>
      <w:r w:rsidRPr="006679E1">
        <w:t xml:space="preserve">GPO Box 1269 </w:t>
      </w:r>
    </w:p>
    <w:p w14:paraId="753E2145" w14:textId="77777777" w:rsidR="00683A1B" w:rsidRPr="006679E1" w:rsidRDefault="00683A1B" w:rsidP="00683A1B">
      <w:pPr>
        <w:spacing w:before="0" w:after="0" w:line="240" w:lineRule="auto"/>
      </w:pPr>
      <w:r w:rsidRPr="006679E1">
        <w:t xml:space="preserve">HOBART TAS 7001 </w:t>
      </w:r>
    </w:p>
    <w:p w14:paraId="1A15E73D" w14:textId="77777777" w:rsidR="00683A1B" w:rsidRDefault="00683A1B" w:rsidP="00683A1B">
      <w:pPr>
        <w:spacing w:before="0" w:after="0" w:line="240" w:lineRule="auto"/>
      </w:pPr>
      <w:r w:rsidRPr="006679E1">
        <w:t>Phone: 13 11 58</w:t>
      </w:r>
    </w:p>
    <w:p w14:paraId="49EBD8BD" w14:textId="537081FA" w:rsidR="00683A1B" w:rsidRDefault="00683A1B" w:rsidP="00683A1B">
      <w:pPr>
        <w:spacing w:before="0" w:after="0" w:line="240" w:lineRule="auto"/>
      </w:pPr>
      <w:r w:rsidRPr="006679E1">
        <w:t xml:space="preserve">Email: </w:t>
      </w:r>
      <w:hyperlink r:id="rId12" w:history="1">
        <w:r w:rsidRPr="007C1BBC">
          <w:rPr>
            <w:rStyle w:val="Hyperlink"/>
          </w:rPr>
          <w:t>tfes.support@servicesaustralia.gov.au</w:t>
        </w:r>
      </w:hyperlink>
      <w:r>
        <w:t xml:space="preserve"> </w:t>
      </w:r>
    </w:p>
    <w:p w14:paraId="47A4614C" w14:textId="32215492" w:rsidR="005F4350" w:rsidRDefault="005F4350" w:rsidP="00683A1B">
      <w:pPr>
        <w:spacing w:before="0" w:after="0" w:line="240" w:lineRule="auto"/>
      </w:pPr>
    </w:p>
    <w:p w14:paraId="43B631C4" w14:textId="1F1EAB68" w:rsidR="005F4350" w:rsidRPr="005F4350" w:rsidRDefault="005F4350" w:rsidP="005F4350">
      <w:pPr>
        <w:spacing w:before="240"/>
        <w:ind w:right="454"/>
        <w:rPr>
          <w:i/>
        </w:rPr>
      </w:pPr>
      <w:r>
        <w:rPr>
          <w:i/>
        </w:rPr>
        <w:t>*</w:t>
      </w:r>
      <w:r w:rsidRPr="005F4350">
        <w:rPr>
          <w:i/>
        </w:rPr>
        <w:t>**Claim and Eligibility Scenarios on next page***</w:t>
      </w:r>
    </w:p>
    <w:tbl>
      <w:tblPr>
        <w:tblStyle w:val="LightShading-Accent1"/>
        <w:tblpPr w:leftFromText="180" w:rightFromText="180" w:vertAnchor="page" w:horzAnchor="margin" w:tblpXSpec="center" w:tblpY="2926"/>
        <w:tblW w:w="10201" w:type="dxa"/>
        <w:tblBorders>
          <w:top w:val="single" w:sz="4" w:space="0" w:color="002D72" w:themeColor="accent1"/>
          <w:left w:val="single" w:sz="4" w:space="0" w:color="002D72" w:themeColor="accent1"/>
          <w:bottom w:val="single" w:sz="4" w:space="0" w:color="002D72" w:themeColor="accent1"/>
          <w:right w:val="single" w:sz="4" w:space="0" w:color="002D72" w:themeColor="accent1"/>
        </w:tblBorders>
        <w:shd w:val="clear" w:color="auto" w:fill="AFCEFF" w:themeFill="text1" w:themeFillTint="33"/>
        <w:tblLook w:val="04A0" w:firstRow="1" w:lastRow="0" w:firstColumn="1" w:lastColumn="0" w:noHBand="0" w:noVBand="1"/>
        <w:tblCaption w:val="Box text"/>
        <w:tblDescription w:val="Box text as described"/>
      </w:tblPr>
      <w:tblGrid>
        <w:gridCol w:w="1129"/>
        <w:gridCol w:w="9072"/>
      </w:tblGrid>
      <w:tr w:rsidR="001A4B6C" w14:paraId="59123E6C" w14:textId="77777777" w:rsidTr="001A4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FCEFF" w:themeFill="text1" w:themeFillTint="33"/>
          </w:tcPr>
          <w:p w14:paraId="22D13E6B" w14:textId="77777777" w:rsidR="001A4B6C" w:rsidRDefault="001A4B6C" w:rsidP="001A4B6C">
            <w:pPr>
              <w:ind w:left="30"/>
            </w:pPr>
            <w:r w:rsidRPr="00FE3945">
              <w:rPr>
                <w:noProof/>
                <w:lang w:eastAsia="en-A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C8CB181" wp14:editId="0C824DA0">
                  <wp:simplePos x="0" y="0"/>
                  <wp:positionH relativeFrom="column">
                    <wp:posOffset>36446</wp:posOffset>
                  </wp:positionH>
                  <wp:positionV relativeFrom="paragraph">
                    <wp:posOffset>68521</wp:posOffset>
                  </wp:positionV>
                  <wp:extent cx="520995" cy="503819"/>
                  <wp:effectExtent l="0" t="0" r="0" b="0"/>
                  <wp:wrapNone/>
                  <wp:docPr id="4" name="Picture 2" descr="Icon" title="Infor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sriskandarajah\AppData\Local\Microsoft\Windows\Temporary Internet Files\Content.IE5\BL5BSXG9\MC90044216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706" cy="50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FCEFF" w:themeFill="text1" w:themeFillTint="33"/>
          </w:tcPr>
          <w:p w14:paraId="505465A3" w14:textId="77777777" w:rsidR="001A4B6C" w:rsidRPr="00D663B5" w:rsidRDefault="005F6042" w:rsidP="001A4B6C">
            <w:pPr>
              <w:spacing w:before="240"/>
              <w:ind w:right="4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Claim and Eligibility </w:t>
            </w:r>
            <w:r w:rsidR="00E7718C">
              <w:t>Scenarios</w:t>
            </w:r>
          </w:p>
          <w:p w14:paraId="50CC0517" w14:textId="55A8AFE3" w:rsidR="001A4B6C" w:rsidRDefault="001A4B6C" w:rsidP="001A4B6C">
            <w:pPr>
              <w:pStyle w:val="ListParagraph"/>
              <w:numPr>
                <w:ilvl w:val="0"/>
                <w:numId w:val="10"/>
              </w:numPr>
              <w:spacing w:before="120" w:after="240" w:line="312" w:lineRule="auto"/>
              <w:ind w:left="321" w:right="454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Claimant A needs to use an imported good in its manufacturing process. It has worked with potential mainland suppliers in the past to investigate whether a domestic equivalent could be used in the manufacturing process, but the scale of what could be sourced was too small for </w:t>
            </w:r>
            <w:r w:rsidR="00424F9B">
              <w:t>i</w:t>
            </w:r>
            <w:r>
              <w:t>t</w:t>
            </w:r>
            <w:r w:rsidR="00424F9B">
              <w:t>s</w:t>
            </w:r>
            <w:r>
              <w:t xml:space="preserve"> needs and </w:t>
            </w:r>
            <w:r w:rsidR="005F6042">
              <w:t>there</w:t>
            </w:r>
            <w:r>
              <w:t xml:space="preserve"> w</w:t>
            </w:r>
            <w:r w:rsidR="00B07067">
              <w:t>ere</w:t>
            </w:r>
            <w:r>
              <w:t xml:space="preserve"> compatibility issues with Claimant A’s specialised equipment. Claimant A </w:t>
            </w:r>
            <w:r w:rsidR="00EA1A06">
              <w:t xml:space="preserve">seeks </w:t>
            </w:r>
            <w:r>
              <w:t>confirm</w:t>
            </w:r>
            <w:r w:rsidR="00EA1A06">
              <w:t>ation</w:t>
            </w:r>
            <w:r>
              <w:t xml:space="preserve"> whether it would be eligible for TFES assistance for its imported good.</w:t>
            </w:r>
          </w:p>
          <w:p w14:paraId="3DEC2C41" w14:textId="6AED66C4" w:rsidR="001A4B6C" w:rsidRPr="001A4B6C" w:rsidRDefault="001A4B6C" w:rsidP="001A4B6C">
            <w:pPr>
              <w:pStyle w:val="ListParagraph"/>
              <w:numPr>
                <w:ilvl w:val="0"/>
                <w:numId w:val="10"/>
              </w:numPr>
              <w:spacing w:before="120" w:after="240" w:line="312" w:lineRule="auto"/>
              <w:ind w:left="324" w:right="454" w:hanging="284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44E01">
              <w:rPr>
                <w:b w:val="0"/>
              </w:rPr>
              <w:t xml:space="preserve">Claimant A would likely be eligible for TFES assistance for its imported good. </w:t>
            </w:r>
            <w:r w:rsidR="00177BB7">
              <w:rPr>
                <w:b w:val="0"/>
              </w:rPr>
              <w:t>In this case, t</w:t>
            </w:r>
            <w:r w:rsidRPr="00344E01">
              <w:rPr>
                <w:b w:val="0"/>
              </w:rPr>
              <w:t xml:space="preserve">he </w:t>
            </w:r>
            <w:r>
              <w:rPr>
                <w:b w:val="0"/>
              </w:rPr>
              <w:t>domestic good</w:t>
            </w:r>
            <w:r w:rsidRPr="00344E01">
              <w:rPr>
                <w:b w:val="0"/>
              </w:rPr>
              <w:t xml:space="preserve"> is not suitable for use in Claimant A’s activities and it could not be sourced </w:t>
            </w:r>
            <w:r w:rsidR="00424F9B">
              <w:rPr>
                <w:b w:val="0"/>
              </w:rPr>
              <w:t>in</w:t>
            </w:r>
            <w:r w:rsidRPr="00344E01">
              <w:rPr>
                <w:b w:val="0"/>
              </w:rPr>
              <w:t xml:space="preserve"> the required volumes, meaning that it could not be assessed as an </w:t>
            </w:r>
            <w:r w:rsidR="00424F9B">
              <w:rPr>
                <w:b w:val="0"/>
              </w:rPr>
              <w:t xml:space="preserve">Australian </w:t>
            </w:r>
            <w:r w:rsidRPr="00344E01">
              <w:rPr>
                <w:b w:val="0"/>
              </w:rPr>
              <w:t>equivalent to the imported good, for the purpos</w:t>
            </w:r>
            <w:r>
              <w:rPr>
                <w:b w:val="0"/>
              </w:rPr>
              <w:t>e of providing TFES assistance.</w:t>
            </w:r>
          </w:p>
          <w:p w14:paraId="286A9ED8" w14:textId="77777777" w:rsidR="001A4B6C" w:rsidRPr="00C421F1" w:rsidRDefault="001A4B6C" w:rsidP="006D5DA1">
            <w:pPr>
              <w:pStyle w:val="ListParagraph"/>
              <w:numPr>
                <w:ilvl w:val="0"/>
                <w:numId w:val="10"/>
              </w:numPr>
              <w:spacing w:before="120" w:after="240" w:line="312" w:lineRule="auto"/>
              <w:ind w:left="321" w:right="454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Claimant</w:t>
            </w:r>
            <w:r w:rsidR="005F6042">
              <w:t xml:space="preserve"> B</w:t>
            </w:r>
            <w:r w:rsidRPr="00C421F1">
              <w:t xml:space="preserve"> requires a new input to its manufacturing process</w:t>
            </w:r>
            <w:r w:rsidR="00D20528">
              <w:t>,</w:t>
            </w:r>
            <w:r w:rsidRPr="00C421F1">
              <w:t xml:space="preserve"> and has considered sourcing the input both domesticall</w:t>
            </w:r>
            <w:r w:rsidR="005F6042">
              <w:t>y and internationally. Claimant B</w:t>
            </w:r>
            <w:r w:rsidRPr="00C421F1">
              <w:t xml:space="preserve"> has </w:t>
            </w:r>
            <w:r>
              <w:t>found</w:t>
            </w:r>
            <w:r w:rsidRPr="00C421F1">
              <w:t xml:space="preserve"> both the dom</w:t>
            </w:r>
            <w:r>
              <w:t xml:space="preserve">estic and imported good </w:t>
            </w:r>
            <w:r w:rsidRPr="00C421F1">
              <w:t xml:space="preserve">suitable to </w:t>
            </w:r>
            <w:r w:rsidR="00177BB7">
              <w:t>its</w:t>
            </w:r>
            <w:r w:rsidRPr="00C421F1">
              <w:t xml:space="preserve"> manufacturing processes and available in sufficient scale and</w:t>
            </w:r>
            <w:r>
              <w:t xml:space="preserve"> quality. </w:t>
            </w:r>
            <w:r w:rsidR="006D5DA1">
              <w:t xml:space="preserve"> </w:t>
            </w:r>
            <w:r w:rsidR="006D5DA1" w:rsidRPr="006D5DA1">
              <w:t>Claimant B notes that there is a cost difference between the domestic and imported good.</w:t>
            </w:r>
          </w:p>
          <w:p w14:paraId="1D5C8728" w14:textId="3B514DF2" w:rsidR="001A4B6C" w:rsidRPr="001A4B6C" w:rsidRDefault="001A4B6C" w:rsidP="001A4B6C">
            <w:pPr>
              <w:pStyle w:val="ListParagraph"/>
              <w:numPr>
                <w:ilvl w:val="0"/>
                <w:numId w:val="10"/>
              </w:numPr>
              <w:spacing w:before="120" w:after="240" w:line="312" w:lineRule="auto"/>
              <w:ind w:left="324" w:right="454" w:hanging="284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The domestic good would be eligible for TFES</w:t>
            </w:r>
            <w:r w:rsidR="00E7718C">
              <w:rPr>
                <w:b w:val="0"/>
              </w:rPr>
              <w:t xml:space="preserve"> southbound</w:t>
            </w:r>
            <w:r>
              <w:rPr>
                <w:b w:val="0"/>
              </w:rPr>
              <w:t xml:space="preserve"> assistance</w:t>
            </w:r>
            <w:r w:rsidR="00D20528">
              <w:rPr>
                <w:b w:val="0"/>
              </w:rPr>
              <w:t xml:space="preserve"> and the variable assistance rate of $855 per TEU (maximum) would apply</w:t>
            </w:r>
            <w:r w:rsidR="00177BB7">
              <w:rPr>
                <w:b w:val="0"/>
              </w:rPr>
              <w:t>.  T</w:t>
            </w:r>
            <w:r>
              <w:rPr>
                <w:b w:val="0"/>
              </w:rPr>
              <w:t>he imported good would not be eligible for TFES assistance as there is an Australian equivalent. A determination of whether an imported good has an Australian equivalent focuses on it</w:t>
            </w:r>
            <w:r w:rsidR="00177BB7">
              <w:rPr>
                <w:b w:val="0"/>
              </w:rPr>
              <w:t>s</w:t>
            </w:r>
            <w:r>
              <w:rPr>
                <w:b w:val="0"/>
              </w:rPr>
              <w:t xml:space="preserve"> suitability </w:t>
            </w:r>
            <w:r w:rsidRPr="001A4B6C">
              <w:rPr>
                <w:b w:val="0"/>
              </w:rPr>
              <w:t>for use</w:t>
            </w:r>
            <w:r>
              <w:rPr>
                <w:b w:val="0"/>
              </w:rPr>
              <w:t xml:space="preserve"> in the claimant’s eligible business process</w:t>
            </w:r>
            <w:r w:rsidR="00177BB7">
              <w:rPr>
                <w:b w:val="0"/>
              </w:rPr>
              <w:t xml:space="preserve"> and</w:t>
            </w:r>
            <w:r>
              <w:rPr>
                <w:b w:val="0"/>
              </w:rPr>
              <w:t xml:space="preserve"> its availability to the claimant</w:t>
            </w:r>
            <w:r w:rsidR="00177BB7">
              <w:rPr>
                <w:b w:val="0"/>
              </w:rPr>
              <w:t xml:space="preserve"> in </w:t>
            </w:r>
            <w:r>
              <w:rPr>
                <w:b w:val="0"/>
              </w:rPr>
              <w:t xml:space="preserve">scale and quality. The </w:t>
            </w:r>
            <w:r w:rsidR="00E7718C">
              <w:rPr>
                <w:b w:val="0"/>
              </w:rPr>
              <w:t xml:space="preserve">relative </w:t>
            </w:r>
            <w:r>
              <w:rPr>
                <w:b w:val="0"/>
              </w:rPr>
              <w:t xml:space="preserve">cost of the Australian equivalent </w:t>
            </w:r>
            <w:r w:rsidR="00424F9B">
              <w:rPr>
                <w:b w:val="0"/>
              </w:rPr>
              <w:t xml:space="preserve">to the imported good </w:t>
            </w:r>
            <w:r w:rsidR="00177BB7">
              <w:rPr>
                <w:b w:val="0"/>
              </w:rPr>
              <w:t>is</w:t>
            </w:r>
            <w:r>
              <w:rPr>
                <w:b w:val="0"/>
              </w:rPr>
              <w:t xml:space="preserve"> </w:t>
            </w:r>
            <w:r w:rsidR="00E7718C">
              <w:rPr>
                <w:b w:val="0"/>
              </w:rPr>
              <w:t>not</w:t>
            </w:r>
            <w:r w:rsidR="00177BB7">
              <w:rPr>
                <w:b w:val="0"/>
              </w:rPr>
              <w:t xml:space="preserve"> a</w:t>
            </w:r>
            <w:r w:rsidR="00E7718C">
              <w:rPr>
                <w:b w:val="0"/>
              </w:rPr>
              <w:t xml:space="preserve"> factor in</w:t>
            </w:r>
            <w:r w:rsidR="005F6042">
              <w:rPr>
                <w:b w:val="0"/>
              </w:rPr>
              <w:t xml:space="preserve"> assess</w:t>
            </w:r>
            <w:r w:rsidR="00177BB7">
              <w:rPr>
                <w:b w:val="0"/>
              </w:rPr>
              <w:t>ing whether</w:t>
            </w:r>
            <w:r w:rsidR="005F6042">
              <w:rPr>
                <w:b w:val="0"/>
              </w:rPr>
              <w:t xml:space="preserve"> it is a</w:t>
            </w:r>
            <w:r>
              <w:rPr>
                <w:b w:val="0"/>
              </w:rPr>
              <w:t xml:space="preserve"> </w:t>
            </w:r>
            <w:r w:rsidR="005F6042">
              <w:rPr>
                <w:b w:val="0"/>
              </w:rPr>
              <w:t xml:space="preserve">suitable </w:t>
            </w:r>
            <w:r>
              <w:rPr>
                <w:b w:val="0"/>
              </w:rPr>
              <w:t xml:space="preserve">alternative </w:t>
            </w:r>
            <w:r w:rsidR="00177BB7">
              <w:rPr>
                <w:b w:val="0"/>
              </w:rPr>
              <w:t>to</w:t>
            </w:r>
            <w:r>
              <w:rPr>
                <w:b w:val="0"/>
              </w:rPr>
              <w:t xml:space="preserve"> the imported good.</w:t>
            </w:r>
          </w:p>
          <w:p w14:paraId="01B9D656" w14:textId="77777777" w:rsidR="001A4B6C" w:rsidRPr="00C421F1" w:rsidRDefault="005F6042" w:rsidP="001A4B6C">
            <w:pPr>
              <w:pStyle w:val="ListParagraph"/>
              <w:numPr>
                <w:ilvl w:val="0"/>
                <w:numId w:val="10"/>
              </w:numPr>
              <w:spacing w:before="120" w:after="240" w:line="312" w:lineRule="auto"/>
              <w:ind w:left="321" w:right="454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Claimant C</w:t>
            </w:r>
            <w:r w:rsidR="001A4B6C">
              <w:t xml:space="preserve"> uses an </w:t>
            </w:r>
            <w:r w:rsidR="001A4B6C" w:rsidRPr="00C421F1">
              <w:t xml:space="preserve">imported </w:t>
            </w:r>
            <w:r w:rsidR="001A4B6C">
              <w:t xml:space="preserve">good as machinery for use in </w:t>
            </w:r>
            <w:r w:rsidR="001A4B6C" w:rsidRPr="00C421F1">
              <w:t>its agricultur</w:t>
            </w:r>
            <w:r w:rsidR="001A4B6C">
              <w:t>al activities. A Tariff Concession Order</w:t>
            </w:r>
            <w:r w:rsidR="001A4B6C" w:rsidRPr="00C421F1">
              <w:t xml:space="preserve"> under the T</w:t>
            </w:r>
            <w:r w:rsidR="001A4B6C">
              <w:t>ariff Concession System does not appl</w:t>
            </w:r>
            <w:r>
              <w:t>y to the good, but Claimant C</w:t>
            </w:r>
            <w:r w:rsidR="001A4B6C">
              <w:t xml:space="preserve"> is confident that the type of good is only available from a specialist manufacturer in Europe and has never been manuf</w:t>
            </w:r>
            <w:r>
              <w:t>actured in Australia. Claimant C</w:t>
            </w:r>
            <w:r w:rsidR="001A4B6C">
              <w:t xml:space="preserve"> wants to confirm an alternative way to prove there is no Australian equivalent to the imported good.</w:t>
            </w:r>
          </w:p>
          <w:p w14:paraId="11E3152E" w14:textId="77777777" w:rsidR="004B7C22" w:rsidRDefault="001A4B6C" w:rsidP="001A4B6C">
            <w:pPr>
              <w:pStyle w:val="ListParagraph"/>
              <w:numPr>
                <w:ilvl w:val="0"/>
                <w:numId w:val="10"/>
              </w:numPr>
              <w:spacing w:before="120" w:after="240" w:line="312" w:lineRule="auto"/>
              <w:ind w:left="324" w:right="454" w:hanging="284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421F1">
              <w:rPr>
                <w:b w:val="0"/>
              </w:rPr>
              <w:t>If a claimant cannot provide</w:t>
            </w:r>
            <w:r>
              <w:rPr>
                <w:b w:val="0"/>
              </w:rPr>
              <w:t xml:space="preserve"> evidence of a Tariff Concession Order</w:t>
            </w:r>
            <w:r w:rsidRPr="00C421F1">
              <w:rPr>
                <w:b w:val="0"/>
              </w:rPr>
              <w:t xml:space="preserve"> applying to its imported good under the Tariff Concession System, the claimant may still be eligible if it submits a TFES Statutory Declaration declaring that the imported good has no Australian equivalent and provide</w:t>
            </w:r>
            <w:r w:rsidR="00177BB7">
              <w:rPr>
                <w:b w:val="0"/>
              </w:rPr>
              <w:t>s</w:t>
            </w:r>
            <w:r w:rsidRPr="00C421F1">
              <w:rPr>
                <w:b w:val="0"/>
              </w:rPr>
              <w:t xml:space="preserve"> concise evidence to substantiate this declaration. </w:t>
            </w:r>
          </w:p>
          <w:p w14:paraId="51605BAF" w14:textId="7B128E1E" w:rsidR="001A4B6C" w:rsidRDefault="001A4B6C" w:rsidP="004B7C22">
            <w:pPr>
              <w:pStyle w:val="ListParagraph"/>
              <w:numPr>
                <w:ilvl w:val="0"/>
                <w:numId w:val="0"/>
              </w:numPr>
              <w:spacing w:before="120" w:after="240" w:line="312" w:lineRule="auto"/>
              <w:ind w:left="324" w:right="454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421F1">
              <w:rPr>
                <w:b w:val="0"/>
              </w:rPr>
              <w:lastRenderedPageBreak/>
              <w:t>This could be a statement from an Australian manufacturer, supplier, industry body or its own research to substantiate the claim.</w:t>
            </w:r>
            <w:r>
              <w:rPr>
                <w:b w:val="0"/>
              </w:rPr>
              <w:t xml:space="preserve"> </w:t>
            </w:r>
          </w:p>
          <w:p w14:paraId="78AA3C7D" w14:textId="77777777" w:rsidR="001A4B6C" w:rsidRPr="00C421F1" w:rsidRDefault="001A4B6C" w:rsidP="001A4B6C">
            <w:pPr>
              <w:pStyle w:val="ListParagraph"/>
              <w:numPr>
                <w:ilvl w:val="0"/>
                <w:numId w:val="10"/>
              </w:numPr>
              <w:spacing w:before="120" w:after="240" w:line="312" w:lineRule="auto"/>
              <w:ind w:left="321" w:right="454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1F1">
              <w:t>C</w:t>
            </w:r>
            <w:r>
              <w:t>laimant</w:t>
            </w:r>
            <w:r w:rsidRPr="00C421F1">
              <w:t xml:space="preserve"> </w:t>
            </w:r>
            <w:r w:rsidR="005F6042">
              <w:t>D</w:t>
            </w:r>
            <w:r>
              <w:t xml:space="preserve"> uses an imported good as a key input in </w:t>
            </w:r>
            <w:r w:rsidRPr="00C421F1">
              <w:t>its mining</w:t>
            </w:r>
            <w:r>
              <w:t xml:space="preserve"> production</w:t>
            </w:r>
            <w:r w:rsidR="00177BB7">
              <w:t>. T</w:t>
            </w:r>
            <w:r w:rsidRPr="00C421F1">
              <w:t>he</w:t>
            </w:r>
            <w:r>
              <w:t xml:space="preserve"> importation of the good</w:t>
            </w:r>
            <w:r w:rsidRPr="00C421F1">
              <w:t xml:space="preserve"> is </w:t>
            </w:r>
            <w:r>
              <w:t>managed by a</w:t>
            </w:r>
            <w:r w:rsidR="00177BB7">
              <w:t xml:space="preserve"> third</w:t>
            </w:r>
            <w:r>
              <w:t xml:space="preserve"> party. Claimant</w:t>
            </w:r>
            <w:r w:rsidR="005F6042">
              <w:t xml:space="preserve"> D</w:t>
            </w:r>
            <w:r w:rsidRPr="00C421F1">
              <w:t xml:space="preserve"> </w:t>
            </w:r>
            <w:r>
              <w:t xml:space="preserve">does not </w:t>
            </w:r>
            <w:r w:rsidR="001646FC">
              <w:t>have</w:t>
            </w:r>
            <w:r>
              <w:t xml:space="preserve"> </w:t>
            </w:r>
            <w:r w:rsidR="00177BB7">
              <w:t xml:space="preserve">the </w:t>
            </w:r>
            <w:r>
              <w:t xml:space="preserve">required evidence of the importation of the good from the third party, and </w:t>
            </w:r>
            <w:r w:rsidRPr="00C421F1">
              <w:t xml:space="preserve">submits </w:t>
            </w:r>
            <w:r>
              <w:t>a claim for TFES assistance.</w:t>
            </w:r>
          </w:p>
          <w:p w14:paraId="35DF782E" w14:textId="43F585BF" w:rsidR="00267B1A" w:rsidRPr="00547BE8" w:rsidRDefault="001A4B6C" w:rsidP="00442627">
            <w:pPr>
              <w:pStyle w:val="ListParagraph"/>
              <w:numPr>
                <w:ilvl w:val="0"/>
                <w:numId w:val="10"/>
              </w:numPr>
              <w:spacing w:before="120" w:after="240" w:line="312" w:lineRule="auto"/>
              <w:ind w:left="321" w:right="454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This claim would likely be rejected. Claimants must be able to provide evidence of the importation of the good into Australia and proof that no more than 6 months have passed between the goods arrival on the mainland and its shipment to Tasmania. This evidence can be provided in the form of </w:t>
            </w:r>
            <w:r w:rsidR="001646FC">
              <w:rPr>
                <w:b w:val="0"/>
              </w:rPr>
              <w:t>a</w:t>
            </w:r>
            <w:r>
              <w:rPr>
                <w:b w:val="0"/>
              </w:rPr>
              <w:t xml:space="preserve"> </w:t>
            </w:r>
            <w:r w:rsidR="00D20528">
              <w:rPr>
                <w:b w:val="0"/>
              </w:rPr>
              <w:t>B</w:t>
            </w:r>
            <w:r>
              <w:rPr>
                <w:b w:val="0"/>
              </w:rPr>
              <w:t xml:space="preserve">ill of </w:t>
            </w:r>
            <w:r w:rsidR="00D20528">
              <w:rPr>
                <w:b w:val="0"/>
              </w:rPr>
              <w:t>L</w:t>
            </w:r>
            <w:r>
              <w:rPr>
                <w:b w:val="0"/>
              </w:rPr>
              <w:t>ading, freight invoice/s, packing list</w:t>
            </w:r>
            <w:r w:rsidR="00D20528">
              <w:rPr>
                <w:b w:val="0"/>
              </w:rPr>
              <w:t>s</w:t>
            </w:r>
            <w:r>
              <w:rPr>
                <w:b w:val="0"/>
              </w:rPr>
              <w:t xml:space="preserve"> and customs and import documentation. If a </w:t>
            </w:r>
            <w:r w:rsidR="001646FC">
              <w:rPr>
                <w:b w:val="0"/>
              </w:rPr>
              <w:t xml:space="preserve">third </w:t>
            </w:r>
            <w:r>
              <w:rPr>
                <w:b w:val="0"/>
              </w:rPr>
              <w:t xml:space="preserve">party manages the importation of the good, it is the responsibility of the claimant to secure the evidence from the </w:t>
            </w:r>
            <w:r w:rsidR="001646FC">
              <w:rPr>
                <w:b w:val="0"/>
              </w:rPr>
              <w:t>third</w:t>
            </w:r>
            <w:r>
              <w:rPr>
                <w:b w:val="0"/>
              </w:rPr>
              <w:t xml:space="preserve"> party.</w:t>
            </w:r>
          </w:p>
        </w:tc>
      </w:tr>
    </w:tbl>
    <w:p w14:paraId="6EC269C9" w14:textId="21655B27" w:rsidR="00500B39" w:rsidRDefault="00500B39" w:rsidP="00500B39">
      <w:pPr>
        <w:spacing w:after="120"/>
      </w:pPr>
    </w:p>
    <w:sectPr w:rsidR="00500B39" w:rsidSect="0061622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835" w:right="1049" w:bottom="568" w:left="1049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B0118" w14:textId="77777777" w:rsidR="00F91870" w:rsidRDefault="00F91870" w:rsidP="003C4540">
      <w:pPr>
        <w:spacing w:after="0" w:line="240" w:lineRule="auto"/>
      </w:pPr>
      <w:r>
        <w:separator/>
      </w:r>
    </w:p>
  </w:endnote>
  <w:endnote w:type="continuationSeparator" w:id="0">
    <w:p w14:paraId="51C81759" w14:textId="77777777" w:rsidR="00F91870" w:rsidRDefault="00F91870" w:rsidP="003C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30E27" w14:textId="3BAF0755" w:rsidR="00260630" w:rsidRDefault="00AC57D1" w:rsidP="00260630">
    <w:pPr>
      <w:pStyle w:val="Footer"/>
      <w:tabs>
        <w:tab w:val="clear" w:pos="4513"/>
        <w:tab w:val="clear" w:pos="9026"/>
        <w:tab w:val="left" w:pos="2550"/>
      </w:tabs>
    </w:pPr>
    <w:sdt>
      <w:sdtPr>
        <w:id w:val="2584062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60630">
          <w:fldChar w:fldCharType="begin"/>
        </w:r>
        <w:r w:rsidR="00260630">
          <w:instrText xml:space="preserve"> PAGE   \* MERGEFORMAT </w:instrText>
        </w:r>
        <w:r w:rsidR="00260630">
          <w:fldChar w:fldCharType="separate"/>
        </w:r>
        <w:r w:rsidR="005F4350">
          <w:rPr>
            <w:noProof/>
          </w:rPr>
          <w:t>2</w:t>
        </w:r>
        <w:r w:rsidR="00260630">
          <w:rPr>
            <w:noProof/>
          </w:rPr>
          <w:fldChar w:fldCharType="end"/>
        </w:r>
      </w:sdtContent>
    </w:sdt>
    <w:r w:rsidR="00260630">
      <w:rPr>
        <w:noProof/>
      </w:rPr>
      <w:tab/>
    </w:r>
  </w:p>
  <w:p w14:paraId="51D2AB15" w14:textId="77777777" w:rsidR="00AD6E3F" w:rsidRDefault="00AD6E3F" w:rsidP="00EF5353">
    <w:pPr>
      <w:pStyle w:val="Footer"/>
      <w:ind w:right="-156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74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DA9E5" w14:textId="3C63C6A2" w:rsidR="00260630" w:rsidRDefault="002606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3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8BB4F9" w14:textId="77777777" w:rsidR="00AD6E3F" w:rsidRDefault="00AD6E3F" w:rsidP="00260630">
    <w:pPr>
      <w:pStyle w:val="Footer"/>
      <w:tabs>
        <w:tab w:val="clear" w:pos="4513"/>
        <w:tab w:val="clear" w:pos="9026"/>
        <w:tab w:val="left" w:pos="7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6F621" w14:textId="77777777" w:rsidR="00F91870" w:rsidRDefault="00F91870" w:rsidP="003C4540">
      <w:pPr>
        <w:spacing w:after="0" w:line="240" w:lineRule="auto"/>
      </w:pPr>
      <w:r>
        <w:separator/>
      </w:r>
    </w:p>
  </w:footnote>
  <w:footnote w:type="continuationSeparator" w:id="0">
    <w:p w14:paraId="29F645E4" w14:textId="77777777" w:rsidR="00F91870" w:rsidRDefault="00F91870" w:rsidP="003C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9E70B" w14:textId="77777777" w:rsidR="00AD6E3F" w:rsidRPr="00AD6E3F" w:rsidRDefault="005F13A8" w:rsidP="00AD6E3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8960" behindDoc="1" locked="0" layoutInCell="1" allowOverlap="1" wp14:anchorId="46FBBFB8" wp14:editId="42F6DE25">
          <wp:simplePos x="666750" y="523875"/>
          <wp:positionH relativeFrom="page">
            <wp:align>left</wp:align>
          </wp:positionH>
          <wp:positionV relativeFrom="page">
            <wp:align>top</wp:align>
          </wp:positionV>
          <wp:extent cx="7549200" cy="1515600"/>
          <wp:effectExtent l="0" t="0" r="0" b="8890"/>
          <wp:wrapNone/>
          <wp:docPr id="13" name="Picture 13" descr="Header image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5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F66A6" w14:textId="5487DD90" w:rsidR="00AD6E3F" w:rsidRDefault="00071A30">
    <w:pPr>
      <w:pStyle w:val="Header"/>
    </w:pPr>
    <w:r>
      <w:rPr>
        <w:noProof/>
      </w:rPr>
      <w:drawing>
        <wp:inline distT="0" distB="0" distL="0" distR="0" wp14:anchorId="7B4BCEC0" wp14:editId="26479C1B">
          <wp:extent cx="4401567" cy="809625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892" cy="821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91008" behindDoc="1" locked="1" layoutInCell="1" allowOverlap="1" wp14:anchorId="6CAECECF" wp14:editId="2D08B8CE">
          <wp:simplePos x="0" y="0"/>
          <wp:positionH relativeFrom="page">
            <wp:posOffset>12065</wp:posOffset>
          </wp:positionH>
          <wp:positionV relativeFrom="page">
            <wp:posOffset>-1270</wp:posOffset>
          </wp:positionV>
          <wp:extent cx="7543800" cy="2438400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4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B34"/>
    <w:multiLevelType w:val="hybridMultilevel"/>
    <w:tmpl w:val="8846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0DF9"/>
    <w:multiLevelType w:val="hybridMultilevel"/>
    <w:tmpl w:val="59A4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12A"/>
    <w:multiLevelType w:val="hybridMultilevel"/>
    <w:tmpl w:val="E1C4A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14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9F3095"/>
    <w:multiLevelType w:val="hybridMultilevel"/>
    <w:tmpl w:val="F60A8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40F57"/>
    <w:multiLevelType w:val="hybridMultilevel"/>
    <w:tmpl w:val="7C229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13986"/>
    <w:multiLevelType w:val="hybridMultilevel"/>
    <w:tmpl w:val="FAB80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424B"/>
    <w:multiLevelType w:val="hybridMultilevel"/>
    <w:tmpl w:val="21E80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26635"/>
    <w:multiLevelType w:val="hybridMultilevel"/>
    <w:tmpl w:val="13423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87865"/>
    <w:multiLevelType w:val="hybridMultilevel"/>
    <w:tmpl w:val="1C94D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108CD"/>
    <w:multiLevelType w:val="hybridMultilevel"/>
    <w:tmpl w:val="DD42C7BA"/>
    <w:lvl w:ilvl="0" w:tplc="3930542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6A3813"/>
    <w:multiLevelType w:val="hybridMultilevel"/>
    <w:tmpl w:val="BE36A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365"/>
    <w:multiLevelType w:val="hybridMultilevel"/>
    <w:tmpl w:val="3AB82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A0EBC"/>
    <w:multiLevelType w:val="hybridMultilevel"/>
    <w:tmpl w:val="F6D6F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B6C89"/>
    <w:multiLevelType w:val="hybridMultilevel"/>
    <w:tmpl w:val="2C18F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56AF8"/>
    <w:multiLevelType w:val="hybridMultilevel"/>
    <w:tmpl w:val="FFB44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3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2"/>
  </w:num>
  <w:num w:numId="10">
    <w:abstractNumId w:val="0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6"/>
  </w:num>
  <w:num w:numId="17">
    <w:abstractNumId w:val="7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3072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39"/>
    <w:rsid w:val="00000347"/>
    <w:rsid w:val="000171D6"/>
    <w:rsid w:val="00027916"/>
    <w:rsid w:val="00040EE5"/>
    <w:rsid w:val="000509D9"/>
    <w:rsid w:val="00056B45"/>
    <w:rsid w:val="00062565"/>
    <w:rsid w:val="0007097F"/>
    <w:rsid w:val="00071A30"/>
    <w:rsid w:val="00073578"/>
    <w:rsid w:val="000741A5"/>
    <w:rsid w:val="00077AD9"/>
    <w:rsid w:val="00097F0B"/>
    <w:rsid w:val="000A2BF1"/>
    <w:rsid w:val="000A5BFC"/>
    <w:rsid w:val="000A6511"/>
    <w:rsid w:val="000B409D"/>
    <w:rsid w:val="000B67CC"/>
    <w:rsid w:val="000C2238"/>
    <w:rsid w:val="000C4BB9"/>
    <w:rsid w:val="000D442C"/>
    <w:rsid w:val="000F7A71"/>
    <w:rsid w:val="00101130"/>
    <w:rsid w:val="0010261D"/>
    <w:rsid w:val="00113F86"/>
    <w:rsid w:val="00116590"/>
    <w:rsid w:val="00125CAD"/>
    <w:rsid w:val="001263EF"/>
    <w:rsid w:val="00126E81"/>
    <w:rsid w:val="00142592"/>
    <w:rsid w:val="001443B6"/>
    <w:rsid w:val="0014717E"/>
    <w:rsid w:val="00147920"/>
    <w:rsid w:val="00152F28"/>
    <w:rsid w:val="00160ABF"/>
    <w:rsid w:val="001646FC"/>
    <w:rsid w:val="00166A4F"/>
    <w:rsid w:val="00170F56"/>
    <w:rsid w:val="0017583F"/>
    <w:rsid w:val="00176A93"/>
    <w:rsid w:val="00177BB7"/>
    <w:rsid w:val="001A4B6C"/>
    <w:rsid w:val="001B4B39"/>
    <w:rsid w:val="001B73C8"/>
    <w:rsid w:val="001C0577"/>
    <w:rsid w:val="001C6C97"/>
    <w:rsid w:val="001D070E"/>
    <w:rsid w:val="001D3EE8"/>
    <w:rsid w:val="001E3F05"/>
    <w:rsid w:val="001E627A"/>
    <w:rsid w:val="001F743A"/>
    <w:rsid w:val="002132DA"/>
    <w:rsid w:val="00221D86"/>
    <w:rsid w:val="00225274"/>
    <w:rsid w:val="00242FE1"/>
    <w:rsid w:val="002458FA"/>
    <w:rsid w:val="002550D5"/>
    <w:rsid w:val="00260630"/>
    <w:rsid w:val="00260D1B"/>
    <w:rsid w:val="00263E49"/>
    <w:rsid w:val="00267B1A"/>
    <w:rsid w:val="002808CC"/>
    <w:rsid w:val="002921B3"/>
    <w:rsid w:val="0029638A"/>
    <w:rsid w:val="002B09E8"/>
    <w:rsid w:val="002B7AC4"/>
    <w:rsid w:val="002C637A"/>
    <w:rsid w:val="002D4406"/>
    <w:rsid w:val="002D44FC"/>
    <w:rsid w:val="00303798"/>
    <w:rsid w:val="0031275C"/>
    <w:rsid w:val="003211EF"/>
    <w:rsid w:val="00321BCD"/>
    <w:rsid w:val="00322D73"/>
    <w:rsid w:val="003318F6"/>
    <w:rsid w:val="00344E01"/>
    <w:rsid w:val="0034724B"/>
    <w:rsid w:val="003656CA"/>
    <w:rsid w:val="00367D07"/>
    <w:rsid w:val="00371748"/>
    <w:rsid w:val="00384150"/>
    <w:rsid w:val="003A4160"/>
    <w:rsid w:val="003B1733"/>
    <w:rsid w:val="003B2073"/>
    <w:rsid w:val="003B6CDC"/>
    <w:rsid w:val="003C0B1E"/>
    <w:rsid w:val="003C4540"/>
    <w:rsid w:val="003D2F37"/>
    <w:rsid w:val="003D4A53"/>
    <w:rsid w:val="003D50C7"/>
    <w:rsid w:val="003E3D58"/>
    <w:rsid w:val="003E7C3D"/>
    <w:rsid w:val="003F0910"/>
    <w:rsid w:val="003F58CD"/>
    <w:rsid w:val="003F7409"/>
    <w:rsid w:val="0040033F"/>
    <w:rsid w:val="004030BD"/>
    <w:rsid w:val="00415078"/>
    <w:rsid w:val="00422067"/>
    <w:rsid w:val="00424F9B"/>
    <w:rsid w:val="0043382B"/>
    <w:rsid w:val="00434037"/>
    <w:rsid w:val="004346CD"/>
    <w:rsid w:val="00441328"/>
    <w:rsid w:val="00442627"/>
    <w:rsid w:val="00442C82"/>
    <w:rsid w:val="004574FA"/>
    <w:rsid w:val="00474109"/>
    <w:rsid w:val="00484A07"/>
    <w:rsid w:val="004904C4"/>
    <w:rsid w:val="00491152"/>
    <w:rsid w:val="00492CAF"/>
    <w:rsid w:val="004974BF"/>
    <w:rsid w:val="004A76E9"/>
    <w:rsid w:val="004B3900"/>
    <w:rsid w:val="004B7C22"/>
    <w:rsid w:val="004C0DD4"/>
    <w:rsid w:val="004C609B"/>
    <w:rsid w:val="004F0F5E"/>
    <w:rsid w:val="004F4230"/>
    <w:rsid w:val="004F4D80"/>
    <w:rsid w:val="004F7DCC"/>
    <w:rsid w:val="004F7EA7"/>
    <w:rsid w:val="00500B39"/>
    <w:rsid w:val="00515B6B"/>
    <w:rsid w:val="0053448E"/>
    <w:rsid w:val="0053494A"/>
    <w:rsid w:val="005364CD"/>
    <w:rsid w:val="0054543D"/>
    <w:rsid w:val="00547BE8"/>
    <w:rsid w:val="0055088A"/>
    <w:rsid w:val="00576817"/>
    <w:rsid w:val="005929EF"/>
    <w:rsid w:val="005A08FC"/>
    <w:rsid w:val="005A25BE"/>
    <w:rsid w:val="005A2ED5"/>
    <w:rsid w:val="005A3576"/>
    <w:rsid w:val="005A3C04"/>
    <w:rsid w:val="005A4A40"/>
    <w:rsid w:val="005B17EC"/>
    <w:rsid w:val="005B1991"/>
    <w:rsid w:val="005B3A50"/>
    <w:rsid w:val="005B3BE2"/>
    <w:rsid w:val="005B6B59"/>
    <w:rsid w:val="005C5C15"/>
    <w:rsid w:val="005D6DAB"/>
    <w:rsid w:val="005F13A8"/>
    <w:rsid w:val="005F4350"/>
    <w:rsid w:val="005F6042"/>
    <w:rsid w:val="00603D91"/>
    <w:rsid w:val="006042FA"/>
    <w:rsid w:val="006069CB"/>
    <w:rsid w:val="00616220"/>
    <w:rsid w:val="00620B59"/>
    <w:rsid w:val="006234FF"/>
    <w:rsid w:val="006325DC"/>
    <w:rsid w:val="00633A2E"/>
    <w:rsid w:val="00635ADF"/>
    <w:rsid w:val="006473EF"/>
    <w:rsid w:val="006477AA"/>
    <w:rsid w:val="00650B9A"/>
    <w:rsid w:val="006571C8"/>
    <w:rsid w:val="00664E54"/>
    <w:rsid w:val="00665F5D"/>
    <w:rsid w:val="006679E1"/>
    <w:rsid w:val="00674CC0"/>
    <w:rsid w:val="00676C0B"/>
    <w:rsid w:val="00683A1B"/>
    <w:rsid w:val="0068575F"/>
    <w:rsid w:val="00685B4F"/>
    <w:rsid w:val="006A2636"/>
    <w:rsid w:val="006B2575"/>
    <w:rsid w:val="006B267C"/>
    <w:rsid w:val="006C0536"/>
    <w:rsid w:val="006C0E48"/>
    <w:rsid w:val="006C17CE"/>
    <w:rsid w:val="006D5DA1"/>
    <w:rsid w:val="006D6DF2"/>
    <w:rsid w:val="006E7909"/>
    <w:rsid w:val="007022FC"/>
    <w:rsid w:val="00702F95"/>
    <w:rsid w:val="00703B5F"/>
    <w:rsid w:val="00712E9D"/>
    <w:rsid w:val="00715DF9"/>
    <w:rsid w:val="0071721F"/>
    <w:rsid w:val="00727DB1"/>
    <w:rsid w:val="00742D2D"/>
    <w:rsid w:val="0075240F"/>
    <w:rsid w:val="00770FA6"/>
    <w:rsid w:val="00774EB4"/>
    <w:rsid w:val="00780EB4"/>
    <w:rsid w:val="00791550"/>
    <w:rsid w:val="007A2265"/>
    <w:rsid w:val="007A4BC0"/>
    <w:rsid w:val="007A750C"/>
    <w:rsid w:val="007B6277"/>
    <w:rsid w:val="007E26C6"/>
    <w:rsid w:val="007F2287"/>
    <w:rsid w:val="007F255E"/>
    <w:rsid w:val="007F4EC7"/>
    <w:rsid w:val="007F627A"/>
    <w:rsid w:val="00815531"/>
    <w:rsid w:val="008240B3"/>
    <w:rsid w:val="00825E1A"/>
    <w:rsid w:val="0082798E"/>
    <w:rsid w:val="00830601"/>
    <w:rsid w:val="00832408"/>
    <w:rsid w:val="00835F28"/>
    <w:rsid w:val="00840964"/>
    <w:rsid w:val="00844583"/>
    <w:rsid w:val="00853BC3"/>
    <w:rsid w:val="00860D96"/>
    <w:rsid w:val="00866E23"/>
    <w:rsid w:val="008701BC"/>
    <w:rsid w:val="008728D4"/>
    <w:rsid w:val="00875593"/>
    <w:rsid w:val="008813D9"/>
    <w:rsid w:val="008958A9"/>
    <w:rsid w:val="00895AF8"/>
    <w:rsid w:val="00896E15"/>
    <w:rsid w:val="00897D51"/>
    <w:rsid w:val="008A02D6"/>
    <w:rsid w:val="008B3270"/>
    <w:rsid w:val="008C0BE1"/>
    <w:rsid w:val="008C0E1F"/>
    <w:rsid w:val="008C3520"/>
    <w:rsid w:val="008C6386"/>
    <w:rsid w:val="008C7909"/>
    <w:rsid w:val="008D38D7"/>
    <w:rsid w:val="008E1FBC"/>
    <w:rsid w:val="008F2CBF"/>
    <w:rsid w:val="008F5D8D"/>
    <w:rsid w:val="008F73C8"/>
    <w:rsid w:val="009072FA"/>
    <w:rsid w:val="00914D45"/>
    <w:rsid w:val="00930A2B"/>
    <w:rsid w:val="00942D9F"/>
    <w:rsid w:val="00945366"/>
    <w:rsid w:val="00947B8B"/>
    <w:rsid w:val="00962C5F"/>
    <w:rsid w:val="009707D5"/>
    <w:rsid w:val="0099267B"/>
    <w:rsid w:val="009A3538"/>
    <w:rsid w:val="009A5661"/>
    <w:rsid w:val="009B07D6"/>
    <w:rsid w:val="009C43B7"/>
    <w:rsid w:val="009D4017"/>
    <w:rsid w:val="009E3C99"/>
    <w:rsid w:val="009F1E29"/>
    <w:rsid w:val="00A30127"/>
    <w:rsid w:val="00A34932"/>
    <w:rsid w:val="00A35688"/>
    <w:rsid w:val="00A3734F"/>
    <w:rsid w:val="00A45D11"/>
    <w:rsid w:val="00A47179"/>
    <w:rsid w:val="00A54505"/>
    <w:rsid w:val="00A618BF"/>
    <w:rsid w:val="00A64956"/>
    <w:rsid w:val="00A727B5"/>
    <w:rsid w:val="00A732AF"/>
    <w:rsid w:val="00A742A4"/>
    <w:rsid w:val="00A77F3A"/>
    <w:rsid w:val="00A822E1"/>
    <w:rsid w:val="00A8301E"/>
    <w:rsid w:val="00A831CD"/>
    <w:rsid w:val="00A83B6C"/>
    <w:rsid w:val="00A908D6"/>
    <w:rsid w:val="00A94ECE"/>
    <w:rsid w:val="00A95766"/>
    <w:rsid w:val="00AA3004"/>
    <w:rsid w:val="00AA3280"/>
    <w:rsid w:val="00AA64A9"/>
    <w:rsid w:val="00AB406F"/>
    <w:rsid w:val="00AB42A5"/>
    <w:rsid w:val="00AB4D7D"/>
    <w:rsid w:val="00AC17D0"/>
    <w:rsid w:val="00AC2180"/>
    <w:rsid w:val="00AC57D1"/>
    <w:rsid w:val="00AC63F6"/>
    <w:rsid w:val="00AC76DC"/>
    <w:rsid w:val="00AD6E3F"/>
    <w:rsid w:val="00AE7935"/>
    <w:rsid w:val="00AF09EE"/>
    <w:rsid w:val="00AF2086"/>
    <w:rsid w:val="00AF3665"/>
    <w:rsid w:val="00AF63C3"/>
    <w:rsid w:val="00B07067"/>
    <w:rsid w:val="00B23991"/>
    <w:rsid w:val="00B2506A"/>
    <w:rsid w:val="00B3405B"/>
    <w:rsid w:val="00B356FB"/>
    <w:rsid w:val="00B402B9"/>
    <w:rsid w:val="00B41B88"/>
    <w:rsid w:val="00B53344"/>
    <w:rsid w:val="00B54D84"/>
    <w:rsid w:val="00B70742"/>
    <w:rsid w:val="00B75AD0"/>
    <w:rsid w:val="00B81BB9"/>
    <w:rsid w:val="00B82387"/>
    <w:rsid w:val="00B96273"/>
    <w:rsid w:val="00BB5CF7"/>
    <w:rsid w:val="00BC1E82"/>
    <w:rsid w:val="00BC7EB6"/>
    <w:rsid w:val="00BD3B92"/>
    <w:rsid w:val="00BD48AB"/>
    <w:rsid w:val="00BD6CE0"/>
    <w:rsid w:val="00BD764B"/>
    <w:rsid w:val="00BE0E92"/>
    <w:rsid w:val="00BF771A"/>
    <w:rsid w:val="00C13492"/>
    <w:rsid w:val="00C17BEE"/>
    <w:rsid w:val="00C313B0"/>
    <w:rsid w:val="00C33DF9"/>
    <w:rsid w:val="00C34A2F"/>
    <w:rsid w:val="00C3538C"/>
    <w:rsid w:val="00C421F1"/>
    <w:rsid w:val="00C470FF"/>
    <w:rsid w:val="00C517EE"/>
    <w:rsid w:val="00C550EE"/>
    <w:rsid w:val="00C6280B"/>
    <w:rsid w:val="00C62D4C"/>
    <w:rsid w:val="00C64C61"/>
    <w:rsid w:val="00C72E9F"/>
    <w:rsid w:val="00C90DDF"/>
    <w:rsid w:val="00C96A1E"/>
    <w:rsid w:val="00CA4295"/>
    <w:rsid w:val="00CA4D92"/>
    <w:rsid w:val="00CC1493"/>
    <w:rsid w:val="00CC275A"/>
    <w:rsid w:val="00CD3D74"/>
    <w:rsid w:val="00CE1A39"/>
    <w:rsid w:val="00CF3284"/>
    <w:rsid w:val="00CF378A"/>
    <w:rsid w:val="00D01B6B"/>
    <w:rsid w:val="00D07F19"/>
    <w:rsid w:val="00D13AFB"/>
    <w:rsid w:val="00D20528"/>
    <w:rsid w:val="00D46BE8"/>
    <w:rsid w:val="00D763C9"/>
    <w:rsid w:val="00D766D1"/>
    <w:rsid w:val="00D91192"/>
    <w:rsid w:val="00DB0ECB"/>
    <w:rsid w:val="00DC2970"/>
    <w:rsid w:val="00DC3415"/>
    <w:rsid w:val="00DC3AFB"/>
    <w:rsid w:val="00DC5188"/>
    <w:rsid w:val="00DC7660"/>
    <w:rsid w:val="00DD1D42"/>
    <w:rsid w:val="00DD20BE"/>
    <w:rsid w:val="00DD3951"/>
    <w:rsid w:val="00DD6D05"/>
    <w:rsid w:val="00DD79A2"/>
    <w:rsid w:val="00DE6D2B"/>
    <w:rsid w:val="00E029EF"/>
    <w:rsid w:val="00E160CA"/>
    <w:rsid w:val="00E27C70"/>
    <w:rsid w:val="00E45416"/>
    <w:rsid w:val="00E459A5"/>
    <w:rsid w:val="00E46E36"/>
    <w:rsid w:val="00E56600"/>
    <w:rsid w:val="00E63EAE"/>
    <w:rsid w:val="00E6587D"/>
    <w:rsid w:val="00E736BF"/>
    <w:rsid w:val="00E75298"/>
    <w:rsid w:val="00E7718C"/>
    <w:rsid w:val="00E77C84"/>
    <w:rsid w:val="00E87A36"/>
    <w:rsid w:val="00E94CB5"/>
    <w:rsid w:val="00E97283"/>
    <w:rsid w:val="00EA1A06"/>
    <w:rsid w:val="00EA75C5"/>
    <w:rsid w:val="00EC6DDC"/>
    <w:rsid w:val="00ED7418"/>
    <w:rsid w:val="00EE276B"/>
    <w:rsid w:val="00EE53F4"/>
    <w:rsid w:val="00EF5353"/>
    <w:rsid w:val="00EF6264"/>
    <w:rsid w:val="00F01280"/>
    <w:rsid w:val="00F12A18"/>
    <w:rsid w:val="00F16FF3"/>
    <w:rsid w:val="00F22F63"/>
    <w:rsid w:val="00F25C8D"/>
    <w:rsid w:val="00F36018"/>
    <w:rsid w:val="00F41760"/>
    <w:rsid w:val="00F427EC"/>
    <w:rsid w:val="00F42E4C"/>
    <w:rsid w:val="00F47424"/>
    <w:rsid w:val="00F57F5B"/>
    <w:rsid w:val="00F723EA"/>
    <w:rsid w:val="00F86541"/>
    <w:rsid w:val="00F91870"/>
    <w:rsid w:val="00F94767"/>
    <w:rsid w:val="00F962D2"/>
    <w:rsid w:val="00F97314"/>
    <w:rsid w:val="00FA11A4"/>
    <w:rsid w:val="00FA59C7"/>
    <w:rsid w:val="00FB3257"/>
    <w:rsid w:val="00FB59B4"/>
    <w:rsid w:val="00FC797E"/>
    <w:rsid w:val="00FD7048"/>
    <w:rsid w:val="00FE3174"/>
    <w:rsid w:val="00FE3690"/>
    <w:rsid w:val="00FE3945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D5F4878"/>
  <w15:docId w15:val="{FC0E2807-79A5-44D0-9BEB-9DFEE0B1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71A"/>
    <w:pPr>
      <w:spacing w:before="100" w:after="10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BC0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Cs/>
      <w:color w:val="002D72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E9D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Cs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E9D"/>
    <w:pPr>
      <w:keepNext/>
      <w:keepLines/>
      <w:spacing w:before="200" w:after="0" w:line="240" w:lineRule="auto"/>
      <w:outlineLvl w:val="2"/>
    </w:pPr>
    <w:rPr>
      <w:rFonts w:ascii="Segoe UI Semibold" w:eastAsiaTheme="majorEastAsia" w:hAnsi="Segoe UI Semibold" w:cstheme="majorBidi"/>
      <w:bCs/>
      <w:color w:val="7C878E"/>
      <w:sz w:val="28"/>
    </w:rPr>
  </w:style>
  <w:style w:type="paragraph" w:styleId="Heading4">
    <w:name w:val="heading 4"/>
    <w:aliases w:val="******"/>
    <w:basedOn w:val="Normal"/>
    <w:next w:val="Normal"/>
    <w:link w:val="Heading4Char"/>
    <w:uiPriority w:val="9"/>
    <w:unhideWhenUsed/>
    <w:qFormat/>
    <w:rsid w:val="00D91192"/>
    <w:pPr>
      <w:keepNext/>
      <w:keepLines/>
      <w:spacing w:before="200" w:after="0" w:line="240" w:lineRule="auto"/>
      <w:outlineLvl w:val="3"/>
    </w:pPr>
    <w:rPr>
      <w:rFonts w:ascii="Segoe UI Semibold" w:eastAsiaTheme="majorEastAsia" w:hAnsi="Segoe UI Semibold" w:cstheme="majorBidi"/>
      <w:bCs/>
      <w:iCs/>
      <w:color w:val="7C878E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62565"/>
    <w:pPr>
      <w:keepNext/>
      <w:keepLines/>
      <w:spacing w:beforeAutospacing="1" w:after="0" w:line="240" w:lineRule="auto"/>
      <w:outlineLvl w:val="4"/>
    </w:pPr>
    <w:rPr>
      <w:rFonts w:asciiTheme="majorHAnsi" w:eastAsiaTheme="majorEastAsia" w:hAnsiTheme="majorHAnsi" w:cstheme="majorBidi"/>
      <w:color w:val="002D72" w:themeColor="text1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62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002D72" w:themeColor="text1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625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02D72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625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002D72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0"/>
  </w:style>
  <w:style w:type="paragraph" w:styleId="Footer">
    <w:name w:val="footer"/>
    <w:basedOn w:val="Normal"/>
    <w:link w:val="FooterChar"/>
    <w:uiPriority w:val="99"/>
    <w:unhideWhenUsed/>
    <w:rsid w:val="003C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40"/>
  </w:style>
  <w:style w:type="paragraph" w:styleId="BalloonText">
    <w:name w:val="Balloon Text"/>
    <w:basedOn w:val="Normal"/>
    <w:link w:val="BalloonTextChar"/>
    <w:uiPriority w:val="99"/>
    <w:semiHidden/>
    <w:unhideWhenUsed/>
    <w:rsid w:val="003C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4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A4BC0"/>
    <w:pPr>
      <w:autoSpaceDE w:val="0"/>
      <w:autoSpaceDN w:val="0"/>
      <w:adjustRightInd w:val="0"/>
      <w:spacing w:after="0"/>
      <w:textAlignment w:val="center"/>
    </w:pPr>
    <w:rPr>
      <w:rFonts w:cs="MinionPro-Regular"/>
      <w:color w:val="000000"/>
      <w:szCs w:val="24"/>
      <w:lang w:val="en-GB"/>
    </w:rPr>
  </w:style>
  <w:style w:type="paragraph" w:styleId="Subtitle">
    <w:name w:val="Subtitle"/>
    <w:aliases w:val="Issue No"/>
    <w:basedOn w:val="Normal"/>
    <w:next w:val="Normal"/>
    <w:link w:val="SubtitleChar"/>
    <w:uiPriority w:val="11"/>
    <w:rsid w:val="00AC63F6"/>
    <w:pPr>
      <w:numPr>
        <w:ilvl w:val="1"/>
      </w:numPr>
      <w:spacing w:after="120" w:line="240" w:lineRule="auto"/>
      <w:jc w:val="right"/>
    </w:pPr>
    <w:rPr>
      <w:rFonts w:eastAsiaTheme="majorEastAsia" w:cstheme="majorBidi"/>
      <w:iCs/>
      <w:color w:val="FFFFFF" w:themeColor="background1"/>
      <w:spacing w:val="20"/>
      <w:szCs w:val="24"/>
    </w:rPr>
  </w:style>
  <w:style w:type="character" w:customStyle="1" w:styleId="SubtitleChar">
    <w:name w:val="Subtitle Char"/>
    <w:aliases w:val="Issue No Char"/>
    <w:basedOn w:val="DefaultParagraphFont"/>
    <w:link w:val="Subtitle"/>
    <w:uiPriority w:val="11"/>
    <w:rsid w:val="00AC63F6"/>
    <w:rPr>
      <w:rFonts w:ascii="Arial" w:eastAsiaTheme="majorEastAsia" w:hAnsi="Arial" w:cstheme="majorBidi"/>
      <w:iCs/>
      <w:color w:val="FFFFFF" w:themeColor="background1"/>
      <w:spacing w:val="20"/>
      <w:sz w:val="20"/>
      <w:szCs w:val="24"/>
    </w:rPr>
  </w:style>
  <w:style w:type="paragraph" w:styleId="NoSpacing">
    <w:name w:val="No Spacing"/>
    <w:uiPriority w:val="1"/>
    <w:qFormat/>
    <w:rsid w:val="001E3F05"/>
    <w:pPr>
      <w:spacing w:after="0" w:line="240" w:lineRule="auto"/>
    </w:pPr>
    <w:rPr>
      <w:sz w:val="20"/>
    </w:rPr>
  </w:style>
  <w:style w:type="character" w:styleId="SubtleEmphasis">
    <w:name w:val="Subtle Emphasis"/>
    <w:basedOn w:val="DefaultParagraphFont"/>
    <w:uiPriority w:val="19"/>
    <w:qFormat/>
    <w:rsid w:val="007A4BC0"/>
    <w:rPr>
      <w:rFonts w:ascii="Segoe UI Semibold" w:hAnsi="Segoe UI Semibold"/>
      <w:b w:val="0"/>
      <w:i w:val="0"/>
      <w:iCs/>
      <w:color w:val="auto"/>
    </w:rPr>
  </w:style>
  <w:style w:type="character" w:styleId="Emphasis">
    <w:name w:val="Emphasis"/>
    <w:basedOn w:val="DefaultParagraphFont"/>
    <w:uiPriority w:val="20"/>
    <w:qFormat/>
    <w:rsid w:val="007A4BC0"/>
    <w:rPr>
      <w:b/>
      <w:i w:val="0"/>
      <w:iCs/>
    </w:rPr>
  </w:style>
  <w:style w:type="paragraph" w:styleId="Quote">
    <w:name w:val="Quote"/>
    <w:aliases w:val="Classification"/>
    <w:basedOn w:val="Normal"/>
    <w:next w:val="Normal"/>
    <w:link w:val="QuoteChar"/>
    <w:uiPriority w:val="29"/>
    <w:rsid w:val="00B3405B"/>
    <w:pPr>
      <w:spacing w:after="0"/>
      <w:jc w:val="center"/>
    </w:pPr>
    <w:rPr>
      <w:rFonts w:ascii="Arial Narrow" w:hAnsi="Arial Narrow"/>
      <w:iCs/>
      <w:color w:val="FFFFFF" w:themeColor="background1"/>
      <w:sz w:val="28"/>
    </w:rPr>
  </w:style>
  <w:style w:type="character" w:customStyle="1" w:styleId="QuoteChar">
    <w:name w:val="Quote Char"/>
    <w:aliases w:val="Classification Char"/>
    <w:basedOn w:val="DefaultParagraphFont"/>
    <w:link w:val="Quote"/>
    <w:uiPriority w:val="29"/>
    <w:rsid w:val="00B3405B"/>
    <w:rPr>
      <w:rFonts w:ascii="Arial Narrow" w:hAnsi="Arial Narrow"/>
      <w:iCs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4BC0"/>
    <w:rPr>
      <w:rFonts w:asciiTheme="majorHAnsi" w:eastAsiaTheme="majorEastAsia" w:hAnsiTheme="majorHAnsi" w:cstheme="majorBidi"/>
      <w:bCs/>
      <w:color w:val="002D7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2E9D"/>
    <w:rPr>
      <w:rFonts w:asciiTheme="majorHAnsi" w:eastAsiaTheme="majorEastAsia" w:hAnsiTheme="majorHAnsi" w:cstheme="majorBidi"/>
      <w:bCs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E9D"/>
    <w:rPr>
      <w:rFonts w:ascii="Segoe UI Semibold" w:eastAsiaTheme="majorEastAsia" w:hAnsi="Segoe UI Semibold" w:cstheme="majorBidi"/>
      <w:bCs/>
      <w:color w:val="7C878E"/>
      <w:sz w:val="28"/>
    </w:rPr>
  </w:style>
  <w:style w:type="paragraph" w:styleId="ListParagraph">
    <w:name w:val="List Paragraph"/>
    <w:aliases w:val="Bullets"/>
    <w:basedOn w:val="Normal"/>
    <w:uiPriority w:val="34"/>
    <w:qFormat/>
    <w:rsid w:val="00BF771A"/>
    <w:pPr>
      <w:numPr>
        <w:numId w:val="2"/>
      </w:numPr>
      <w:contextualSpacing/>
    </w:pPr>
  </w:style>
  <w:style w:type="character" w:customStyle="1" w:styleId="Heading4Char">
    <w:name w:val="Heading 4 Char"/>
    <w:aliases w:val="****** Char"/>
    <w:basedOn w:val="DefaultParagraphFont"/>
    <w:link w:val="Heading4"/>
    <w:uiPriority w:val="9"/>
    <w:rsid w:val="00D91192"/>
    <w:rPr>
      <w:rFonts w:ascii="Segoe UI Semibold" w:eastAsiaTheme="majorEastAsia" w:hAnsi="Segoe UI Semibold" w:cstheme="majorBidi"/>
      <w:bCs/>
      <w:iCs/>
      <w:color w:val="7C878E"/>
    </w:rPr>
  </w:style>
  <w:style w:type="character" w:customStyle="1" w:styleId="Heading5Char">
    <w:name w:val="Heading 5 Char"/>
    <w:basedOn w:val="DefaultParagraphFont"/>
    <w:link w:val="Heading5"/>
    <w:uiPriority w:val="9"/>
    <w:rsid w:val="00062565"/>
    <w:rPr>
      <w:rFonts w:asciiTheme="majorHAnsi" w:eastAsiaTheme="majorEastAsia" w:hAnsiTheme="majorHAnsi" w:cstheme="majorBidi"/>
      <w:color w:val="002D72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0A5BFC"/>
    <w:pPr>
      <w:spacing w:before="0" w:after="120" w:line="440" w:lineRule="exact"/>
      <w:contextualSpacing/>
    </w:pPr>
    <w:rPr>
      <w:rFonts w:eastAsiaTheme="majorEastAsia" w:cstheme="majorBidi"/>
      <w:color w:val="FFFFFF" w:themeColor="background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BFC"/>
    <w:rPr>
      <w:rFonts w:eastAsiaTheme="majorEastAsia" w:cstheme="majorBidi"/>
      <w:color w:val="FFFFFF" w:themeColor="background1"/>
      <w:spacing w:val="5"/>
      <w:kern w:val="28"/>
      <w:sz w:val="44"/>
      <w:szCs w:val="52"/>
    </w:rPr>
  </w:style>
  <w:style w:type="character" w:styleId="BookTitle">
    <w:name w:val="Book Title"/>
    <w:basedOn w:val="DefaultParagraphFont"/>
    <w:uiPriority w:val="33"/>
    <w:rsid w:val="003C0B1E"/>
    <w:rPr>
      <w:rFonts w:ascii="Arial" w:hAnsi="Arial"/>
      <w:b/>
      <w:bCs/>
      <w:color w:val="FFFFFF" w:themeColor="background1"/>
      <w:spacing w:val="5"/>
      <w:sz w:val="34"/>
    </w:rPr>
  </w:style>
  <w:style w:type="table" w:styleId="TableGrid">
    <w:name w:val="Table Grid"/>
    <w:basedOn w:val="TableNormal"/>
    <w:uiPriority w:val="59"/>
    <w:rsid w:val="006B2575"/>
    <w:pPr>
      <w:spacing w:after="0" w:line="240" w:lineRule="auto"/>
    </w:pPr>
    <w:tblPr>
      <w:tblBorders>
        <w:top w:val="single" w:sz="4" w:space="0" w:color="002D72" w:themeColor="text1"/>
        <w:left w:val="single" w:sz="4" w:space="0" w:color="002D72" w:themeColor="text1"/>
        <w:bottom w:val="single" w:sz="4" w:space="0" w:color="002D72" w:themeColor="text1"/>
        <w:right w:val="single" w:sz="4" w:space="0" w:color="002D72" w:themeColor="text1"/>
        <w:insideH w:val="single" w:sz="4" w:space="0" w:color="002D72" w:themeColor="text1"/>
        <w:insideV w:val="single" w:sz="4" w:space="0" w:color="002D72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2D44FC"/>
    <w:pPr>
      <w:spacing w:after="0" w:line="240" w:lineRule="auto"/>
    </w:pPr>
    <w:rPr>
      <w:color w:val="002155" w:themeColor="accent1" w:themeShade="BF"/>
    </w:rPr>
    <w:tblPr>
      <w:tblStyleRowBandSize w:val="1"/>
      <w:tblStyleColBandSize w:val="1"/>
      <w:tblBorders>
        <w:top w:val="single" w:sz="8" w:space="0" w:color="002D72" w:themeColor="accent1"/>
        <w:bottom w:val="single" w:sz="8" w:space="0" w:color="002D7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72" w:themeColor="accent1"/>
          <w:left w:val="nil"/>
          <w:bottom w:val="single" w:sz="8" w:space="0" w:color="002D7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72" w:themeColor="accent1"/>
          <w:left w:val="nil"/>
          <w:bottom w:val="single" w:sz="8" w:space="0" w:color="002D7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C3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C3FF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B2575"/>
    <w:pPr>
      <w:spacing w:after="0" w:line="240" w:lineRule="auto"/>
    </w:pPr>
    <w:rPr>
      <w:color w:val="002155" w:themeColor="text1" w:themeShade="BF"/>
    </w:rPr>
    <w:tblPr>
      <w:tblStyleRowBandSize w:val="1"/>
      <w:tblStyleColBandSize w:val="1"/>
      <w:tblBorders>
        <w:top w:val="single" w:sz="8" w:space="0" w:color="002D72" w:themeColor="text1"/>
        <w:bottom w:val="single" w:sz="8" w:space="0" w:color="002D7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72" w:themeColor="text1"/>
          <w:left w:val="nil"/>
          <w:bottom w:val="single" w:sz="8" w:space="0" w:color="002D7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72" w:themeColor="text1"/>
          <w:left w:val="nil"/>
          <w:bottom w:val="single" w:sz="8" w:space="0" w:color="002D7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C3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C3FF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B2575"/>
    <w:pPr>
      <w:spacing w:after="0" w:line="240" w:lineRule="auto"/>
    </w:pPr>
    <w:rPr>
      <w:rFonts w:ascii="Arial" w:hAnsi="Arial"/>
      <w:color w:val="0043AD" w:themeColor="text1" w:themeTint="D9"/>
    </w:rPr>
    <w:tblPr>
      <w:tblStyleRowBandSize w:val="1"/>
      <w:tblStyleColBandSize w:val="1"/>
      <w:tblBorders>
        <w:top w:val="single" w:sz="8" w:space="0" w:color="007DC3"/>
        <w:bottom w:val="single" w:sz="8" w:space="0" w:color="007DC3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4616" w:themeColor="accent5"/>
          <w:left w:val="nil"/>
          <w:bottom w:val="single" w:sz="8" w:space="0" w:color="FA46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4616" w:themeColor="accent5"/>
          <w:left w:val="nil"/>
          <w:bottom w:val="single" w:sz="8" w:space="0" w:color="FA46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0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0C5" w:themeFill="accent5" w:themeFillTint="3F"/>
      </w:tcPr>
    </w:tblStylePr>
  </w:style>
  <w:style w:type="paragraph" w:customStyle="1" w:styleId="Tabletext">
    <w:name w:val="Table text"/>
    <w:basedOn w:val="Normal"/>
    <w:qFormat/>
    <w:rsid w:val="00C90DDF"/>
    <w:pPr>
      <w:spacing w:before="80" w:after="40" w:line="240" w:lineRule="auto"/>
    </w:pPr>
    <w:rPr>
      <w:bCs/>
      <w:sz w:val="18"/>
    </w:rPr>
  </w:style>
  <w:style w:type="paragraph" w:customStyle="1" w:styleId="Note">
    <w:name w:val="Note:"/>
    <w:basedOn w:val="Normal"/>
    <w:qFormat/>
    <w:rsid w:val="00942D9F"/>
    <w:pPr>
      <w:spacing w:before="0" w:after="160"/>
    </w:pPr>
    <w:rPr>
      <w:sz w:val="14"/>
    </w:rPr>
  </w:style>
  <w:style w:type="paragraph" w:customStyle="1" w:styleId="NormalRule">
    <w:name w:val="Normal Rule"/>
    <w:basedOn w:val="Normal"/>
    <w:qFormat/>
    <w:rsid w:val="00A727B5"/>
    <w:pPr>
      <w:pBdr>
        <w:bottom w:val="single" w:sz="2" w:space="1" w:color="808080" w:themeColor="background1" w:themeShade="80"/>
      </w:pBdr>
      <w:spacing w:after="240"/>
    </w:pPr>
  </w:style>
  <w:style w:type="paragraph" w:customStyle="1" w:styleId="Bullet">
    <w:name w:val="Bullet"/>
    <w:basedOn w:val="ListParagraph"/>
    <w:rsid w:val="00BF771A"/>
    <w:pPr>
      <w:numPr>
        <w:numId w:val="3"/>
      </w:numPr>
      <w:spacing w:before="60" w:after="60"/>
      <w:ind w:left="284" w:hanging="284"/>
    </w:pPr>
  </w:style>
  <w:style w:type="character" w:customStyle="1" w:styleId="Heading6Char">
    <w:name w:val="Heading 6 Char"/>
    <w:basedOn w:val="DefaultParagraphFont"/>
    <w:link w:val="Heading6"/>
    <w:uiPriority w:val="9"/>
    <w:rsid w:val="00062565"/>
    <w:rPr>
      <w:rFonts w:asciiTheme="majorHAnsi" w:eastAsiaTheme="majorEastAsia" w:hAnsiTheme="majorHAnsi" w:cstheme="majorBidi"/>
      <w:i/>
      <w:color w:val="002D72" w:themeColor="text1"/>
    </w:rPr>
  </w:style>
  <w:style w:type="table" w:styleId="LightShading-Accent3">
    <w:name w:val="Light Shading Accent 3"/>
    <w:basedOn w:val="TableNormal"/>
    <w:uiPriority w:val="60"/>
    <w:rsid w:val="00F47424"/>
    <w:pPr>
      <w:spacing w:after="0" w:line="240" w:lineRule="auto"/>
    </w:pPr>
    <w:rPr>
      <w:color w:val="628D00" w:themeColor="accent3" w:themeShade="BF"/>
    </w:rPr>
    <w:tblPr>
      <w:tblStyleRowBandSize w:val="1"/>
      <w:tblStyleColBandSize w:val="1"/>
      <w:tblBorders>
        <w:top w:val="single" w:sz="8" w:space="0" w:color="84BD00" w:themeColor="accent3"/>
        <w:bottom w:val="single" w:sz="8" w:space="0" w:color="84B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D00" w:themeColor="accent3"/>
          <w:left w:val="nil"/>
          <w:bottom w:val="single" w:sz="8" w:space="0" w:color="84B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D00" w:themeColor="accent3"/>
          <w:left w:val="nil"/>
          <w:bottom w:val="single" w:sz="8" w:space="0" w:color="84B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FA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FAF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D6E3F"/>
    <w:pPr>
      <w:spacing w:after="0" w:line="240" w:lineRule="auto"/>
    </w:pPr>
    <w:rPr>
      <w:color w:val="002155" w:themeColor="accent1" w:themeShade="BF"/>
    </w:rPr>
    <w:tblPr>
      <w:tblStyleRowBandSize w:val="1"/>
      <w:tblStyleColBandSize w:val="1"/>
      <w:tblBorders>
        <w:top w:val="single" w:sz="8" w:space="0" w:color="002D72" w:themeColor="accent1"/>
        <w:bottom w:val="single" w:sz="8" w:space="0" w:color="002D7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72" w:themeColor="accent1"/>
          <w:left w:val="nil"/>
          <w:bottom w:val="single" w:sz="8" w:space="0" w:color="002D7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72" w:themeColor="accent1"/>
          <w:left w:val="nil"/>
          <w:bottom w:val="single" w:sz="8" w:space="0" w:color="002D7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C3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C3FF" w:themeFill="accent1" w:themeFillTint="3F"/>
      </w:tcPr>
    </w:tblStylePr>
  </w:style>
  <w:style w:type="paragraph" w:customStyle="1" w:styleId="Listfiguretableheading">
    <w:name w:val="List/figure/table heading"/>
    <w:basedOn w:val="Heading2"/>
    <w:qFormat/>
    <w:rsid w:val="000A5BFC"/>
    <w:rPr>
      <w:sz w:val="24"/>
    </w:rPr>
  </w:style>
  <w:style w:type="paragraph" w:customStyle="1" w:styleId="TableHeading">
    <w:name w:val="Table Heading"/>
    <w:basedOn w:val="Tabletext"/>
    <w:qFormat/>
    <w:rsid w:val="00A727B5"/>
    <w:rPr>
      <w:b/>
      <w:bCs w:val="0"/>
      <w:color w:val="002D72"/>
    </w:rPr>
  </w:style>
  <w:style w:type="character" w:styleId="Hyperlink">
    <w:name w:val="Hyperlink"/>
    <w:basedOn w:val="DefaultParagraphFont"/>
    <w:uiPriority w:val="99"/>
    <w:rsid w:val="008C0BE1"/>
    <w:rPr>
      <w:color w:val="0000FF"/>
      <w:u w:val="single"/>
    </w:rPr>
  </w:style>
  <w:style w:type="paragraph" w:styleId="MessageHeader">
    <w:name w:val="Message Header"/>
    <w:aliases w:val="Boxed text"/>
    <w:basedOn w:val="Normal"/>
    <w:next w:val="Normal"/>
    <w:link w:val="MessageHeaderChar"/>
    <w:uiPriority w:val="99"/>
    <w:unhideWhenUsed/>
    <w:qFormat/>
    <w:rsid w:val="008C0BE1"/>
    <w:pPr>
      <w:pBdr>
        <w:top w:val="single" w:sz="48" w:space="4" w:color="E4E6E8" w:themeColor="text2" w:themeTint="33"/>
        <w:left w:val="single" w:sz="48" w:space="4" w:color="E4E6E8" w:themeColor="text2" w:themeTint="33"/>
        <w:bottom w:val="single" w:sz="48" w:space="5" w:color="E4E6E8" w:themeColor="text2" w:themeTint="33"/>
        <w:right w:val="single" w:sz="48" w:space="4" w:color="E4E6E8" w:themeColor="text2" w:themeTint="33"/>
      </w:pBdr>
      <w:shd w:val="solid" w:color="E4E6E8" w:themeColor="text2" w:themeTint="33" w:fill="auto"/>
      <w:suppressAutoHyphens/>
      <w:autoSpaceDE w:val="0"/>
      <w:autoSpaceDN w:val="0"/>
      <w:adjustRightInd w:val="0"/>
      <w:spacing w:before="240" w:after="240" w:line="240" w:lineRule="auto"/>
      <w:ind w:left="80" w:right="80"/>
      <w:textAlignment w:val="center"/>
    </w:pPr>
    <w:rPr>
      <w:rFonts w:eastAsiaTheme="majorEastAsia" w:cstheme="majorBidi"/>
      <w:color w:val="000000"/>
      <w:szCs w:val="24"/>
      <w:lang w:val="en-US"/>
    </w:rPr>
  </w:style>
  <w:style w:type="character" w:customStyle="1" w:styleId="MessageHeaderChar">
    <w:name w:val="Message Header Char"/>
    <w:aliases w:val="Boxed text Char"/>
    <w:basedOn w:val="DefaultParagraphFont"/>
    <w:link w:val="MessageHeader"/>
    <w:uiPriority w:val="99"/>
    <w:rsid w:val="008C0BE1"/>
    <w:rPr>
      <w:rFonts w:ascii="Arial" w:eastAsiaTheme="majorEastAsia" w:hAnsi="Arial" w:cstheme="majorBidi"/>
      <w:color w:val="000000"/>
      <w:sz w:val="20"/>
      <w:szCs w:val="24"/>
      <w:shd w:val="solid" w:color="E4E6E8" w:themeColor="text2" w:themeTint="33" w:fill="auto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63C3"/>
    <w:rPr>
      <w:color w:val="7C878E" w:themeColor="followedHyperlink"/>
      <w:u w:val="single"/>
    </w:rPr>
  </w:style>
  <w:style w:type="table" w:styleId="TableGridLight">
    <w:name w:val="Grid Table Light"/>
    <w:basedOn w:val="TableNormal"/>
    <w:uiPriority w:val="40"/>
    <w:rsid w:val="002D44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D44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D4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886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886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D44FC"/>
    <w:pPr>
      <w:spacing w:after="0" w:line="240" w:lineRule="auto"/>
    </w:pPr>
    <w:tblPr>
      <w:tblStyleRowBandSize w:val="1"/>
      <w:tblStyleColBandSize w:val="1"/>
      <w:tblBorders>
        <w:top w:val="single" w:sz="4" w:space="0" w:color="3886FF" w:themeColor="text1" w:themeTint="80"/>
        <w:bottom w:val="single" w:sz="4" w:space="0" w:color="3886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886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886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886FF" w:themeColor="text1" w:themeTint="80"/>
          <w:right w:val="single" w:sz="4" w:space="0" w:color="3886FF" w:themeColor="text1" w:themeTint="80"/>
        </w:tcBorders>
      </w:tcPr>
    </w:tblStylePr>
    <w:tblStylePr w:type="band2Vert">
      <w:tblPr/>
      <w:tcPr>
        <w:tcBorders>
          <w:left w:val="single" w:sz="4" w:space="0" w:color="3886FF" w:themeColor="text1" w:themeTint="80"/>
          <w:right w:val="single" w:sz="4" w:space="0" w:color="3886FF" w:themeColor="text1" w:themeTint="80"/>
        </w:tcBorders>
      </w:tcPr>
    </w:tblStylePr>
    <w:tblStylePr w:type="band1Horz">
      <w:tblPr/>
      <w:tcPr>
        <w:tcBorders>
          <w:top w:val="single" w:sz="4" w:space="0" w:color="3886FF" w:themeColor="text1" w:themeTint="80"/>
          <w:bottom w:val="single" w:sz="4" w:space="0" w:color="3886F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2D4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">
    <w:name w:val="List Table 3"/>
    <w:basedOn w:val="TableNormal"/>
    <w:uiPriority w:val="48"/>
    <w:rsid w:val="002D44FC"/>
    <w:pPr>
      <w:spacing w:after="0" w:line="240" w:lineRule="auto"/>
    </w:pPr>
    <w:tblPr>
      <w:tblStyleRowBandSize w:val="1"/>
      <w:tblStyleColBandSize w:val="1"/>
      <w:tblBorders>
        <w:top w:val="single" w:sz="4" w:space="0" w:color="002D72" w:themeColor="text1"/>
        <w:left w:val="single" w:sz="4" w:space="0" w:color="002D72" w:themeColor="text1"/>
        <w:bottom w:val="single" w:sz="4" w:space="0" w:color="002D72" w:themeColor="text1"/>
        <w:right w:val="single" w:sz="4" w:space="0" w:color="002D7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D72" w:themeFill="text1"/>
      </w:tcPr>
    </w:tblStylePr>
    <w:tblStylePr w:type="lastRow">
      <w:rPr>
        <w:b/>
        <w:bCs/>
      </w:rPr>
      <w:tblPr/>
      <w:tcPr>
        <w:tcBorders>
          <w:top w:val="double" w:sz="4" w:space="0" w:color="002D7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D72" w:themeColor="text1"/>
          <w:right w:val="single" w:sz="4" w:space="0" w:color="002D72" w:themeColor="text1"/>
        </w:tcBorders>
      </w:tcPr>
    </w:tblStylePr>
    <w:tblStylePr w:type="band1Horz">
      <w:tblPr/>
      <w:tcPr>
        <w:tcBorders>
          <w:top w:val="single" w:sz="4" w:space="0" w:color="002D72" w:themeColor="text1"/>
          <w:bottom w:val="single" w:sz="4" w:space="0" w:color="002D7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D72" w:themeColor="text1"/>
          <w:left w:val="nil"/>
        </w:tcBorders>
      </w:tcPr>
    </w:tblStylePr>
    <w:tblStylePr w:type="swCell">
      <w:tblPr/>
      <w:tcPr>
        <w:tcBorders>
          <w:top w:val="double" w:sz="4" w:space="0" w:color="002D72" w:themeColor="text1"/>
          <w:right w:val="nil"/>
        </w:tcBorders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062565"/>
    <w:rPr>
      <w:rFonts w:asciiTheme="majorHAnsi" w:eastAsiaTheme="majorEastAsia" w:hAnsiTheme="majorHAnsi" w:cstheme="majorBidi"/>
      <w:iCs/>
      <w:color w:val="002D72" w:themeColor="tex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62565"/>
    <w:rPr>
      <w:rFonts w:asciiTheme="majorHAnsi" w:eastAsiaTheme="majorEastAsia" w:hAnsiTheme="majorHAnsi" w:cstheme="majorBidi"/>
      <w:i/>
      <w:color w:val="002D72" w:themeColor="text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00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B39"/>
    <w:pPr>
      <w:spacing w:before="120" w:after="200" w:line="240" w:lineRule="auto"/>
    </w:pPr>
    <w:rPr>
      <w:rFonts w:ascii="Arial" w:hAnsi="Arial"/>
      <w:color w:val="0062FC" w:themeColor="text1" w:themeTint="A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B39"/>
    <w:rPr>
      <w:rFonts w:ascii="Arial" w:hAnsi="Arial"/>
      <w:color w:val="0062FC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76B"/>
    <w:pPr>
      <w:spacing w:before="100" w:after="100"/>
    </w:pPr>
    <w:rPr>
      <w:rFonts w:asciiTheme="minorHAnsi" w:hAnsiTheme="minorHAns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76B"/>
    <w:rPr>
      <w:rFonts w:ascii="Arial" w:hAnsi="Arial"/>
      <w:b/>
      <w:bCs/>
      <w:color w:val="0062FC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fes.support@servicesaustralia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smanianShipping@infrastructure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ervicesaustralia.gov.au/organisations/business/services/centrelink/tasmanian-freight-equalisation-schem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factsheet%20newsletter.dotx" TargetMode="External"/></Relationships>
</file>

<file path=word/theme/theme1.xml><?xml version="1.0" encoding="utf-8"?>
<a:theme xmlns:a="http://schemas.openxmlformats.org/drawingml/2006/main" name="DoITCRD">
  <a:themeElements>
    <a:clrScheme name="Custom 1">
      <a:dk1>
        <a:srgbClr val="002D72"/>
      </a:dk1>
      <a:lt1>
        <a:sysClr val="window" lastClr="FFFFFF"/>
      </a:lt1>
      <a:dk2>
        <a:srgbClr val="7C878E"/>
      </a:dk2>
      <a:lt2>
        <a:srgbClr val="DEE9F1"/>
      </a:lt2>
      <a:accent1>
        <a:srgbClr val="002D72"/>
      </a:accent1>
      <a:accent2>
        <a:srgbClr val="009CBD"/>
      </a:accent2>
      <a:accent3>
        <a:srgbClr val="84BD00"/>
      </a:accent3>
      <a:accent4>
        <a:srgbClr val="485CC7"/>
      </a:accent4>
      <a:accent5>
        <a:srgbClr val="FA4616"/>
      </a:accent5>
      <a:accent6>
        <a:srgbClr val="FFA300"/>
      </a:accent6>
      <a:hlink>
        <a:srgbClr val="002D72"/>
      </a:hlink>
      <a:folHlink>
        <a:srgbClr val="7C878E"/>
      </a:folHlink>
    </a:clrScheme>
    <a:fontScheme name="DoITCRD 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ITCRD" id="{5A257436-6D80-4E63-B74C-390E67994A5E}" vid="{8063BDD6-2E75-4593-999F-27F6CC842E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CCAD625ABB24AA183B64E8313D671" ma:contentTypeVersion="6" ma:contentTypeDescription="Create a new document." ma:contentTypeScope="" ma:versionID="cf07f97148d588f08bb37cfc914c3922">
  <xsd:schema xmlns:xsd="http://www.w3.org/2001/XMLSchema" xmlns:xs="http://www.w3.org/2001/XMLSchema" xmlns:p="http://schemas.microsoft.com/office/2006/metadata/properties" xmlns:ns2="e32966d8-b4d8-4dda-8ae6-323bc9c131a8" targetNamespace="http://schemas.microsoft.com/office/2006/metadata/properties" ma:root="true" ma:fieldsID="b3901f1198a6d54bf521d608909f6a04" ns2:_="">
    <xsd:import namespace="e32966d8-b4d8-4dda-8ae6-323bc9c131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a251d1a7b134456db3b1acedd1e24b10" minOccurs="0"/>
                <xsd:element ref="ns2:TaxCatchAll" minOccurs="0"/>
                <xsd:element ref="ns2:TaxCatchAllLabel" minOccurs="0"/>
                <xsd:element ref="ns2:jf98554186664fa7afb0596b59ac768b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966d8-b4d8-4dda-8ae6-323bc9c131a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a251d1a7b134456db3b1acedd1e24b10" ma:index="9" ma:taxonomy="true" ma:internalName="a251d1a7b134456db3b1acedd1e24b10" ma:taxonomyFieldName="Security_x0020_Classification" ma:displayName="Security Classification" ma:readOnly="false" ma:default="1;#OFFICIAL|66ee57a8-59d0-46bc-a5fc-78440ee0cf81" ma:fieldId="{a251d1a7-b134-456d-b3b1-acedd1e24b10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32ff10-6ac2-40c4-974e-b2b9f5725e84}" ma:internalName="TaxCatchAll" ma:showField="CatchAllData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32ff10-6ac2-40c4-974e-b2b9f5725e84}" ma:internalName="TaxCatchAllLabel" ma:readOnly="true" ma:showField="CatchAllDataLabel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98554186664fa7afb0596b59ac768b" ma:index="13" nillable="true" ma:taxonomy="true" ma:internalName="jf98554186664fa7afb0596b59ac768b" ma:taxonomyFieldName="Information_x0020_Management_x0020_Marker" ma:displayName="Information Management Marker" ma:default="" ma:fieldId="{3f985541-8666-4fa7-afb0-596b59ac768b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EB6D-C9B6-49AE-B6D4-7846471FA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25FB6-D884-45EC-83B0-A6BEA2164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966d8-b4d8-4dda-8ae6-323bc9c1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74ECD-C54B-4EB9-ABFB-7B0A46AA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factsheet newsletter.dotx</Template>
  <TotalTime>5</TotalTime>
  <Pages>6</Pages>
  <Words>1642</Words>
  <Characters>9363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</vt:lpstr>
    </vt:vector>
  </TitlesOfParts>
  <Company>Department of Infrastructure and Regional Development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</dc:title>
  <dc:creator>BERNEY Jon</dc:creator>
  <cp:lastModifiedBy>LE LIEVRE, Dan</cp:lastModifiedBy>
  <cp:revision>2</cp:revision>
  <cp:lastPrinted>2024-03-05T03:01:00Z</cp:lastPrinted>
  <dcterms:created xsi:type="dcterms:W3CDTF">2024-03-05T22:42:00Z</dcterms:created>
  <dcterms:modified xsi:type="dcterms:W3CDTF">2024-03-05T22:42:00Z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0x0101005C7CCAD625ABB24AA183B64E8313D671</vt:lpwstr>
  </property>
</Properties>
</file>