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6E4C1" w14:textId="77777777" w:rsidR="002341C0" w:rsidRDefault="002341C0" w:rsidP="002341C0">
      <w:pPr>
        <w:spacing w:before="0" w:after="1440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06133FEB" wp14:editId="2B87D26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640" cy="1943640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640" cy="194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 wp14:anchorId="14A0279E" wp14:editId="5F1C9C95">
            <wp:extent cx="3647611" cy="669240"/>
            <wp:effectExtent l="0" t="0" r="0" b="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sz w:val="48"/>
          <w:szCs w:val="48"/>
        </w:rPr>
        <w:alias w:val="Title"/>
        <w:tag w:val=""/>
        <w:id w:val="975726233"/>
        <w:placeholder>
          <w:docPart w:val="C8CEB4AFFB3A4E51AD442BCE33A5A12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FD2B7EC" w14:textId="552B8281" w:rsidR="00A370AD" w:rsidRPr="00377FAA" w:rsidRDefault="00F03410" w:rsidP="00BE3AD8">
          <w:pPr>
            <w:pStyle w:val="Title"/>
            <w:rPr>
              <w:sz w:val="48"/>
              <w:szCs w:val="48"/>
            </w:rPr>
          </w:pPr>
          <w:r>
            <w:rPr>
              <w:sz w:val="48"/>
              <w:szCs w:val="48"/>
            </w:rPr>
            <w:t>Fact Sheet</w:t>
          </w:r>
          <w:r w:rsidR="00822636">
            <w:rPr>
              <w:sz w:val="48"/>
              <w:szCs w:val="48"/>
            </w:rPr>
            <w:t xml:space="preserve"> -</w:t>
          </w:r>
          <w:r>
            <w:rPr>
              <w:sz w:val="48"/>
              <w:szCs w:val="48"/>
            </w:rPr>
            <w:t xml:space="preserve"> Growing Regions Program </w:t>
          </w:r>
          <w:r w:rsidR="00822636">
            <w:rPr>
              <w:sz w:val="48"/>
              <w:szCs w:val="48"/>
            </w:rPr>
            <w:t xml:space="preserve">- </w:t>
          </w:r>
          <w:r>
            <w:rPr>
              <w:sz w:val="48"/>
              <w:szCs w:val="48"/>
            </w:rPr>
            <w:t>Round 2</w:t>
          </w:r>
        </w:p>
      </w:sdtContent>
    </w:sdt>
    <w:p w14:paraId="23CB04AA" w14:textId="77777777" w:rsidR="0035317C" w:rsidRDefault="00661249" w:rsidP="00B00CD5">
      <w:pPr>
        <w:pStyle w:val="ListParagraph"/>
        <w:numPr>
          <w:ilvl w:val="0"/>
          <w:numId w:val="28"/>
        </w:numPr>
        <w:rPr>
          <w:b/>
        </w:rPr>
      </w:pPr>
      <w:r w:rsidRPr="00117099">
        <w:t xml:space="preserve">The </w:t>
      </w:r>
      <w:r w:rsidR="00B00CD5">
        <w:t xml:space="preserve">Australian </w:t>
      </w:r>
      <w:r w:rsidRPr="00117099">
        <w:t xml:space="preserve">Government has </w:t>
      </w:r>
      <w:r w:rsidRPr="007954CB">
        <w:rPr>
          <w:b/>
        </w:rPr>
        <w:t>committed $</w:t>
      </w:r>
      <w:r w:rsidR="00377FAA">
        <w:rPr>
          <w:b/>
        </w:rPr>
        <w:t>600</w:t>
      </w:r>
      <w:r w:rsidRPr="007954CB">
        <w:rPr>
          <w:b/>
        </w:rPr>
        <w:t xml:space="preserve"> million </w:t>
      </w:r>
      <w:r w:rsidRPr="007954CB">
        <w:t>towards the</w:t>
      </w:r>
      <w:r w:rsidRPr="007954CB">
        <w:rPr>
          <w:b/>
        </w:rPr>
        <w:t xml:space="preserve"> </w:t>
      </w:r>
      <w:r w:rsidR="00377FAA">
        <w:rPr>
          <w:b/>
        </w:rPr>
        <w:t>Growing Regions</w:t>
      </w:r>
      <w:r w:rsidR="00BB0E33" w:rsidRPr="007954CB">
        <w:rPr>
          <w:b/>
        </w:rPr>
        <w:t xml:space="preserve"> Program</w:t>
      </w:r>
      <w:r w:rsidR="008673B3" w:rsidRPr="007954CB">
        <w:rPr>
          <w:b/>
        </w:rPr>
        <w:t xml:space="preserve"> </w:t>
      </w:r>
      <w:r w:rsidR="008673B3" w:rsidRPr="007954CB">
        <w:t xml:space="preserve">to </w:t>
      </w:r>
      <w:r w:rsidR="00C30AB3" w:rsidRPr="007954CB">
        <w:t xml:space="preserve">deliver investment </w:t>
      </w:r>
      <w:r w:rsidR="008673B3" w:rsidRPr="007954CB">
        <w:t>in</w:t>
      </w:r>
      <w:r w:rsidR="00C30AB3" w:rsidRPr="007954CB">
        <w:t xml:space="preserve"> locally-driven</w:t>
      </w:r>
      <w:r w:rsidR="008673B3" w:rsidRPr="007954CB">
        <w:rPr>
          <w:b/>
        </w:rPr>
        <w:t xml:space="preserve"> communit</w:t>
      </w:r>
      <w:r w:rsidR="00C30AB3" w:rsidRPr="007954CB">
        <w:rPr>
          <w:b/>
        </w:rPr>
        <w:t>y infrastructure projects</w:t>
      </w:r>
      <w:r w:rsidR="008673B3" w:rsidRPr="007954CB">
        <w:rPr>
          <w:b/>
        </w:rPr>
        <w:t xml:space="preserve"> across</w:t>
      </w:r>
      <w:r w:rsidR="007C778F" w:rsidRPr="007C778F">
        <w:rPr>
          <w:b/>
        </w:rPr>
        <w:t xml:space="preserve"> </w:t>
      </w:r>
      <w:r w:rsidR="007C778F">
        <w:rPr>
          <w:b/>
        </w:rPr>
        <w:t>regional and remote</w:t>
      </w:r>
      <w:r w:rsidR="008673B3" w:rsidRPr="007954CB">
        <w:rPr>
          <w:b/>
        </w:rPr>
        <w:t xml:space="preserve"> Australia</w:t>
      </w:r>
      <w:r w:rsidR="00A370AD" w:rsidRPr="007954CB">
        <w:t>.</w:t>
      </w:r>
      <w:r w:rsidR="00B00CD5" w:rsidRPr="00B00CD5">
        <w:rPr>
          <w:b/>
        </w:rPr>
        <w:t xml:space="preserve"> </w:t>
      </w:r>
      <w:r w:rsidR="00B00CD5">
        <w:rPr>
          <w:b/>
        </w:rPr>
        <w:t>Program</w:t>
      </w:r>
      <w:r w:rsidR="007C778F">
        <w:rPr>
          <w:b/>
        </w:rPr>
        <w:t xml:space="preserve">, </w:t>
      </w:r>
      <w:r w:rsidR="007C778F" w:rsidRPr="007C778F">
        <w:t>with</w:t>
      </w:r>
      <w:r w:rsidR="00B00CD5">
        <w:rPr>
          <w:b/>
        </w:rPr>
        <w:t xml:space="preserve"> funding </w:t>
      </w:r>
      <w:r w:rsidR="007C778F">
        <w:rPr>
          <w:b/>
        </w:rPr>
        <w:t xml:space="preserve">available </w:t>
      </w:r>
      <w:r w:rsidR="00B00CD5">
        <w:rPr>
          <w:b/>
        </w:rPr>
        <w:t>over two rounds.</w:t>
      </w:r>
      <w:r w:rsidR="0035317C">
        <w:rPr>
          <w:b/>
        </w:rPr>
        <w:t xml:space="preserve"> </w:t>
      </w:r>
    </w:p>
    <w:p w14:paraId="43FF232D" w14:textId="2EF05DB9" w:rsidR="00B00CD5" w:rsidRDefault="0035317C" w:rsidP="00B00CD5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Round 2 will provide $393 million in total funding.</w:t>
      </w:r>
    </w:p>
    <w:p w14:paraId="3B821C02" w14:textId="77777777" w:rsidR="00B00CD5" w:rsidRPr="00633B25" w:rsidRDefault="00B00CD5" w:rsidP="00B00CD5">
      <w:pPr>
        <w:pStyle w:val="ListParagraph"/>
        <w:numPr>
          <w:ilvl w:val="0"/>
          <w:numId w:val="28"/>
        </w:numPr>
      </w:pPr>
      <w:r w:rsidRPr="007954CB">
        <w:t xml:space="preserve">The </w:t>
      </w:r>
      <w:r>
        <w:t>Growing Regions</w:t>
      </w:r>
      <w:r w:rsidRPr="007954CB">
        <w:t xml:space="preserve"> Program </w:t>
      </w:r>
      <w:r w:rsidRPr="007954CB">
        <w:rPr>
          <w:b/>
        </w:rPr>
        <w:t xml:space="preserve">is an open </w:t>
      </w:r>
      <w:r w:rsidRPr="00633B25">
        <w:rPr>
          <w:b/>
        </w:rPr>
        <w:t>competitive</w:t>
      </w:r>
      <w:r w:rsidRPr="00633B25">
        <w:t xml:space="preserve"> program with funding awarded on a </w:t>
      </w:r>
      <w:r w:rsidRPr="00633B25">
        <w:rPr>
          <w:b/>
        </w:rPr>
        <w:t>merit basis</w:t>
      </w:r>
      <w:r w:rsidRPr="00633B25">
        <w:t xml:space="preserve">. </w:t>
      </w:r>
    </w:p>
    <w:p w14:paraId="562412C1" w14:textId="2F62F836" w:rsidR="00B00CD5" w:rsidRPr="00633B25" w:rsidRDefault="00B00CD5" w:rsidP="00B00CD5">
      <w:pPr>
        <w:pStyle w:val="ListParagraph"/>
        <w:numPr>
          <w:ilvl w:val="0"/>
          <w:numId w:val="28"/>
        </w:numPr>
      </w:pPr>
      <w:r w:rsidRPr="00633B25">
        <w:t>The</w:t>
      </w:r>
      <w:r w:rsidR="003E0C05" w:rsidRPr="00633B25">
        <w:t xml:space="preserve"> </w:t>
      </w:r>
      <w:r w:rsidR="003E0C05" w:rsidRPr="00633B25">
        <w:rPr>
          <w:b/>
        </w:rPr>
        <w:t>Growing Regions Program -</w:t>
      </w:r>
      <w:r w:rsidR="003E0C05" w:rsidRPr="00633B25">
        <w:t xml:space="preserve"> </w:t>
      </w:r>
      <w:r w:rsidR="003E0C05" w:rsidRPr="00633B25">
        <w:rPr>
          <w:b/>
        </w:rPr>
        <w:t>Round 2</w:t>
      </w:r>
      <w:r w:rsidRPr="00633B25">
        <w:t xml:space="preserve"> </w:t>
      </w:r>
      <w:r w:rsidRPr="00633B25">
        <w:rPr>
          <w:b/>
        </w:rPr>
        <w:t xml:space="preserve">Program Guidelines </w:t>
      </w:r>
      <w:r w:rsidRPr="00633B25">
        <w:t xml:space="preserve">were released on </w:t>
      </w:r>
      <w:r w:rsidRPr="00633B25">
        <w:rPr>
          <w:b/>
        </w:rPr>
        <w:t>1</w:t>
      </w:r>
      <w:r w:rsidR="00822636">
        <w:rPr>
          <w:b/>
        </w:rPr>
        <w:t>6</w:t>
      </w:r>
      <w:r w:rsidRPr="00633B25">
        <w:rPr>
          <w:b/>
        </w:rPr>
        <w:t xml:space="preserve"> August 2024</w:t>
      </w:r>
      <w:r w:rsidRPr="00633B25">
        <w:t xml:space="preserve">, ahead of the program’s </w:t>
      </w:r>
      <w:r w:rsidR="009B5094" w:rsidRPr="00633B25">
        <w:t xml:space="preserve">expected </w:t>
      </w:r>
      <w:r w:rsidRPr="00633B25">
        <w:t>opening on</w:t>
      </w:r>
      <w:r w:rsidRPr="00633B25">
        <w:rPr>
          <w:b/>
        </w:rPr>
        <w:t xml:space="preserve"> </w:t>
      </w:r>
      <w:r w:rsidRPr="00633B25">
        <w:t>5 September 2024.</w:t>
      </w:r>
      <w:r w:rsidRPr="00633B25">
        <w:rPr>
          <w:b/>
        </w:rPr>
        <w:t xml:space="preserve"> </w:t>
      </w:r>
    </w:p>
    <w:p w14:paraId="6C360935" w14:textId="49E287FD" w:rsidR="00B00CD5" w:rsidRPr="00633B25" w:rsidRDefault="00B00CD5" w:rsidP="00B00CD5">
      <w:pPr>
        <w:pStyle w:val="ListParagraph"/>
        <w:numPr>
          <w:ilvl w:val="0"/>
          <w:numId w:val="28"/>
        </w:numPr>
        <w:rPr>
          <w:b/>
        </w:rPr>
      </w:pPr>
      <w:r w:rsidRPr="00633B25">
        <w:rPr>
          <w:b/>
        </w:rPr>
        <w:t xml:space="preserve">Applications </w:t>
      </w:r>
      <w:r w:rsidRPr="0003152A">
        <w:t xml:space="preserve">for </w:t>
      </w:r>
      <w:r w:rsidRPr="00633B25">
        <w:rPr>
          <w:b/>
        </w:rPr>
        <w:t>Round 2 open</w:t>
      </w:r>
      <w:r w:rsidR="00FA3430">
        <w:rPr>
          <w:b/>
        </w:rPr>
        <w:t>ed</w:t>
      </w:r>
      <w:r w:rsidRPr="00633B25">
        <w:rPr>
          <w:b/>
        </w:rPr>
        <w:t xml:space="preserve"> </w:t>
      </w:r>
      <w:r w:rsidRPr="0003152A">
        <w:t>on</w:t>
      </w:r>
      <w:r w:rsidRPr="00633B25">
        <w:rPr>
          <w:b/>
        </w:rPr>
        <w:t xml:space="preserve"> 5 September </w:t>
      </w:r>
      <w:r w:rsidRPr="0003152A">
        <w:t>and</w:t>
      </w:r>
      <w:r w:rsidRPr="00633B25">
        <w:rPr>
          <w:b/>
        </w:rPr>
        <w:t xml:space="preserve"> close </w:t>
      </w:r>
      <w:r w:rsidRPr="0003152A">
        <w:t>on</w:t>
      </w:r>
      <w:r w:rsidRPr="00633B25">
        <w:rPr>
          <w:b/>
        </w:rPr>
        <w:t xml:space="preserve"> 10 October 2024 </w:t>
      </w:r>
    </w:p>
    <w:p w14:paraId="1F50BB48" w14:textId="1BB1E9C8" w:rsidR="00B00CD5" w:rsidRDefault="00B00CD5" w:rsidP="00BB0E33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 xml:space="preserve">Round 2 </w:t>
      </w:r>
      <w:r w:rsidR="0003152A">
        <w:t>has</w:t>
      </w:r>
      <w:r w:rsidRPr="00B00CD5">
        <w:t xml:space="preserve"> a</w:t>
      </w:r>
      <w:r>
        <w:rPr>
          <w:b/>
        </w:rPr>
        <w:t xml:space="preserve"> single-stage full application process. </w:t>
      </w:r>
    </w:p>
    <w:p w14:paraId="0DEC3D99" w14:textId="6D577881" w:rsidR="00D166D6" w:rsidRPr="00117099" w:rsidRDefault="005E3003" w:rsidP="00D166D6">
      <w:pPr>
        <w:pStyle w:val="ListParagraph"/>
        <w:numPr>
          <w:ilvl w:val="0"/>
          <w:numId w:val="28"/>
        </w:numPr>
        <w:rPr>
          <w:b/>
        </w:rPr>
      </w:pPr>
      <w:r>
        <w:t>Funding</w:t>
      </w:r>
      <w:r w:rsidR="00661249" w:rsidRPr="00117099">
        <w:t xml:space="preserve"> between</w:t>
      </w:r>
      <w:r w:rsidR="00661249" w:rsidRPr="00117099">
        <w:rPr>
          <w:b/>
        </w:rPr>
        <w:t xml:space="preserve"> $500,000</w:t>
      </w:r>
      <w:r w:rsidR="00661249" w:rsidRPr="00117099">
        <w:t xml:space="preserve"> </w:t>
      </w:r>
      <w:r w:rsidR="00661249" w:rsidRPr="00117099">
        <w:rPr>
          <w:b/>
        </w:rPr>
        <w:t>and</w:t>
      </w:r>
      <w:r w:rsidR="00F51CB9" w:rsidRPr="00117099">
        <w:t xml:space="preserve"> </w:t>
      </w:r>
      <w:r w:rsidR="00F51CB9" w:rsidRPr="00117099">
        <w:rPr>
          <w:b/>
        </w:rPr>
        <w:t>$15 million</w:t>
      </w:r>
      <w:r w:rsidR="00F51CB9" w:rsidRPr="00117099">
        <w:t xml:space="preserve"> will be awarded to </w:t>
      </w:r>
      <w:r w:rsidR="00F51CB9" w:rsidRPr="00117099">
        <w:rPr>
          <w:b/>
        </w:rPr>
        <w:t>eligible local governments and</w:t>
      </w:r>
      <w:r w:rsidR="00E86E4B">
        <w:rPr>
          <w:b/>
        </w:rPr>
        <w:t xml:space="preserve"> incorporated</w:t>
      </w:r>
      <w:r w:rsidR="00F51CB9" w:rsidRPr="00117099">
        <w:rPr>
          <w:b/>
        </w:rPr>
        <w:t xml:space="preserve"> not-for-profit</w:t>
      </w:r>
      <w:r w:rsidR="00A370AD" w:rsidRPr="00117099">
        <w:rPr>
          <w:b/>
        </w:rPr>
        <w:t xml:space="preserve"> </w:t>
      </w:r>
      <w:r w:rsidR="00F51CB9" w:rsidRPr="00117099">
        <w:rPr>
          <w:b/>
        </w:rPr>
        <w:t>organisations</w:t>
      </w:r>
      <w:r w:rsidR="00F51CB9" w:rsidRPr="00117099">
        <w:t xml:space="preserve"> to deliver</w:t>
      </w:r>
      <w:r w:rsidR="003E0C05">
        <w:t xml:space="preserve"> capital works projects for</w:t>
      </w:r>
      <w:r w:rsidR="00F51CB9" w:rsidRPr="00117099">
        <w:t xml:space="preserve"> </w:t>
      </w:r>
      <w:r w:rsidR="00F51CB9" w:rsidRPr="00117099">
        <w:rPr>
          <w:b/>
        </w:rPr>
        <w:t>priority</w:t>
      </w:r>
      <w:r w:rsidR="00F51CB9" w:rsidRPr="00117099">
        <w:t xml:space="preserve"> community infrastructure. </w:t>
      </w:r>
    </w:p>
    <w:p w14:paraId="1C880652" w14:textId="1F35FE82" w:rsidR="00F51CB9" w:rsidRDefault="00F51CB9" w:rsidP="00F51CB9">
      <w:pPr>
        <w:pStyle w:val="ListParagraph"/>
        <w:numPr>
          <w:ilvl w:val="0"/>
          <w:numId w:val="28"/>
        </w:numPr>
      </w:pPr>
      <w:r w:rsidRPr="008673B3">
        <w:t xml:space="preserve">Eligible </w:t>
      </w:r>
      <w:r w:rsidR="008673B3" w:rsidRPr="008673B3">
        <w:t>projects</w:t>
      </w:r>
      <w:r w:rsidRPr="00117099">
        <w:t xml:space="preserve"> </w:t>
      </w:r>
      <w:r w:rsidRPr="008673B3">
        <w:rPr>
          <w:b/>
        </w:rPr>
        <w:t>must be</w:t>
      </w:r>
      <w:r w:rsidR="008673B3" w:rsidRPr="008673B3">
        <w:rPr>
          <w:b/>
        </w:rPr>
        <w:t xml:space="preserve"> located</w:t>
      </w:r>
      <w:r w:rsidRPr="00117099">
        <w:t xml:space="preserve"> </w:t>
      </w:r>
      <w:r w:rsidR="00377FAA">
        <w:rPr>
          <w:b/>
        </w:rPr>
        <w:t>outside</w:t>
      </w:r>
      <w:r w:rsidRPr="00117099">
        <w:rPr>
          <w:b/>
        </w:rPr>
        <w:t xml:space="preserve"> the Greater Capital City Statistical Areas</w:t>
      </w:r>
      <w:r w:rsidRPr="00117099">
        <w:t xml:space="preserve"> (GCCSA</w:t>
      </w:r>
      <w:r w:rsidR="008673B3">
        <w:t>s</w:t>
      </w:r>
      <w:r w:rsidRPr="00117099">
        <w:t xml:space="preserve">) as defined by </w:t>
      </w:r>
      <w:r w:rsidR="008673B3">
        <w:t>Australian Bureau of Statistics</w:t>
      </w:r>
      <w:r w:rsidRPr="00117099">
        <w:t>.</w:t>
      </w:r>
    </w:p>
    <w:p w14:paraId="1D23C8BA" w14:textId="7046CA8F" w:rsidR="003E0C05" w:rsidRPr="003E0C05" w:rsidRDefault="003E0C05" w:rsidP="003E0C05">
      <w:pPr>
        <w:pStyle w:val="ListParagraph"/>
        <w:numPr>
          <w:ilvl w:val="0"/>
          <w:numId w:val="28"/>
        </w:numPr>
        <w:rPr>
          <w:b/>
        </w:rPr>
      </w:pPr>
      <w:r w:rsidRPr="00117099">
        <w:rPr>
          <w:b/>
        </w:rPr>
        <w:t>Joint (consortia) applications</w:t>
      </w:r>
      <w:r w:rsidRPr="00117099">
        <w:t xml:space="preserve"> are</w:t>
      </w:r>
      <w:r w:rsidRPr="00117099">
        <w:rPr>
          <w:b/>
        </w:rPr>
        <w:t xml:space="preserve"> </w:t>
      </w:r>
      <w:r w:rsidRPr="00117099">
        <w:t xml:space="preserve">accepted under the </w:t>
      </w:r>
      <w:r>
        <w:t>guidelines</w:t>
      </w:r>
      <w:r w:rsidRPr="00117099">
        <w:t xml:space="preserve">. </w:t>
      </w:r>
    </w:p>
    <w:p w14:paraId="296738D4" w14:textId="48F401DE" w:rsidR="00D166D6" w:rsidRPr="00117099" w:rsidRDefault="00D166D6" w:rsidP="00D166D6">
      <w:pPr>
        <w:pStyle w:val="ListParagraph"/>
        <w:numPr>
          <w:ilvl w:val="0"/>
          <w:numId w:val="28"/>
        </w:numPr>
        <w:rPr>
          <w:b/>
        </w:rPr>
      </w:pPr>
      <w:r w:rsidRPr="00117099">
        <w:t>The Government</w:t>
      </w:r>
      <w:r w:rsidR="008673B3">
        <w:t xml:space="preserve"> opened the </w:t>
      </w:r>
      <w:r w:rsidR="008673B3" w:rsidRPr="007C778F">
        <w:t>$</w:t>
      </w:r>
      <w:r w:rsidR="00377FAA" w:rsidRPr="007C778F">
        <w:t>350</w:t>
      </w:r>
      <w:r w:rsidRPr="007C778F">
        <w:t xml:space="preserve"> million </w:t>
      </w:r>
      <w:r w:rsidR="00377FAA">
        <w:rPr>
          <w:b/>
        </w:rPr>
        <w:t xml:space="preserve">Thriving Suburbs </w:t>
      </w:r>
      <w:r w:rsidRPr="00117099">
        <w:rPr>
          <w:b/>
        </w:rPr>
        <w:t>Program</w:t>
      </w:r>
      <w:r w:rsidRPr="00117099">
        <w:t xml:space="preserve"> </w:t>
      </w:r>
      <w:r w:rsidR="008673B3" w:rsidRPr="007D147D">
        <w:t xml:space="preserve">on </w:t>
      </w:r>
      <w:r w:rsidR="00377FAA" w:rsidRPr="007D147D">
        <w:t>2</w:t>
      </w:r>
      <w:r w:rsidR="007D147D" w:rsidRPr="007D147D">
        <w:t>7</w:t>
      </w:r>
      <w:r w:rsidR="008673B3" w:rsidRPr="007D147D">
        <w:t xml:space="preserve"> July 202</w:t>
      </w:r>
      <w:r w:rsidR="00377FAA" w:rsidRPr="007D147D">
        <w:t>4</w:t>
      </w:r>
      <w:r w:rsidRPr="007D147D">
        <w:t xml:space="preserve"> and</w:t>
      </w:r>
      <w:r w:rsidRPr="00117099">
        <w:t xml:space="preserve"> this program will cover all communities </w:t>
      </w:r>
      <w:r w:rsidR="00377FAA">
        <w:t>in</w:t>
      </w:r>
      <w:r w:rsidR="008673B3">
        <w:t>side</w:t>
      </w:r>
      <w:r w:rsidRPr="00117099">
        <w:t xml:space="preserve"> the GCCSAs. We expect </w:t>
      </w:r>
      <w:r w:rsidRPr="00117099">
        <w:rPr>
          <w:b/>
        </w:rPr>
        <w:t xml:space="preserve">all local government areas in Australia </w:t>
      </w:r>
      <w:r w:rsidRPr="003E0C05">
        <w:t>to be</w:t>
      </w:r>
      <w:r w:rsidRPr="00117099">
        <w:rPr>
          <w:b/>
        </w:rPr>
        <w:t xml:space="preserve"> eligible for </w:t>
      </w:r>
      <w:r w:rsidR="003E0C05">
        <w:rPr>
          <w:b/>
        </w:rPr>
        <w:t>funding</w:t>
      </w:r>
      <w:r w:rsidRPr="00117099">
        <w:rPr>
          <w:b/>
        </w:rPr>
        <w:t xml:space="preserve"> opportunities under </w:t>
      </w:r>
      <w:r w:rsidR="00117099">
        <w:rPr>
          <w:b/>
        </w:rPr>
        <w:t xml:space="preserve">one of </w:t>
      </w:r>
      <w:r w:rsidRPr="00117099">
        <w:rPr>
          <w:b/>
        </w:rPr>
        <w:t>the</w:t>
      </w:r>
      <w:r w:rsidR="00117099">
        <w:rPr>
          <w:b/>
        </w:rPr>
        <w:t>se</w:t>
      </w:r>
      <w:r w:rsidRPr="00117099">
        <w:rPr>
          <w:b/>
        </w:rPr>
        <w:t xml:space="preserve"> two</w:t>
      </w:r>
      <w:r w:rsidRPr="00117099">
        <w:t xml:space="preserve"> </w:t>
      </w:r>
      <w:r w:rsidRPr="00117099">
        <w:rPr>
          <w:b/>
        </w:rPr>
        <w:t>programs</w:t>
      </w:r>
      <w:r w:rsidRPr="00117099">
        <w:t>.</w:t>
      </w:r>
    </w:p>
    <w:p w14:paraId="77FBE9F7" w14:textId="77777777" w:rsidR="005D24FA" w:rsidRPr="00117099" w:rsidRDefault="005D24FA" w:rsidP="005D24FA">
      <w:pPr>
        <w:pStyle w:val="ListParagraph"/>
        <w:numPr>
          <w:ilvl w:val="0"/>
          <w:numId w:val="28"/>
        </w:numPr>
      </w:pPr>
      <w:r w:rsidRPr="00117099">
        <w:t xml:space="preserve">The Government has redesigned regional investments to ensure best </w:t>
      </w:r>
      <w:r w:rsidRPr="00117099">
        <w:rPr>
          <w:b/>
        </w:rPr>
        <w:t>practice transparency and consistency</w:t>
      </w:r>
      <w:r w:rsidRPr="00117099">
        <w:t xml:space="preserve"> of process, as well as </w:t>
      </w:r>
      <w:r w:rsidRPr="00117099">
        <w:rPr>
          <w:b/>
        </w:rPr>
        <w:t>fairer distribution of funds</w:t>
      </w:r>
      <w:r w:rsidRPr="00117099">
        <w:t xml:space="preserve"> to ensure people can have confidence in the new programs.</w:t>
      </w:r>
    </w:p>
    <w:p w14:paraId="164B977A" w14:textId="0007CC2E" w:rsidR="005D24FA" w:rsidRPr="007954CB" w:rsidRDefault="00D166D6" w:rsidP="0054285B">
      <w:pPr>
        <w:pStyle w:val="ListParagraph"/>
        <w:numPr>
          <w:ilvl w:val="0"/>
          <w:numId w:val="28"/>
        </w:numPr>
        <w:rPr>
          <w:b/>
        </w:rPr>
      </w:pPr>
      <w:r w:rsidRPr="00117099">
        <w:rPr>
          <w:b/>
        </w:rPr>
        <w:t>Fairness</w:t>
      </w:r>
      <w:r w:rsidR="0054285B" w:rsidRPr="00117099">
        <w:rPr>
          <w:b/>
        </w:rPr>
        <w:t xml:space="preserve"> and </w:t>
      </w:r>
      <w:r w:rsidR="0054285B" w:rsidRPr="007954CB">
        <w:rPr>
          <w:b/>
        </w:rPr>
        <w:t>transparency</w:t>
      </w:r>
      <w:r w:rsidR="0054285B" w:rsidRPr="007954CB">
        <w:t xml:space="preserve"> in</w:t>
      </w:r>
      <w:r w:rsidR="004F25C0">
        <w:t xml:space="preserve"> funding </w:t>
      </w:r>
      <w:r w:rsidR="0054285B" w:rsidRPr="007954CB">
        <w:t xml:space="preserve">administration </w:t>
      </w:r>
      <w:r w:rsidR="00117099" w:rsidRPr="007954CB">
        <w:t xml:space="preserve">will </w:t>
      </w:r>
      <w:r w:rsidR="00377FAA">
        <w:t xml:space="preserve">continue to be </w:t>
      </w:r>
      <w:r w:rsidR="00117099" w:rsidRPr="007954CB">
        <w:t xml:space="preserve">demonstrated </w:t>
      </w:r>
      <w:r w:rsidR="005D24FA" w:rsidRPr="007954CB">
        <w:t xml:space="preserve">in </w:t>
      </w:r>
      <w:r w:rsidR="003E0C05">
        <w:t>R</w:t>
      </w:r>
      <w:r w:rsidR="00377FAA">
        <w:t>ound 2 of the</w:t>
      </w:r>
      <w:r w:rsidR="005D24FA" w:rsidRPr="007954CB">
        <w:t xml:space="preserve"> </w:t>
      </w:r>
      <w:r w:rsidR="00377FAA" w:rsidRPr="003E0C05">
        <w:t>Growing Regions</w:t>
      </w:r>
      <w:r w:rsidR="005D24FA" w:rsidRPr="003E0C05">
        <w:t xml:space="preserve"> Program</w:t>
      </w:r>
      <w:r w:rsidRPr="007954CB">
        <w:t xml:space="preserve"> through</w:t>
      </w:r>
      <w:r w:rsidR="00661249" w:rsidRPr="007954CB">
        <w:t xml:space="preserve"> </w:t>
      </w:r>
      <w:r w:rsidR="00377FAA">
        <w:t>continued engagement of</w:t>
      </w:r>
      <w:r w:rsidR="00EB1C3E" w:rsidRPr="007954CB">
        <w:t xml:space="preserve"> a </w:t>
      </w:r>
      <w:r w:rsidR="00EB1C3E" w:rsidRPr="007954CB">
        <w:rPr>
          <w:b/>
        </w:rPr>
        <w:t>mul</w:t>
      </w:r>
      <w:r w:rsidR="005D24FA" w:rsidRPr="007954CB">
        <w:rPr>
          <w:b/>
        </w:rPr>
        <w:t>ti</w:t>
      </w:r>
      <w:r w:rsidR="00EB1C3E" w:rsidRPr="007954CB">
        <w:rPr>
          <w:b/>
        </w:rPr>
        <w:t>-party Parliamentary panel</w:t>
      </w:r>
      <w:r w:rsidR="005D24FA" w:rsidRPr="007954CB">
        <w:t>. The panel</w:t>
      </w:r>
      <w:r w:rsidR="00EB1C3E" w:rsidRPr="007954CB">
        <w:t xml:space="preserve"> will </w:t>
      </w:r>
      <w:r w:rsidR="00377FAA">
        <w:t xml:space="preserve">only </w:t>
      </w:r>
      <w:r w:rsidR="00EB1C3E" w:rsidRPr="007954CB">
        <w:t>recommend</w:t>
      </w:r>
      <w:r w:rsidR="00661249" w:rsidRPr="007954CB">
        <w:t xml:space="preserve"> </w:t>
      </w:r>
      <w:r w:rsidR="005D24FA" w:rsidRPr="007954CB">
        <w:t>projects that</w:t>
      </w:r>
      <w:r w:rsidR="00C30AB3" w:rsidRPr="007954CB">
        <w:t xml:space="preserve"> contribute to social and community inclusion,</w:t>
      </w:r>
      <w:r w:rsidR="005D24FA" w:rsidRPr="007954CB">
        <w:t xml:space="preserve"> </w:t>
      </w:r>
      <w:r w:rsidR="008673B3" w:rsidRPr="007954CB">
        <w:t xml:space="preserve">are aligned with </w:t>
      </w:r>
      <w:r w:rsidR="00C30AB3" w:rsidRPr="007954CB">
        <w:t>Government</w:t>
      </w:r>
      <w:r w:rsidR="005D24FA" w:rsidRPr="007954CB">
        <w:t xml:space="preserve"> </w:t>
      </w:r>
      <w:r w:rsidR="00070161">
        <w:t xml:space="preserve">and regional </w:t>
      </w:r>
      <w:r w:rsidR="005D24FA" w:rsidRPr="007954CB">
        <w:t>priorities</w:t>
      </w:r>
      <w:r w:rsidR="00C30AB3" w:rsidRPr="007954CB">
        <w:t xml:space="preserve"> and can be delivered and sustained</w:t>
      </w:r>
      <w:r w:rsidR="005D24FA" w:rsidRPr="007954CB">
        <w:t xml:space="preserve">. </w:t>
      </w:r>
    </w:p>
    <w:p w14:paraId="6CFEE8C7" w14:textId="1B2F5A7A" w:rsidR="0054285B" w:rsidRPr="007954CB" w:rsidRDefault="005D24FA" w:rsidP="0054285B">
      <w:pPr>
        <w:pStyle w:val="ListParagraph"/>
        <w:numPr>
          <w:ilvl w:val="0"/>
          <w:numId w:val="28"/>
        </w:numPr>
        <w:rPr>
          <w:b/>
        </w:rPr>
      </w:pPr>
      <w:r w:rsidRPr="007954CB">
        <w:t>A</w:t>
      </w:r>
      <w:r w:rsidR="00D166D6" w:rsidRPr="007954CB">
        <w:t xml:space="preserve">n </w:t>
      </w:r>
      <w:r w:rsidR="0054285B" w:rsidRPr="007954CB">
        <w:rPr>
          <w:b/>
        </w:rPr>
        <w:t>external probity advisor</w:t>
      </w:r>
      <w:r w:rsidR="00D166D6" w:rsidRPr="007954CB">
        <w:rPr>
          <w:b/>
        </w:rPr>
        <w:t xml:space="preserve"> </w:t>
      </w:r>
      <w:r w:rsidR="00D166D6" w:rsidRPr="007954CB">
        <w:t>will</w:t>
      </w:r>
      <w:r w:rsidRPr="007954CB">
        <w:t xml:space="preserve"> also</w:t>
      </w:r>
      <w:r w:rsidR="00D166D6" w:rsidRPr="007954CB">
        <w:t xml:space="preserve"> provide advice</w:t>
      </w:r>
      <w:r w:rsidR="0054285B" w:rsidRPr="007954CB">
        <w:t xml:space="preserve"> </w:t>
      </w:r>
      <w:r w:rsidR="00D166D6" w:rsidRPr="007954CB">
        <w:t xml:space="preserve">to </w:t>
      </w:r>
      <w:r w:rsidR="007D147D">
        <w:t>the</w:t>
      </w:r>
      <w:r w:rsidR="00D166D6" w:rsidRPr="007954CB">
        <w:t xml:space="preserve"> </w:t>
      </w:r>
      <w:r w:rsidR="0054285B" w:rsidRPr="007954CB">
        <w:rPr>
          <w:b/>
        </w:rPr>
        <w:t>multi-party Parliamentary panel</w:t>
      </w:r>
      <w:r w:rsidRPr="007954CB">
        <w:t>.</w:t>
      </w:r>
    </w:p>
    <w:p w14:paraId="17A47B96" w14:textId="77777777" w:rsidR="00771DD2" w:rsidRPr="00117099" w:rsidRDefault="00771DD2" w:rsidP="00771DD2">
      <w:pPr>
        <w:pStyle w:val="ListParagraph"/>
        <w:rPr>
          <w:b/>
        </w:rPr>
      </w:pPr>
    </w:p>
    <w:p w14:paraId="1C25F9D1" w14:textId="77777777" w:rsidR="00771DD2" w:rsidRPr="00117099" w:rsidRDefault="00771DD2" w:rsidP="007D3DDB">
      <w:pPr>
        <w:rPr>
          <w:b/>
        </w:rPr>
      </w:pPr>
      <w:r w:rsidRPr="00117099">
        <w:rPr>
          <w:b/>
        </w:rPr>
        <w:t>The objectives of the program</w:t>
      </w:r>
      <w:r w:rsidR="00711A39">
        <w:rPr>
          <w:b/>
        </w:rPr>
        <w:t xml:space="preserve"> are:</w:t>
      </w:r>
    </w:p>
    <w:p w14:paraId="77ED95F9" w14:textId="2ADC2AB7" w:rsidR="00C30AB3" w:rsidRPr="00C30AB3" w:rsidRDefault="00070161" w:rsidP="00C30AB3">
      <w:pPr>
        <w:pStyle w:val="ListBullet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C30AB3" w:rsidRPr="00C30AB3">
        <w:rPr>
          <w:rFonts w:asciiTheme="minorHAnsi" w:hAnsiTheme="minorHAnsi" w:cstheme="minorHAnsi"/>
          <w:sz w:val="22"/>
          <w:szCs w:val="22"/>
        </w:rPr>
        <w:t>onstructing or upgrading community infrastructure that fills an identified and immediate gap or unmet need for community infrastructure, particularly for communities that have experienced substantial growth</w:t>
      </w:r>
      <w:r w:rsidR="005B61B7">
        <w:rPr>
          <w:rFonts w:asciiTheme="minorHAnsi" w:hAnsiTheme="minorHAnsi" w:cstheme="minorHAnsi"/>
          <w:sz w:val="22"/>
          <w:szCs w:val="22"/>
        </w:rPr>
        <w:t>.</w:t>
      </w:r>
    </w:p>
    <w:p w14:paraId="709F637F" w14:textId="78658155" w:rsidR="00C30AB3" w:rsidRPr="00C30AB3" w:rsidRDefault="00070161" w:rsidP="00C30AB3">
      <w:pPr>
        <w:pStyle w:val="ListBullet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C30AB3" w:rsidRPr="00C30AB3">
        <w:rPr>
          <w:rFonts w:asciiTheme="minorHAnsi" w:hAnsiTheme="minorHAnsi" w:cstheme="minorHAnsi"/>
          <w:sz w:val="22"/>
          <w:szCs w:val="22"/>
        </w:rPr>
        <w:t xml:space="preserve">ontributing to achieving social outcomes and increased community cohesion, liveability and accessibility for </w:t>
      </w:r>
      <w:r>
        <w:rPr>
          <w:rFonts w:asciiTheme="minorHAnsi" w:hAnsiTheme="minorHAnsi" w:cstheme="minorHAnsi"/>
          <w:sz w:val="22"/>
          <w:szCs w:val="22"/>
        </w:rPr>
        <w:t>regional and remote communities</w:t>
      </w:r>
      <w:r w:rsidR="005B61B7">
        <w:rPr>
          <w:rFonts w:asciiTheme="minorHAnsi" w:hAnsiTheme="minorHAnsi" w:cstheme="minorHAnsi"/>
          <w:sz w:val="22"/>
          <w:szCs w:val="22"/>
        </w:rPr>
        <w:t>.</w:t>
      </w:r>
    </w:p>
    <w:p w14:paraId="45711276" w14:textId="598DB100" w:rsidR="007954CB" w:rsidRPr="00070161" w:rsidRDefault="00070161" w:rsidP="007D3DDB">
      <w:pPr>
        <w:pStyle w:val="ListParagraph"/>
        <w:numPr>
          <w:ilvl w:val="0"/>
          <w:numId w:val="42"/>
        </w:numPr>
        <w:rPr>
          <w:rFonts w:eastAsia="SimSun" w:cstheme="minorHAnsi"/>
          <w:color w:val="auto"/>
        </w:rPr>
      </w:pPr>
      <w:r w:rsidRPr="00070161">
        <w:rPr>
          <w:rFonts w:eastAsia="SimSun" w:cstheme="minorHAnsi"/>
          <w:color w:val="auto"/>
        </w:rPr>
        <w:t>Delivering increased amenity, liveability and community connectedness in line with the Investing in Places priority focus area of the Australian Government’s Regional Investment Framework to deliver targeted and place-based investment</w:t>
      </w:r>
      <w:r>
        <w:rPr>
          <w:rFonts w:eastAsia="SimSun" w:cstheme="minorHAnsi"/>
          <w:color w:val="auto"/>
        </w:rPr>
        <w:t>.</w:t>
      </w:r>
    </w:p>
    <w:p w14:paraId="560B68F6" w14:textId="77777777" w:rsidR="00070161" w:rsidRDefault="00070161" w:rsidP="007D3DDB">
      <w:pPr>
        <w:rPr>
          <w:b/>
        </w:rPr>
      </w:pPr>
    </w:p>
    <w:p w14:paraId="70A05F33" w14:textId="77777777" w:rsidR="00070161" w:rsidRDefault="00070161" w:rsidP="007D3DDB">
      <w:pPr>
        <w:rPr>
          <w:b/>
        </w:rPr>
      </w:pPr>
    </w:p>
    <w:p w14:paraId="339E6A41" w14:textId="77777777" w:rsidR="00070161" w:rsidRDefault="00070161" w:rsidP="007D3DDB">
      <w:pPr>
        <w:rPr>
          <w:b/>
        </w:rPr>
      </w:pPr>
    </w:p>
    <w:p w14:paraId="2199F93B" w14:textId="3A40C052" w:rsidR="00711A39" w:rsidRPr="007D147D" w:rsidRDefault="00771DD2" w:rsidP="00711A39">
      <w:pPr>
        <w:rPr>
          <w:b/>
        </w:rPr>
      </w:pPr>
      <w:r w:rsidRPr="00117099">
        <w:rPr>
          <w:b/>
        </w:rPr>
        <w:t>The intended outcomes of the program</w:t>
      </w:r>
      <w:r w:rsidR="00711A39">
        <w:rPr>
          <w:b/>
        </w:rPr>
        <w:t xml:space="preserve"> are:</w:t>
      </w:r>
    </w:p>
    <w:p w14:paraId="69C6BBCC" w14:textId="1AD7DED0" w:rsidR="00070161" w:rsidRPr="00070161" w:rsidRDefault="00633B25" w:rsidP="00070161">
      <w:pPr>
        <w:pStyle w:val="ListBullet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Enhance liveability and amenity in regional communities</w:t>
      </w:r>
    </w:p>
    <w:p w14:paraId="081F6C09" w14:textId="1286F648" w:rsidR="00070161" w:rsidRPr="00070161" w:rsidRDefault="00633B25" w:rsidP="00070161">
      <w:pPr>
        <w:pStyle w:val="ListBullet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70161" w:rsidRPr="00070161">
        <w:rPr>
          <w:rFonts w:asciiTheme="minorHAnsi" w:hAnsiTheme="minorHAnsi" w:cstheme="minorHAnsi"/>
          <w:sz w:val="22"/>
          <w:szCs w:val="22"/>
        </w:rPr>
        <w:t xml:space="preserve">rovision of multi-use infrastructure which benefits a broad cross section of the community by improving access, equity and social inclusion </w:t>
      </w:r>
    </w:p>
    <w:p w14:paraId="38805077" w14:textId="4DFB8D6E" w:rsidR="00070161" w:rsidRPr="00070161" w:rsidRDefault="00633B25" w:rsidP="00070161">
      <w:pPr>
        <w:pStyle w:val="ListBullet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070161" w:rsidRPr="00070161">
        <w:rPr>
          <w:rFonts w:asciiTheme="minorHAnsi" w:hAnsiTheme="minorHAnsi" w:cstheme="minorHAnsi"/>
          <w:sz w:val="22"/>
          <w:szCs w:val="22"/>
        </w:rPr>
        <w:t>ontribute to the achievement of Government priorities supporting the resilience, adaptability, accessibility, sustainability and liveability of communities including in First Nations communities</w:t>
      </w:r>
    </w:p>
    <w:p w14:paraId="2D9BABBD" w14:textId="062BC591" w:rsidR="00070161" w:rsidRPr="00070161" w:rsidRDefault="00633B25" w:rsidP="00070161">
      <w:pPr>
        <w:pStyle w:val="ListBullet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070161" w:rsidRPr="00070161">
        <w:rPr>
          <w:rFonts w:asciiTheme="minorHAnsi" w:hAnsiTheme="minorHAnsi" w:cstheme="minorHAnsi"/>
          <w:sz w:val="22"/>
          <w:szCs w:val="22"/>
        </w:rPr>
        <w:t>elivery of diverse project types and a balance of large and small projects</w:t>
      </w:r>
    </w:p>
    <w:p w14:paraId="0577AC6D" w14:textId="3524DEF2" w:rsidR="00070161" w:rsidRDefault="00633B25" w:rsidP="00070161">
      <w:pPr>
        <w:pStyle w:val="ListBullet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070161" w:rsidRPr="00070161">
        <w:rPr>
          <w:rFonts w:asciiTheme="minorHAnsi" w:hAnsiTheme="minorHAnsi" w:cstheme="minorHAnsi"/>
          <w:sz w:val="22"/>
          <w:szCs w:val="22"/>
        </w:rPr>
        <w:t>upporting and encouraging projects from lesser-resourced project proponents and low rate-based councils</w:t>
      </w:r>
      <w:r w:rsidR="007D147D"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14:paraId="3B20AFE1" w14:textId="77777777" w:rsidR="00070161" w:rsidRDefault="00070161" w:rsidP="00070161">
      <w:pPr>
        <w:pStyle w:val="ListBullet"/>
        <w:rPr>
          <w:rFonts w:asciiTheme="minorHAnsi" w:hAnsiTheme="minorHAnsi" w:cstheme="minorHAnsi"/>
          <w:b/>
          <w:sz w:val="22"/>
          <w:szCs w:val="22"/>
        </w:rPr>
      </w:pPr>
    </w:p>
    <w:p w14:paraId="24BC6CF2" w14:textId="5B1E794F" w:rsidR="00DC3432" w:rsidRPr="00070161" w:rsidRDefault="00DC3432" w:rsidP="00070161">
      <w:pPr>
        <w:pStyle w:val="ListBullet"/>
        <w:rPr>
          <w:rFonts w:asciiTheme="minorHAnsi" w:hAnsiTheme="minorHAnsi" w:cstheme="minorHAnsi"/>
          <w:b/>
          <w:sz w:val="22"/>
          <w:szCs w:val="22"/>
        </w:rPr>
      </w:pPr>
      <w:r w:rsidRPr="00070161">
        <w:rPr>
          <w:rFonts w:asciiTheme="minorHAnsi" w:hAnsiTheme="minorHAnsi" w:cstheme="minorHAnsi"/>
          <w:b/>
          <w:sz w:val="22"/>
          <w:szCs w:val="22"/>
        </w:rPr>
        <w:t>Further information</w:t>
      </w:r>
    </w:p>
    <w:p w14:paraId="6BAC48AB" w14:textId="3FCFFF2A" w:rsidR="00DC3432" w:rsidRDefault="00DC3432" w:rsidP="00C57A41">
      <w:pPr>
        <w:pStyle w:val="ListBullet"/>
        <w:numPr>
          <w:ilvl w:val="0"/>
          <w:numId w:val="43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C3432">
        <w:rPr>
          <w:rFonts w:asciiTheme="minorHAnsi" w:hAnsiTheme="minorHAnsi" w:cstheme="minorHAnsi"/>
          <w:sz w:val="22"/>
          <w:szCs w:val="22"/>
        </w:rPr>
        <w:t xml:space="preserve">This fact sheet is intended to complement </w:t>
      </w:r>
      <w:r w:rsidR="003E0C05">
        <w:rPr>
          <w:rFonts w:asciiTheme="minorHAnsi" w:hAnsiTheme="minorHAnsi" w:cstheme="minorHAnsi"/>
          <w:sz w:val="22"/>
          <w:szCs w:val="22"/>
        </w:rPr>
        <w:t>the</w:t>
      </w:r>
      <w:r w:rsidRPr="00DC3432">
        <w:rPr>
          <w:rFonts w:asciiTheme="minorHAnsi" w:hAnsiTheme="minorHAnsi" w:cstheme="minorHAnsi"/>
          <w:sz w:val="22"/>
          <w:szCs w:val="22"/>
        </w:rPr>
        <w:t xml:space="preserve"> </w:t>
      </w:r>
      <w:r w:rsidR="00C57A41">
        <w:rPr>
          <w:rFonts w:asciiTheme="minorHAnsi" w:hAnsiTheme="minorHAnsi" w:cstheme="minorHAnsi"/>
          <w:sz w:val="22"/>
          <w:szCs w:val="22"/>
        </w:rPr>
        <w:t>Program</w:t>
      </w:r>
      <w:r w:rsidRPr="00DC3432">
        <w:rPr>
          <w:rFonts w:asciiTheme="minorHAnsi" w:hAnsiTheme="minorHAnsi" w:cstheme="minorHAnsi"/>
          <w:sz w:val="22"/>
          <w:szCs w:val="22"/>
        </w:rPr>
        <w:t xml:space="preserve"> Guidelines for this program. </w:t>
      </w:r>
      <w:r>
        <w:rPr>
          <w:rFonts w:asciiTheme="minorHAnsi" w:hAnsiTheme="minorHAnsi" w:cstheme="minorHAnsi"/>
          <w:sz w:val="22"/>
          <w:szCs w:val="22"/>
        </w:rPr>
        <w:t>The guidelines are your primary source of information for the program</w:t>
      </w:r>
      <w:r w:rsidRPr="00DC343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6CB045" w14:textId="77777777" w:rsidR="00DC3432" w:rsidRDefault="00DC3432" w:rsidP="00C57A41">
      <w:pPr>
        <w:pStyle w:val="ListBullet"/>
        <w:numPr>
          <w:ilvl w:val="0"/>
          <w:numId w:val="43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 further information on the geographic eligibility of project locations please refer to the guidelines and use </w:t>
      </w:r>
      <w:r w:rsidRPr="005E3003">
        <w:rPr>
          <w:rFonts w:asciiTheme="minorHAnsi" w:hAnsiTheme="minorHAnsi" w:cstheme="minorHAnsi"/>
          <w:b/>
          <w:sz w:val="22"/>
          <w:szCs w:val="22"/>
        </w:rPr>
        <w:t>the mapping tool</w:t>
      </w:r>
      <w:r>
        <w:rPr>
          <w:rFonts w:asciiTheme="minorHAnsi" w:hAnsiTheme="minorHAnsi" w:cstheme="minorHAnsi"/>
          <w:sz w:val="22"/>
          <w:szCs w:val="22"/>
        </w:rPr>
        <w:t xml:space="preserve"> available on our program webpage.</w:t>
      </w:r>
      <w:r w:rsidR="00D07FFA">
        <w:rPr>
          <w:rFonts w:asciiTheme="minorHAnsi" w:hAnsiTheme="minorHAnsi" w:cstheme="minorHAnsi"/>
          <w:sz w:val="22"/>
          <w:szCs w:val="22"/>
        </w:rPr>
        <w:t xml:space="preserve"> When using the mapping tool we strongly encourage you to input the exact project location as this will return the most accurate eligibility result for your application.</w:t>
      </w:r>
    </w:p>
    <w:p w14:paraId="23B3337D" w14:textId="67EA3FD1" w:rsidR="00D07FFA" w:rsidRDefault="00D07FFA" w:rsidP="00C57A41">
      <w:pPr>
        <w:pStyle w:val="ListBullet"/>
        <w:numPr>
          <w:ilvl w:val="0"/>
          <w:numId w:val="43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5E3003">
        <w:rPr>
          <w:rFonts w:asciiTheme="minorHAnsi" w:hAnsiTheme="minorHAnsi" w:cstheme="minorHAnsi"/>
          <w:b/>
          <w:sz w:val="22"/>
          <w:szCs w:val="22"/>
        </w:rPr>
        <w:t>guidelines and mapping tool</w:t>
      </w:r>
      <w:r>
        <w:rPr>
          <w:rFonts w:asciiTheme="minorHAnsi" w:hAnsiTheme="minorHAnsi" w:cstheme="minorHAnsi"/>
          <w:sz w:val="22"/>
          <w:szCs w:val="22"/>
        </w:rPr>
        <w:t xml:space="preserve"> are available at </w:t>
      </w:r>
      <w:hyperlink r:id="rId11" w:history="1">
        <w:r w:rsidR="00070161" w:rsidRPr="00070161">
          <w:rPr>
            <w:rStyle w:val="Hyperlink"/>
            <w:rFonts w:asciiTheme="minorHAnsi" w:hAnsiTheme="minorHAnsi" w:cstheme="minorHAnsi"/>
            <w:sz w:val="22"/>
            <w:szCs w:val="22"/>
          </w:rPr>
          <w:t>Growing Regions Program | Department of Infrastructure, Transport, Regional Development, Communications and the Arts</w:t>
        </w:r>
      </w:hyperlink>
    </w:p>
    <w:p w14:paraId="2CCB15E2" w14:textId="44ACAD8F" w:rsidR="00070161" w:rsidRDefault="00070161" w:rsidP="00D07FFA">
      <w:pPr>
        <w:pStyle w:val="ListBullet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5D21B622" w14:textId="233AE022" w:rsidR="00B00CD5" w:rsidRPr="00B00CD5" w:rsidRDefault="00B00CD5" w:rsidP="00B00CD5">
      <w:pPr>
        <w:rPr>
          <w:b/>
        </w:rPr>
      </w:pPr>
      <w:r w:rsidRPr="00B00CD5">
        <w:rPr>
          <w:b/>
        </w:rPr>
        <w:t>Round 1</w:t>
      </w:r>
      <w:r>
        <w:rPr>
          <w:b/>
        </w:rPr>
        <w:t xml:space="preserve"> information</w:t>
      </w:r>
    </w:p>
    <w:p w14:paraId="556AB52B" w14:textId="74491A5A" w:rsidR="00B00CD5" w:rsidRPr="00B00CD5" w:rsidRDefault="00B00CD5" w:rsidP="00B00CD5">
      <w:pPr>
        <w:pStyle w:val="ListParagraph"/>
        <w:numPr>
          <w:ilvl w:val="0"/>
          <w:numId w:val="28"/>
        </w:numPr>
      </w:pPr>
      <w:r w:rsidRPr="00B00CD5">
        <w:t>Round 1 opened 5 July 2023 and closed 15 January 2024</w:t>
      </w:r>
    </w:p>
    <w:p w14:paraId="1C6D6FFA" w14:textId="2A2A86AE" w:rsidR="00B00CD5" w:rsidRPr="0035317C" w:rsidRDefault="00B00CD5" w:rsidP="00B00CD5">
      <w:pPr>
        <w:pStyle w:val="ListParagraph"/>
        <w:numPr>
          <w:ilvl w:val="0"/>
          <w:numId w:val="28"/>
        </w:numPr>
        <w:rPr>
          <w:b/>
        </w:rPr>
      </w:pPr>
      <w:r w:rsidRPr="00B00CD5">
        <w:t>On 16 May 2024, funding was announced</w:t>
      </w:r>
      <w:r>
        <w:rPr>
          <w:b/>
        </w:rPr>
        <w:t xml:space="preserve"> </w:t>
      </w:r>
      <w:r w:rsidRPr="00377FAA">
        <w:t xml:space="preserve">for 40 </w:t>
      </w:r>
      <w:r>
        <w:t>approved</w:t>
      </w:r>
      <w:r w:rsidRPr="00377FAA">
        <w:t xml:space="preserve"> projects across Australia’s regional and remote communities.</w:t>
      </w:r>
      <w:r w:rsidR="0035317C" w:rsidRPr="0035317C">
        <w:t xml:space="preserve"> </w:t>
      </w:r>
      <w:hyperlink r:id="rId12" w:history="1">
        <w:r w:rsidR="0035317C">
          <w:rPr>
            <w:rStyle w:val="Hyperlink"/>
          </w:rPr>
          <w:t>Growing Regions Program - Round 1 approved projects</w:t>
        </w:r>
      </w:hyperlink>
    </w:p>
    <w:p w14:paraId="033177B8" w14:textId="34FC8169" w:rsidR="000C439D" w:rsidRPr="000C439D" w:rsidRDefault="000C439D" w:rsidP="000C439D">
      <w:pPr>
        <w:pStyle w:val="ListParagraph"/>
        <w:numPr>
          <w:ilvl w:val="0"/>
          <w:numId w:val="28"/>
        </w:numPr>
        <w:rPr>
          <w:b/>
        </w:rPr>
      </w:pPr>
      <w:r>
        <w:t xml:space="preserve">The </w:t>
      </w:r>
      <w:r w:rsidR="005E3003">
        <w:t xml:space="preserve">Round 1 </w:t>
      </w:r>
      <w:r>
        <w:t xml:space="preserve">guidelines are available at </w:t>
      </w:r>
      <w:hyperlink r:id="rId13" w:history="1">
        <w:r w:rsidRPr="000C439D">
          <w:rPr>
            <w:rStyle w:val="Hyperlink"/>
            <w:rFonts w:cstheme="minorHAnsi"/>
          </w:rPr>
          <w:t>Growing Regions Program | Department of Infrastructure, Transport, Regional Development, Communications and the Arts</w:t>
        </w:r>
      </w:hyperlink>
    </w:p>
    <w:p w14:paraId="42021B44" w14:textId="77777777" w:rsidR="000C439D" w:rsidRPr="007954CB" w:rsidRDefault="000C439D" w:rsidP="000C439D">
      <w:pPr>
        <w:pStyle w:val="ListParagraph"/>
        <w:ind w:left="360"/>
        <w:rPr>
          <w:b/>
        </w:rPr>
      </w:pPr>
    </w:p>
    <w:sectPr w:rsidR="000C439D" w:rsidRPr="007954CB" w:rsidSect="0011709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021" w:right="1021" w:bottom="709" w:left="102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8FB32" w14:textId="77777777" w:rsidR="00040349" w:rsidRDefault="00040349" w:rsidP="008456D5">
      <w:pPr>
        <w:spacing w:before="0" w:after="0"/>
      </w:pPr>
      <w:r>
        <w:separator/>
      </w:r>
    </w:p>
  </w:endnote>
  <w:endnote w:type="continuationSeparator" w:id="0">
    <w:p w14:paraId="66968072" w14:textId="77777777" w:rsidR="00040349" w:rsidRDefault="00040349" w:rsidP="008456D5">
      <w:pPr>
        <w:spacing w:before="0" w:after="0"/>
      </w:pPr>
      <w:r>
        <w:continuationSeparator/>
      </w:r>
    </w:p>
  </w:endnote>
  <w:endnote w:type="continuationNotice" w:id="1">
    <w:p w14:paraId="13EEEAAE" w14:textId="77777777" w:rsidR="00040349" w:rsidRDefault="0004034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BC57" w14:textId="01B103CC" w:rsidR="00C35E6D" w:rsidRDefault="00070161">
    <w:pPr>
      <w:pStyle w:val="Footer"/>
    </w:pPr>
    <w:r>
      <w:t>Growing Regions Program</w:t>
    </w:r>
    <w:r w:rsidR="003E0C05">
      <w:t xml:space="preserve"> -</w:t>
    </w:r>
    <w:r>
      <w:t xml:space="preserve"> Round 2 </w:t>
    </w:r>
    <w:r w:rsidR="00C35E6D">
      <w:t>fact sheet</w:t>
    </w:r>
  </w:p>
  <w:p w14:paraId="251A1599" w14:textId="77777777" w:rsidR="00661690" w:rsidRDefault="00661690" w:rsidP="00546218">
    <w:pPr>
      <w:pStyle w:val="Footer"/>
      <w:spacing w:befor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9AA77" w14:textId="77777777" w:rsidR="00661690" w:rsidRDefault="00661690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06429F54" wp14:editId="44E7037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5522F6" w14:textId="77777777" w:rsidR="00661690" w:rsidRDefault="00661690" w:rsidP="00D02062">
                          <w:pPr>
                            <w:pStyle w:val="Footer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29F5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8.95pt;margin-top:0;width:340.15pt;height:42.5pt;z-index:-25165823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" filled="f" stroked="f" strokeweight=".5pt">
              <v:textbox inset="0,0,28mm,10mm">
                <w:txbxContent>
                  <w:p w14:paraId="2B5522F6" w14:textId="77777777" w:rsidR="00661690" w:rsidRDefault="00661690" w:rsidP="00D02062">
                    <w:pPr>
                      <w:pStyle w:val="Footer"/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6D7D2E5E" wp14:editId="7668BE3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53D3E" w14:textId="77777777" w:rsidR="00040349" w:rsidRPr="005912BE" w:rsidRDefault="00040349" w:rsidP="005912BE">
      <w:pPr>
        <w:spacing w:before="300"/>
        <w:rPr>
          <w:color w:val="008089" w:themeColor="accent2"/>
        </w:rPr>
      </w:pPr>
      <w:r w:rsidRPr="004B6858">
        <w:rPr>
          <w:color w:val="004044" w:themeColor="accent2" w:themeShade="80"/>
        </w:rPr>
        <w:t>----------</w:t>
      </w:r>
    </w:p>
  </w:footnote>
  <w:footnote w:type="continuationSeparator" w:id="0">
    <w:p w14:paraId="4A0E0751" w14:textId="77777777" w:rsidR="00040349" w:rsidRDefault="00040349" w:rsidP="008456D5">
      <w:pPr>
        <w:spacing w:before="0" w:after="0"/>
      </w:pPr>
      <w:r>
        <w:continuationSeparator/>
      </w:r>
    </w:p>
  </w:footnote>
  <w:footnote w:type="continuationNotice" w:id="1">
    <w:p w14:paraId="615D7095" w14:textId="77777777" w:rsidR="00040349" w:rsidRDefault="0004034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0D705" w14:textId="77777777" w:rsidR="00661690" w:rsidRDefault="00661690" w:rsidP="00546218">
    <w:pPr>
      <w:pStyle w:val="Header"/>
      <w:spacing w:after="13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4431A" w14:textId="77777777" w:rsidR="00661690" w:rsidRDefault="0066169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4C9A3549" wp14:editId="52FB1AD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1640" cy="194436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640" cy="194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FAE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AE653F7"/>
    <w:multiLevelType w:val="hybridMultilevel"/>
    <w:tmpl w:val="F0D0F4FC"/>
    <w:lvl w:ilvl="0" w:tplc="058AE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01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8B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22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62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A3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02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67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CD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D621AED"/>
    <w:multiLevelType w:val="multilevel"/>
    <w:tmpl w:val="C2EED61A"/>
    <w:numStyleLink w:val="NumberedHeadings"/>
  </w:abstractNum>
  <w:abstractNum w:abstractNumId="14" w15:restartNumberingAfterBreak="0">
    <w:nsid w:val="0F3342B3"/>
    <w:multiLevelType w:val="hybridMultilevel"/>
    <w:tmpl w:val="03C297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E170D"/>
    <w:multiLevelType w:val="hybridMultilevel"/>
    <w:tmpl w:val="277E9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F15F2"/>
    <w:multiLevelType w:val="hybridMultilevel"/>
    <w:tmpl w:val="3656057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1A09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C4ACB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E98D8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AB473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D469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0F675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E2EDC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9D05E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19BD12E7"/>
    <w:multiLevelType w:val="multilevel"/>
    <w:tmpl w:val="BFB281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152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512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23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59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672" w:hanging="360"/>
      </w:pPr>
      <w:rPr>
        <w:rFonts w:ascii="Symbol" w:hAnsi="Symbol" w:hint="default"/>
      </w:rPr>
    </w:lvl>
  </w:abstractNum>
  <w:abstractNum w:abstractNumId="18" w15:restartNumberingAfterBreak="0">
    <w:nsid w:val="1DB85CFF"/>
    <w:multiLevelType w:val="hybridMultilevel"/>
    <w:tmpl w:val="F89406F4"/>
    <w:lvl w:ilvl="0" w:tplc="02CA5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B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46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2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EE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CB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2B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6D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8F32C61"/>
    <w:multiLevelType w:val="hybridMultilevel"/>
    <w:tmpl w:val="A3FC7F8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EE50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7A65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4ED0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046FB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AADC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D68F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267F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2608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2DBB276F"/>
    <w:multiLevelType w:val="hybridMultilevel"/>
    <w:tmpl w:val="906C2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AA51938"/>
    <w:multiLevelType w:val="multilevel"/>
    <w:tmpl w:val="298C34E4"/>
    <w:numStyleLink w:val="AppendixNumbers"/>
  </w:abstractNum>
  <w:abstractNum w:abstractNumId="23" w15:restartNumberingAfterBreak="0">
    <w:nsid w:val="3B666B02"/>
    <w:multiLevelType w:val="hybridMultilevel"/>
    <w:tmpl w:val="D9008B9E"/>
    <w:lvl w:ilvl="0" w:tplc="B1EC29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81A09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C4ACB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E98D8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AB473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D469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0F675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E2EDC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9D05E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49367005"/>
    <w:multiLevelType w:val="hybridMultilevel"/>
    <w:tmpl w:val="847C185E"/>
    <w:lvl w:ilvl="0" w:tplc="3F6A1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20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8F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4A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E1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25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6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E2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AA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C131D97"/>
    <w:multiLevelType w:val="hybridMultilevel"/>
    <w:tmpl w:val="CAD013DE"/>
    <w:lvl w:ilvl="0" w:tplc="B0949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E7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02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8D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EA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E7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81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EF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6D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0B135E0"/>
    <w:multiLevelType w:val="hybridMultilevel"/>
    <w:tmpl w:val="245672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DF820FD"/>
    <w:multiLevelType w:val="hybridMultilevel"/>
    <w:tmpl w:val="56FC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0487A"/>
    <w:multiLevelType w:val="hybridMultilevel"/>
    <w:tmpl w:val="24623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F3BD4"/>
    <w:multiLevelType w:val="multilevel"/>
    <w:tmpl w:val="50EA9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152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512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23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59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672" w:hanging="360"/>
      </w:pPr>
      <w:rPr>
        <w:rFonts w:ascii="Symbol" w:hAnsi="Symbol" w:hint="default"/>
      </w:rPr>
    </w:lvl>
  </w:abstractNum>
  <w:abstractNum w:abstractNumId="34" w15:restartNumberingAfterBreak="0">
    <w:nsid w:val="72E17B88"/>
    <w:multiLevelType w:val="hybridMultilevel"/>
    <w:tmpl w:val="B492D6CA"/>
    <w:lvl w:ilvl="0" w:tplc="C512B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C01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0B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49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25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A9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63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E8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69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DFD256D"/>
    <w:multiLevelType w:val="hybridMultilevel"/>
    <w:tmpl w:val="03703D20"/>
    <w:lvl w:ilvl="0" w:tplc="55680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6D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87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8E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CE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65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CE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21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63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3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0"/>
  </w:num>
  <w:num w:numId="26">
    <w:abstractNumId w:val="30"/>
  </w:num>
  <w:num w:numId="27">
    <w:abstractNumId w:val="30"/>
  </w:num>
  <w:num w:numId="28">
    <w:abstractNumId w:val="29"/>
  </w:num>
  <w:num w:numId="29">
    <w:abstractNumId w:val="27"/>
  </w:num>
  <w:num w:numId="30">
    <w:abstractNumId w:val="12"/>
  </w:num>
  <w:num w:numId="31">
    <w:abstractNumId w:val="35"/>
  </w:num>
  <w:num w:numId="32">
    <w:abstractNumId w:val="26"/>
  </w:num>
  <w:num w:numId="33">
    <w:abstractNumId w:val="18"/>
  </w:num>
  <w:num w:numId="34">
    <w:abstractNumId w:val="20"/>
  </w:num>
  <w:num w:numId="35">
    <w:abstractNumId w:val="31"/>
  </w:num>
  <w:num w:numId="36">
    <w:abstractNumId w:val="15"/>
  </w:num>
  <w:num w:numId="37">
    <w:abstractNumId w:val="23"/>
  </w:num>
  <w:num w:numId="38">
    <w:abstractNumId w:val="34"/>
  </w:num>
  <w:num w:numId="39">
    <w:abstractNumId w:val="19"/>
  </w:num>
  <w:num w:numId="40">
    <w:abstractNumId w:val="16"/>
  </w:num>
  <w:num w:numId="41">
    <w:abstractNumId w:val="14"/>
  </w:num>
  <w:num w:numId="42">
    <w:abstractNumId w:val="17"/>
  </w:num>
  <w:num w:numId="43">
    <w:abstractNumId w:val="32"/>
  </w:num>
  <w:num w:numId="44">
    <w:abstractNumId w:val="11"/>
  </w:num>
  <w:num w:numId="45">
    <w:abstractNumId w:val="1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AC"/>
    <w:rsid w:val="0001430B"/>
    <w:rsid w:val="00017870"/>
    <w:rsid w:val="000202F0"/>
    <w:rsid w:val="00024A13"/>
    <w:rsid w:val="0003152A"/>
    <w:rsid w:val="00040349"/>
    <w:rsid w:val="000536ED"/>
    <w:rsid w:val="00070161"/>
    <w:rsid w:val="000719CB"/>
    <w:rsid w:val="000C439D"/>
    <w:rsid w:val="000D7994"/>
    <w:rsid w:val="000E24BA"/>
    <w:rsid w:val="000E2CD1"/>
    <w:rsid w:val="000E5674"/>
    <w:rsid w:val="00117099"/>
    <w:rsid w:val="001349C6"/>
    <w:rsid w:val="0019326F"/>
    <w:rsid w:val="001957A8"/>
    <w:rsid w:val="001D2788"/>
    <w:rsid w:val="002254D5"/>
    <w:rsid w:val="0022611D"/>
    <w:rsid w:val="002309F3"/>
    <w:rsid w:val="002341C0"/>
    <w:rsid w:val="00243E11"/>
    <w:rsid w:val="0026422D"/>
    <w:rsid w:val="00273AD8"/>
    <w:rsid w:val="00284164"/>
    <w:rsid w:val="002847D2"/>
    <w:rsid w:val="002A1769"/>
    <w:rsid w:val="002B3569"/>
    <w:rsid w:val="002B7197"/>
    <w:rsid w:val="002C4B4F"/>
    <w:rsid w:val="002C4BA2"/>
    <w:rsid w:val="002E1ADA"/>
    <w:rsid w:val="00323391"/>
    <w:rsid w:val="0035317C"/>
    <w:rsid w:val="003720E9"/>
    <w:rsid w:val="00377FAA"/>
    <w:rsid w:val="003C625A"/>
    <w:rsid w:val="003E0C05"/>
    <w:rsid w:val="003F775D"/>
    <w:rsid w:val="00420F04"/>
    <w:rsid w:val="00450D0E"/>
    <w:rsid w:val="00452490"/>
    <w:rsid w:val="00477E77"/>
    <w:rsid w:val="004B6858"/>
    <w:rsid w:val="004F25C0"/>
    <w:rsid w:val="005330A8"/>
    <w:rsid w:val="005402B0"/>
    <w:rsid w:val="00541213"/>
    <w:rsid w:val="0054285B"/>
    <w:rsid w:val="00546218"/>
    <w:rsid w:val="00565016"/>
    <w:rsid w:val="005866A1"/>
    <w:rsid w:val="005912BE"/>
    <w:rsid w:val="005B61B7"/>
    <w:rsid w:val="005D24FA"/>
    <w:rsid w:val="005E3003"/>
    <w:rsid w:val="005F4AB0"/>
    <w:rsid w:val="005F794B"/>
    <w:rsid w:val="00633B25"/>
    <w:rsid w:val="00642E30"/>
    <w:rsid w:val="00661249"/>
    <w:rsid w:val="00661690"/>
    <w:rsid w:val="00686A7B"/>
    <w:rsid w:val="006A266A"/>
    <w:rsid w:val="006B70E2"/>
    <w:rsid w:val="006E1ECA"/>
    <w:rsid w:val="00703F60"/>
    <w:rsid w:val="00711A39"/>
    <w:rsid w:val="00771DD2"/>
    <w:rsid w:val="00781CDA"/>
    <w:rsid w:val="00786A0D"/>
    <w:rsid w:val="007954CB"/>
    <w:rsid w:val="007A05BE"/>
    <w:rsid w:val="007B574C"/>
    <w:rsid w:val="007C778F"/>
    <w:rsid w:val="007D147D"/>
    <w:rsid w:val="007D3DDB"/>
    <w:rsid w:val="008067A1"/>
    <w:rsid w:val="00814653"/>
    <w:rsid w:val="00822636"/>
    <w:rsid w:val="008456D5"/>
    <w:rsid w:val="0084634B"/>
    <w:rsid w:val="00853E3F"/>
    <w:rsid w:val="008673B3"/>
    <w:rsid w:val="008972CC"/>
    <w:rsid w:val="008A1887"/>
    <w:rsid w:val="008A7359"/>
    <w:rsid w:val="008B04DF"/>
    <w:rsid w:val="008B6A81"/>
    <w:rsid w:val="008E2A0D"/>
    <w:rsid w:val="00902F78"/>
    <w:rsid w:val="009947C1"/>
    <w:rsid w:val="009B00F2"/>
    <w:rsid w:val="009B5094"/>
    <w:rsid w:val="009C3241"/>
    <w:rsid w:val="00A070A2"/>
    <w:rsid w:val="00A15BC6"/>
    <w:rsid w:val="00A356E7"/>
    <w:rsid w:val="00A370AD"/>
    <w:rsid w:val="00A62339"/>
    <w:rsid w:val="00A81FA3"/>
    <w:rsid w:val="00A95970"/>
    <w:rsid w:val="00AD7703"/>
    <w:rsid w:val="00AE39D9"/>
    <w:rsid w:val="00B00CD5"/>
    <w:rsid w:val="00B01FE6"/>
    <w:rsid w:val="00B37168"/>
    <w:rsid w:val="00B42AC2"/>
    <w:rsid w:val="00B4641A"/>
    <w:rsid w:val="00BB0E33"/>
    <w:rsid w:val="00BB3AAC"/>
    <w:rsid w:val="00BE3AD8"/>
    <w:rsid w:val="00C30AB3"/>
    <w:rsid w:val="00C35E6D"/>
    <w:rsid w:val="00C57A41"/>
    <w:rsid w:val="00C859DD"/>
    <w:rsid w:val="00CD233E"/>
    <w:rsid w:val="00CF6CFD"/>
    <w:rsid w:val="00D02062"/>
    <w:rsid w:val="00D07FFA"/>
    <w:rsid w:val="00D166D6"/>
    <w:rsid w:val="00D26121"/>
    <w:rsid w:val="00D5655E"/>
    <w:rsid w:val="00D64CA3"/>
    <w:rsid w:val="00D85899"/>
    <w:rsid w:val="00DC3432"/>
    <w:rsid w:val="00DE4233"/>
    <w:rsid w:val="00DE4362"/>
    <w:rsid w:val="00DE4FE2"/>
    <w:rsid w:val="00E04908"/>
    <w:rsid w:val="00E4173A"/>
    <w:rsid w:val="00E41F41"/>
    <w:rsid w:val="00E50A74"/>
    <w:rsid w:val="00E86E4B"/>
    <w:rsid w:val="00EB1C3E"/>
    <w:rsid w:val="00F03410"/>
    <w:rsid w:val="00F11869"/>
    <w:rsid w:val="00F1428D"/>
    <w:rsid w:val="00F300F3"/>
    <w:rsid w:val="00F51CB9"/>
    <w:rsid w:val="00F64FAC"/>
    <w:rsid w:val="00F67CDB"/>
    <w:rsid w:val="00F85D97"/>
    <w:rsid w:val="00FA3430"/>
    <w:rsid w:val="00FC32B2"/>
    <w:rsid w:val="00FC34AF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B395B0"/>
  <w15:chartTrackingRefBased/>
  <w15:docId w15:val="{A1A314BA-1185-473B-95FB-4FD60F3B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858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858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B6858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BE3AD8"/>
    <w:pPr>
      <w:numPr>
        <w:ilvl w:val="1"/>
      </w:numPr>
      <w:spacing w:before="240" w:after="160"/>
    </w:pPr>
    <w:rPr>
      <w:rFonts w:asciiTheme="majorHAnsi" w:eastAsiaTheme="minorEastAsia" w:hAnsiTheme="majorHAnsi"/>
      <w:color w:val="008089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BE3AD8"/>
    <w:rPr>
      <w:rFonts w:asciiTheme="majorHAnsi" w:eastAsiaTheme="minorEastAsia" w:hAnsiTheme="majorHAnsi"/>
      <w:color w:val="008089" w:themeColor="accent2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008089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4B6858"/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B6858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2309F3"/>
    <w:pPr>
      <w:numPr>
        <w:numId w:val="11"/>
      </w:numPr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642E30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642E30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642E30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26121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121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Box2Checklist">
    <w:name w:val="Box 2 Checklist"/>
    <w:basedOn w:val="Box2Text"/>
    <w:uiPriority w:val="26"/>
    <w:qFormat/>
    <w:rsid w:val="00642E30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642E30"/>
    <w:pPr>
      <w:numPr>
        <w:numId w:val="2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E22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64FA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unhideWhenUsed/>
    <w:qFormat/>
    <w:rsid w:val="00F64F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1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2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2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49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qFormat/>
    <w:rsid w:val="00711A39"/>
    <w:pPr>
      <w:suppressAutoHyphens w:val="0"/>
      <w:spacing w:before="40" w:line="280" w:lineRule="atLeast"/>
    </w:pPr>
    <w:rPr>
      <w:rFonts w:ascii="Arial" w:eastAsia="SimSun" w:hAnsi="Arial" w:cs="Times New Roman"/>
      <w:color w:val="auto"/>
      <w:sz w:val="20"/>
      <w:szCs w:val="24"/>
    </w:rPr>
  </w:style>
  <w:style w:type="paragraph" w:customStyle="1" w:styleId="NumberedList1">
    <w:name w:val="Numbered List 1"/>
    <w:basedOn w:val="Normal"/>
    <w:qFormat/>
    <w:rsid w:val="00C30AB3"/>
    <w:pPr>
      <w:numPr>
        <w:numId w:val="44"/>
      </w:numPr>
      <w:spacing w:before="180" w:after="60" w:line="280" w:lineRule="atLeast"/>
    </w:pPr>
    <w:rPr>
      <w:color w:val="auto"/>
    </w:rPr>
  </w:style>
  <w:style w:type="paragraph" w:customStyle="1" w:styleId="NumberedList2">
    <w:name w:val="Numbered List 2"/>
    <w:basedOn w:val="NumberedList1"/>
    <w:qFormat/>
    <w:rsid w:val="00C30AB3"/>
    <w:pPr>
      <w:numPr>
        <w:ilvl w:val="1"/>
      </w:numPr>
      <w:spacing w:before="120"/>
    </w:pPr>
  </w:style>
  <w:style w:type="paragraph" w:customStyle="1" w:styleId="NumberedList3">
    <w:name w:val="Numbered List 3"/>
    <w:basedOn w:val="NumberedList2"/>
    <w:qFormat/>
    <w:rsid w:val="00C30AB3"/>
    <w:pPr>
      <w:numPr>
        <w:ilvl w:val="2"/>
      </w:numPr>
      <w:ind w:left="851"/>
    </w:pPr>
  </w:style>
  <w:style w:type="numbering" w:customStyle="1" w:styleId="Numberedlist">
    <w:name w:val="Numbered list"/>
    <w:uiPriority w:val="99"/>
    <w:rsid w:val="00C30AB3"/>
    <w:pPr>
      <w:numPr>
        <w:numId w:val="4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5317C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frastructure.gov.au/territories-regions-cities/regional-australia/regional-and-community-programs/growing-regions-progra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nfrastructure.gov.au/department/media/publications/growing-regions-program-round-1-successful-projec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frastructure.gov.au/territories-regions-cities/regional-australia/regional-and-community-programs/growing-regions-progra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_Talking%20point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CEB4AFFB3A4E51AD442BCE33A5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61897-12B1-484B-A37F-62234D71493B}"/>
      </w:docPartPr>
      <w:docPartBody>
        <w:p w:rsidR="000644EC" w:rsidRDefault="000644EC">
          <w:pPr>
            <w:pStyle w:val="C8CEB4AFFB3A4E51AD442BCE33A5A121"/>
          </w:pPr>
          <w:r w:rsidRPr="00EC51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EC"/>
    <w:rsid w:val="000644EC"/>
    <w:rsid w:val="0039295D"/>
    <w:rsid w:val="00740E6F"/>
    <w:rsid w:val="007A0C48"/>
    <w:rsid w:val="00CD1125"/>
    <w:rsid w:val="00E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CEB4AFFB3A4E51AD442BCE33A5A121">
    <w:name w:val="C8CEB4AFFB3A4E51AD442BCE33A5A121"/>
  </w:style>
  <w:style w:type="paragraph" w:customStyle="1" w:styleId="0E372A1F985E46B3A4E1E277A6C39565">
    <w:name w:val="0E372A1F985E46B3A4E1E277A6C39565"/>
  </w:style>
  <w:style w:type="paragraph" w:customStyle="1" w:styleId="1EA175A3E6ED4385A0B1808B43C54202">
    <w:name w:val="1EA175A3E6ED4385A0B1808B43C54202"/>
    <w:rsid w:val="007A0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7A98FC-759A-470F-8FEF-7A5AB68B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DITRDCA_Talking points template.dotx</Template>
  <TotalTime>1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Growing Regions Program - Round 2</vt:lpstr>
    </vt:vector>
  </TitlesOfParts>
  <Company>Department of Infrastructure &amp; Regional Development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Growing Regions Program - Round 2</dc:title>
  <dc:subject/>
  <dc:creator>ROACH Zoe</dc:creator>
  <cp:keywords/>
  <dc:description/>
  <cp:lastModifiedBy>O'hare, Alana</cp:lastModifiedBy>
  <cp:revision>2</cp:revision>
  <cp:lastPrinted>2024-07-09T01:40:00Z</cp:lastPrinted>
  <dcterms:created xsi:type="dcterms:W3CDTF">2024-09-04T05:17:00Z</dcterms:created>
  <dcterms:modified xsi:type="dcterms:W3CDTF">2024-09-04T05:17:00Z</dcterms:modified>
</cp:coreProperties>
</file>