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6E4C1" w14:textId="77777777" w:rsidR="002341C0" w:rsidRDefault="002341C0" w:rsidP="002341C0">
      <w:pPr>
        <w:spacing w:before="0" w:after="1440"/>
      </w:pPr>
      <w:r>
        <w:rPr>
          <w:noProof/>
          <w:lang w:eastAsia="en-AU"/>
        </w:rPr>
        <w:drawing>
          <wp:anchor distT="0" distB="0" distL="114300" distR="114300" simplePos="0" relativeHeight="251658240" behindDoc="1" locked="1" layoutInCell="1" allowOverlap="1" wp14:anchorId="06133FEB" wp14:editId="2B87D26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1640" cy="1943640"/>
            <wp:effectExtent l="0" t="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640" cy="194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inline distT="0" distB="0" distL="0" distR="0" wp14:anchorId="14A0279E" wp14:editId="5F1C9C95">
            <wp:extent cx="3647611" cy="669240"/>
            <wp:effectExtent l="0" t="0" r="0" b="0"/>
            <wp:docPr id="5" name="Picture 5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611" cy="6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sz w:val="52"/>
          <w:szCs w:val="52"/>
        </w:rPr>
        <w:alias w:val="Title"/>
        <w:tag w:val=""/>
        <w:id w:val="975726233"/>
        <w:placeholder>
          <w:docPart w:val="C8CEB4AFFB3A4E51AD442BCE33A5A12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FD2B7EC" w14:textId="59878C6D" w:rsidR="00A370AD" w:rsidRPr="00117099" w:rsidRDefault="00664B73" w:rsidP="00FF1FEE">
          <w:pPr>
            <w:pStyle w:val="Title"/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>Growing Regions Program – Round 2</w:t>
          </w:r>
        </w:p>
      </w:sdtContent>
    </w:sdt>
    <w:p w14:paraId="67C07D14" w14:textId="77777777" w:rsidR="00664B73" w:rsidRPr="00997AFC" w:rsidRDefault="00664B73" w:rsidP="00664B73">
      <w:pPr>
        <w:rPr>
          <w:rFonts w:ascii="Calibri" w:hAnsi="Calibri"/>
          <w:b/>
          <w:bCs/>
          <w:sz w:val="28"/>
          <w:szCs w:val="28"/>
        </w:rPr>
      </w:pPr>
      <w:r w:rsidRPr="003928BA">
        <w:rPr>
          <w:rFonts w:ascii="Calibri" w:hAnsi="Calibri"/>
          <w:b/>
          <w:bCs/>
          <w:color w:val="081E3E" w:themeColor="text2"/>
          <w:sz w:val="28"/>
          <w:szCs w:val="28"/>
        </w:rPr>
        <w:t xml:space="preserve">Co-funding requirements </w:t>
      </w:r>
    </w:p>
    <w:p w14:paraId="5E8B5044" w14:textId="4774F4D2" w:rsidR="00664B73" w:rsidRDefault="00664B73" w:rsidP="00664B73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The Growing Regions Program requires project proponents to contribute toward the cost of their projects. However, we </w:t>
      </w:r>
      <w:r>
        <w:rPr>
          <w:rFonts w:ascii="Calibri" w:hAnsi="Calibri"/>
        </w:rPr>
        <w:t xml:space="preserve">recognise there are a number of </w:t>
      </w:r>
      <w:r w:rsidR="007B679E">
        <w:rPr>
          <w:rFonts w:ascii="Calibri" w:hAnsi="Calibri"/>
        </w:rPr>
        <w:t xml:space="preserve">project </w:t>
      </w:r>
      <w:r>
        <w:rPr>
          <w:rFonts w:ascii="Calibri" w:hAnsi="Calibri"/>
        </w:rPr>
        <w:t>circumstances where applicants may have limited access to contribute a minimum of 50 per cent co-funding towards their projects.  The program guidelines for Round 2 include</w:t>
      </w:r>
      <w:r w:rsidR="00CD17C9">
        <w:rPr>
          <w:rFonts w:ascii="Calibri" w:hAnsi="Calibri"/>
        </w:rPr>
        <w:t>s</w:t>
      </w:r>
      <w:r>
        <w:rPr>
          <w:rFonts w:ascii="Calibri" w:hAnsi="Calibri"/>
        </w:rPr>
        <w:t xml:space="preserve"> </w:t>
      </w:r>
      <w:r w:rsidR="007B679E">
        <w:rPr>
          <w:rFonts w:ascii="Calibri" w:hAnsi="Calibri"/>
        </w:rPr>
        <w:t xml:space="preserve">three </w:t>
      </w:r>
      <w:r>
        <w:rPr>
          <w:rFonts w:ascii="Calibri" w:hAnsi="Calibri"/>
        </w:rPr>
        <w:t xml:space="preserve">co-funding </w:t>
      </w:r>
      <w:r w:rsidR="007B679E">
        <w:rPr>
          <w:rFonts w:ascii="Calibri" w:hAnsi="Calibri"/>
        </w:rPr>
        <w:t xml:space="preserve">groups </w:t>
      </w:r>
      <w:r>
        <w:rPr>
          <w:rFonts w:ascii="Calibri" w:hAnsi="Calibri"/>
        </w:rPr>
        <w:t xml:space="preserve">to ensure eligible applicants delivering projects under these circumstances can access reduced co-funding requirements and deliver projects targeted towards the objectives and intended outcomes of each specific round.  </w:t>
      </w:r>
    </w:p>
    <w:p w14:paraId="241A9069" w14:textId="77777777" w:rsidR="00664B73" w:rsidRDefault="00664B73" w:rsidP="00664B73">
      <w:pPr>
        <w:rPr>
          <w:rFonts w:ascii="Calibri" w:hAnsi="Calibri"/>
          <w:b/>
          <w:sz w:val="28"/>
          <w:szCs w:val="28"/>
        </w:rPr>
      </w:pPr>
      <w:r w:rsidRPr="003928BA">
        <w:rPr>
          <w:rFonts w:ascii="Calibri" w:hAnsi="Calibri"/>
          <w:b/>
          <w:color w:val="081E3E" w:themeColor="text2"/>
          <w:sz w:val="28"/>
          <w:szCs w:val="28"/>
        </w:rPr>
        <w:t>Round 2 co-funding methodology</w:t>
      </w:r>
    </w:p>
    <w:p w14:paraId="2A22D474" w14:textId="1ACD563A" w:rsidR="00664B73" w:rsidRDefault="00664B73" w:rsidP="00664B73">
      <w:pPr>
        <w:rPr>
          <w:rFonts w:ascii="Calibri" w:hAnsi="Calibri"/>
        </w:rPr>
      </w:pPr>
      <w:r>
        <w:rPr>
          <w:rFonts w:ascii="Calibri" w:hAnsi="Calibri"/>
        </w:rPr>
        <w:t xml:space="preserve">The table below summarises the information provided in section 3 of the guidelines </w:t>
      </w:r>
      <w:r w:rsidR="007B679E">
        <w:rPr>
          <w:rFonts w:ascii="Calibri" w:hAnsi="Calibri"/>
        </w:rPr>
        <w:t xml:space="preserve">for the three co-funding groups for Round 2, </w:t>
      </w:r>
      <w:r>
        <w:rPr>
          <w:rFonts w:ascii="Calibri" w:hAnsi="Calibri"/>
        </w:rPr>
        <w:t>and outlines the methodology used to determine co-funding eligibility specific to the objectives and intended outcomes for Round 2:</w:t>
      </w:r>
    </w:p>
    <w:tbl>
      <w:tblPr>
        <w:tblStyle w:val="TableGrid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1843"/>
        <w:gridCol w:w="3402"/>
      </w:tblGrid>
      <w:tr w:rsidR="00664B73" w:rsidRPr="00664B73" w14:paraId="535D0FCF" w14:textId="77777777" w:rsidTr="005F6EF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1E3E" w:themeFill="text2"/>
            <w:vAlign w:val="center"/>
            <w:hideMark/>
          </w:tcPr>
          <w:p w14:paraId="2E423E60" w14:textId="77777777" w:rsidR="00664B73" w:rsidRPr="00664B73" w:rsidRDefault="00664B73" w:rsidP="005F6EF6">
            <w:pPr>
              <w:jc w:val="center"/>
              <w:rPr>
                <w:rFonts w:ascii="Aptos" w:hAnsi="Aptos"/>
                <w:b/>
                <w:color w:val="FFFFFF" w:themeColor="background1"/>
                <w:szCs w:val="24"/>
              </w:rPr>
            </w:pPr>
            <w:r w:rsidRPr="00664B73">
              <w:rPr>
                <w:rFonts w:ascii="Aptos" w:hAnsi="Aptos"/>
                <w:b/>
                <w:color w:val="FFFFFF" w:themeColor="background1"/>
              </w:rPr>
              <w:t>Co-funding group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1E3E" w:themeFill="text2"/>
            <w:vAlign w:val="center"/>
            <w:hideMark/>
          </w:tcPr>
          <w:p w14:paraId="3E5FBC45" w14:textId="77777777" w:rsidR="00664B73" w:rsidRPr="00664B73" w:rsidRDefault="00664B73" w:rsidP="005F6EF6">
            <w:pPr>
              <w:jc w:val="center"/>
              <w:rPr>
                <w:rFonts w:ascii="Aptos" w:eastAsiaTheme="minorHAnsi" w:hAnsi="Aptos"/>
                <w:b/>
                <w:color w:val="FFFFFF" w:themeColor="background1"/>
                <w:sz w:val="22"/>
                <w:szCs w:val="22"/>
              </w:rPr>
            </w:pPr>
            <w:r w:rsidRPr="00664B73">
              <w:rPr>
                <w:rFonts w:ascii="Aptos" w:hAnsi="Aptos"/>
                <w:b/>
                <w:color w:val="FFFFFF" w:themeColor="background1"/>
              </w:rPr>
              <w:t>Project circumstance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1E3E" w:themeFill="text2"/>
            <w:vAlign w:val="center"/>
            <w:hideMark/>
          </w:tcPr>
          <w:p w14:paraId="79C68345" w14:textId="546F9D61" w:rsidR="00664B73" w:rsidRPr="00664B73" w:rsidRDefault="00664B73" w:rsidP="005F6EF6">
            <w:pPr>
              <w:jc w:val="center"/>
              <w:rPr>
                <w:rFonts w:ascii="Aptos" w:hAnsi="Aptos"/>
                <w:b/>
                <w:color w:val="FFFFFF" w:themeColor="background1"/>
              </w:rPr>
            </w:pPr>
            <w:r w:rsidRPr="00664B73">
              <w:rPr>
                <w:rFonts w:ascii="Aptos" w:hAnsi="Aptos"/>
                <w:b/>
                <w:color w:val="FFFFFF" w:themeColor="background1"/>
              </w:rPr>
              <w:t xml:space="preserve">Total </w:t>
            </w:r>
            <w:r w:rsidR="00CD17C9">
              <w:rPr>
                <w:rFonts w:ascii="Aptos" w:hAnsi="Aptos"/>
                <w:b/>
                <w:color w:val="FFFFFF" w:themeColor="background1"/>
              </w:rPr>
              <w:t>Australian</w:t>
            </w:r>
            <w:r w:rsidRPr="00664B73">
              <w:rPr>
                <w:rFonts w:ascii="Aptos" w:hAnsi="Aptos"/>
                <w:b/>
                <w:color w:val="FFFFFF" w:themeColor="background1"/>
              </w:rPr>
              <w:t xml:space="preserve"> Government funding towards eligible project costs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1E3E" w:themeFill="text2"/>
          </w:tcPr>
          <w:p w14:paraId="4FA6F6F6" w14:textId="77777777" w:rsidR="00664B73" w:rsidRPr="00664B73" w:rsidRDefault="00664B73" w:rsidP="005F6EF6">
            <w:pPr>
              <w:jc w:val="center"/>
              <w:rPr>
                <w:rFonts w:ascii="Aptos" w:hAnsi="Aptos"/>
                <w:b/>
                <w:color w:val="FFFFFF" w:themeColor="background1"/>
              </w:rPr>
            </w:pPr>
            <w:r w:rsidRPr="00664B73">
              <w:rPr>
                <w:rFonts w:ascii="Aptos" w:hAnsi="Aptos"/>
                <w:b/>
                <w:color w:val="FFFFFF" w:themeColor="background1"/>
              </w:rPr>
              <w:t>Methodology used and evidence required to support the request for co-funding</w:t>
            </w:r>
          </w:p>
        </w:tc>
      </w:tr>
      <w:tr w:rsidR="00664B73" w:rsidRPr="00664B73" w14:paraId="13D81F74" w14:textId="77777777" w:rsidTr="005F6EF6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346D3D" w14:textId="77777777" w:rsidR="00664B73" w:rsidRPr="00664B73" w:rsidRDefault="00664B73" w:rsidP="005F6EF6">
            <w:pPr>
              <w:rPr>
                <w:rFonts w:ascii="Aptos" w:hAnsi="Aptos"/>
                <w:b/>
              </w:rPr>
            </w:pPr>
            <w:r w:rsidRPr="00664B73">
              <w:rPr>
                <w:rFonts w:ascii="Aptos" w:hAnsi="Aptos"/>
                <w:b/>
              </w:rPr>
              <w:t>Group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8C5C" w14:textId="09617DF5" w:rsidR="00664B73" w:rsidRPr="00664B73" w:rsidRDefault="00664B73" w:rsidP="005F6EF6">
            <w:pPr>
              <w:rPr>
                <w:rFonts w:ascii="Aptos" w:hAnsi="Aptos"/>
              </w:rPr>
            </w:pPr>
            <w:r w:rsidRPr="00664B73">
              <w:rPr>
                <w:rFonts w:ascii="Aptos" w:hAnsi="Aptos"/>
              </w:rPr>
              <w:t xml:space="preserve">Projects run by </w:t>
            </w:r>
            <w:r w:rsidRPr="00664B73">
              <w:rPr>
                <w:rFonts w:ascii="Aptos" w:hAnsi="Aptos"/>
                <w:b/>
              </w:rPr>
              <w:t>First</w:t>
            </w:r>
            <w:r w:rsidRPr="00664B73">
              <w:rPr>
                <w:rFonts w:ascii="Aptos" w:hAnsi="Aptos"/>
              </w:rPr>
              <w:t xml:space="preserve"> </w:t>
            </w:r>
            <w:r w:rsidRPr="00664B73">
              <w:rPr>
                <w:rFonts w:ascii="Aptos" w:hAnsi="Aptos"/>
                <w:b/>
              </w:rPr>
              <w:t>Nations Community Controlled Organisations</w:t>
            </w:r>
            <w:r w:rsidR="007B679E">
              <w:rPr>
                <w:rFonts w:ascii="Aptos" w:hAnsi="Aptos"/>
                <w:b/>
              </w:rPr>
              <w:t>.</w:t>
            </w:r>
          </w:p>
          <w:p w14:paraId="38C87F09" w14:textId="77777777" w:rsidR="00664B73" w:rsidRPr="00664B73" w:rsidRDefault="00664B73" w:rsidP="005F6EF6">
            <w:pPr>
              <w:rPr>
                <w:rFonts w:ascii="Aptos" w:hAnsi="Aptos"/>
                <w:i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BE5F65" w14:textId="77777777" w:rsidR="00664B73" w:rsidRPr="007B679E" w:rsidRDefault="00664B73" w:rsidP="005F6EF6">
            <w:pPr>
              <w:rPr>
                <w:rFonts w:ascii="Aptos" w:hAnsi="Aptos"/>
                <w:iCs/>
              </w:rPr>
            </w:pPr>
            <w:r w:rsidRPr="007B679E">
              <w:rPr>
                <w:rFonts w:ascii="Aptos" w:hAnsi="Aptos"/>
              </w:rPr>
              <w:t xml:space="preserve">Up to 90%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B1CE" w14:textId="7C29D2A7" w:rsidR="00664B73" w:rsidRPr="00664B73" w:rsidRDefault="00664B73" w:rsidP="005F6EF6">
            <w:pPr>
              <w:rPr>
                <w:rFonts w:ascii="Aptos" w:hAnsi="Aptos"/>
              </w:rPr>
            </w:pPr>
            <w:r w:rsidRPr="00664B73">
              <w:rPr>
                <w:rFonts w:ascii="Aptos" w:hAnsi="Aptos"/>
              </w:rPr>
              <w:t xml:space="preserve">Meet organisational definition </w:t>
            </w:r>
            <w:r w:rsidRPr="00664B73">
              <w:rPr>
                <w:rFonts w:ascii="Aptos" w:hAnsi="Aptos"/>
                <w:b/>
              </w:rPr>
              <w:t>as defined in glossary</w:t>
            </w:r>
            <w:r w:rsidRPr="00664B73">
              <w:rPr>
                <w:rFonts w:ascii="Aptos" w:hAnsi="Aptos"/>
              </w:rPr>
              <w:t xml:space="preserve"> within program guidelines</w:t>
            </w:r>
            <w:r w:rsidR="007B679E">
              <w:rPr>
                <w:rFonts w:ascii="Aptos" w:hAnsi="Aptos"/>
              </w:rPr>
              <w:t>.</w:t>
            </w:r>
          </w:p>
        </w:tc>
      </w:tr>
      <w:tr w:rsidR="00664B73" w:rsidRPr="00664B73" w14:paraId="534B5B46" w14:textId="77777777" w:rsidTr="005F6EF6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B6308" w14:textId="77777777" w:rsidR="00664B73" w:rsidRPr="00664B73" w:rsidRDefault="00664B73" w:rsidP="005F6EF6">
            <w:pPr>
              <w:rPr>
                <w:rFonts w:ascii="Aptos" w:hAnsi="Apto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0518" w14:textId="4339543D" w:rsidR="00664B73" w:rsidRPr="00664B73" w:rsidRDefault="00664B73" w:rsidP="005F6EF6">
            <w:pPr>
              <w:rPr>
                <w:rFonts w:ascii="Aptos" w:hAnsi="Aptos"/>
              </w:rPr>
            </w:pPr>
            <w:r w:rsidRPr="00664B73">
              <w:rPr>
                <w:rFonts w:ascii="Aptos" w:hAnsi="Aptos"/>
              </w:rPr>
              <w:t xml:space="preserve">Projects located in </w:t>
            </w:r>
            <w:r w:rsidRPr="00664B73">
              <w:rPr>
                <w:rFonts w:ascii="Aptos" w:hAnsi="Aptos"/>
                <w:b/>
              </w:rPr>
              <w:t>‘very remote’</w:t>
            </w:r>
            <w:r w:rsidRPr="00664B73">
              <w:rPr>
                <w:rFonts w:ascii="Aptos" w:hAnsi="Aptos"/>
              </w:rPr>
              <w:t xml:space="preserve"> locations per ABS Remoteness Structure</w:t>
            </w:r>
            <w:r w:rsidR="007B679E">
              <w:rPr>
                <w:rFonts w:ascii="Aptos" w:hAnsi="Aptos"/>
              </w:rPr>
              <w:t>.</w:t>
            </w:r>
          </w:p>
          <w:p w14:paraId="35F745BB" w14:textId="77777777" w:rsidR="00664B73" w:rsidRPr="00664B73" w:rsidRDefault="00664B73" w:rsidP="005F6EF6">
            <w:pPr>
              <w:rPr>
                <w:rFonts w:ascii="Aptos" w:hAnsi="Apto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AF2DE" w14:textId="77777777" w:rsidR="00664B73" w:rsidRPr="00664B73" w:rsidRDefault="00664B73" w:rsidP="005F6EF6">
            <w:pPr>
              <w:rPr>
                <w:rFonts w:ascii="Aptos" w:hAnsi="Apto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29FA" w14:textId="6B8348C7" w:rsidR="00664B73" w:rsidRPr="00664B73" w:rsidRDefault="00664B73" w:rsidP="005F6EF6">
            <w:pPr>
              <w:rPr>
                <w:rFonts w:ascii="Aptos" w:hAnsi="Aptos"/>
              </w:rPr>
            </w:pPr>
            <w:r w:rsidRPr="00664B73">
              <w:rPr>
                <w:rFonts w:ascii="Aptos" w:hAnsi="Aptos"/>
              </w:rPr>
              <w:t xml:space="preserve">Program </w:t>
            </w:r>
            <w:r w:rsidRPr="00664B73">
              <w:rPr>
                <w:rFonts w:ascii="Aptos" w:hAnsi="Aptos"/>
                <w:b/>
              </w:rPr>
              <w:t>mapping tool</w:t>
            </w:r>
            <w:r w:rsidRPr="00664B73">
              <w:rPr>
                <w:rFonts w:ascii="Aptos" w:hAnsi="Aptos"/>
              </w:rPr>
              <w:t xml:space="preserve"> identifies project address as ‘very remote’ per ABS 2016 Remoteness Structure, which identified </w:t>
            </w:r>
            <w:r w:rsidRPr="00664B73">
              <w:rPr>
                <w:rFonts w:ascii="Aptos" w:hAnsi="Aptos"/>
                <w:b/>
              </w:rPr>
              <w:t>72 LGAs</w:t>
            </w:r>
            <w:r w:rsidRPr="00664B73">
              <w:rPr>
                <w:rFonts w:ascii="Aptos" w:hAnsi="Aptos"/>
              </w:rPr>
              <w:t xml:space="preserve"> classified as ‘very remote’</w:t>
            </w:r>
            <w:r w:rsidR="007B679E">
              <w:rPr>
                <w:rFonts w:ascii="Aptos" w:hAnsi="Aptos"/>
              </w:rPr>
              <w:t>.</w:t>
            </w:r>
          </w:p>
        </w:tc>
      </w:tr>
      <w:tr w:rsidR="00664B73" w:rsidRPr="00664B73" w14:paraId="19A8A632" w14:textId="77777777" w:rsidTr="005F6EF6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F96539" w14:textId="77777777" w:rsidR="00664B73" w:rsidRPr="00664B73" w:rsidRDefault="00664B73" w:rsidP="005F6EF6">
            <w:pPr>
              <w:rPr>
                <w:rFonts w:ascii="Aptos" w:hAnsi="Aptos"/>
                <w:b/>
                <w:iCs/>
              </w:rPr>
            </w:pPr>
            <w:r w:rsidRPr="00664B73">
              <w:rPr>
                <w:rFonts w:ascii="Aptos" w:hAnsi="Aptos"/>
                <w:b/>
              </w:rPr>
              <w:t>Group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F88C" w14:textId="0BE3F4F7" w:rsidR="00664B73" w:rsidRPr="00664B73" w:rsidRDefault="00664B73" w:rsidP="005F6EF6">
            <w:pPr>
              <w:rPr>
                <w:rFonts w:ascii="Aptos" w:hAnsi="Aptos"/>
                <w:iCs/>
              </w:rPr>
            </w:pPr>
            <w:r w:rsidRPr="00664B73">
              <w:rPr>
                <w:rFonts w:ascii="Aptos" w:hAnsi="Aptos"/>
              </w:rPr>
              <w:t xml:space="preserve">Projects located in </w:t>
            </w:r>
            <w:r w:rsidRPr="00664B73">
              <w:rPr>
                <w:rFonts w:ascii="Aptos" w:hAnsi="Aptos"/>
                <w:b/>
              </w:rPr>
              <w:t>‘remote’</w:t>
            </w:r>
            <w:r w:rsidRPr="00664B73">
              <w:rPr>
                <w:rFonts w:ascii="Aptos" w:hAnsi="Aptos"/>
              </w:rPr>
              <w:t xml:space="preserve"> locations per the ABS Remoteness </w:t>
            </w:r>
            <w:r w:rsidRPr="007B679E">
              <w:rPr>
                <w:rFonts w:ascii="Aptos" w:hAnsi="Aptos"/>
              </w:rPr>
              <w:t>Structure</w:t>
            </w:r>
            <w:r w:rsidR="007B679E">
              <w:rPr>
                <w:rFonts w:ascii="Aptos" w:hAnsi="Aptos"/>
              </w:rPr>
              <w:t>.</w:t>
            </w:r>
            <w:r w:rsidRPr="00664B73">
              <w:rPr>
                <w:rFonts w:ascii="Aptos" w:hAnsi="Aptos"/>
              </w:rPr>
              <w:t xml:space="preserve"> </w:t>
            </w:r>
          </w:p>
          <w:p w14:paraId="44C7FF95" w14:textId="77777777" w:rsidR="00664B73" w:rsidRPr="00664B73" w:rsidRDefault="00664B73" w:rsidP="005F6EF6">
            <w:pPr>
              <w:rPr>
                <w:rFonts w:ascii="Aptos" w:hAnsi="Aptos"/>
                <w:i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A4C01C" w14:textId="77777777" w:rsidR="00664B73" w:rsidRPr="007B679E" w:rsidRDefault="00664B73" w:rsidP="005F6EF6">
            <w:pPr>
              <w:rPr>
                <w:rFonts w:ascii="Aptos" w:hAnsi="Aptos"/>
                <w:iCs/>
              </w:rPr>
            </w:pPr>
            <w:r w:rsidRPr="007B679E">
              <w:rPr>
                <w:rFonts w:ascii="Aptos" w:hAnsi="Aptos"/>
              </w:rPr>
              <w:t xml:space="preserve">Up to 70%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C8DE" w14:textId="268BDABA" w:rsidR="00664B73" w:rsidRPr="00664B73" w:rsidRDefault="00664B73" w:rsidP="005F6EF6">
            <w:pPr>
              <w:rPr>
                <w:rFonts w:ascii="Aptos" w:hAnsi="Aptos"/>
              </w:rPr>
            </w:pPr>
            <w:r w:rsidRPr="00664B73">
              <w:rPr>
                <w:rFonts w:ascii="Aptos" w:hAnsi="Aptos"/>
                <w:b/>
              </w:rPr>
              <w:t>Mapping tool</w:t>
            </w:r>
            <w:r w:rsidRPr="00664B73">
              <w:rPr>
                <w:rFonts w:ascii="Aptos" w:hAnsi="Aptos"/>
              </w:rPr>
              <w:t xml:space="preserve"> identifies project address as ‘remote’ per the ABS 2016 Remoteness Structure, which identified </w:t>
            </w:r>
            <w:r w:rsidRPr="00664B73">
              <w:rPr>
                <w:rFonts w:ascii="Aptos" w:hAnsi="Aptos"/>
                <w:b/>
              </w:rPr>
              <w:t>52 LGAs</w:t>
            </w:r>
            <w:r w:rsidRPr="00664B73">
              <w:rPr>
                <w:rFonts w:ascii="Aptos" w:hAnsi="Aptos"/>
              </w:rPr>
              <w:t xml:space="preserve"> classified as ‘remote’</w:t>
            </w:r>
            <w:r w:rsidR="007B679E">
              <w:rPr>
                <w:rFonts w:ascii="Aptos" w:hAnsi="Aptos"/>
              </w:rPr>
              <w:t>.</w:t>
            </w:r>
          </w:p>
        </w:tc>
      </w:tr>
      <w:tr w:rsidR="00664B73" w:rsidRPr="00664B73" w14:paraId="30248B5B" w14:textId="77777777" w:rsidTr="005F6EF6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92D2" w14:textId="77777777" w:rsidR="00664B73" w:rsidRPr="00664B73" w:rsidRDefault="00664B73" w:rsidP="005F6EF6">
            <w:pPr>
              <w:rPr>
                <w:rFonts w:ascii="Aptos" w:hAnsi="Apto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6724" w14:textId="5E52E2B7" w:rsidR="00664B73" w:rsidRPr="00664B73" w:rsidRDefault="00664B73" w:rsidP="005F6EF6">
            <w:pPr>
              <w:rPr>
                <w:rFonts w:ascii="Aptos" w:hAnsi="Aptos"/>
              </w:rPr>
            </w:pPr>
            <w:r w:rsidRPr="00664B73">
              <w:rPr>
                <w:rFonts w:ascii="Aptos" w:hAnsi="Aptos"/>
              </w:rPr>
              <w:t xml:space="preserve">Projects run by </w:t>
            </w:r>
            <w:r w:rsidRPr="00664B73">
              <w:rPr>
                <w:rFonts w:ascii="Aptos" w:hAnsi="Aptos"/>
                <w:b/>
              </w:rPr>
              <w:t>47 identified ‘low rate-based’ councils,</w:t>
            </w:r>
            <w:r w:rsidRPr="00664B73">
              <w:rPr>
                <w:rFonts w:ascii="Aptos" w:hAnsi="Aptos"/>
              </w:rPr>
              <w:t xml:space="preserve"> determined using the ratio of Financial </w:t>
            </w:r>
            <w:r w:rsidRPr="00664B73">
              <w:rPr>
                <w:rFonts w:ascii="Aptos" w:hAnsi="Aptos"/>
              </w:rPr>
              <w:lastRenderedPageBreak/>
              <w:t>Assistance Grant to Net Rate Income</w:t>
            </w:r>
            <w:r w:rsidR="007B679E">
              <w:rPr>
                <w:rFonts w:ascii="Aptos" w:hAnsi="Aptos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BCCD" w14:textId="77777777" w:rsidR="00664B73" w:rsidRPr="00664B73" w:rsidRDefault="00664B73" w:rsidP="005F6EF6">
            <w:pPr>
              <w:rPr>
                <w:rFonts w:ascii="Aptos" w:hAnsi="Apto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CD88" w14:textId="76766843" w:rsidR="00664B73" w:rsidRPr="00664B73" w:rsidRDefault="00664B73" w:rsidP="005F6EF6">
            <w:pPr>
              <w:rPr>
                <w:rFonts w:ascii="Aptos" w:hAnsi="Aptos"/>
              </w:rPr>
            </w:pPr>
            <w:r w:rsidRPr="00664B73">
              <w:rPr>
                <w:rFonts w:ascii="Aptos" w:hAnsi="Aptos"/>
                <w:b/>
              </w:rPr>
              <w:t>Council is one of 47 councils listed in Appendix E</w:t>
            </w:r>
            <w:r w:rsidR="00200D49">
              <w:rPr>
                <w:rFonts w:ascii="Aptos" w:hAnsi="Aptos"/>
                <w:b/>
              </w:rPr>
              <w:t xml:space="preserve"> </w:t>
            </w:r>
            <w:r w:rsidR="00200D49" w:rsidRPr="00200D49">
              <w:rPr>
                <w:rFonts w:ascii="Aptos" w:hAnsi="Aptos"/>
              </w:rPr>
              <w:t>of the guidelines</w:t>
            </w:r>
            <w:r w:rsidRPr="00664B73">
              <w:rPr>
                <w:rFonts w:ascii="Aptos" w:hAnsi="Aptos"/>
              </w:rPr>
              <w:t xml:space="preserve">. </w:t>
            </w:r>
          </w:p>
          <w:p w14:paraId="2EBA91B4" w14:textId="77777777" w:rsidR="00664B73" w:rsidRPr="00664B73" w:rsidRDefault="00664B73" w:rsidP="005F6EF6">
            <w:pPr>
              <w:rPr>
                <w:rFonts w:ascii="Aptos" w:hAnsi="Aptos"/>
              </w:rPr>
            </w:pPr>
            <w:r w:rsidRPr="00664B73">
              <w:rPr>
                <w:rFonts w:ascii="Aptos" w:hAnsi="Aptos"/>
              </w:rPr>
              <w:lastRenderedPageBreak/>
              <w:t xml:space="preserve">Low rate-based councils, determined using </w:t>
            </w:r>
            <w:r w:rsidRPr="00664B73">
              <w:rPr>
                <w:rFonts w:ascii="Aptos" w:hAnsi="Aptos"/>
                <w:b/>
              </w:rPr>
              <w:t>the ratio of Financial Assistance Grant to Net Rate Income</w:t>
            </w:r>
            <w:r w:rsidRPr="00664B73">
              <w:rPr>
                <w:rFonts w:ascii="Aptos" w:hAnsi="Aptos"/>
              </w:rPr>
              <w:t xml:space="preserve">. The </w:t>
            </w:r>
            <w:r w:rsidRPr="00664B73">
              <w:rPr>
                <w:rFonts w:ascii="Aptos" w:hAnsi="Aptos"/>
                <w:b/>
              </w:rPr>
              <w:t>higher the ratio the more reliant</w:t>
            </w:r>
            <w:r w:rsidRPr="00664B73">
              <w:rPr>
                <w:rFonts w:ascii="Aptos" w:hAnsi="Aptos"/>
              </w:rPr>
              <w:t xml:space="preserve"> a council is on a Financial Assistant Grant. </w:t>
            </w:r>
          </w:p>
          <w:p w14:paraId="7EB2E5BD" w14:textId="4772361A" w:rsidR="00664B73" w:rsidRPr="00664B73" w:rsidRDefault="00664B73" w:rsidP="005F6EF6">
            <w:pPr>
              <w:rPr>
                <w:rFonts w:ascii="Aptos" w:hAnsi="Aptos"/>
              </w:rPr>
            </w:pPr>
            <w:r w:rsidRPr="00664B73">
              <w:rPr>
                <w:rFonts w:ascii="Aptos" w:hAnsi="Aptos"/>
              </w:rPr>
              <w:t xml:space="preserve">The Financial Assistance Grant to Net Rate Income </w:t>
            </w:r>
            <w:r w:rsidRPr="00664B73">
              <w:rPr>
                <w:rFonts w:ascii="Aptos" w:hAnsi="Aptos"/>
                <w:b/>
              </w:rPr>
              <w:t xml:space="preserve">ratio used to identify eligible low rate-based councils (those </w:t>
            </w:r>
            <w:r w:rsidR="00BE6CB9">
              <w:rPr>
                <w:rFonts w:ascii="Aptos" w:hAnsi="Aptos"/>
                <w:b/>
              </w:rPr>
              <w:t>outside</w:t>
            </w:r>
            <w:bookmarkStart w:id="0" w:name="_GoBack"/>
            <w:bookmarkEnd w:id="0"/>
            <w:r w:rsidRPr="00664B73">
              <w:rPr>
                <w:rFonts w:ascii="Aptos" w:hAnsi="Aptos"/>
                <w:b/>
              </w:rPr>
              <w:t xml:space="preserve"> GCCSAs)</w:t>
            </w:r>
            <w:r w:rsidRPr="00664B73">
              <w:rPr>
                <w:rFonts w:ascii="Aptos" w:hAnsi="Aptos"/>
              </w:rPr>
              <w:t xml:space="preserve"> was the </w:t>
            </w:r>
            <w:r w:rsidRPr="00664B73">
              <w:rPr>
                <w:rFonts w:ascii="Aptos" w:hAnsi="Aptos"/>
                <w:b/>
              </w:rPr>
              <w:t xml:space="preserve">average ratio </w:t>
            </w:r>
            <w:r w:rsidRPr="00664B73">
              <w:rPr>
                <w:rFonts w:ascii="Aptos" w:hAnsi="Aptos"/>
              </w:rPr>
              <w:t xml:space="preserve">across remote and very remote LGAs </w:t>
            </w:r>
            <w:r w:rsidRPr="00664B73">
              <w:rPr>
                <w:rFonts w:ascii="Aptos" w:hAnsi="Aptos"/>
                <w:b/>
              </w:rPr>
              <w:t xml:space="preserve">of 75%. </w:t>
            </w:r>
            <w:r w:rsidRPr="00664B73">
              <w:rPr>
                <w:rFonts w:ascii="Aptos" w:hAnsi="Aptos"/>
              </w:rPr>
              <w:t>This threshold was then applied to each council eligible for the program which</w:t>
            </w:r>
            <w:r w:rsidRPr="00664B73">
              <w:rPr>
                <w:rFonts w:ascii="Aptos" w:hAnsi="Aptos"/>
                <w:b/>
              </w:rPr>
              <w:t xml:space="preserve"> </w:t>
            </w:r>
            <w:r w:rsidRPr="00664B73">
              <w:rPr>
                <w:rFonts w:ascii="Aptos" w:hAnsi="Aptos"/>
              </w:rPr>
              <w:t xml:space="preserve">identified </w:t>
            </w:r>
            <w:r w:rsidRPr="00664B73">
              <w:rPr>
                <w:rFonts w:ascii="Aptos" w:hAnsi="Aptos"/>
                <w:b/>
                <w:bCs/>
              </w:rPr>
              <w:t>47 additional councils</w:t>
            </w:r>
            <w:r w:rsidRPr="00664B73">
              <w:rPr>
                <w:rFonts w:ascii="Aptos" w:hAnsi="Aptos"/>
              </w:rPr>
              <w:t xml:space="preserve"> – 37 outer regional and 10 inner regional LGAs.</w:t>
            </w:r>
          </w:p>
        </w:tc>
      </w:tr>
      <w:tr w:rsidR="00664B73" w:rsidRPr="00664B73" w14:paraId="4BC94E9D" w14:textId="77777777" w:rsidTr="005F6EF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FA1A" w14:textId="77777777" w:rsidR="00664B73" w:rsidRPr="003928BA" w:rsidRDefault="00664B73" w:rsidP="005F6EF6">
            <w:pPr>
              <w:rPr>
                <w:rFonts w:ascii="Aptos" w:hAnsi="Aptos"/>
                <w:b/>
                <w:iCs/>
              </w:rPr>
            </w:pPr>
            <w:r w:rsidRPr="003928BA">
              <w:rPr>
                <w:rFonts w:ascii="Aptos" w:hAnsi="Aptos"/>
                <w:b/>
              </w:rPr>
              <w:lastRenderedPageBreak/>
              <w:t>Group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7B54" w14:textId="2CD07BD2" w:rsidR="00664B73" w:rsidRPr="00664B73" w:rsidRDefault="00664B73" w:rsidP="005F6EF6">
            <w:pPr>
              <w:rPr>
                <w:rFonts w:ascii="Aptos" w:hAnsi="Aptos"/>
                <w:iCs/>
              </w:rPr>
            </w:pPr>
            <w:r w:rsidRPr="00664B73">
              <w:rPr>
                <w:rFonts w:ascii="Aptos" w:hAnsi="Aptos"/>
              </w:rPr>
              <w:t>All remaining projects</w:t>
            </w:r>
            <w:r w:rsidR="007B679E">
              <w:rPr>
                <w:rFonts w:ascii="Aptos" w:hAnsi="Apto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3516" w14:textId="77777777" w:rsidR="00664B73" w:rsidRPr="00664B73" w:rsidRDefault="00664B73" w:rsidP="005F6EF6">
            <w:pPr>
              <w:rPr>
                <w:rFonts w:ascii="Aptos" w:hAnsi="Aptos"/>
                <w:iCs/>
              </w:rPr>
            </w:pPr>
            <w:r w:rsidRPr="00664B73">
              <w:rPr>
                <w:rFonts w:ascii="Aptos" w:hAnsi="Aptos"/>
              </w:rPr>
              <w:t>Up to 50 per cent of eligible project costs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239" w14:textId="552AEBFF" w:rsidR="00664B73" w:rsidRPr="00664B73" w:rsidRDefault="00664B73" w:rsidP="005F6EF6">
            <w:pPr>
              <w:rPr>
                <w:rFonts w:ascii="Aptos" w:hAnsi="Aptos"/>
              </w:rPr>
            </w:pPr>
            <w:r w:rsidRPr="00664B73">
              <w:rPr>
                <w:rFonts w:ascii="Aptos" w:hAnsi="Aptos"/>
              </w:rPr>
              <w:t xml:space="preserve">Application demonstrates </w:t>
            </w:r>
            <w:r w:rsidRPr="00664B73">
              <w:rPr>
                <w:rFonts w:ascii="Aptos" w:hAnsi="Aptos"/>
                <w:b/>
              </w:rPr>
              <w:t>eligibility for up to 50% Commonwealth co-funding</w:t>
            </w:r>
            <w:r w:rsidR="007B679E">
              <w:rPr>
                <w:rFonts w:ascii="Aptos" w:hAnsi="Aptos"/>
                <w:b/>
              </w:rPr>
              <w:t>.</w:t>
            </w:r>
          </w:p>
        </w:tc>
      </w:tr>
    </w:tbl>
    <w:p w14:paraId="6C324536" w14:textId="531EECEF" w:rsidR="00402C6C" w:rsidRDefault="00402C6C">
      <w:pPr>
        <w:rPr>
          <w:rFonts w:ascii="Aptos" w:hAnsi="Aptos"/>
        </w:rPr>
      </w:pPr>
    </w:p>
    <w:p w14:paraId="5BBD934F" w14:textId="64AF4669" w:rsidR="00EE539A" w:rsidRPr="00EE539A" w:rsidRDefault="00EE539A" w:rsidP="00402C6C">
      <w:pPr>
        <w:suppressAutoHyphens w:val="0"/>
        <w:rPr>
          <w:rFonts w:ascii="Calibri" w:hAnsi="Calibri" w:cs="Calibri"/>
          <w:sz w:val="28"/>
          <w:szCs w:val="28"/>
        </w:rPr>
      </w:pPr>
    </w:p>
    <w:sectPr w:rsidR="00EE539A" w:rsidRPr="00EE539A" w:rsidSect="00402C6C">
      <w:footerReference w:type="default" r:id="rId11"/>
      <w:headerReference w:type="first" r:id="rId12"/>
      <w:footerReference w:type="first" r:id="rId13"/>
      <w:pgSz w:w="11906" w:h="16838" w:code="9"/>
      <w:pgMar w:top="1021" w:right="1021" w:bottom="709" w:left="1021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7490E" w14:textId="77777777" w:rsidR="00E4173A" w:rsidRDefault="00E4173A" w:rsidP="008456D5">
      <w:pPr>
        <w:spacing w:before="0" w:after="0"/>
      </w:pPr>
      <w:r>
        <w:separator/>
      </w:r>
    </w:p>
  </w:endnote>
  <w:endnote w:type="continuationSeparator" w:id="0">
    <w:p w14:paraId="6FCE8381" w14:textId="77777777" w:rsidR="00E4173A" w:rsidRDefault="00E4173A" w:rsidP="008456D5">
      <w:pPr>
        <w:spacing w:before="0" w:after="0"/>
      </w:pPr>
      <w:r>
        <w:continuationSeparator/>
      </w:r>
    </w:p>
  </w:endnote>
  <w:endnote w:type="continuationNotice" w:id="1">
    <w:p w14:paraId="3EE37E60" w14:textId="77777777" w:rsidR="00E4173A" w:rsidRDefault="00E4173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01F42" w14:textId="0E82EECC" w:rsidR="00402C6C" w:rsidRDefault="00402C6C">
    <w:pPr>
      <w:pStyle w:val="Footer"/>
    </w:pPr>
    <w:r>
      <w:t xml:space="preserve">Growing Regions Program </w:t>
    </w:r>
    <w:r w:rsidR="00F57665">
      <w:t xml:space="preserve">- </w:t>
    </w:r>
    <w:r>
      <w:t>Round 2 co-funding methodology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94022" w14:textId="0FCB04F0" w:rsidR="00402C6C" w:rsidRDefault="00402C6C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7A89269A" wp14:editId="68D11B8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1495" cy="182880"/>
          <wp:effectExtent l="0" t="0" r="0" b="762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3B2DD" w14:textId="77777777" w:rsidR="00E4173A" w:rsidRPr="005912BE" w:rsidRDefault="00E4173A" w:rsidP="005912BE">
      <w:pPr>
        <w:spacing w:before="300"/>
        <w:rPr>
          <w:color w:val="008089" w:themeColor="accent2"/>
        </w:rPr>
      </w:pPr>
      <w:r w:rsidRPr="004B6858">
        <w:rPr>
          <w:color w:val="004044" w:themeColor="accent2" w:themeShade="80"/>
        </w:rPr>
        <w:t>----------</w:t>
      </w:r>
    </w:p>
  </w:footnote>
  <w:footnote w:type="continuationSeparator" w:id="0">
    <w:p w14:paraId="7C4ED9C0" w14:textId="77777777" w:rsidR="00E4173A" w:rsidRDefault="00E4173A" w:rsidP="008456D5">
      <w:pPr>
        <w:spacing w:before="0" w:after="0"/>
      </w:pPr>
      <w:r>
        <w:continuationSeparator/>
      </w:r>
    </w:p>
  </w:footnote>
  <w:footnote w:type="continuationNotice" w:id="1">
    <w:p w14:paraId="63E47285" w14:textId="77777777" w:rsidR="00E4173A" w:rsidRDefault="00E4173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4F92B" w14:textId="77777777" w:rsidR="00402C6C" w:rsidRDefault="00402C6C" w:rsidP="00402C6C">
    <w:pPr>
      <w:pStyle w:val="Header"/>
      <w:tabs>
        <w:tab w:val="left" w:pos="1708"/>
      </w:tabs>
      <w:jc w:val="lef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FAEA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AE653F7"/>
    <w:multiLevelType w:val="hybridMultilevel"/>
    <w:tmpl w:val="F0D0F4FC"/>
    <w:lvl w:ilvl="0" w:tplc="058AE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01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8B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22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62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A3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02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67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CD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D621AED"/>
    <w:multiLevelType w:val="multilevel"/>
    <w:tmpl w:val="C2EED61A"/>
    <w:numStyleLink w:val="NumberedHeadings"/>
  </w:abstractNum>
  <w:abstractNum w:abstractNumId="14" w15:restartNumberingAfterBreak="0">
    <w:nsid w:val="0F3342B3"/>
    <w:multiLevelType w:val="hybridMultilevel"/>
    <w:tmpl w:val="03C297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E170D"/>
    <w:multiLevelType w:val="hybridMultilevel"/>
    <w:tmpl w:val="277E9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F15F2"/>
    <w:multiLevelType w:val="hybridMultilevel"/>
    <w:tmpl w:val="3656057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1A09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C4ACB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E98D8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AB473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5D469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0F675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E2EDC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9D05E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19BD12E7"/>
    <w:multiLevelType w:val="multilevel"/>
    <w:tmpl w:val="BFB281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152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512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23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59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672" w:hanging="360"/>
      </w:pPr>
      <w:rPr>
        <w:rFonts w:ascii="Symbol" w:hAnsi="Symbol" w:hint="default"/>
      </w:rPr>
    </w:lvl>
  </w:abstractNum>
  <w:abstractNum w:abstractNumId="18" w15:restartNumberingAfterBreak="0">
    <w:nsid w:val="1DB85CFF"/>
    <w:multiLevelType w:val="hybridMultilevel"/>
    <w:tmpl w:val="F89406F4"/>
    <w:lvl w:ilvl="0" w:tplc="02CA5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8B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46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2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EE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CB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2B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6D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8F32C61"/>
    <w:multiLevelType w:val="hybridMultilevel"/>
    <w:tmpl w:val="A3FC7F8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EE50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7A65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C4ED0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046FB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AADC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0D68F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267F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A2608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2DBB276F"/>
    <w:multiLevelType w:val="hybridMultilevel"/>
    <w:tmpl w:val="906C2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AA51938"/>
    <w:multiLevelType w:val="multilevel"/>
    <w:tmpl w:val="298C34E4"/>
    <w:numStyleLink w:val="AppendixNumbers"/>
  </w:abstractNum>
  <w:abstractNum w:abstractNumId="23" w15:restartNumberingAfterBreak="0">
    <w:nsid w:val="3B666B02"/>
    <w:multiLevelType w:val="hybridMultilevel"/>
    <w:tmpl w:val="D9008B9E"/>
    <w:lvl w:ilvl="0" w:tplc="B1EC29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81A09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C4ACB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E98D8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AB473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5D469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0F675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E2EDC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9D05E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6" w15:restartNumberingAfterBreak="0">
    <w:nsid w:val="49367005"/>
    <w:multiLevelType w:val="hybridMultilevel"/>
    <w:tmpl w:val="847C185E"/>
    <w:lvl w:ilvl="0" w:tplc="3F6A1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20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8F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F4A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E1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25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6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E2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1AA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C131D97"/>
    <w:multiLevelType w:val="hybridMultilevel"/>
    <w:tmpl w:val="CAD013DE"/>
    <w:lvl w:ilvl="0" w:tplc="B0949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E7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02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8D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EA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E7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81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EF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6D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0B135E0"/>
    <w:multiLevelType w:val="hybridMultilevel"/>
    <w:tmpl w:val="245672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DF820FD"/>
    <w:multiLevelType w:val="hybridMultilevel"/>
    <w:tmpl w:val="56FC6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0487A"/>
    <w:multiLevelType w:val="hybridMultilevel"/>
    <w:tmpl w:val="24623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F3BD4"/>
    <w:multiLevelType w:val="multilevel"/>
    <w:tmpl w:val="50EA9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152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512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23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59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672" w:hanging="360"/>
      </w:pPr>
      <w:rPr>
        <w:rFonts w:ascii="Symbol" w:hAnsi="Symbol" w:hint="default"/>
      </w:rPr>
    </w:lvl>
  </w:abstractNum>
  <w:abstractNum w:abstractNumId="34" w15:restartNumberingAfterBreak="0">
    <w:nsid w:val="72E17B88"/>
    <w:multiLevelType w:val="hybridMultilevel"/>
    <w:tmpl w:val="B492D6CA"/>
    <w:lvl w:ilvl="0" w:tplc="C512B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C01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0B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49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25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A9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63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4E8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69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DFD256D"/>
    <w:multiLevelType w:val="hybridMultilevel"/>
    <w:tmpl w:val="03703D20"/>
    <w:lvl w:ilvl="0" w:tplc="55680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6D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87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8E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CE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65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9CE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21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63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3"/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0"/>
  </w:num>
  <w:num w:numId="26">
    <w:abstractNumId w:val="30"/>
  </w:num>
  <w:num w:numId="27">
    <w:abstractNumId w:val="30"/>
  </w:num>
  <w:num w:numId="28">
    <w:abstractNumId w:val="29"/>
  </w:num>
  <w:num w:numId="29">
    <w:abstractNumId w:val="27"/>
  </w:num>
  <w:num w:numId="30">
    <w:abstractNumId w:val="12"/>
  </w:num>
  <w:num w:numId="31">
    <w:abstractNumId w:val="35"/>
  </w:num>
  <w:num w:numId="32">
    <w:abstractNumId w:val="26"/>
  </w:num>
  <w:num w:numId="33">
    <w:abstractNumId w:val="18"/>
  </w:num>
  <w:num w:numId="34">
    <w:abstractNumId w:val="20"/>
  </w:num>
  <w:num w:numId="35">
    <w:abstractNumId w:val="31"/>
  </w:num>
  <w:num w:numId="36">
    <w:abstractNumId w:val="15"/>
  </w:num>
  <w:num w:numId="37">
    <w:abstractNumId w:val="23"/>
  </w:num>
  <w:num w:numId="38">
    <w:abstractNumId w:val="34"/>
  </w:num>
  <w:num w:numId="39">
    <w:abstractNumId w:val="19"/>
  </w:num>
  <w:num w:numId="40">
    <w:abstractNumId w:val="16"/>
  </w:num>
  <w:num w:numId="41">
    <w:abstractNumId w:val="14"/>
  </w:num>
  <w:num w:numId="42">
    <w:abstractNumId w:val="17"/>
  </w:num>
  <w:num w:numId="43">
    <w:abstractNumId w:val="32"/>
  </w:num>
  <w:num w:numId="44">
    <w:abstractNumId w:val="11"/>
  </w:num>
  <w:num w:numId="45">
    <w:abstractNumId w:val="17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AC"/>
    <w:rsid w:val="0001430B"/>
    <w:rsid w:val="00017870"/>
    <w:rsid w:val="000536ED"/>
    <w:rsid w:val="000719CB"/>
    <w:rsid w:val="000D7994"/>
    <w:rsid w:val="000E24BA"/>
    <w:rsid w:val="000E2CD1"/>
    <w:rsid w:val="000E5492"/>
    <w:rsid w:val="000E5674"/>
    <w:rsid w:val="00117099"/>
    <w:rsid w:val="001311D7"/>
    <w:rsid w:val="001349C6"/>
    <w:rsid w:val="00157C88"/>
    <w:rsid w:val="00190A16"/>
    <w:rsid w:val="0019326F"/>
    <w:rsid w:val="001D2788"/>
    <w:rsid w:val="00200D49"/>
    <w:rsid w:val="00207826"/>
    <w:rsid w:val="002254D5"/>
    <w:rsid w:val="0022611D"/>
    <w:rsid w:val="002309F3"/>
    <w:rsid w:val="002341C0"/>
    <w:rsid w:val="00243E11"/>
    <w:rsid w:val="0026422D"/>
    <w:rsid w:val="00273AD8"/>
    <w:rsid w:val="00284164"/>
    <w:rsid w:val="002847D2"/>
    <w:rsid w:val="002B3569"/>
    <w:rsid w:val="002B7197"/>
    <w:rsid w:val="002C4B4F"/>
    <w:rsid w:val="002C4BA2"/>
    <w:rsid w:val="002E1ADA"/>
    <w:rsid w:val="00321278"/>
    <w:rsid w:val="00323391"/>
    <w:rsid w:val="00330991"/>
    <w:rsid w:val="003720E9"/>
    <w:rsid w:val="0038528B"/>
    <w:rsid w:val="003928BA"/>
    <w:rsid w:val="003C625A"/>
    <w:rsid w:val="003F775D"/>
    <w:rsid w:val="00402C6C"/>
    <w:rsid w:val="00420F04"/>
    <w:rsid w:val="00450D0E"/>
    <w:rsid w:val="00452490"/>
    <w:rsid w:val="00477E77"/>
    <w:rsid w:val="004B6858"/>
    <w:rsid w:val="004F25C0"/>
    <w:rsid w:val="005330A8"/>
    <w:rsid w:val="005402B0"/>
    <w:rsid w:val="00541213"/>
    <w:rsid w:val="0054285B"/>
    <w:rsid w:val="00546218"/>
    <w:rsid w:val="00551CDB"/>
    <w:rsid w:val="00565016"/>
    <w:rsid w:val="0058286B"/>
    <w:rsid w:val="005866A1"/>
    <w:rsid w:val="005912BE"/>
    <w:rsid w:val="005B61B7"/>
    <w:rsid w:val="005D24FA"/>
    <w:rsid w:val="005F4AB0"/>
    <w:rsid w:val="005F794B"/>
    <w:rsid w:val="00642E30"/>
    <w:rsid w:val="00661249"/>
    <w:rsid w:val="00661690"/>
    <w:rsid w:val="00664B73"/>
    <w:rsid w:val="00685B6B"/>
    <w:rsid w:val="00686A7B"/>
    <w:rsid w:val="006A266A"/>
    <w:rsid w:val="006B098D"/>
    <w:rsid w:val="006B70E2"/>
    <w:rsid w:val="006E1ECA"/>
    <w:rsid w:val="006F5B34"/>
    <w:rsid w:val="00703F60"/>
    <w:rsid w:val="00711A39"/>
    <w:rsid w:val="00771DD2"/>
    <w:rsid w:val="007775B8"/>
    <w:rsid w:val="00781CDA"/>
    <w:rsid w:val="00786A0D"/>
    <w:rsid w:val="007954CB"/>
    <w:rsid w:val="007A05BE"/>
    <w:rsid w:val="007B574C"/>
    <w:rsid w:val="007B679E"/>
    <w:rsid w:val="007D0673"/>
    <w:rsid w:val="007D3DDB"/>
    <w:rsid w:val="007D7519"/>
    <w:rsid w:val="008067A1"/>
    <w:rsid w:val="00814653"/>
    <w:rsid w:val="008456D5"/>
    <w:rsid w:val="0084634B"/>
    <w:rsid w:val="00853E3F"/>
    <w:rsid w:val="008673B3"/>
    <w:rsid w:val="008972CC"/>
    <w:rsid w:val="008A1887"/>
    <w:rsid w:val="008B04DF"/>
    <w:rsid w:val="008B6A81"/>
    <w:rsid w:val="008D3E51"/>
    <w:rsid w:val="008E2A0D"/>
    <w:rsid w:val="009947C1"/>
    <w:rsid w:val="009B00F2"/>
    <w:rsid w:val="009C3241"/>
    <w:rsid w:val="00A070A2"/>
    <w:rsid w:val="00A15BC6"/>
    <w:rsid w:val="00A2292F"/>
    <w:rsid w:val="00A370AD"/>
    <w:rsid w:val="00A62339"/>
    <w:rsid w:val="00A7138F"/>
    <w:rsid w:val="00A81FA3"/>
    <w:rsid w:val="00A95970"/>
    <w:rsid w:val="00AB1DD7"/>
    <w:rsid w:val="00AD7703"/>
    <w:rsid w:val="00B01FE6"/>
    <w:rsid w:val="00B37168"/>
    <w:rsid w:val="00B42AC2"/>
    <w:rsid w:val="00B4641A"/>
    <w:rsid w:val="00B66180"/>
    <w:rsid w:val="00B846EC"/>
    <w:rsid w:val="00BB0E33"/>
    <w:rsid w:val="00BB3AAC"/>
    <w:rsid w:val="00BE3AD8"/>
    <w:rsid w:val="00BE6CB9"/>
    <w:rsid w:val="00C30AB3"/>
    <w:rsid w:val="00C35E6D"/>
    <w:rsid w:val="00C57A41"/>
    <w:rsid w:val="00C859DD"/>
    <w:rsid w:val="00CD17C9"/>
    <w:rsid w:val="00CD233E"/>
    <w:rsid w:val="00CF6CFD"/>
    <w:rsid w:val="00D02062"/>
    <w:rsid w:val="00D07FFA"/>
    <w:rsid w:val="00D166D6"/>
    <w:rsid w:val="00D2479E"/>
    <w:rsid w:val="00D26121"/>
    <w:rsid w:val="00D5655E"/>
    <w:rsid w:val="00D64CA3"/>
    <w:rsid w:val="00D85899"/>
    <w:rsid w:val="00D960B1"/>
    <w:rsid w:val="00DC3432"/>
    <w:rsid w:val="00DE4233"/>
    <w:rsid w:val="00DE4362"/>
    <w:rsid w:val="00DE4FE2"/>
    <w:rsid w:val="00E04908"/>
    <w:rsid w:val="00E4173A"/>
    <w:rsid w:val="00E41F41"/>
    <w:rsid w:val="00E50A74"/>
    <w:rsid w:val="00E86E4B"/>
    <w:rsid w:val="00EB1C3E"/>
    <w:rsid w:val="00EE355B"/>
    <w:rsid w:val="00EE539A"/>
    <w:rsid w:val="00F11869"/>
    <w:rsid w:val="00F1428D"/>
    <w:rsid w:val="00F300F3"/>
    <w:rsid w:val="00F51CB9"/>
    <w:rsid w:val="00F57665"/>
    <w:rsid w:val="00F64FAC"/>
    <w:rsid w:val="00F67CDB"/>
    <w:rsid w:val="00F85D97"/>
    <w:rsid w:val="00FB5D8D"/>
    <w:rsid w:val="00FC32B2"/>
    <w:rsid w:val="00FC34AF"/>
    <w:rsid w:val="00FE221B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EB395B0"/>
  <w15:chartTrackingRefBased/>
  <w15:docId w15:val="{A1A314BA-1185-473B-95FB-4FD60F3B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858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858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B6858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BE3AD8"/>
    <w:pPr>
      <w:numPr>
        <w:ilvl w:val="1"/>
      </w:numPr>
      <w:spacing w:before="240" w:after="160"/>
    </w:pPr>
    <w:rPr>
      <w:rFonts w:asciiTheme="majorHAnsi" w:eastAsiaTheme="minorEastAsia" w:hAnsiTheme="majorHAnsi"/>
      <w:color w:val="008089" w:themeColor="accent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BE3AD8"/>
    <w:rPr>
      <w:rFonts w:asciiTheme="majorHAnsi" w:eastAsiaTheme="minorEastAsia" w:hAnsiTheme="majorHAnsi"/>
      <w:color w:val="008089" w:themeColor="accent2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5F794B"/>
    <w:pPr>
      <w:spacing w:before="240" w:after="240"/>
    </w:pPr>
    <w:rPr>
      <w:color w:val="008089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4B6858"/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B6858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2309F3"/>
    <w:pPr>
      <w:numPr>
        <w:numId w:val="11"/>
      </w:numPr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642E30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642E30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642E30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26121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121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Box2Checklist">
    <w:name w:val="Box 2 Checklist"/>
    <w:basedOn w:val="Box2Text"/>
    <w:uiPriority w:val="26"/>
    <w:qFormat/>
    <w:rsid w:val="00642E30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642E30"/>
    <w:pPr>
      <w:numPr>
        <w:numId w:val="2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E22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64FA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unhideWhenUsed/>
    <w:qFormat/>
    <w:rsid w:val="00F64F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1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2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2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49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qFormat/>
    <w:rsid w:val="00711A39"/>
    <w:pPr>
      <w:suppressAutoHyphens w:val="0"/>
      <w:spacing w:before="40" w:line="280" w:lineRule="atLeast"/>
    </w:pPr>
    <w:rPr>
      <w:rFonts w:ascii="Arial" w:eastAsia="SimSun" w:hAnsi="Arial" w:cs="Times New Roman"/>
      <w:color w:val="auto"/>
      <w:sz w:val="20"/>
      <w:szCs w:val="24"/>
    </w:rPr>
  </w:style>
  <w:style w:type="paragraph" w:customStyle="1" w:styleId="NumberedList1">
    <w:name w:val="Numbered List 1"/>
    <w:basedOn w:val="Normal"/>
    <w:qFormat/>
    <w:rsid w:val="00C30AB3"/>
    <w:pPr>
      <w:numPr>
        <w:numId w:val="44"/>
      </w:numPr>
      <w:spacing w:before="180" w:after="60" w:line="280" w:lineRule="atLeast"/>
    </w:pPr>
    <w:rPr>
      <w:color w:val="auto"/>
    </w:rPr>
  </w:style>
  <w:style w:type="paragraph" w:customStyle="1" w:styleId="NumberedList2">
    <w:name w:val="Numbered List 2"/>
    <w:basedOn w:val="NumberedList1"/>
    <w:qFormat/>
    <w:rsid w:val="00C30AB3"/>
    <w:pPr>
      <w:numPr>
        <w:ilvl w:val="1"/>
      </w:numPr>
      <w:spacing w:before="120"/>
    </w:pPr>
  </w:style>
  <w:style w:type="paragraph" w:customStyle="1" w:styleId="NumberedList3">
    <w:name w:val="Numbered List 3"/>
    <w:basedOn w:val="NumberedList2"/>
    <w:qFormat/>
    <w:rsid w:val="00C30AB3"/>
    <w:pPr>
      <w:numPr>
        <w:ilvl w:val="2"/>
      </w:numPr>
      <w:ind w:left="851"/>
    </w:pPr>
  </w:style>
  <w:style w:type="numbering" w:customStyle="1" w:styleId="Numberedlist">
    <w:name w:val="Numbered list"/>
    <w:uiPriority w:val="99"/>
    <w:rsid w:val="00C30AB3"/>
    <w:pPr>
      <w:numPr>
        <w:numId w:val="44"/>
      </w:numPr>
    </w:pPr>
  </w:style>
  <w:style w:type="table" w:customStyle="1" w:styleId="TableGrid1">
    <w:name w:val="Table Grid1"/>
    <w:basedOn w:val="TableNormal"/>
    <w:uiPriority w:val="99"/>
    <w:rsid w:val="001311D7"/>
    <w:pPr>
      <w:spacing w:before="0" w:after="120" w:line="320" w:lineRule="atLeast"/>
    </w:pPr>
    <w:rPr>
      <w:rFonts w:ascii="Arial" w:eastAsia="Times New Roman" w:hAnsi="Arial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ITRDCA_Talking%20point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CEB4AFFB3A4E51AD442BCE33A5A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61897-12B1-484B-A37F-62234D71493B}"/>
      </w:docPartPr>
      <w:docPartBody>
        <w:p w:rsidR="000644EC" w:rsidRDefault="000644EC">
          <w:pPr>
            <w:pStyle w:val="C8CEB4AFFB3A4E51AD442BCE33A5A121"/>
          </w:pPr>
          <w:r w:rsidRPr="00EC51D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EC"/>
    <w:rsid w:val="000644EC"/>
    <w:rsid w:val="0039295D"/>
    <w:rsid w:val="00740E6F"/>
    <w:rsid w:val="007A0C48"/>
    <w:rsid w:val="00E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8CEB4AFFB3A4E51AD442BCE33A5A121">
    <w:name w:val="C8CEB4AFFB3A4E51AD442BCE33A5A121"/>
  </w:style>
  <w:style w:type="paragraph" w:customStyle="1" w:styleId="0E372A1F985E46B3A4E1E277A6C39565">
    <w:name w:val="0E372A1F985E46B3A4E1E277A6C39565"/>
  </w:style>
  <w:style w:type="paragraph" w:customStyle="1" w:styleId="1EA175A3E6ED4385A0B1808B43C54202">
    <w:name w:val="1EA175A3E6ED4385A0B1808B43C54202"/>
    <w:rsid w:val="007A0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00EAC5-D89E-4981-94B9-DABB3F46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DITRDCA_Talking points template.dotx</Template>
  <TotalTime>1</TotalTime>
  <Pages>2</Pages>
  <Words>395</Words>
  <Characters>2257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Growing Regions Program – Round 2</vt:lpstr>
    </vt:vector>
  </TitlesOfParts>
  <Company>Department of Infrastructure &amp; Regional Development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Growing Regions Program – Round 2</dc:title>
  <dc:subject/>
  <dc:creator>ROACH Zoe</dc:creator>
  <cp:keywords/>
  <dc:description/>
  <cp:lastModifiedBy>O'hare, Alana</cp:lastModifiedBy>
  <cp:revision>2</cp:revision>
  <cp:lastPrinted>2024-07-09T01:40:00Z</cp:lastPrinted>
  <dcterms:created xsi:type="dcterms:W3CDTF">2024-09-04T04:56:00Z</dcterms:created>
  <dcterms:modified xsi:type="dcterms:W3CDTF">2024-09-04T04:56:00Z</dcterms:modified>
</cp:coreProperties>
</file>