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1352" w:type="dxa"/>
        <w:tblInd w:w="-431" w:type="dxa"/>
        <w:tblLook w:val="04A0" w:firstRow="1" w:lastRow="0" w:firstColumn="1" w:lastColumn="0" w:noHBand="0" w:noVBand="1"/>
      </w:tblPr>
      <w:tblGrid>
        <w:gridCol w:w="897"/>
        <w:gridCol w:w="4774"/>
        <w:gridCol w:w="4961"/>
        <w:gridCol w:w="6345"/>
        <w:gridCol w:w="1751"/>
        <w:gridCol w:w="1123"/>
        <w:gridCol w:w="1501"/>
      </w:tblGrid>
      <w:tr w:rsidR="00202D83" w:rsidRPr="00946B65" w:rsidTr="00202D83">
        <w:tc>
          <w:tcPr>
            <w:tcW w:w="897" w:type="dxa"/>
            <w:shd w:val="clear" w:color="auto" w:fill="B4C6E7" w:themeFill="accent1" w:themeFillTint="66"/>
          </w:tcPr>
          <w:p w:rsidR="00C84AAA" w:rsidRPr="00946B65" w:rsidRDefault="00C84AAA" w:rsidP="001A24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Growing Regions Round</w:t>
            </w:r>
          </w:p>
        </w:tc>
        <w:tc>
          <w:tcPr>
            <w:tcW w:w="4774" w:type="dxa"/>
            <w:shd w:val="clear" w:color="auto" w:fill="B4C6E7" w:themeFill="accent1" w:themeFillTint="66"/>
          </w:tcPr>
          <w:p w:rsidR="00C84AAA" w:rsidRPr="00946B65" w:rsidRDefault="00C84AAA" w:rsidP="001A24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b/>
                <w:sz w:val="20"/>
                <w:szCs w:val="20"/>
              </w:rPr>
              <w:t>Applicant Organisation</w:t>
            </w:r>
          </w:p>
          <w:p w:rsidR="00C84AAA" w:rsidRPr="00946B65" w:rsidRDefault="00C84AAA" w:rsidP="001A24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B4C6E7" w:themeFill="accent1" w:themeFillTint="66"/>
          </w:tcPr>
          <w:p w:rsidR="00C84AAA" w:rsidRPr="00946B65" w:rsidRDefault="00C84AAA" w:rsidP="001A24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b/>
                <w:sz w:val="20"/>
                <w:szCs w:val="20"/>
              </w:rPr>
              <w:t>Project Title</w:t>
            </w:r>
          </w:p>
        </w:tc>
        <w:tc>
          <w:tcPr>
            <w:tcW w:w="6345" w:type="dxa"/>
            <w:shd w:val="clear" w:color="auto" w:fill="B4C6E7" w:themeFill="accent1" w:themeFillTint="66"/>
          </w:tcPr>
          <w:p w:rsidR="00C84AAA" w:rsidRPr="00946B65" w:rsidRDefault="00C84AAA" w:rsidP="001A24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b/>
                <w:sz w:val="20"/>
                <w:szCs w:val="20"/>
              </w:rPr>
              <w:t>Project Description</w:t>
            </w:r>
          </w:p>
        </w:tc>
        <w:tc>
          <w:tcPr>
            <w:tcW w:w="1751" w:type="dxa"/>
            <w:shd w:val="clear" w:color="auto" w:fill="B4C6E7" w:themeFill="accent1" w:themeFillTint="66"/>
          </w:tcPr>
          <w:p w:rsidR="00C84AAA" w:rsidRPr="00946B65" w:rsidRDefault="00C84AAA" w:rsidP="001A24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b/>
                <w:sz w:val="20"/>
                <w:szCs w:val="20"/>
              </w:rPr>
              <w:t>Project Location</w:t>
            </w:r>
          </w:p>
        </w:tc>
        <w:tc>
          <w:tcPr>
            <w:tcW w:w="1123" w:type="dxa"/>
            <w:shd w:val="clear" w:color="auto" w:fill="B4C6E7" w:themeFill="accent1" w:themeFillTint="66"/>
          </w:tcPr>
          <w:p w:rsidR="00C84AAA" w:rsidRPr="00946B65" w:rsidRDefault="00992C78" w:rsidP="001A24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Project </w:t>
            </w:r>
            <w:r w:rsidR="00C84AAA" w:rsidRPr="00946B65">
              <w:rPr>
                <w:rFonts w:asciiTheme="majorHAnsi" w:hAnsiTheme="majorHAnsi" w:cstheme="majorHAnsi"/>
                <w:b/>
                <w:sz w:val="20"/>
                <w:szCs w:val="20"/>
              </w:rPr>
              <w:t>State</w:t>
            </w:r>
          </w:p>
        </w:tc>
        <w:tc>
          <w:tcPr>
            <w:tcW w:w="1501" w:type="dxa"/>
            <w:shd w:val="clear" w:color="auto" w:fill="B4C6E7" w:themeFill="accent1" w:themeFillTint="66"/>
          </w:tcPr>
          <w:p w:rsidR="00C84AAA" w:rsidRPr="00946B65" w:rsidRDefault="00202D83" w:rsidP="001A24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Commonwealth Funding </w:t>
            </w:r>
            <w:r w:rsidR="00C84AAA" w:rsidRPr="00946B65">
              <w:rPr>
                <w:rFonts w:asciiTheme="majorHAnsi" w:hAnsiTheme="majorHAnsi" w:cstheme="majorHAnsi"/>
                <w:b/>
                <w:sz w:val="20"/>
                <w:szCs w:val="20"/>
              </w:rPr>
              <w:t>Approved</w:t>
            </w:r>
          </w:p>
        </w:tc>
      </w:tr>
      <w:tr w:rsidR="00202D83" w:rsidRPr="00946B65" w:rsidTr="00202D83">
        <w:tc>
          <w:tcPr>
            <w:tcW w:w="897" w:type="dxa"/>
          </w:tcPr>
          <w:p w:rsidR="00C84AAA" w:rsidRPr="00946B65" w:rsidRDefault="00202D83" w:rsidP="005C56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C84AAA" w:rsidRPr="00946B65" w:rsidRDefault="00C84AAA" w:rsidP="005C56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CLONCURRY SHIRE COUNCIL</w:t>
            </w:r>
          </w:p>
        </w:tc>
        <w:tc>
          <w:tcPr>
            <w:tcW w:w="4961" w:type="dxa"/>
            <w:vAlign w:val="center"/>
          </w:tcPr>
          <w:p w:rsidR="00C84AAA" w:rsidRPr="00946B65" w:rsidRDefault="00C84AAA" w:rsidP="005C56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Curry Kids Early Learning Centre Upgrade</w:t>
            </w:r>
          </w:p>
        </w:tc>
        <w:tc>
          <w:tcPr>
            <w:tcW w:w="6345" w:type="dxa"/>
          </w:tcPr>
          <w:p w:rsidR="00C84AAA" w:rsidRPr="00946B65" w:rsidRDefault="00C84AAA" w:rsidP="005C56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construct an early learning centre for over 100 children.</w:t>
            </w:r>
          </w:p>
        </w:tc>
        <w:tc>
          <w:tcPr>
            <w:tcW w:w="1751" w:type="dxa"/>
          </w:tcPr>
          <w:p w:rsidR="00C84AAA" w:rsidRPr="00946B65" w:rsidRDefault="00C84AAA" w:rsidP="005C56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Cloncurry</w:t>
            </w:r>
          </w:p>
          <w:p w:rsidR="00C84AAA" w:rsidRPr="00946B65" w:rsidRDefault="00C84AAA" w:rsidP="005C56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3" w:type="dxa"/>
          </w:tcPr>
          <w:p w:rsidR="00C84AAA" w:rsidRPr="00946B65" w:rsidRDefault="00C84AAA" w:rsidP="005C56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QLD</w:t>
            </w:r>
          </w:p>
          <w:p w:rsidR="00C84AAA" w:rsidRPr="00946B65" w:rsidRDefault="00C84AAA" w:rsidP="005C56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:rsidR="00C84AAA" w:rsidRPr="00946B65" w:rsidRDefault="00C84AAA" w:rsidP="00FF58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$4,123,537</w:t>
            </w:r>
          </w:p>
          <w:p w:rsidR="00C84AAA" w:rsidRPr="00946B65" w:rsidRDefault="00C84AAA" w:rsidP="005C56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SHIRE OF WYNDHAM EAST KIMBERLEY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Goonoonoorram Project [Kununurra Airport Runway Extension]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extend the Easy Kimberley Regional Airport runway to increase tourism and improve safety.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Kununurra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WA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bCs/>
                <w:sz w:val="20"/>
                <w:szCs w:val="20"/>
              </w:rPr>
              <w:t>$13,389,626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CASSOWARY COAST REGIONAL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Mission Beach Town Centre Revitalisation Project (Stage 2)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restore town centre facilities and services to support tourism and improve safety.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Mission Beach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QLD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$7,924,508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SWAN HILL RURAL CITY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Reinvigorating Our Riverfront - Creating Places for Everyone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transform areas along the riverfront into a contemporary community space.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Swan Hill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VIC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$5,076,157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MITCHELL SHIRE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Seymour Community Wellbeing Hub – Stage 1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include a library, learning facilities, educational, health and wellbeing spaces, outdoor events area and social enterprise cafe.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Seymour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VIC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bCs/>
                <w:sz w:val="20"/>
                <w:szCs w:val="20"/>
              </w:rPr>
              <w:t>$15,000,000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PARKES SHIRE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Boardwalks and Bird hides: Elevating Parkes Wetlands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construct bird-hides and boardwalks to support habitat creation and increase visitor numbers.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Parkes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NSW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$943,738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CAMPASPE SHIRE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Victoria Park Multipurpose Facility: meeting now &amp; future community needs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redevelop the Victoria Park complex into a new multi-purpose community and emergency relief centre.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Echuca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VIC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$11,356,067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UNITING CHURCH IN AUSTRALIA PROPERTY TRUST (Q.)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Multifunctional OSCH, education and community space for Mossman, Queensland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construct a multi-purpose, community accessible complex including an activity centre and mobility friendly church.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Mossman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QLD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$743,843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rPr>
          <w:trHeight w:val="606"/>
        </w:trPr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GREATER BENDIGO CITY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Heathcote Civic Precinct (Community Hub) incorporating Heathcote Library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include a library, technology access hub, flexible community spaces and a customer service centre.</w:t>
            </w:r>
          </w:p>
        </w:tc>
        <w:tc>
          <w:tcPr>
            <w:tcW w:w="175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Heathcote</w:t>
            </w:r>
          </w:p>
        </w:tc>
        <w:tc>
          <w:tcPr>
            <w:tcW w:w="1123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VIC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$2,031,610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YORKE PENINSULA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Edithburgh Jetty Diving Platform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install diving stairs and platforms to the jetty to improve access.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Edithburgh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SA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$551,747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WALHALLOW LOCAL ABORIGINAL LAND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Walhallow Community Infrastructure Project (WCIP)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upgrade community infrastructure to improve functionality and community cultural needs.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Caroona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NSW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$1,539,955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KANGAROO ISLAND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Penneshaw Foreshore Upgrade Project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upgrade public amenities to better service the growing needs of tourists and the local community.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Penneshaw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SA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bCs/>
                <w:sz w:val="20"/>
                <w:szCs w:val="20"/>
              </w:rPr>
              <w:t>$1,375,380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DISTRICT COUNCIL OF LOWER EYRE PENINSULA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Coffin Bay Foreshore Revitalisation Project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develop a town centre car park and bus park, an esplanade and walking trail.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Coffin Bay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SA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$1,272,091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LAUNCESTON CITY MISSION INC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Launceston Community Precinct: housing, health and community services hub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includes commercial, retail and shared spaces to deliver social services.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Launceston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TAS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$11,000,000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Bendigo Foodshare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Community Food hub for Central Victoria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construct a food warehouse to address demand for food relief.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 xml:space="preserve">Golden Square 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VIC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$665,636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Mansfield Shire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Lords Around the Ground Package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repair amenities damaged by rain and improve social interaction and community engagement.</w:t>
            </w:r>
          </w:p>
        </w:tc>
        <w:tc>
          <w:tcPr>
            <w:tcW w:w="175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Mansfield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3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VIC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$1,410,000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MAREEBA SHIRE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Mareeba - Lake and Parkland Upgrade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upgrade lake and parkland areas to improve accessibility and promote physical activity.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Mareeba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QLD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$849,197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MIDWEST COMMUNITY LIVING ASSOCIATION INC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Creation of an inclusive multipurpose Opportunity Hub in Geraldton.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improve existing structures to support independent living and training for people with disabilities.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Geraldton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WA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$836,829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GUNIDA GUNYAH ABORIGINAL CORPORATION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Community Cultural Hub Project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expand and upgrade an existing community facility for wider community benefit.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Gunnedah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NSW</w:t>
            </w: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$2,181,534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MOREE PLAINS SHIRE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Moree Artesian Aquatic Centre (MAAC) Redevelopment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construct a new pool, children’s play area, grandstand and clubhouse.</w:t>
            </w:r>
          </w:p>
        </w:tc>
        <w:tc>
          <w:tcPr>
            <w:tcW w:w="175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Moree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3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NSW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$9,641,761</w:t>
            </w:r>
          </w:p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BAW BAW SHIRE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Library &amp; Learning Centre: Baw Baw Culture &amp; Connection Precinct Stage 1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build a new library and learning centre precinct.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Warragul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$14,500,000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BAROSSA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Barossa Creative Industries Centre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repurpose the Barossa Regional Gallery to create space for local artists.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Tanunda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$6,961,000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BREWARRINA SHIRE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Brewarrina PCYC – Youth Hub and Indoor Sports Centre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construct a multi-sport indoor facility, gymnasium and amenities.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Brewarrina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$10,069,524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GLADSTONE REGIONAL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Agnes Water Skate Park Revitalisation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upgrade the Agnes Water Skate Park to provide community-focused infrastructure.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Agnes Water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$971,850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MULLUMBIMBY SUSTAINABILITY EDUCATION AND ENTERPRISE DEVELOPMENT INCORPORATED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Upgrade of Community Facilities at the Mullum SEED Eco Hub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construct a Men’s Shed, environmental centre, performance stage and commercial kitchen.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Mullumbimby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$618,869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Mackay Regional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Northern Beaches Community Hub Stage 1B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deliver a centralised multi-storey precinct including health and community services.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Rural View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$15,000,000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NARRABRI SHIRE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Narrabri Shire Tourism and Cultural Precinct – Stages 2 &amp; 3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 xml:space="preserve">The project will implement stages 2 and 3 of the Narrabri Shire Tourism and Cultural Precinct transforming Tibbereena St into an attractive destination for community members and tourists. 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Narrabri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$1,483,112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NOOSA SHIRE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Noosa Regional Trail Upgrade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improve and link three trails to encourage the region’s hikers and improve health, develop tourism and improve community wellbeing.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Kin Kin</w:t>
            </w: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br/>
              <w:t>Cooran</w:t>
            </w: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br/>
              <w:t>Lake Macdonald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$1,640,000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Northern Peninsula Area Regional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Northern Peninsula Area Airport Runway Upgrade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The project will upgrade the airport runway to ensure future operations and to deliver community-focused infrastructure for the benefit of locals and industry.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Bamaga</w:t>
            </w:r>
          </w:p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$13,495,190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CITY OF ALBANY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Albany Kinjarling Connect: Botanic Walkway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 xml:space="preserve">The project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will </w:t>
            </w: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construct a botanical walkway in the iconic Mounts precinct as part of a multi-stage trail network that extends from Albany’s city centre to the outer regions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Albany</w:t>
            </w:r>
          </w:p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$3,620,000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SHIRE OF BODDINGTON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Boddington Town Centre Revitalisation</w:t>
            </w:r>
          </w:p>
        </w:tc>
        <w:tc>
          <w:tcPr>
            <w:tcW w:w="6345" w:type="dxa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 xml:space="preserve">The project will revitalise the town centre to stimulate the economy and enhance the attractiveness of the town 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Boddington</w:t>
            </w:r>
          </w:p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$500,000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DUBBO REGIONAL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Wiradjuri Cultural Tourism Centre and Keeping Place</w:t>
            </w:r>
          </w:p>
        </w:tc>
        <w:tc>
          <w:tcPr>
            <w:tcW w:w="6345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The project will open the Wiradjuri Cultural Tourism Centre and Keeping Place and include art installations, storytelling rooms, retail space, and large outdoor area.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Dubbo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$7,190,505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ETHERIDGE SHIRE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Unearth Etheridge: Tourism Developments along the Savannah Way</w:t>
            </w:r>
          </w:p>
        </w:tc>
        <w:tc>
          <w:tcPr>
            <w:tcW w:w="6345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The project will include an extension to the Terrestrial Centre in Georgetown, a bird sanctuary viewing hub at Cumberland Dam, improved walkways and visitor signage at the Einasleigh People’s Museum at Copperfield Gorge, and the creation of ‘Our Elders Trail’ in Georgetown.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Georgetown</w:t>
            </w: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br/>
              <w:t>Einasleigh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$8,235,000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WAGGA WAGGA CITY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Lake Albert Water Sports and Event Precinct</w:t>
            </w:r>
          </w:p>
        </w:tc>
        <w:tc>
          <w:tcPr>
            <w:tcW w:w="6345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The project will develop the Lake Albert Water Sports and Event Precinct through the installation of pumps and pipes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, </w:t>
            </w: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remediation of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the</w:t>
            </w: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foreshore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and upgrade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 to</w:t>
            </w: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the existing Lake Albert weir and spillway system.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Lake Albert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$4,493,776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Benalla Rural City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Benalla Art Gallery Redevelopment - Stage 1</w:t>
            </w:r>
          </w:p>
        </w:tc>
        <w:tc>
          <w:tcPr>
            <w:tcW w:w="6345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The project will redevelop the Benalla Art Gallery with renewal of the gallery's climate control system, refurbishment of existing galleries, visitor amenities, cafe, and collections storage and management.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Benalla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$2,965,000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COWRA SHIRE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Cowra Aquatic Centre</w:t>
            </w:r>
          </w:p>
        </w:tc>
        <w:tc>
          <w:tcPr>
            <w:tcW w:w="6345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The project will rebuild the Cowra Aquatic Centre, replace ageing and damaged pool infrastructure and modernise the Centre.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Cowra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$4,890,218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THE LOXTON DISTRICT CHILDREN'S CENTRE INCORPORATED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Riverland Families Attraction Project</w:t>
            </w:r>
          </w:p>
        </w:tc>
        <w:tc>
          <w:tcPr>
            <w:tcW w:w="6345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The project will build a new childcare centre which will include private rooms for visiting specialists, outdoor areas for nature play, exercise and movement classes, and new footpath paving.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Loxton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$9,285,000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BERRI BARMERA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Nookamka Caring for Country:  Infrastructure /Cultural Conservation Project</w:t>
            </w:r>
          </w:p>
        </w:tc>
        <w:tc>
          <w:tcPr>
            <w:tcW w:w="6345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The project will repair and protect Lake Nookamka’s environment and campsites by constructing fences, trails and bridges. 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Barmera</w:t>
            </w:r>
          </w:p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$1,435,960</w:t>
            </w:r>
          </w:p>
        </w:tc>
      </w:tr>
      <w:tr w:rsidR="00202D83" w:rsidRPr="00946B65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COPPER COAST COUNCIL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Copper Coast Regional Aquatic Facility Project</w:t>
            </w:r>
          </w:p>
        </w:tc>
        <w:tc>
          <w:tcPr>
            <w:tcW w:w="6345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The project will reconstruct Wallaroo’s swimming area on the coast and include a new jetty, access equipment, shark barrier, shade and shelters, electrical works, pontoons, platforms and play elements. 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Wallaroo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$2,120,837</w:t>
            </w:r>
          </w:p>
        </w:tc>
      </w:tr>
      <w:tr w:rsidR="00202D83" w:rsidRPr="00EA6C0E" w:rsidTr="00202D83">
        <w:tc>
          <w:tcPr>
            <w:tcW w:w="897" w:type="dxa"/>
          </w:tcPr>
          <w:p w:rsidR="00202D83" w:rsidRDefault="00202D83" w:rsidP="00202D83">
            <w:r w:rsidRPr="005C0D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caps/>
                <w:sz w:val="20"/>
                <w:szCs w:val="20"/>
              </w:rPr>
              <w:t>NGAANYATJARRA HEALTH SERVICE (ABORIGINAL CORPORATION)</w:t>
            </w:r>
          </w:p>
        </w:tc>
        <w:tc>
          <w:tcPr>
            <w:tcW w:w="4961" w:type="dxa"/>
            <w:vAlign w:val="center"/>
          </w:tcPr>
          <w:p w:rsidR="00202D83" w:rsidRPr="00946B65" w:rsidRDefault="00202D83" w:rsidP="00202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6B65">
              <w:rPr>
                <w:rFonts w:asciiTheme="majorHAnsi" w:hAnsiTheme="majorHAnsi" w:cstheme="majorHAnsi"/>
                <w:sz w:val="20"/>
                <w:szCs w:val="20"/>
              </w:rPr>
              <w:t>Wanarn Community Farm</w:t>
            </w:r>
          </w:p>
        </w:tc>
        <w:tc>
          <w:tcPr>
            <w:tcW w:w="6345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The project will construct a community farm that will grow a range of fresh produce to support the community and provide a pathway for learning and growth for the local population.</w:t>
            </w:r>
          </w:p>
        </w:tc>
        <w:tc>
          <w:tcPr>
            <w:tcW w:w="175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Ngaanyatjarra Lands</w:t>
            </w:r>
          </w:p>
        </w:tc>
        <w:tc>
          <w:tcPr>
            <w:tcW w:w="1123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WA</w:t>
            </w:r>
          </w:p>
        </w:tc>
        <w:tc>
          <w:tcPr>
            <w:tcW w:w="1501" w:type="dxa"/>
            <w:vAlign w:val="center"/>
          </w:tcPr>
          <w:p w:rsidR="00202D83" w:rsidRPr="00946B65" w:rsidRDefault="00202D83" w:rsidP="00202D8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4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$5,201,078</w:t>
            </w:r>
          </w:p>
        </w:tc>
      </w:tr>
    </w:tbl>
    <w:p w:rsidR="00EC2D88" w:rsidRDefault="00EC2D88"/>
    <w:sectPr w:rsidR="00EC2D88" w:rsidSect="005C5673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73"/>
    <w:rsid w:val="000B7644"/>
    <w:rsid w:val="001309EC"/>
    <w:rsid w:val="001A2430"/>
    <w:rsid w:val="00202D83"/>
    <w:rsid w:val="00220DAE"/>
    <w:rsid w:val="00442272"/>
    <w:rsid w:val="00452A94"/>
    <w:rsid w:val="005309B9"/>
    <w:rsid w:val="005A542C"/>
    <w:rsid w:val="005C5673"/>
    <w:rsid w:val="005D7BE2"/>
    <w:rsid w:val="005F284E"/>
    <w:rsid w:val="00663784"/>
    <w:rsid w:val="0077069D"/>
    <w:rsid w:val="007A2220"/>
    <w:rsid w:val="007B45C6"/>
    <w:rsid w:val="008A0C75"/>
    <w:rsid w:val="00922E7E"/>
    <w:rsid w:val="00932E85"/>
    <w:rsid w:val="00946B65"/>
    <w:rsid w:val="0095240C"/>
    <w:rsid w:val="00992C78"/>
    <w:rsid w:val="009D0EEF"/>
    <w:rsid w:val="00BB212F"/>
    <w:rsid w:val="00BF1A0E"/>
    <w:rsid w:val="00BF3EB0"/>
    <w:rsid w:val="00C84AAA"/>
    <w:rsid w:val="00CE2EC2"/>
    <w:rsid w:val="00D9371E"/>
    <w:rsid w:val="00E133FB"/>
    <w:rsid w:val="00EA6C0E"/>
    <w:rsid w:val="00EC2D88"/>
    <w:rsid w:val="00F11A88"/>
    <w:rsid w:val="00F46278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3E944"/>
  <w15:chartTrackingRefBased/>
  <w15:docId w15:val="{C88E7CE3-7F9B-4861-AD06-EFE27DA2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O'hare, Alana</dc:creator>
  <cp:keywords/>
  <dc:description/>
  <cp:lastModifiedBy>MARRIAGE Bernadette</cp:lastModifiedBy>
  <cp:revision>2</cp:revision>
  <dcterms:created xsi:type="dcterms:W3CDTF">2024-05-15T11:23:00Z</dcterms:created>
  <dcterms:modified xsi:type="dcterms:W3CDTF">2024-05-15T11:23:00Z</dcterms:modified>
</cp:coreProperties>
</file>