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685CD" w14:textId="77777777" w:rsidR="002341C0" w:rsidRDefault="002341C0" w:rsidP="002341C0">
      <w:pPr>
        <w:spacing w:before="0" w:after="1440"/>
      </w:pPr>
      <w:r>
        <w:rPr>
          <w:noProof/>
          <w:lang w:eastAsia="en-AU"/>
        </w:rPr>
        <w:drawing>
          <wp:anchor distT="0" distB="0" distL="114300" distR="114300" simplePos="0" relativeHeight="251658240" behindDoc="1" locked="1" layoutInCell="1" allowOverlap="1" wp14:anchorId="1DAE0A4E" wp14:editId="38CE2429">
            <wp:simplePos x="0" y="0"/>
            <wp:positionH relativeFrom="page">
              <wp:align>right</wp:align>
            </wp:positionH>
            <wp:positionV relativeFrom="page">
              <wp:align>top</wp:align>
            </wp:positionV>
            <wp:extent cx="10691640" cy="194364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74DF9DB" wp14:editId="657732E7">
            <wp:extent cx="3647611"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sdt>
      <w:sdtPr>
        <w:rPr>
          <w:sz w:val="52"/>
          <w:szCs w:val="52"/>
        </w:rPr>
        <w:alias w:val="Title"/>
        <w:tag w:val=""/>
        <w:id w:val="975726233"/>
        <w:placeholder>
          <w:docPart w:val="C8CEB4AFFB3A4E51AD442BCE33A5A121"/>
        </w:placeholder>
        <w:dataBinding w:prefixMappings="xmlns:ns0='http://purl.org/dc/elements/1.1/' xmlns:ns1='http://schemas.openxmlformats.org/package/2006/metadata/core-properties' " w:xpath="/ns1:coreProperties[1]/ns0:title[1]" w:storeItemID="{6C3C8BC8-F283-45AE-878A-BAB7291924A1}"/>
        <w:text/>
      </w:sdtPr>
      <w:sdtEndPr/>
      <w:sdtContent>
        <w:p w14:paraId="24E7CB69" w14:textId="5E9D3943" w:rsidR="00A370AD" w:rsidRPr="00117099" w:rsidRDefault="00F64FAC" w:rsidP="00BE3AD8">
          <w:pPr>
            <w:pStyle w:val="Title"/>
            <w:rPr>
              <w:sz w:val="52"/>
              <w:szCs w:val="52"/>
            </w:rPr>
          </w:pPr>
          <w:r w:rsidRPr="00117099">
            <w:rPr>
              <w:sz w:val="52"/>
              <w:szCs w:val="52"/>
            </w:rPr>
            <w:t>F</w:t>
          </w:r>
          <w:r w:rsidR="00A11DB3">
            <w:rPr>
              <w:sz w:val="52"/>
              <w:szCs w:val="52"/>
            </w:rPr>
            <w:t>requently Asked Questions</w:t>
          </w:r>
          <w:r w:rsidRPr="00117099">
            <w:rPr>
              <w:sz w:val="52"/>
              <w:szCs w:val="52"/>
            </w:rPr>
            <w:t xml:space="preserve"> – Growing Regions Program</w:t>
          </w:r>
          <w:r w:rsidR="006B47EB">
            <w:rPr>
              <w:sz w:val="52"/>
              <w:szCs w:val="52"/>
            </w:rPr>
            <w:t xml:space="preserve"> – Expressions of Interest</w:t>
          </w:r>
        </w:p>
      </w:sdtContent>
    </w:sdt>
    <w:p w14:paraId="3746A637" w14:textId="77777777" w:rsidR="00EE5C5A" w:rsidRPr="008E1E9C" w:rsidRDefault="00EE5C5A" w:rsidP="00EE5C5A">
      <w:pPr>
        <w:pStyle w:val="NormalWeb"/>
        <w:spacing w:before="0" w:beforeAutospacing="0" w:after="0" w:afterAutospacing="0"/>
        <w:rPr>
          <w:rFonts w:ascii="Segoe UI" w:hAnsi="Segoe UI" w:cs="Segoe UI"/>
          <w:b/>
          <w:sz w:val="21"/>
          <w:szCs w:val="21"/>
        </w:rPr>
      </w:pPr>
      <w:r w:rsidRPr="008E1E9C">
        <w:rPr>
          <w:rFonts w:ascii="Segoe UI" w:hAnsi="Segoe UI" w:cs="Segoe UI"/>
          <w:b/>
          <w:sz w:val="21"/>
          <w:szCs w:val="21"/>
        </w:rPr>
        <w:t>Can applicants submit multiple EOI's for different projects? Will this impact each other or will they be assessed individually? Could an applicant potentially be awarded multiple grants?</w:t>
      </w:r>
    </w:p>
    <w:p w14:paraId="2C634CA5" w14:textId="325D6864" w:rsidR="00EE5C5A" w:rsidRPr="008E1E9C" w:rsidRDefault="00EE5C5A" w:rsidP="00501F0B">
      <w:pPr>
        <w:pStyle w:val="NormalWeb"/>
        <w:spacing w:before="0" w:beforeAutospacing="0" w:after="0" w:afterAutospacing="0"/>
        <w:rPr>
          <w:rFonts w:ascii="Segoe UI" w:hAnsi="Segoe UI" w:cs="Segoe UI"/>
          <w:sz w:val="21"/>
          <w:szCs w:val="21"/>
        </w:rPr>
      </w:pPr>
      <w:r w:rsidRPr="008E1E9C">
        <w:rPr>
          <w:rFonts w:ascii="Segoe UI" w:hAnsi="Segoe UI" w:cs="Segoe UI"/>
          <w:sz w:val="21"/>
          <w:szCs w:val="21"/>
        </w:rPr>
        <w:t>Yes, applicants can submit multiple EOI applications for different projects. Each EOI application would be assessed as a separate application. Potentially, the same applicant could receive more than one grant if their multiple applications were invited to submit full applications and were successful. </w:t>
      </w:r>
    </w:p>
    <w:p w14:paraId="45CB218D" w14:textId="77777777" w:rsidR="00EE5C5A" w:rsidRPr="00501F0B" w:rsidRDefault="00EE5C5A" w:rsidP="00501F0B">
      <w:pPr>
        <w:pStyle w:val="NormalWeb"/>
        <w:spacing w:before="0" w:beforeAutospacing="0" w:after="0" w:afterAutospacing="0"/>
        <w:rPr>
          <w:rFonts w:ascii="Segoe UI" w:hAnsi="Segoe UI" w:cs="Segoe UI"/>
          <w:sz w:val="21"/>
          <w:szCs w:val="21"/>
        </w:rPr>
      </w:pPr>
    </w:p>
    <w:p w14:paraId="7123D560" w14:textId="3BA8622D" w:rsidR="00A11DB3" w:rsidRPr="008E1E9C" w:rsidRDefault="00A11DB3" w:rsidP="00626B0A">
      <w:pPr>
        <w:spacing w:before="0" w:after="0"/>
        <w:rPr>
          <w:rFonts w:ascii="Segoe UI" w:eastAsia="Times New Roman" w:hAnsi="Segoe UI" w:cs="Segoe UI"/>
          <w:b/>
          <w:color w:val="auto"/>
          <w:sz w:val="21"/>
          <w:szCs w:val="21"/>
          <w:lang w:eastAsia="en-AU"/>
        </w:rPr>
      </w:pPr>
      <w:r w:rsidRPr="008E1E9C">
        <w:rPr>
          <w:rFonts w:ascii="Segoe UI" w:eastAsia="Times New Roman" w:hAnsi="Segoe UI" w:cs="Segoe UI"/>
          <w:b/>
          <w:color w:val="auto"/>
          <w:sz w:val="21"/>
          <w:szCs w:val="21"/>
          <w:lang w:eastAsia="en-AU"/>
        </w:rPr>
        <w:t>Do the co-funding partners have to be not-for-profit organisations or can they be a normal incorporated company?</w:t>
      </w:r>
    </w:p>
    <w:p w14:paraId="1CC822D8" w14:textId="30EF9ADD" w:rsidR="00A11DB3" w:rsidRPr="00501F0B" w:rsidRDefault="00A11DB3" w:rsidP="00501F0B">
      <w:pPr>
        <w:pStyle w:val="NormalWeb"/>
        <w:spacing w:before="0" w:beforeAutospacing="0" w:after="0" w:afterAutospacing="0"/>
        <w:rPr>
          <w:rFonts w:ascii="Segoe UI" w:hAnsi="Segoe UI" w:cs="Segoe UI"/>
          <w:sz w:val="21"/>
          <w:szCs w:val="21"/>
        </w:rPr>
      </w:pPr>
      <w:bookmarkStart w:id="0" w:name="_Hlk140575779"/>
      <w:r w:rsidRPr="00501F0B">
        <w:rPr>
          <w:rFonts w:ascii="Segoe UI" w:hAnsi="Segoe UI" w:cs="Segoe UI"/>
          <w:sz w:val="21"/>
          <w:szCs w:val="21"/>
        </w:rPr>
        <w:t>Co-funding partners can come from any source including, but not limited to</w:t>
      </w:r>
      <w:r w:rsidR="00BF11FC">
        <w:rPr>
          <w:rFonts w:ascii="Segoe UI" w:hAnsi="Segoe UI" w:cs="Segoe UI"/>
          <w:sz w:val="21"/>
          <w:szCs w:val="21"/>
        </w:rPr>
        <w:t>:</w:t>
      </w:r>
      <w:r w:rsidRPr="00501F0B">
        <w:rPr>
          <w:rFonts w:ascii="Segoe UI" w:hAnsi="Segoe UI" w:cs="Segoe UI"/>
          <w:sz w:val="21"/>
          <w:szCs w:val="21"/>
        </w:rPr>
        <w:t xml:space="preserve"> private sector, philanthropy, state, territory and local government grants.</w:t>
      </w:r>
      <w:r w:rsidR="00626B0A" w:rsidRPr="00501F0B">
        <w:rPr>
          <w:rFonts w:ascii="Segoe UI" w:hAnsi="Segoe UI" w:cs="Segoe UI"/>
          <w:sz w:val="21"/>
          <w:szCs w:val="21"/>
        </w:rPr>
        <w:t xml:space="preserve"> </w:t>
      </w:r>
      <w:r w:rsidRPr="00501F0B">
        <w:rPr>
          <w:rFonts w:ascii="Segoe UI" w:hAnsi="Segoe UI" w:cs="Segoe UI"/>
          <w:sz w:val="21"/>
          <w:szCs w:val="21"/>
        </w:rPr>
        <w:t>However funding from other Commonwealth grants cannot be used to fund the balance of project expenditure not covered by a grant under the Growing Regions Program</w:t>
      </w:r>
      <w:bookmarkEnd w:id="0"/>
      <w:r w:rsidRPr="00501F0B">
        <w:rPr>
          <w:rFonts w:ascii="Segoe UI" w:hAnsi="Segoe UI" w:cs="Segoe UI"/>
          <w:sz w:val="21"/>
          <w:szCs w:val="21"/>
        </w:rPr>
        <w:t xml:space="preserve">. </w:t>
      </w:r>
    </w:p>
    <w:p w14:paraId="030747C6" w14:textId="49592BE7" w:rsidR="00372B8C" w:rsidRPr="00501F0B" w:rsidRDefault="00372B8C" w:rsidP="00501F0B">
      <w:pPr>
        <w:pStyle w:val="NormalWeb"/>
        <w:spacing w:before="0" w:beforeAutospacing="0" w:after="0" w:afterAutospacing="0"/>
        <w:rPr>
          <w:rFonts w:ascii="Segoe UI" w:hAnsi="Segoe UI" w:cs="Segoe UI"/>
          <w:sz w:val="21"/>
          <w:szCs w:val="21"/>
        </w:rPr>
      </w:pPr>
    </w:p>
    <w:p w14:paraId="4085F5C6" w14:textId="4CE33FF6" w:rsidR="00372B8C" w:rsidRPr="008E1E9C" w:rsidRDefault="00372B8C" w:rsidP="00372B8C">
      <w:pPr>
        <w:pStyle w:val="NormalWeb"/>
        <w:spacing w:before="0" w:beforeAutospacing="0" w:after="0" w:afterAutospacing="0"/>
        <w:rPr>
          <w:rFonts w:ascii="Segoe UI" w:hAnsi="Segoe UI" w:cs="Segoe UI"/>
          <w:b/>
          <w:sz w:val="21"/>
          <w:szCs w:val="21"/>
        </w:rPr>
      </w:pPr>
      <w:r w:rsidRPr="008E1E9C">
        <w:rPr>
          <w:rFonts w:ascii="Segoe UI" w:hAnsi="Segoe UI" w:cs="Segoe UI"/>
          <w:b/>
          <w:sz w:val="21"/>
          <w:szCs w:val="21"/>
        </w:rPr>
        <w:t xml:space="preserve">Can </w:t>
      </w:r>
      <w:r w:rsidR="004E557D">
        <w:rPr>
          <w:rFonts w:ascii="Segoe UI" w:hAnsi="Segoe UI" w:cs="Segoe UI"/>
          <w:b/>
          <w:sz w:val="21"/>
          <w:szCs w:val="21"/>
        </w:rPr>
        <w:t>eligible entities</w:t>
      </w:r>
      <w:r w:rsidRPr="008E1E9C">
        <w:rPr>
          <w:rFonts w:ascii="Segoe UI" w:hAnsi="Segoe UI" w:cs="Segoe UI"/>
          <w:b/>
          <w:sz w:val="21"/>
          <w:szCs w:val="21"/>
        </w:rPr>
        <w:t xml:space="preserve"> partner with private entities</w:t>
      </w:r>
      <w:r w:rsidR="004E557D">
        <w:rPr>
          <w:rFonts w:ascii="Segoe UI" w:hAnsi="Segoe UI" w:cs="Segoe UI"/>
          <w:b/>
          <w:sz w:val="21"/>
          <w:szCs w:val="21"/>
        </w:rPr>
        <w:t xml:space="preserve"> </w:t>
      </w:r>
      <w:r w:rsidRPr="008E1E9C">
        <w:rPr>
          <w:rFonts w:ascii="Segoe UI" w:hAnsi="Segoe UI" w:cs="Segoe UI"/>
          <w:b/>
          <w:sz w:val="21"/>
          <w:szCs w:val="21"/>
        </w:rPr>
        <w:t>or commercial operator</w:t>
      </w:r>
      <w:r w:rsidR="00E151A7">
        <w:rPr>
          <w:rFonts w:ascii="Segoe UI" w:hAnsi="Segoe UI" w:cs="Segoe UI"/>
          <w:b/>
          <w:sz w:val="21"/>
          <w:szCs w:val="21"/>
        </w:rPr>
        <w:t>s</w:t>
      </w:r>
      <w:r w:rsidRPr="008E1E9C">
        <w:rPr>
          <w:rFonts w:ascii="Segoe UI" w:hAnsi="Segoe UI" w:cs="Segoe UI"/>
          <w:b/>
          <w:sz w:val="21"/>
          <w:szCs w:val="21"/>
        </w:rPr>
        <w:t xml:space="preserve"> for co-funding? </w:t>
      </w:r>
    </w:p>
    <w:p w14:paraId="6E327EAD" w14:textId="74ED9B6F" w:rsidR="00372B8C" w:rsidRPr="00501F0B" w:rsidRDefault="00372B8C" w:rsidP="00372B8C">
      <w:pPr>
        <w:pStyle w:val="NormalWeb"/>
        <w:spacing w:before="0" w:beforeAutospacing="0" w:after="0" w:afterAutospacing="0"/>
        <w:rPr>
          <w:rFonts w:ascii="Segoe UI" w:hAnsi="Segoe UI" w:cs="Segoe UI"/>
          <w:sz w:val="21"/>
          <w:szCs w:val="21"/>
        </w:rPr>
      </w:pPr>
      <w:r w:rsidRPr="00501F0B">
        <w:rPr>
          <w:rFonts w:ascii="Segoe UI" w:hAnsi="Segoe UI" w:cs="Segoe UI"/>
          <w:sz w:val="21"/>
          <w:szCs w:val="21"/>
        </w:rPr>
        <w:t>Co-</w:t>
      </w:r>
      <w:proofErr w:type="spellStart"/>
      <w:r w:rsidRPr="00501F0B">
        <w:rPr>
          <w:rFonts w:ascii="Segoe UI" w:hAnsi="Segoe UI" w:cs="Segoe UI"/>
          <w:sz w:val="21"/>
          <w:szCs w:val="21"/>
        </w:rPr>
        <w:t>funding</w:t>
      </w:r>
      <w:proofErr w:type="spellEnd"/>
      <w:r w:rsidRPr="00501F0B">
        <w:rPr>
          <w:rFonts w:ascii="Segoe UI" w:hAnsi="Segoe UI" w:cs="Segoe UI"/>
          <w:sz w:val="21"/>
          <w:szCs w:val="21"/>
        </w:rPr>
        <w:t xml:space="preserve"> partners can come from any source including, but not limited to</w:t>
      </w:r>
      <w:r w:rsidR="00FB0762">
        <w:rPr>
          <w:rFonts w:ascii="Segoe UI" w:hAnsi="Segoe UI" w:cs="Segoe UI"/>
          <w:sz w:val="21"/>
          <w:szCs w:val="21"/>
        </w:rPr>
        <w:t>:</w:t>
      </w:r>
      <w:r w:rsidRPr="00501F0B">
        <w:rPr>
          <w:rFonts w:ascii="Segoe UI" w:hAnsi="Segoe UI" w:cs="Segoe UI"/>
          <w:sz w:val="21"/>
          <w:szCs w:val="21"/>
        </w:rPr>
        <w:t xml:space="preserve"> private sector, philanthropy, state, territory and local government grants. However funding from other Commonwealth grants cannot be used to fund the balance of project expenditure not covered by a grant under the Growing Regions Program</w:t>
      </w:r>
      <w:r w:rsidR="00EE5C5A" w:rsidRPr="00501F0B">
        <w:rPr>
          <w:rFonts w:ascii="Segoe UI" w:hAnsi="Segoe UI" w:cs="Segoe UI"/>
          <w:sz w:val="21"/>
          <w:szCs w:val="21"/>
        </w:rPr>
        <w:t>.</w:t>
      </w:r>
    </w:p>
    <w:p w14:paraId="78D1D506" w14:textId="77777777" w:rsidR="00EE5C5A" w:rsidRPr="008E1E9C" w:rsidRDefault="00EE5C5A" w:rsidP="00EE5C5A">
      <w:pPr>
        <w:spacing w:after="0"/>
        <w:rPr>
          <w:rFonts w:ascii="Segoe UI" w:eastAsia="Times New Roman" w:hAnsi="Segoe UI" w:cs="Segoe UI"/>
          <w:b/>
          <w:color w:val="06162E" w:themeColor="accent1" w:themeShade="BF"/>
          <w:sz w:val="21"/>
          <w:szCs w:val="21"/>
          <w:lang w:eastAsia="en-AU"/>
        </w:rPr>
      </w:pPr>
      <w:r w:rsidRPr="008E1E9C">
        <w:rPr>
          <w:rFonts w:ascii="Segoe UI" w:eastAsia="Times New Roman" w:hAnsi="Segoe UI" w:cs="Segoe UI"/>
          <w:b/>
          <w:color w:val="06162E" w:themeColor="accent1" w:themeShade="BF"/>
          <w:sz w:val="21"/>
          <w:szCs w:val="21"/>
          <w:lang w:eastAsia="en-AU"/>
        </w:rPr>
        <w:t>What evidence can applicants provide to demonstrate cash co-contributions?</w:t>
      </w:r>
    </w:p>
    <w:p w14:paraId="24E640A4" w14:textId="38AF8812" w:rsidR="00EE5C5A" w:rsidRPr="008E1E9C" w:rsidRDefault="00EE5C5A" w:rsidP="00EE5C5A">
      <w:pPr>
        <w:pStyle w:val="NormalWeb"/>
        <w:spacing w:before="0" w:beforeAutospacing="0" w:after="0" w:afterAutospacing="0"/>
        <w:rPr>
          <w:rFonts w:ascii="Segoe UI" w:hAnsi="Segoe UI" w:cs="Segoe UI"/>
          <w:sz w:val="21"/>
          <w:szCs w:val="21"/>
        </w:rPr>
      </w:pPr>
      <w:r w:rsidRPr="008E1E9C">
        <w:rPr>
          <w:rFonts w:ascii="Segoe UI" w:hAnsi="Segoe UI" w:cs="Segoe UI"/>
          <w:sz w:val="21"/>
          <w:szCs w:val="21"/>
        </w:rPr>
        <w:t xml:space="preserve">Examples of the types </w:t>
      </w:r>
      <w:r w:rsidR="00E151A7">
        <w:rPr>
          <w:rFonts w:ascii="Segoe UI" w:hAnsi="Segoe UI" w:cs="Segoe UI"/>
          <w:sz w:val="21"/>
          <w:szCs w:val="21"/>
        </w:rPr>
        <w:t xml:space="preserve">of </w:t>
      </w:r>
      <w:r w:rsidRPr="008E1E9C">
        <w:rPr>
          <w:rFonts w:ascii="Segoe UI" w:hAnsi="Segoe UI" w:cs="Segoe UI"/>
          <w:sz w:val="21"/>
          <w:szCs w:val="21"/>
        </w:rPr>
        <w:t>evidence applicants can provide to demonstrate cash co-contributions can include, but are not limited to</w:t>
      </w:r>
      <w:r w:rsidR="00FB0762">
        <w:rPr>
          <w:rFonts w:ascii="Segoe UI" w:hAnsi="Segoe UI" w:cs="Segoe UI"/>
          <w:sz w:val="21"/>
          <w:szCs w:val="21"/>
        </w:rPr>
        <w:t>:</w:t>
      </w:r>
      <w:r w:rsidRPr="008E1E9C">
        <w:rPr>
          <w:rFonts w:ascii="Segoe UI" w:hAnsi="Segoe UI" w:cs="Segoe UI"/>
          <w:sz w:val="21"/>
          <w:szCs w:val="21"/>
        </w:rPr>
        <w:t xml:space="preserve"> loan approvals and agreements, letters of offer from financial institutions, letters of commitment from funding partners</w:t>
      </w:r>
      <w:r w:rsidR="00E151A7">
        <w:rPr>
          <w:rFonts w:ascii="Segoe UI" w:hAnsi="Segoe UI" w:cs="Segoe UI"/>
          <w:sz w:val="21"/>
          <w:szCs w:val="21"/>
        </w:rPr>
        <w:t>, grant funding confirmation letters or agreements</w:t>
      </w:r>
      <w:r w:rsidRPr="008E1E9C">
        <w:rPr>
          <w:rFonts w:ascii="Segoe UI" w:hAnsi="Segoe UI" w:cs="Segoe UI"/>
          <w:sz w:val="21"/>
          <w:szCs w:val="21"/>
        </w:rPr>
        <w:t xml:space="preserve"> etc.</w:t>
      </w:r>
    </w:p>
    <w:p w14:paraId="0ADC016F" w14:textId="4103F102" w:rsidR="00BC4E27" w:rsidRPr="008E1E9C" w:rsidRDefault="00A11DB3" w:rsidP="00626B0A">
      <w:pPr>
        <w:spacing w:before="100" w:beforeAutospacing="1" w:after="0"/>
        <w:rPr>
          <w:rFonts w:ascii="Segoe UI" w:eastAsia="Times New Roman" w:hAnsi="Segoe UI" w:cs="Segoe UI"/>
          <w:b/>
          <w:color w:val="auto"/>
          <w:sz w:val="21"/>
          <w:szCs w:val="21"/>
          <w:lang w:eastAsia="en-AU"/>
        </w:rPr>
      </w:pPr>
      <w:r w:rsidRPr="008E1E9C">
        <w:rPr>
          <w:rFonts w:ascii="Segoe UI" w:eastAsia="Times New Roman" w:hAnsi="Segoe UI" w:cs="Segoe UI"/>
          <w:b/>
          <w:color w:val="auto"/>
          <w:sz w:val="21"/>
          <w:szCs w:val="21"/>
          <w:lang w:eastAsia="en-AU"/>
        </w:rPr>
        <w:t>To be eligible</w:t>
      </w:r>
      <w:r w:rsidR="00E151A7">
        <w:rPr>
          <w:rFonts w:ascii="Segoe UI" w:eastAsia="Times New Roman" w:hAnsi="Segoe UI" w:cs="Segoe UI"/>
          <w:b/>
          <w:color w:val="auto"/>
          <w:sz w:val="21"/>
          <w:szCs w:val="21"/>
          <w:lang w:eastAsia="en-AU"/>
        </w:rPr>
        <w:t>,</w:t>
      </w:r>
      <w:r w:rsidRPr="008E1E9C">
        <w:rPr>
          <w:rFonts w:ascii="Segoe UI" w:eastAsia="Times New Roman" w:hAnsi="Segoe UI" w:cs="Segoe UI"/>
          <w:b/>
          <w:color w:val="auto"/>
          <w:sz w:val="21"/>
          <w:szCs w:val="21"/>
          <w:lang w:eastAsia="en-AU"/>
        </w:rPr>
        <w:t xml:space="preserve"> projects must not have commenced construction – what does '</w:t>
      </w:r>
      <w:proofErr w:type="gramStart"/>
      <w:r w:rsidR="004E1020" w:rsidRPr="008E1E9C">
        <w:rPr>
          <w:rFonts w:ascii="Segoe UI" w:eastAsia="Times New Roman" w:hAnsi="Segoe UI" w:cs="Segoe UI"/>
          <w:b/>
          <w:color w:val="auto"/>
          <w:sz w:val="21"/>
          <w:szCs w:val="21"/>
          <w:lang w:eastAsia="en-AU"/>
        </w:rPr>
        <w:t>commence</w:t>
      </w:r>
      <w:r w:rsidR="002D7BE2" w:rsidRPr="008E1E9C">
        <w:rPr>
          <w:rFonts w:ascii="Segoe UI" w:eastAsia="Times New Roman" w:hAnsi="Segoe UI" w:cs="Segoe UI"/>
          <w:b/>
          <w:color w:val="auto"/>
          <w:sz w:val="21"/>
          <w:szCs w:val="21"/>
          <w:lang w:eastAsia="en-AU"/>
        </w:rPr>
        <w:t>d</w:t>
      </w:r>
      <w:proofErr w:type="gramEnd"/>
      <w:r w:rsidRPr="008E1E9C">
        <w:rPr>
          <w:rFonts w:ascii="Segoe UI" w:eastAsia="Times New Roman" w:hAnsi="Segoe UI" w:cs="Segoe UI"/>
          <w:b/>
          <w:color w:val="auto"/>
          <w:sz w:val="21"/>
          <w:szCs w:val="21"/>
          <w:lang w:eastAsia="en-AU"/>
        </w:rPr>
        <w:t>' mean</w:t>
      </w:r>
      <w:r w:rsidR="00BC4E27" w:rsidRPr="008E1E9C">
        <w:rPr>
          <w:rFonts w:ascii="Segoe UI" w:eastAsia="Times New Roman" w:hAnsi="Segoe UI" w:cs="Segoe UI"/>
          <w:b/>
          <w:color w:val="auto"/>
          <w:sz w:val="21"/>
          <w:szCs w:val="21"/>
          <w:lang w:eastAsia="en-AU"/>
        </w:rPr>
        <w:t xml:space="preserve">? </w:t>
      </w:r>
      <w:r w:rsidR="00FB0762">
        <w:rPr>
          <w:rFonts w:ascii="Segoe UI" w:eastAsia="Times New Roman" w:hAnsi="Segoe UI" w:cs="Segoe UI"/>
          <w:b/>
          <w:color w:val="auto"/>
          <w:sz w:val="21"/>
          <w:szCs w:val="21"/>
          <w:lang w:eastAsia="en-AU"/>
        </w:rPr>
        <w:br/>
      </w:r>
      <w:r w:rsidR="00BC4E27" w:rsidRPr="008E1E9C">
        <w:rPr>
          <w:rFonts w:ascii="Segoe UI" w:eastAsia="Times New Roman" w:hAnsi="Segoe UI" w:cs="Segoe UI"/>
          <w:b/>
          <w:color w:val="auto"/>
          <w:sz w:val="21"/>
          <w:szCs w:val="21"/>
          <w:lang w:eastAsia="en-AU"/>
        </w:rPr>
        <w:t>Is it limited to</w:t>
      </w:r>
      <w:r w:rsidRPr="008E1E9C">
        <w:rPr>
          <w:rFonts w:ascii="Segoe UI" w:eastAsia="Times New Roman" w:hAnsi="Segoe UI" w:cs="Segoe UI"/>
          <w:b/>
          <w:color w:val="auto"/>
          <w:sz w:val="21"/>
          <w:szCs w:val="21"/>
          <w:lang w:eastAsia="en-AU"/>
        </w:rPr>
        <w:t xml:space="preserve"> onsite work, or preliminaries such as tendering</w:t>
      </w:r>
      <w:r w:rsidR="00BC4E27" w:rsidRPr="008E1E9C">
        <w:rPr>
          <w:rFonts w:ascii="Segoe UI" w:eastAsia="Times New Roman" w:hAnsi="Segoe UI" w:cs="Segoe UI"/>
          <w:b/>
          <w:color w:val="auto"/>
          <w:sz w:val="21"/>
          <w:szCs w:val="21"/>
          <w:lang w:eastAsia="en-AU"/>
        </w:rPr>
        <w:t>?</w:t>
      </w:r>
      <w:r w:rsidRPr="008E1E9C">
        <w:rPr>
          <w:rFonts w:ascii="Segoe UI" w:eastAsia="Times New Roman" w:hAnsi="Segoe UI" w:cs="Segoe UI"/>
          <w:b/>
          <w:color w:val="auto"/>
          <w:sz w:val="21"/>
          <w:szCs w:val="21"/>
          <w:lang w:eastAsia="en-AU"/>
        </w:rPr>
        <w:t xml:space="preserve"> </w:t>
      </w:r>
    </w:p>
    <w:p w14:paraId="5D980E45" w14:textId="40BF4048" w:rsidR="00BC4E27" w:rsidRPr="008E1E9C" w:rsidRDefault="00BC4E27" w:rsidP="00626B0A">
      <w:pPr>
        <w:spacing w:before="0" w:after="0"/>
        <w:rPr>
          <w:rFonts w:ascii="Segoe UI" w:eastAsia="Times New Roman" w:hAnsi="Segoe UI" w:cs="Segoe UI"/>
          <w:color w:val="auto"/>
          <w:sz w:val="21"/>
          <w:szCs w:val="21"/>
          <w:lang w:eastAsia="en-AU"/>
        </w:rPr>
      </w:pPr>
      <w:r w:rsidRPr="008E1E9C">
        <w:rPr>
          <w:rFonts w:ascii="Segoe UI" w:eastAsia="Times New Roman" w:hAnsi="Segoe UI" w:cs="Segoe UI"/>
          <w:color w:val="auto"/>
          <w:sz w:val="21"/>
          <w:szCs w:val="21"/>
          <w:lang w:eastAsia="en-AU"/>
        </w:rPr>
        <w:t xml:space="preserve">To be eligible, no </w:t>
      </w:r>
      <w:r w:rsidR="0067240A" w:rsidRPr="008E1E9C">
        <w:rPr>
          <w:rFonts w:ascii="Segoe UI" w:eastAsia="Times New Roman" w:hAnsi="Segoe UI" w:cs="Segoe UI"/>
          <w:color w:val="auto"/>
          <w:sz w:val="21"/>
          <w:szCs w:val="21"/>
          <w:lang w:eastAsia="en-AU"/>
        </w:rPr>
        <w:t>construction</w:t>
      </w:r>
      <w:r w:rsidRPr="008E1E9C">
        <w:rPr>
          <w:rFonts w:ascii="Segoe UI" w:eastAsia="Times New Roman" w:hAnsi="Segoe UI" w:cs="Segoe UI"/>
          <w:color w:val="auto"/>
          <w:sz w:val="21"/>
          <w:szCs w:val="21"/>
          <w:lang w:eastAsia="en-AU"/>
        </w:rPr>
        <w:t xml:space="preserve"> activities must have commenced on the</w:t>
      </w:r>
      <w:r w:rsidR="0067240A" w:rsidRPr="008E1E9C">
        <w:rPr>
          <w:rFonts w:ascii="Segoe UI" w:eastAsia="Times New Roman" w:hAnsi="Segoe UI" w:cs="Segoe UI"/>
          <w:color w:val="auto"/>
          <w:sz w:val="21"/>
          <w:szCs w:val="21"/>
          <w:lang w:eastAsia="en-AU"/>
        </w:rPr>
        <w:t xml:space="preserve"> actual</w:t>
      </w:r>
      <w:r w:rsidRPr="008E1E9C">
        <w:rPr>
          <w:rFonts w:ascii="Segoe UI" w:eastAsia="Times New Roman" w:hAnsi="Segoe UI" w:cs="Segoe UI"/>
          <w:color w:val="auto"/>
          <w:sz w:val="21"/>
          <w:szCs w:val="21"/>
          <w:lang w:eastAsia="en-AU"/>
        </w:rPr>
        <w:t xml:space="preserve"> project site. </w:t>
      </w:r>
      <w:r w:rsidR="0067240A" w:rsidRPr="008E1E9C">
        <w:rPr>
          <w:rFonts w:ascii="Segoe UI" w:eastAsia="Times New Roman" w:hAnsi="Segoe UI" w:cs="Segoe UI"/>
          <w:color w:val="auto"/>
          <w:sz w:val="21"/>
          <w:szCs w:val="21"/>
          <w:lang w:eastAsia="en-AU"/>
        </w:rPr>
        <w:t>Preliminaries such as tending are considered pre-construction activities.</w:t>
      </w:r>
    </w:p>
    <w:p w14:paraId="0411E50C" w14:textId="3D8CBD80" w:rsidR="00EE5C5A" w:rsidRPr="008E1E9C" w:rsidRDefault="00EE5C5A" w:rsidP="00626B0A">
      <w:pPr>
        <w:spacing w:before="0" w:after="0"/>
        <w:rPr>
          <w:rFonts w:ascii="Segoe UI" w:eastAsia="Times New Roman" w:hAnsi="Segoe UI" w:cs="Segoe UI"/>
          <w:color w:val="auto"/>
          <w:sz w:val="21"/>
          <w:szCs w:val="21"/>
          <w:lang w:eastAsia="en-AU"/>
        </w:rPr>
      </w:pPr>
    </w:p>
    <w:p w14:paraId="7D6E99AA" w14:textId="77777777" w:rsidR="00EE5C5A" w:rsidRPr="008E1E9C" w:rsidRDefault="00EE5C5A" w:rsidP="00EE5C5A">
      <w:pPr>
        <w:pStyle w:val="NormalWeb"/>
        <w:spacing w:before="0" w:beforeAutospacing="0" w:after="0" w:afterAutospacing="0"/>
        <w:rPr>
          <w:rFonts w:ascii="Segoe UI" w:hAnsi="Segoe UI" w:cs="Segoe UI"/>
          <w:b/>
          <w:sz w:val="21"/>
          <w:szCs w:val="21"/>
        </w:rPr>
      </w:pPr>
      <w:r w:rsidRPr="008E1E9C">
        <w:rPr>
          <w:rFonts w:ascii="Segoe UI" w:hAnsi="Segoe UI" w:cs="Segoe UI"/>
          <w:b/>
          <w:sz w:val="21"/>
          <w:szCs w:val="21"/>
        </w:rPr>
        <w:t>Can the project be split into stages where stage 1 is underway (non-site activity) and the grant funds subsequent stages?</w:t>
      </w:r>
    </w:p>
    <w:p w14:paraId="170A0945" w14:textId="77777777" w:rsidR="00EE5C5A" w:rsidRPr="008E1E9C" w:rsidRDefault="00EE5C5A" w:rsidP="00EE5C5A">
      <w:pPr>
        <w:pStyle w:val="NormalWeb"/>
        <w:spacing w:before="0" w:beforeAutospacing="0" w:after="0" w:afterAutospacing="0"/>
        <w:rPr>
          <w:rFonts w:ascii="Segoe UI" w:hAnsi="Segoe UI" w:cs="Segoe UI"/>
          <w:sz w:val="21"/>
          <w:szCs w:val="21"/>
        </w:rPr>
      </w:pPr>
      <w:r w:rsidRPr="008E1E9C">
        <w:rPr>
          <w:rFonts w:ascii="Segoe UI" w:hAnsi="Segoe UI" w:cs="Segoe UI"/>
          <w:sz w:val="21"/>
          <w:szCs w:val="21"/>
        </w:rPr>
        <w:t xml:space="preserve">Yes, projects can be split into different stages so that grant funds can be used to only fund stages that include eligible project activities. </w:t>
      </w:r>
    </w:p>
    <w:p w14:paraId="77124EF1" w14:textId="77777777" w:rsidR="00EE5C5A" w:rsidRPr="008E1E9C" w:rsidRDefault="00EE5C5A" w:rsidP="00EE5C5A">
      <w:pPr>
        <w:pStyle w:val="NormalWeb"/>
        <w:spacing w:before="0" w:beforeAutospacing="0" w:after="0" w:afterAutospacing="0"/>
        <w:rPr>
          <w:rFonts w:ascii="Segoe UI" w:hAnsi="Segoe UI" w:cs="Segoe UI"/>
          <w:sz w:val="21"/>
          <w:szCs w:val="21"/>
        </w:rPr>
      </w:pPr>
    </w:p>
    <w:p w14:paraId="146B5A35" w14:textId="77777777" w:rsidR="00EE5C5A" w:rsidRPr="008E1E9C" w:rsidRDefault="00EE5C5A" w:rsidP="00EE5C5A">
      <w:pPr>
        <w:spacing w:before="0" w:after="0"/>
        <w:rPr>
          <w:rFonts w:ascii="Segoe UI" w:eastAsia="Times New Roman" w:hAnsi="Segoe UI" w:cs="Segoe UI"/>
          <w:b/>
          <w:color w:val="auto"/>
          <w:sz w:val="21"/>
          <w:szCs w:val="21"/>
          <w:lang w:eastAsia="en-AU"/>
        </w:rPr>
      </w:pPr>
      <w:r w:rsidRPr="008E1E9C">
        <w:rPr>
          <w:rFonts w:ascii="Segoe UI" w:eastAsia="Times New Roman" w:hAnsi="Segoe UI" w:cs="Segoe UI"/>
          <w:b/>
          <w:color w:val="auto"/>
          <w:sz w:val="21"/>
          <w:szCs w:val="21"/>
          <w:lang w:eastAsia="en-AU"/>
        </w:rPr>
        <w:t>In the staged project example above, could stage 1 investment be counted as co-contribution?</w:t>
      </w:r>
    </w:p>
    <w:p w14:paraId="75705108" w14:textId="1CA3E9E1" w:rsidR="00EE5C5A" w:rsidRPr="008E1E9C" w:rsidRDefault="00EE5C5A" w:rsidP="00EE5C5A">
      <w:pPr>
        <w:spacing w:before="0" w:after="0"/>
        <w:rPr>
          <w:rFonts w:ascii="Segoe UI" w:eastAsia="Times New Roman" w:hAnsi="Segoe UI" w:cs="Segoe UI"/>
          <w:color w:val="auto"/>
          <w:sz w:val="21"/>
          <w:szCs w:val="21"/>
          <w:lang w:eastAsia="en-AU"/>
        </w:rPr>
      </w:pPr>
      <w:r w:rsidRPr="008E1E9C">
        <w:rPr>
          <w:rFonts w:ascii="Segoe UI" w:eastAsia="Times New Roman" w:hAnsi="Segoe UI" w:cs="Segoe UI"/>
          <w:color w:val="auto"/>
          <w:sz w:val="21"/>
          <w:szCs w:val="21"/>
          <w:lang w:eastAsia="en-AU"/>
        </w:rPr>
        <w:t>No, co-funding contributions must be obtained for the stage/s that the grant funds will be used.</w:t>
      </w:r>
    </w:p>
    <w:p w14:paraId="16FC78CB" w14:textId="6EB2C9BA" w:rsidR="00EE5C5A" w:rsidRPr="008E1E9C" w:rsidRDefault="00EE5C5A" w:rsidP="00626B0A">
      <w:pPr>
        <w:spacing w:before="0" w:after="0"/>
        <w:rPr>
          <w:rFonts w:ascii="Segoe UI" w:eastAsia="Times New Roman" w:hAnsi="Segoe UI" w:cs="Segoe UI"/>
          <w:color w:val="auto"/>
          <w:sz w:val="21"/>
          <w:szCs w:val="21"/>
          <w:lang w:eastAsia="en-AU"/>
        </w:rPr>
      </w:pPr>
    </w:p>
    <w:p w14:paraId="06F179A4" w14:textId="77777777" w:rsidR="00EE5C5A" w:rsidRPr="008E1E9C" w:rsidRDefault="00EE5C5A" w:rsidP="00EE5C5A">
      <w:pPr>
        <w:pStyle w:val="NormalWeb"/>
        <w:spacing w:before="0" w:beforeAutospacing="0" w:after="0" w:afterAutospacing="0"/>
        <w:rPr>
          <w:rFonts w:ascii="Segoe UI" w:hAnsi="Segoe UI" w:cs="Segoe UI"/>
          <w:b/>
          <w:sz w:val="21"/>
          <w:szCs w:val="21"/>
        </w:rPr>
      </w:pPr>
      <w:bookmarkStart w:id="1" w:name="_Hlk140488833"/>
      <w:r w:rsidRPr="008E1E9C">
        <w:rPr>
          <w:rFonts w:ascii="Segoe UI" w:hAnsi="Segoe UI" w:cs="Segoe UI"/>
          <w:b/>
          <w:sz w:val="21"/>
          <w:szCs w:val="21"/>
        </w:rPr>
        <w:lastRenderedPageBreak/>
        <w:t>If a design concept is in place, is a 'Design and Construct' process eligible to be considered during EOI - so long as project will be ready to commence on-site construction by May 2024?</w:t>
      </w:r>
    </w:p>
    <w:p w14:paraId="78D42EF0" w14:textId="37CF1F58" w:rsidR="00EE5C5A" w:rsidRPr="008E1E9C" w:rsidRDefault="00EE5C5A" w:rsidP="00EE5C5A">
      <w:pPr>
        <w:pStyle w:val="NormalWeb"/>
        <w:spacing w:before="0" w:beforeAutospacing="0" w:after="0" w:afterAutospacing="0"/>
        <w:rPr>
          <w:rFonts w:ascii="Segoe UI" w:hAnsi="Segoe UI" w:cs="Segoe UI"/>
          <w:sz w:val="21"/>
          <w:szCs w:val="21"/>
        </w:rPr>
      </w:pPr>
      <w:r w:rsidRPr="008E1E9C">
        <w:rPr>
          <w:rFonts w:ascii="Segoe UI" w:hAnsi="Segoe UI" w:cs="Segoe UI"/>
          <w:sz w:val="21"/>
          <w:szCs w:val="21"/>
        </w:rPr>
        <w:t xml:space="preserve">Yes, section 6.2 of the </w:t>
      </w:r>
      <w:proofErr w:type="gramStart"/>
      <w:r w:rsidRPr="008E1E9C">
        <w:rPr>
          <w:rFonts w:ascii="Segoe UI" w:hAnsi="Segoe UI" w:cs="Segoe UI"/>
          <w:sz w:val="21"/>
          <w:szCs w:val="21"/>
        </w:rPr>
        <w:t>guidelines</w:t>
      </w:r>
      <w:proofErr w:type="gramEnd"/>
      <w:r w:rsidRPr="008E1E9C">
        <w:rPr>
          <w:rFonts w:ascii="Segoe UI" w:hAnsi="Segoe UI" w:cs="Segoe UI"/>
          <w:sz w:val="21"/>
          <w:szCs w:val="21"/>
        </w:rPr>
        <w:t xml:space="preserve"> states that under assessment criterion 1 – EOI applicants should demonstrate the extent projects are ready to proceed by identifying how advanced the project designs are.</w:t>
      </w:r>
    </w:p>
    <w:p w14:paraId="1C0A8B65" w14:textId="77777777" w:rsidR="00EE5C5A" w:rsidRPr="00501F0B" w:rsidRDefault="00EE5C5A" w:rsidP="00626B0A">
      <w:pPr>
        <w:spacing w:before="0" w:after="0"/>
        <w:rPr>
          <w:rFonts w:ascii="Segoe UI" w:eastAsia="Times New Roman" w:hAnsi="Segoe UI" w:cs="Segoe UI"/>
          <w:color w:val="auto"/>
          <w:sz w:val="21"/>
          <w:szCs w:val="21"/>
          <w:lang w:eastAsia="en-AU"/>
        </w:rPr>
      </w:pPr>
    </w:p>
    <w:p w14:paraId="58570949" w14:textId="5B926C8B" w:rsidR="00A11DB3" w:rsidRPr="008E1E9C" w:rsidRDefault="00A11DB3" w:rsidP="00626B0A">
      <w:pPr>
        <w:spacing w:before="0" w:after="0"/>
        <w:rPr>
          <w:rFonts w:ascii="Segoe UI" w:eastAsia="Times New Roman" w:hAnsi="Segoe UI" w:cs="Segoe UI"/>
          <w:b/>
          <w:color w:val="auto"/>
          <w:sz w:val="21"/>
          <w:szCs w:val="21"/>
          <w:lang w:eastAsia="en-AU"/>
        </w:rPr>
      </w:pPr>
      <w:r w:rsidRPr="008E1E9C">
        <w:rPr>
          <w:rFonts w:ascii="Segoe UI" w:eastAsia="Times New Roman" w:hAnsi="Segoe UI" w:cs="Segoe UI"/>
          <w:b/>
          <w:color w:val="auto"/>
          <w:sz w:val="21"/>
          <w:szCs w:val="21"/>
          <w:lang w:eastAsia="en-AU"/>
        </w:rPr>
        <w:t xml:space="preserve">Will </w:t>
      </w:r>
      <w:r w:rsidR="00232E7D" w:rsidRPr="008E1E9C">
        <w:rPr>
          <w:rFonts w:ascii="Segoe UI" w:eastAsia="Times New Roman" w:hAnsi="Segoe UI" w:cs="Segoe UI"/>
          <w:b/>
          <w:color w:val="auto"/>
          <w:sz w:val="21"/>
          <w:szCs w:val="21"/>
          <w:lang w:eastAsia="en-AU"/>
        </w:rPr>
        <w:t>quantity surveyors’</w:t>
      </w:r>
      <w:r w:rsidRPr="008E1E9C">
        <w:rPr>
          <w:rFonts w:ascii="Segoe UI" w:eastAsia="Times New Roman" w:hAnsi="Segoe UI" w:cs="Segoe UI"/>
          <w:b/>
          <w:color w:val="auto"/>
          <w:sz w:val="21"/>
          <w:szCs w:val="21"/>
          <w:lang w:eastAsia="en-AU"/>
        </w:rPr>
        <w:t xml:space="preserve"> estimates be</w:t>
      </w:r>
      <w:r w:rsidR="00232E7D" w:rsidRPr="008E1E9C">
        <w:rPr>
          <w:rFonts w:ascii="Segoe UI" w:eastAsia="Times New Roman" w:hAnsi="Segoe UI" w:cs="Segoe UI"/>
          <w:b/>
          <w:color w:val="auto"/>
          <w:sz w:val="21"/>
          <w:szCs w:val="21"/>
          <w:lang w:eastAsia="en-AU"/>
        </w:rPr>
        <w:t xml:space="preserve"> considered</w:t>
      </w:r>
      <w:r w:rsidRPr="008E1E9C">
        <w:rPr>
          <w:rFonts w:ascii="Segoe UI" w:eastAsia="Times New Roman" w:hAnsi="Segoe UI" w:cs="Segoe UI"/>
          <w:b/>
          <w:color w:val="auto"/>
          <w:sz w:val="21"/>
          <w:szCs w:val="21"/>
          <w:lang w:eastAsia="en-AU"/>
        </w:rPr>
        <w:t xml:space="preserve"> </w:t>
      </w:r>
      <w:r w:rsidR="00232E7D" w:rsidRPr="008E1E9C">
        <w:rPr>
          <w:rFonts w:ascii="Segoe UI" w:eastAsia="Times New Roman" w:hAnsi="Segoe UI" w:cs="Segoe UI"/>
          <w:b/>
          <w:color w:val="auto"/>
          <w:sz w:val="21"/>
          <w:szCs w:val="21"/>
          <w:lang w:eastAsia="en-AU"/>
        </w:rPr>
        <w:t xml:space="preserve">as </w:t>
      </w:r>
      <w:r w:rsidRPr="008E1E9C">
        <w:rPr>
          <w:rFonts w:ascii="Segoe UI" w:eastAsia="Times New Roman" w:hAnsi="Segoe UI" w:cs="Segoe UI"/>
          <w:b/>
          <w:color w:val="auto"/>
          <w:sz w:val="21"/>
          <w:szCs w:val="21"/>
          <w:lang w:eastAsia="en-AU"/>
        </w:rPr>
        <w:t>accept</w:t>
      </w:r>
      <w:r w:rsidR="00232E7D" w:rsidRPr="008E1E9C">
        <w:rPr>
          <w:rFonts w:ascii="Segoe UI" w:eastAsia="Times New Roman" w:hAnsi="Segoe UI" w:cs="Segoe UI"/>
          <w:b/>
          <w:color w:val="auto"/>
          <w:sz w:val="21"/>
          <w:szCs w:val="21"/>
          <w:lang w:eastAsia="en-AU"/>
        </w:rPr>
        <w:t>able evidence</w:t>
      </w:r>
      <w:r w:rsidR="005115C5" w:rsidRPr="008E1E9C">
        <w:rPr>
          <w:rFonts w:ascii="Segoe UI" w:eastAsia="Times New Roman" w:hAnsi="Segoe UI" w:cs="Segoe UI"/>
          <w:b/>
          <w:color w:val="auto"/>
          <w:sz w:val="21"/>
          <w:szCs w:val="21"/>
          <w:lang w:eastAsia="en-AU"/>
        </w:rPr>
        <w:t xml:space="preserve"> under</w:t>
      </w:r>
      <w:r w:rsidRPr="008E1E9C">
        <w:rPr>
          <w:rFonts w:ascii="Segoe UI" w:eastAsia="Times New Roman" w:hAnsi="Segoe UI" w:cs="Segoe UI"/>
          <w:b/>
          <w:color w:val="auto"/>
          <w:sz w:val="21"/>
          <w:szCs w:val="21"/>
          <w:lang w:eastAsia="en-AU"/>
        </w:rPr>
        <w:t xml:space="preserve"> stage</w:t>
      </w:r>
      <w:r w:rsidR="005115C5" w:rsidRPr="008E1E9C">
        <w:rPr>
          <w:rFonts w:ascii="Segoe UI" w:eastAsia="Times New Roman" w:hAnsi="Segoe UI" w:cs="Segoe UI"/>
          <w:b/>
          <w:color w:val="auto"/>
          <w:sz w:val="21"/>
          <w:szCs w:val="21"/>
          <w:lang w:eastAsia="en-AU"/>
        </w:rPr>
        <w:t xml:space="preserve"> one – Expressions of Interest (EOI)</w:t>
      </w:r>
      <w:r w:rsidRPr="008E1E9C">
        <w:rPr>
          <w:rFonts w:ascii="Segoe UI" w:eastAsia="Times New Roman" w:hAnsi="Segoe UI" w:cs="Segoe UI"/>
          <w:b/>
          <w:color w:val="auto"/>
          <w:sz w:val="21"/>
          <w:szCs w:val="21"/>
          <w:lang w:eastAsia="en-AU"/>
        </w:rPr>
        <w:t xml:space="preserve"> application</w:t>
      </w:r>
      <w:r w:rsidR="005115C5" w:rsidRPr="008E1E9C">
        <w:rPr>
          <w:rFonts w:ascii="Segoe UI" w:eastAsia="Times New Roman" w:hAnsi="Segoe UI" w:cs="Segoe UI"/>
          <w:b/>
          <w:color w:val="auto"/>
          <w:sz w:val="21"/>
          <w:szCs w:val="21"/>
          <w:lang w:eastAsia="en-AU"/>
        </w:rPr>
        <w:t>s?</w:t>
      </w:r>
    </w:p>
    <w:p w14:paraId="51739A0C" w14:textId="7C4162D1" w:rsidR="00A11DB3" w:rsidRPr="008E1E9C" w:rsidRDefault="00232E7D" w:rsidP="00626B0A">
      <w:pPr>
        <w:spacing w:before="0" w:after="0"/>
        <w:rPr>
          <w:rFonts w:ascii="Segoe UI" w:eastAsia="Times New Roman" w:hAnsi="Segoe UI" w:cs="Segoe UI"/>
          <w:color w:val="auto"/>
          <w:sz w:val="21"/>
          <w:szCs w:val="21"/>
          <w:lang w:eastAsia="en-AU"/>
        </w:rPr>
      </w:pPr>
      <w:r w:rsidRPr="008E1E9C">
        <w:rPr>
          <w:rFonts w:ascii="Segoe UI" w:eastAsia="Times New Roman" w:hAnsi="Segoe UI" w:cs="Segoe UI"/>
          <w:color w:val="auto"/>
          <w:sz w:val="21"/>
          <w:szCs w:val="21"/>
          <w:lang w:eastAsia="en-AU"/>
        </w:rPr>
        <w:t>Yes, applicants can provide</w:t>
      </w:r>
      <w:r w:rsidR="000354B0" w:rsidRPr="008E1E9C">
        <w:rPr>
          <w:rFonts w:ascii="Segoe UI" w:eastAsia="Times New Roman" w:hAnsi="Segoe UI" w:cs="Segoe UI"/>
          <w:color w:val="auto"/>
          <w:sz w:val="21"/>
          <w:szCs w:val="21"/>
          <w:lang w:eastAsia="en-AU"/>
        </w:rPr>
        <w:t xml:space="preserve"> quantity surveyors’ estimates</w:t>
      </w:r>
      <w:r w:rsidRPr="008E1E9C">
        <w:rPr>
          <w:rFonts w:ascii="Segoe UI" w:eastAsia="Times New Roman" w:hAnsi="Segoe UI" w:cs="Segoe UI"/>
          <w:color w:val="auto"/>
          <w:sz w:val="21"/>
          <w:szCs w:val="21"/>
          <w:lang w:eastAsia="en-AU"/>
        </w:rPr>
        <w:t xml:space="preserve"> as</w:t>
      </w:r>
      <w:r w:rsidR="005115C5" w:rsidRPr="008E1E9C">
        <w:rPr>
          <w:rFonts w:ascii="Segoe UI" w:eastAsia="Times New Roman" w:hAnsi="Segoe UI" w:cs="Segoe UI"/>
          <w:color w:val="auto"/>
          <w:sz w:val="21"/>
          <w:szCs w:val="21"/>
          <w:lang w:eastAsia="en-AU"/>
        </w:rPr>
        <w:t xml:space="preserve"> </w:t>
      </w:r>
      <w:r w:rsidRPr="008E1E9C">
        <w:rPr>
          <w:rFonts w:ascii="Segoe UI" w:eastAsia="Times New Roman" w:hAnsi="Segoe UI" w:cs="Segoe UI"/>
          <w:color w:val="auto"/>
          <w:sz w:val="21"/>
          <w:szCs w:val="21"/>
          <w:lang w:eastAsia="en-AU"/>
        </w:rPr>
        <w:t>supporting</w:t>
      </w:r>
      <w:r w:rsidR="005115C5" w:rsidRPr="008E1E9C">
        <w:rPr>
          <w:rFonts w:ascii="Segoe UI" w:eastAsia="Times New Roman" w:hAnsi="Segoe UI" w:cs="Segoe UI"/>
          <w:color w:val="auto"/>
          <w:sz w:val="21"/>
          <w:szCs w:val="21"/>
          <w:lang w:eastAsia="en-AU"/>
        </w:rPr>
        <w:t xml:space="preserve"> evidence for EOI applications.</w:t>
      </w:r>
      <w:r w:rsidR="00766CBD">
        <w:rPr>
          <w:rFonts w:ascii="Segoe UI" w:eastAsia="Times New Roman" w:hAnsi="Segoe UI" w:cs="Segoe UI"/>
          <w:color w:val="auto"/>
          <w:sz w:val="21"/>
          <w:szCs w:val="21"/>
          <w:lang w:eastAsia="en-AU"/>
        </w:rPr>
        <w:t xml:space="preserve"> Please note quotes are not mandatory attachments at the EOI stage.</w:t>
      </w:r>
    </w:p>
    <w:bookmarkEnd w:id="1"/>
    <w:p w14:paraId="3F3D4300" w14:textId="1E2FBC31" w:rsidR="00A11DB3" w:rsidRPr="008E1E9C" w:rsidRDefault="00232E7D" w:rsidP="00A11DB3">
      <w:pPr>
        <w:spacing w:after="0"/>
        <w:rPr>
          <w:rFonts w:ascii="Segoe UI" w:eastAsia="Times New Roman" w:hAnsi="Segoe UI" w:cs="Segoe UI"/>
          <w:b/>
          <w:color w:val="06162E" w:themeColor="accent1" w:themeShade="BF"/>
          <w:sz w:val="21"/>
          <w:szCs w:val="21"/>
          <w:lang w:eastAsia="en-AU"/>
        </w:rPr>
      </w:pPr>
      <w:r w:rsidRPr="008E1E9C">
        <w:rPr>
          <w:rFonts w:ascii="Segoe UI" w:eastAsia="Times New Roman" w:hAnsi="Segoe UI" w:cs="Segoe UI"/>
          <w:b/>
          <w:color w:val="06162E" w:themeColor="accent1" w:themeShade="BF"/>
          <w:sz w:val="21"/>
          <w:szCs w:val="21"/>
          <w:lang w:eastAsia="en-AU"/>
        </w:rPr>
        <w:t>Will</w:t>
      </w:r>
      <w:r w:rsidR="00A11DB3" w:rsidRPr="008E1E9C">
        <w:rPr>
          <w:rFonts w:ascii="Segoe UI" w:eastAsia="Times New Roman" w:hAnsi="Segoe UI" w:cs="Segoe UI"/>
          <w:b/>
          <w:color w:val="06162E" w:themeColor="accent1" w:themeShade="BF"/>
          <w:sz w:val="21"/>
          <w:szCs w:val="21"/>
          <w:lang w:eastAsia="en-AU"/>
        </w:rPr>
        <w:t xml:space="preserve"> a land lease</w:t>
      </w:r>
      <w:r w:rsidRPr="008E1E9C">
        <w:rPr>
          <w:rFonts w:ascii="Segoe UI" w:eastAsia="Times New Roman" w:hAnsi="Segoe UI" w:cs="Segoe UI"/>
          <w:b/>
          <w:color w:val="06162E" w:themeColor="accent1" w:themeShade="BF"/>
          <w:sz w:val="21"/>
          <w:szCs w:val="21"/>
          <w:lang w:eastAsia="en-AU"/>
        </w:rPr>
        <w:t xml:space="preserve"> be considered as acceptable evidence under stage one - EOI</w:t>
      </w:r>
      <w:r w:rsidR="00A11DB3" w:rsidRPr="008E1E9C">
        <w:rPr>
          <w:rFonts w:ascii="Segoe UI" w:eastAsia="Times New Roman" w:hAnsi="Segoe UI" w:cs="Segoe UI"/>
          <w:b/>
          <w:color w:val="06162E" w:themeColor="accent1" w:themeShade="BF"/>
          <w:sz w:val="21"/>
          <w:szCs w:val="21"/>
          <w:lang w:eastAsia="en-AU"/>
        </w:rPr>
        <w:t xml:space="preserve"> </w:t>
      </w:r>
      <w:r w:rsidRPr="008E1E9C">
        <w:rPr>
          <w:rFonts w:ascii="Segoe UI" w:eastAsia="Times New Roman" w:hAnsi="Segoe UI" w:cs="Segoe UI"/>
          <w:b/>
          <w:color w:val="06162E" w:themeColor="accent1" w:themeShade="BF"/>
          <w:sz w:val="21"/>
          <w:szCs w:val="21"/>
          <w:lang w:eastAsia="en-AU"/>
        </w:rPr>
        <w:t>applications?</w:t>
      </w:r>
    </w:p>
    <w:p w14:paraId="37D7A02C" w14:textId="41CBDEFD" w:rsidR="00A11DB3" w:rsidRPr="008E1E9C" w:rsidRDefault="00232E7D" w:rsidP="00A11DB3">
      <w:pPr>
        <w:pStyle w:val="NormalWeb"/>
        <w:spacing w:before="0" w:beforeAutospacing="0" w:after="0" w:afterAutospacing="0"/>
        <w:rPr>
          <w:rFonts w:ascii="Segoe UI" w:hAnsi="Segoe UI" w:cs="Segoe UI"/>
          <w:color w:val="06162E" w:themeColor="accent1" w:themeShade="BF"/>
          <w:sz w:val="21"/>
          <w:szCs w:val="21"/>
        </w:rPr>
      </w:pPr>
      <w:r w:rsidRPr="008E1E9C">
        <w:rPr>
          <w:rFonts w:ascii="Segoe UI" w:hAnsi="Segoe UI" w:cs="Segoe UI"/>
          <w:color w:val="06162E" w:themeColor="accent1" w:themeShade="BF"/>
          <w:sz w:val="21"/>
          <w:szCs w:val="21"/>
        </w:rPr>
        <w:t>Yes, applicants can provide a land lease as supporting evidence to demonstrate they have permission to use the land/infrastructure</w:t>
      </w:r>
      <w:r w:rsidR="00766CBD">
        <w:rPr>
          <w:rFonts w:ascii="Segoe UI" w:hAnsi="Segoe UI" w:cs="Segoe UI"/>
          <w:color w:val="06162E" w:themeColor="accent1" w:themeShade="BF"/>
          <w:sz w:val="21"/>
          <w:szCs w:val="21"/>
        </w:rPr>
        <w:t xml:space="preserve"> for the purposes of the project and the lease will cover the period of the grant</w:t>
      </w:r>
      <w:r w:rsidRPr="008E1E9C">
        <w:rPr>
          <w:rFonts w:ascii="Segoe UI" w:hAnsi="Segoe UI" w:cs="Segoe UI"/>
          <w:color w:val="06162E" w:themeColor="accent1" w:themeShade="BF"/>
          <w:sz w:val="21"/>
          <w:szCs w:val="21"/>
        </w:rPr>
        <w:t>.</w:t>
      </w:r>
    </w:p>
    <w:p w14:paraId="5AB397E7" w14:textId="77777777" w:rsidR="00907A39" w:rsidRPr="008E1E9C" w:rsidRDefault="00907A39" w:rsidP="00A11DB3">
      <w:pPr>
        <w:pStyle w:val="NormalWeb"/>
        <w:spacing w:before="0" w:beforeAutospacing="0" w:after="0" w:afterAutospacing="0"/>
        <w:rPr>
          <w:rFonts w:ascii="Segoe UI" w:hAnsi="Segoe UI" w:cs="Segoe UI"/>
          <w:sz w:val="21"/>
          <w:szCs w:val="21"/>
        </w:rPr>
      </w:pPr>
    </w:p>
    <w:p w14:paraId="5050D478" w14:textId="734AD8A6" w:rsidR="00F32DFD" w:rsidRPr="008E1E9C" w:rsidRDefault="00F32DFD" w:rsidP="00A11DB3">
      <w:pPr>
        <w:pStyle w:val="NormalWeb"/>
        <w:spacing w:before="0" w:beforeAutospacing="0" w:after="0" w:afterAutospacing="0"/>
        <w:rPr>
          <w:rFonts w:ascii="Segoe UI" w:hAnsi="Segoe UI" w:cs="Segoe UI"/>
          <w:b/>
          <w:sz w:val="21"/>
          <w:szCs w:val="21"/>
        </w:rPr>
      </w:pPr>
      <w:r w:rsidRPr="008E1E9C">
        <w:rPr>
          <w:rFonts w:ascii="Segoe UI" w:hAnsi="Segoe UI" w:cs="Segoe UI"/>
          <w:b/>
          <w:sz w:val="21"/>
          <w:szCs w:val="21"/>
        </w:rPr>
        <w:t>Do applicants need to use their own budget template for applications?</w:t>
      </w:r>
    </w:p>
    <w:p w14:paraId="6F3FDC22" w14:textId="4CC2A3CE" w:rsidR="00F32DFD" w:rsidRPr="008E1E9C" w:rsidRDefault="00F32DFD" w:rsidP="00A11DB3">
      <w:pPr>
        <w:pStyle w:val="NormalWeb"/>
        <w:spacing w:before="0" w:beforeAutospacing="0" w:after="0" w:afterAutospacing="0"/>
        <w:rPr>
          <w:rFonts w:ascii="Segoe UI" w:hAnsi="Segoe UI" w:cs="Segoe UI"/>
          <w:sz w:val="21"/>
          <w:szCs w:val="21"/>
        </w:rPr>
      </w:pPr>
      <w:r w:rsidRPr="008E1E9C">
        <w:rPr>
          <w:rFonts w:ascii="Segoe UI" w:hAnsi="Segoe UI" w:cs="Segoe UI"/>
          <w:sz w:val="21"/>
          <w:szCs w:val="21"/>
        </w:rPr>
        <w:t xml:space="preserve">Yes, applicants will need to use their own template as there is no standard template available on business.gov.au. </w:t>
      </w:r>
    </w:p>
    <w:p w14:paraId="6212E34F" w14:textId="09A746DD" w:rsidR="00EE5C5A" w:rsidRPr="008E1E9C" w:rsidRDefault="00EE5C5A" w:rsidP="00A11DB3">
      <w:pPr>
        <w:pStyle w:val="NormalWeb"/>
        <w:spacing w:before="0" w:beforeAutospacing="0" w:after="0" w:afterAutospacing="0"/>
        <w:rPr>
          <w:rFonts w:ascii="Segoe UI" w:hAnsi="Segoe UI" w:cs="Segoe UI"/>
          <w:sz w:val="21"/>
          <w:szCs w:val="21"/>
        </w:rPr>
      </w:pPr>
    </w:p>
    <w:p w14:paraId="13326087" w14:textId="5F9C407C" w:rsidR="00EE5C5A" w:rsidRPr="008E1E9C" w:rsidRDefault="00EE5C5A" w:rsidP="00EE5C5A">
      <w:pPr>
        <w:pStyle w:val="NormalWeb"/>
        <w:spacing w:before="0" w:beforeAutospacing="0" w:after="0" w:afterAutospacing="0"/>
        <w:rPr>
          <w:rFonts w:ascii="Segoe UI" w:hAnsi="Segoe UI" w:cs="Segoe UI"/>
          <w:sz w:val="21"/>
          <w:szCs w:val="21"/>
        </w:rPr>
      </w:pPr>
      <w:r w:rsidRPr="008E1E9C">
        <w:rPr>
          <w:rFonts w:ascii="Segoe UI" w:hAnsi="Segoe UI" w:cs="Segoe UI"/>
          <w:b/>
          <w:sz w:val="21"/>
          <w:szCs w:val="21"/>
        </w:rPr>
        <w:t>My project will not meet the minimum project amount of $1 million</w:t>
      </w:r>
      <w:r w:rsidR="00766CBD">
        <w:rPr>
          <w:rFonts w:ascii="Segoe UI" w:hAnsi="Segoe UI" w:cs="Segoe UI"/>
          <w:b/>
          <w:sz w:val="21"/>
          <w:szCs w:val="21"/>
        </w:rPr>
        <w:t xml:space="preserve"> for Group 3 co-funding requirements</w:t>
      </w:r>
      <w:r w:rsidRPr="008E1E9C">
        <w:rPr>
          <w:rFonts w:ascii="Segoe UI" w:hAnsi="Segoe UI" w:cs="Segoe UI"/>
          <w:b/>
          <w:sz w:val="21"/>
          <w:szCs w:val="21"/>
        </w:rPr>
        <w:t>, what can I do?</w:t>
      </w:r>
      <w:r w:rsidRPr="008E1E9C">
        <w:rPr>
          <w:rFonts w:ascii="Segoe UI" w:hAnsi="Segoe UI" w:cs="Segoe UI"/>
          <w:sz w:val="21"/>
          <w:szCs w:val="21"/>
        </w:rPr>
        <w:t xml:space="preserve"> </w:t>
      </w:r>
    </w:p>
    <w:p w14:paraId="715634BE" w14:textId="052325BC" w:rsidR="00EE5C5A" w:rsidRPr="008E1E9C" w:rsidRDefault="00EE5C5A" w:rsidP="00501F0B">
      <w:pPr>
        <w:spacing w:before="0" w:after="0"/>
        <w:rPr>
          <w:rFonts w:ascii="Segoe UI" w:hAnsi="Segoe UI" w:cs="Segoe UI"/>
          <w:sz w:val="21"/>
          <w:szCs w:val="21"/>
        </w:rPr>
      </w:pPr>
      <w:r w:rsidRPr="008E1E9C">
        <w:rPr>
          <w:rFonts w:ascii="Segoe UI" w:eastAsia="Times New Roman" w:hAnsi="Segoe UI" w:cs="Segoe UI"/>
          <w:iCs/>
          <w:sz w:val="21"/>
          <w:szCs w:val="21"/>
        </w:rPr>
        <w:t xml:space="preserve">Section 7.4 of the guidelines recognises that some organisations may want to submit a joint (consortia) application to deliver higher value projects. Applicants may wish to work with others to bring forward projects with a total cost of $1 million. </w:t>
      </w:r>
      <w:r w:rsidRPr="008E1E9C">
        <w:rPr>
          <w:rFonts w:ascii="Segoe UI" w:eastAsia="Times New Roman" w:hAnsi="Segoe UI" w:cs="Segoe UI"/>
          <w:sz w:val="21"/>
          <w:szCs w:val="21"/>
        </w:rPr>
        <w:t>Please contact the Business Grants Hub on 12 28 46 or at</w:t>
      </w:r>
      <w:r w:rsidRPr="008E1E9C">
        <w:rPr>
          <w:rFonts w:ascii="Segoe UI" w:hAnsi="Segoe UI" w:cs="Segoe UI"/>
          <w:sz w:val="21"/>
          <w:szCs w:val="21"/>
        </w:rPr>
        <w:t xml:space="preserve"> </w:t>
      </w:r>
      <w:r w:rsidRPr="008E1E9C">
        <w:rPr>
          <w:rFonts w:ascii="Segoe UI" w:eastAsia="Times New Roman" w:hAnsi="Segoe UI" w:cs="Segoe UI"/>
          <w:sz w:val="21"/>
          <w:szCs w:val="21"/>
          <w:u w:val="single"/>
        </w:rPr>
        <w:t>www.</w:t>
      </w:r>
      <w:r w:rsidRPr="008E1E9C">
        <w:rPr>
          <w:rFonts w:ascii="Segoe UI" w:hAnsi="Segoe UI" w:cs="Segoe UI"/>
          <w:sz w:val="21"/>
          <w:szCs w:val="21"/>
          <w:u w:val="single"/>
        </w:rPr>
        <w:t>business.gov.au/contact-us</w:t>
      </w:r>
      <w:r w:rsidRPr="008E1E9C">
        <w:rPr>
          <w:rFonts w:ascii="Segoe UI" w:eastAsia="Times New Roman" w:hAnsi="Segoe UI" w:cs="Segoe UI"/>
          <w:sz w:val="21"/>
          <w:szCs w:val="21"/>
        </w:rPr>
        <w:t xml:space="preserve"> for further information about the joint application process.</w:t>
      </w:r>
    </w:p>
    <w:p w14:paraId="680EE803" w14:textId="77777777" w:rsidR="00EE5C5A" w:rsidRPr="008E1E9C" w:rsidRDefault="00EE5C5A" w:rsidP="00EE5C5A">
      <w:pPr>
        <w:spacing w:after="0"/>
        <w:rPr>
          <w:rFonts w:ascii="Segoe UI" w:eastAsia="Times New Roman" w:hAnsi="Segoe UI" w:cs="Segoe UI"/>
          <w:b/>
          <w:color w:val="auto"/>
          <w:sz w:val="21"/>
          <w:szCs w:val="21"/>
          <w:lang w:eastAsia="en-AU"/>
        </w:rPr>
      </w:pPr>
      <w:r w:rsidRPr="008E1E9C">
        <w:rPr>
          <w:rFonts w:ascii="Segoe UI" w:eastAsia="Times New Roman" w:hAnsi="Segoe UI" w:cs="Segoe UI"/>
          <w:b/>
          <w:color w:val="auto"/>
          <w:sz w:val="21"/>
          <w:szCs w:val="21"/>
          <w:lang w:eastAsia="en-AU"/>
        </w:rPr>
        <w:t>Can project management costs be funded where staff are performing this role?</w:t>
      </w:r>
    </w:p>
    <w:p w14:paraId="1EE7AE08" w14:textId="7378DDF7" w:rsidR="00EE5C5A" w:rsidRPr="008E1E9C" w:rsidRDefault="00EE5C5A" w:rsidP="00EE5C5A">
      <w:pPr>
        <w:pStyle w:val="NormalWeb"/>
        <w:spacing w:before="0" w:beforeAutospacing="0" w:after="0" w:afterAutospacing="0"/>
        <w:rPr>
          <w:rFonts w:ascii="Segoe UI" w:hAnsi="Segoe UI" w:cs="Segoe UI"/>
          <w:color w:val="06162E" w:themeColor="accent1" w:themeShade="BF"/>
          <w:sz w:val="21"/>
          <w:szCs w:val="21"/>
        </w:rPr>
      </w:pPr>
      <w:r w:rsidRPr="008E1E9C">
        <w:rPr>
          <w:rFonts w:ascii="Segoe UI" w:hAnsi="Segoe UI" w:cs="Segoe UI"/>
          <w:color w:val="06162E" w:themeColor="accent1" w:themeShade="BF"/>
          <w:sz w:val="21"/>
          <w:szCs w:val="21"/>
        </w:rPr>
        <w:t xml:space="preserve">No, the payment of salaries for applicant employees is ineligible expenditure under </w:t>
      </w:r>
      <w:r w:rsidR="0025377B">
        <w:rPr>
          <w:rFonts w:ascii="Segoe UI" w:hAnsi="Segoe UI" w:cs="Segoe UI"/>
          <w:color w:val="06162E" w:themeColor="accent1" w:themeShade="BF"/>
          <w:sz w:val="21"/>
          <w:szCs w:val="21"/>
        </w:rPr>
        <w:t>A</w:t>
      </w:r>
      <w:r w:rsidRPr="008E1E9C">
        <w:rPr>
          <w:rFonts w:ascii="Segoe UI" w:hAnsi="Segoe UI" w:cs="Segoe UI"/>
          <w:color w:val="06162E" w:themeColor="accent1" w:themeShade="BF"/>
          <w:sz w:val="21"/>
          <w:szCs w:val="21"/>
        </w:rPr>
        <w:t>ppendix B of the guidelines.</w:t>
      </w:r>
    </w:p>
    <w:p w14:paraId="78FDA8E7" w14:textId="77777777" w:rsidR="00A11DB3" w:rsidRPr="008E1E9C" w:rsidRDefault="00A11DB3" w:rsidP="00A11DB3">
      <w:pPr>
        <w:pStyle w:val="NormalWeb"/>
        <w:spacing w:before="0" w:beforeAutospacing="0" w:after="0" w:afterAutospacing="0"/>
        <w:rPr>
          <w:rFonts w:ascii="Segoe UI" w:hAnsi="Segoe UI" w:cs="Segoe UI"/>
          <w:sz w:val="21"/>
          <w:szCs w:val="21"/>
        </w:rPr>
      </w:pPr>
    </w:p>
    <w:p w14:paraId="7D1FCA52" w14:textId="01762180" w:rsidR="00E210F9" w:rsidRPr="008E1E9C" w:rsidRDefault="006B098A" w:rsidP="00E210F9">
      <w:pPr>
        <w:spacing w:before="0" w:after="0"/>
        <w:rPr>
          <w:rFonts w:ascii="Segoe UI" w:eastAsia="Times New Roman" w:hAnsi="Segoe UI" w:cs="Segoe UI"/>
          <w:b/>
          <w:sz w:val="21"/>
          <w:szCs w:val="21"/>
          <w:lang w:eastAsia="en-AU"/>
        </w:rPr>
      </w:pPr>
      <w:r w:rsidRPr="008E1E9C">
        <w:rPr>
          <w:rFonts w:ascii="Segoe UI" w:eastAsia="Times New Roman" w:hAnsi="Segoe UI" w:cs="Segoe UI"/>
          <w:b/>
          <w:sz w:val="21"/>
          <w:szCs w:val="21"/>
          <w:lang w:eastAsia="en-AU"/>
        </w:rPr>
        <w:t xml:space="preserve">Can you provide </w:t>
      </w:r>
      <w:r w:rsidR="00A11DB3" w:rsidRPr="008E1E9C">
        <w:rPr>
          <w:rFonts w:ascii="Segoe UI" w:eastAsia="Times New Roman" w:hAnsi="Segoe UI" w:cs="Segoe UI"/>
          <w:b/>
          <w:sz w:val="21"/>
          <w:szCs w:val="21"/>
          <w:lang w:eastAsia="en-AU"/>
        </w:rPr>
        <w:t>guidance on contingencies</w:t>
      </w:r>
      <w:r w:rsidRPr="008E1E9C">
        <w:rPr>
          <w:rFonts w:ascii="Segoe UI" w:eastAsia="Times New Roman" w:hAnsi="Segoe UI" w:cs="Segoe UI"/>
          <w:b/>
          <w:sz w:val="21"/>
          <w:szCs w:val="21"/>
          <w:lang w:eastAsia="en-AU"/>
        </w:rPr>
        <w:t>, for example</w:t>
      </w:r>
      <w:r w:rsidR="00E210F9" w:rsidRPr="008E1E9C">
        <w:rPr>
          <w:rFonts w:ascii="Segoe UI" w:eastAsia="Times New Roman" w:hAnsi="Segoe UI" w:cs="Segoe UI"/>
          <w:b/>
          <w:sz w:val="21"/>
          <w:szCs w:val="21"/>
          <w:lang w:eastAsia="en-AU"/>
        </w:rPr>
        <w:t>,</w:t>
      </w:r>
      <w:r w:rsidR="00A11DB3" w:rsidRPr="008E1E9C">
        <w:rPr>
          <w:rFonts w:ascii="Segoe UI" w:eastAsia="Times New Roman" w:hAnsi="Segoe UI" w:cs="Segoe UI"/>
          <w:b/>
          <w:sz w:val="21"/>
          <w:szCs w:val="21"/>
          <w:lang w:eastAsia="en-AU"/>
        </w:rPr>
        <w:t xml:space="preserve"> amounts, eligibility etc</w:t>
      </w:r>
      <w:r w:rsidRPr="008E1E9C">
        <w:rPr>
          <w:rFonts w:ascii="Segoe UI" w:eastAsia="Times New Roman" w:hAnsi="Segoe UI" w:cs="Segoe UI"/>
          <w:b/>
          <w:sz w:val="21"/>
          <w:szCs w:val="21"/>
          <w:lang w:eastAsia="en-AU"/>
        </w:rPr>
        <w:t>?</w:t>
      </w:r>
    </w:p>
    <w:p w14:paraId="2BEFE6FF" w14:textId="15B5B060" w:rsidR="00E210F9" w:rsidRPr="008E1E9C" w:rsidRDefault="00E210F9" w:rsidP="00E210F9">
      <w:pPr>
        <w:spacing w:before="0" w:after="0"/>
        <w:rPr>
          <w:rFonts w:ascii="Segoe UI" w:eastAsia="Times New Roman" w:hAnsi="Segoe UI" w:cs="Segoe UI"/>
          <w:sz w:val="21"/>
          <w:szCs w:val="21"/>
          <w:lang w:eastAsia="en-AU"/>
        </w:rPr>
      </w:pPr>
      <w:r w:rsidRPr="008E1E9C">
        <w:rPr>
          <w:rFonts w:ascii="Segoe UI" w:eastAsia="Times New Roman" w:hAnsi="Segoe UI" w:cs="Segoe UI"/>
          <w:sz w:val="21"/>
          <w:szCs w:val="21"/>
          <w:lang w:eastAsia="en-AU"/>
        </w:rPr>
        <w:t xml:space="preserve">Applicants are encouraged to invest time in writing their applications and developing project budgets that are </w:t>
      </w:r>
      <w:r w:rsidR="00CA2DA6" w:rsidRPr="008E1E9C">
        <w:rPr>
          <w:rFonts w:ascii="Segoe UI" w:eastAsia="Times New Roman" w:hAnsi="Segoe UI" w:cs="Segoe UI"/>
          <w:sz w:val="21"/>
          <w:szCs w:val="21"/>
          <w:lang w:eastAsia="en-AU"/>
        </w:rPr>
        <w:t>realistic</w:t>
      </w:r>
      <w:r w:rsidRPr="008E1E9C">
        <w:rPr>
          <w:rFonts w:ascii="Segoe UI" w:eastAsia="Times New Roman" w:hAnsi="Segoe UI" w:cs="Segoe UI"/>
          <w:sz w:val="21"/>
          <w:szCs w:val="21"/>
          <w:lang w:eastAsia="en-AU"/>
        </w:rPr>
        <w:t xml:space="preserve"> and cater for contingencies</w:t>
      </w:r>
      <w:r w:rsidR="00CA2DA6" w:rsidRPr="008E1E9C">
        <w:rPr>
          <w:rFonts w:ascii="Segoe UI" w:eastAsia="Times New Roman" w:hAnsi="Segoe UI" w:cs="Segoe UI"/>
          <w:sz w:val="21"/>
          <w:szCs w:val="21"/>
          <w:lang w:eastAsia="en-AU"/>
        </w:rPr>
        <w:t xml:space="preserve"> such as potential increases to project costs and timeframes</w:t>
      </w:r>
      <w:r w:rsidRPr="008E1E9C">
        <w:rPr>
          <w:rFonts w:ascii="Segoe UI" w:eastAsia="Times New Roman" w:hAnsi="Segoe UI" w:cs="Segoe UI"/>
          <w:sz w:val="21"/>
          <w:szCs w:val="21"/>
          <w:lang w:eastAsia="en-AU"/>
        </w:rPr>
        <w:t xml:space="preserve">. </w:t>
      </w:r>
    </w:p>
    <w:p w14:paraId="3ECA6C46" w14:textId="48613402" w:rsidR="00E210F9" w:rsidRPr="008E1E9C" w:rsidRDefault="00CA2DA6" w:rsidP="00E210F9">
      <w:pPr>
        <w:rPr>
          <w:rFonts w:ascii="Segoe UI" w:hAnsi="Segoe UI" w:cs="Segoe UI"/>
          <w:sz w:val="21"/>
          <w:szCs w:val="21"/>
        </w:rPr>
      </w:pPr>
      <w:r w:rsidRPr="008E1E9C">
        <w:rPr>
          <w:rFonts w:ascii="Segoe UI" w:hAnsi="Segoe UI" w:cs="Segoe UI"/>
          <w:sz w:val="21"/>
          <w:szCs w:val="21"/>
        </w:rPr>
        <w:t xml:space="preserve">In terms of grant funding for successful projects, </w:t>
      </w:r>
      <w:r w:rsidR="008D2525">
        <w:rPr>
          <w:rFonts w:ascii="Segoe UI" w:hAnsi="Segoe UI" w:cs="Segoe UI"/>
          <w:sz w:val="21"/>
          <w:szCs w:val="21"/>
        </w:rPr>
        <w:t xml:space="preserve">progress payments are usually made in arrears and </w:t>
      </w:r>
      <w:r w:rsidRPr="008E1E9C">
        <w:rPr>
          <w:rFonts w:ascii="Segoe UI" w:hAnsi="Segoe UI" w:cs="Segoe UI"/>
          <w:sz w:val="21"/>
          <w:szCs w:val="21"/>
        </w:rPr>
        <w:t>w</w:t>
      </w:r>
      <w:r w:rsidR="00E210F9" w:rsidRPr="008E1E9C">
        <w:rPr>
          <w:rFonts w:ascii="Segoe UI" w:hAnsi="Segoe UI" w:cs="Segoe UI"/>
          <w:sz w:val="21"/>
          <w:szCs w:val="21"/>
        </w:rPr>
        <w:t>e set aside at least 10 per cent of the total grant funding for the final payment. We will pay this when</w:t>
      </w:r>
      <w:r w:rsidRPr="008E1E9C">
        <w:rPr>
          <w:rFonts w:ascii="Segoe UI" w:hAnsi="Segoe UI" w:cs="Segoe UI"/>
          <w:sz w:val="21"/>
          <w:szCs w:val="21"/>
        </w:rPr>
        <w:t xml:space="preserve"> applicants </w:t>
      </w:r>
      <w:r w:rsidR="00E210F9" w:rsidRPr="008E1E9C">
        <w:rPr>
          <w:rFonts w:ascii="Segoe UI" w:hAnsi="Segoe UI" w:cs="Segoe UI"/>
          <w:sz w:val="21"/>
          <w:szCs w:val="21"/>
        </w:rPr>
        <w:t>submit a satisfactory end of project report demonstrating completed outstanding obligations for the project. We may need to adjust progress payments to align with available program funds across financial years and/or to ensure we retain a minimum 10 per cent of grant funding for the final payment.</w:t>
      </w:r>
    </w:p>
    <w:p w14:paraId="04F50F08" w14:textId="77777777" w:rsidR="00501F0B" w:rsidRPr="00501F0B" w:rsidRDefault="00501F0B" w:rsidP="00A11DB3">
      <w:pPr>
        <w:pStyle w:val="NormalWeb"/>
        <w:spacing w:before="0" w:beforeAutospacing="0" w:after="0" w:afterAutospacing="0"/>
        <w:rPr>
          <w:rFonts w:ascii="Segoe UI" w:hAnsi="Segoe UI" w:cs="Segoe UI"/>
          <w:sz w:val="21"/>
          <w:szCs w:val="21"/>
        </w:rPr>
      </w:pPr>
    </w:p>
    <w:p w14:paraId="62881C4E" w14:textId="2198FB80" w:rsidR="00A11DB3" w:rsidRPr="008E1E9C" w:rsidRDefault="00A11DB3" w:rsidP="00A11DB3">
      <w:pPr>
        <w:pStyle w:val="NormalWeb"/>
        <w:spacing w:before="0" w:beforeAutospacing="0" w:after="0" w:afterAutospacing="0"/>
        <w:rPr>
          <w:rFonts w:ascii="Segoe UI" w:hAnsi="Segoe UI" w:cs="Segoe UI"/>
          <w:b/>
          <w:sz w:val="21"/>
          <w:szCs w:val="21"/>
        </w:rPr>
      </w:pPr>
      <w:r w:rsidRPr="008E1E9C">
        <w:rPr>
          <w:rFonts w:ascii="Segoe UI" w:hAnsi="Segoe UI" w:cs="Segoe UI"/>
          <w:b/>
          <w:sz w:val="21"/>
          <w:szCs w:val="21"/>
        </w:rPr>
        <w:t xml:space="preserve">Can you suggest how councils might resolve </w:t>
      </w:r>
      <w:r w:rsidR="00061E8B" w:rsidRPr="008E1E9C">
        <w:rPr>
          <w:rFonts w:ascii="Segoe UI" w:hAnsi="Segoe UI" w:cs="Segoe UI"/>
          <w:b/>
          <w:sz w:val="21"/>
          <w:szCs w:val="21"/>
        </w:rPr>
        <w:t>reaching or exceeding local construction market limits</w:t>
      </w:r>
      <w:r w:rsidRPr="008E1E9C">
        <w:rPr>
          <w:rFonts w:ascii="Segoe UI" w:hAnsi="Segoe UI" w:cs="Segoe UI"/>
          <w:b/>
          <w:sz w:val="21"/>
          <w:szCs w:val="21"/>
        </w:rPr>
        <w:t xml:space="preserve"> to be able to participate in this grant? And what flexibility measures are built into the grant criteria and management?</w:t>
      </w:r>
    </w:p>
    <w:p w14:paraId="2007EA28" w14:textId="74A6F2ED" w:rsidR="00061E8B" w:rsidRPr="008E1E9C" w:rsidRDefault="00FB3E8A" w:rsidP="00A11DB3">
      <w:pPr>
        <w:pStyle w:val="NormalWeb"/>
        <w:spacing w:before="0" w:beforeAutospacing="0" w:after="0" w:afterAutospacing="0"/>
        <w:rPr>
          <w:rFonts w:ascii="Segoe UI" w:eastAsiaTheme="minorHAnsi" w:hAnsi="Segoe UI" w:cs="Segoe UI"/>
          <w:color w:val="000000" w:themeColor="text1"/>
          <w:sz w:val="21"/>
          <w:szCs w:val="21"/>
          <w:lang w:eastAsia="en-US"/>
        </w:rPr>
      </w:pPr>
      <w:r w:rsidRPr="008E1E9C">
        <w:rPr>
          <w:rFonts w:ascii="Segoe UI" w:hAnsi="Segoe UI" w:cs="Segoe UI"/>
          <w:sz w:val="21"/>
          <w:szCs w:val="21"/>
        </w:rPr>
        <w:t xml:space="preserve">We recognise that councils across Australia are currently operating under </w:t>
      </w:r>
      <w:r w:rsidR="000A61FF" w:rsidRPr="008E1E9C">
        <w:rPr>
          <w:rFonts w:ascii="Segoe UI" w:hAnsi="Segoe UI" w:cs="Segoe UI"/>
          <w:sz w:val="21"/>
          <w:szCs w:val="21"/>
        </w:rPr>
        <w:t>tight</w:t>
      </w:r>
      <w:r w:rsidRPr="008E1E9C">
        <w:rPr>
          <w:rFonts w:ascii="Segoe UI" w:hAnsi="Segoe UI" w:cs="Segoe UI"/>
          <w:sz w:val="21"/>
          <w:szCs w:val="21"/>
        </w:rPr>
        <w:t xml:space="preserve"> market conditions. In situations such as these applicants may wish to consider staging project activities</w:t>
      </w:r>
      <w:r w:rsidR="00766CBD">
        <w:rPr>
          <w:rFonts w:ascii="Segoe UI" w:hAnsi="Segoe UI" w:cs="Segoe UI"/>
          <w:sz w:val="21"/>
          <w:szCs w:val="21"/>
        </w:rPr>
        <w:t>,</w:t>
      </w:r>
      <w:r w:rsidR="00D6398E" w:rsidRPr="008E1E9C">
        <w:rPr>
          <w:rFonts w:ascii="Segoe UI" w:hAnsi="Segoe UI" w:cs="Segoe UI"/>
          <w:sz w:val="21"/>
          <w:szCs w:val="21"/>
        </w:rPr>
        <w:t xml:space="preserve"> or deferring</w:t>
      </w:r>
      <w:r w:rsidR="00303EE6">
        <w:rPr>
          <w:rFonts w:ascii="Segoe UI" w:hAnsi="Segoe UI" w:cs="Segoe UI"/>
          <w:sz w:val="21"/>
          <w:szCs w:val="21"/>
        </w:rPr>
        <w:t xml:space="preserve"> their</w:t>
      </w:r>
      <w:r w:rsidR="00D6398E" w:rsidRPr="008E1E9C">
        <w:rPr>
          <w:rFonts w:ascii="Segoe UI" w:hAnsi="Segoe UI" w:cs="Segoe UI"/>
          <w:sz w:val="21"/>
          <w:szCs w:val="21"/>
        </w:rPr>
        <w:t xml:space="preserve"> project</w:t>
      </w:r>
      <w:r w:rsidR="00766CBD">
        <w:rPr>
          <w:rFonts w:ascii="Segoe UI" w:hAnsi="Segoe UI" w:cs="Segoe UI"/>
          <w:sz w:val="21"/>
          <w:szCs w:val="21"/>
        </w:rPr>
        <w:t xml:space="preserve"> </w:t>
      </w:r>
      <w:r w:rsidR="00303EE6">
        <w:rPr>
          <w:rFonts w:ascii="Segoe UI" w:hAnsi="Segoe UI" w:cs="Segoe UI"/>
          <w:sz w:val="21"/>
          <w:szCs w:val="21"/>
        </w:rPr>
        <w:t>until the</w:t>
      </w:r>
      <w:r w:rsidR="00766CBD">
        <w:rPr>
          <w:rFonts w:ascii="Segoe UI" w:hAnsi="Segoe UI" w:cs="Segoe UI"/>
          <w:sz w:val="21"/>
          <w:szCs w:val="21"/>
        </w:rPr>
        <w:t xml:space="preserve"> Growing Regions Program – Round 2 </w:t>
      </w:r>
      <w:r w:rsidR="00303EE6">
        <w:rPr>
          <w:rFonts w:ascii="Segoe UI" w:hAnsi="Segoe UI" w:cs="Segoe UI"/>
          <w:sz w:val="21"/>
          <w:szCs w:val="21"/>
        </w:rPr>
        <w:t>opens late 2023,</w:t>
      </w:r>
      <w:r w:rsidRPr="008E1E9C">
        <w:rPr>
          <w:rFonts w:ascii="Segoe UI" w:hAnsi="Segoe UI" w:cs="Segoe UI"/>
          <w:sz w:val="21"/>
          <w:szCs w:val="21"/>
        </w:rPr>
        <w:t xml:space="preserve"> to better match market availability</w:t>
      </w:r>
      <w:r w:rsidR="00372B8C" w:rsidRPr="008E1E9C">
        <w:rPr>
          <w:rFonts w:ascii="Segoe UI" w:hAnsi="Segoe UI" w:cs="Segoe UI"/>
          <w:sz w:val="21"/>
          <w:szCs w:val="21"/>
        </w:rPr>
        <w:t xml:space="preserve"> within the required program dates</w:t>
      </w:r>
      <w:r w:rsidR="00D6398E" w:rsidRPr="008E1E9C">
        <w:rPr>
          <w:rFonts w:ascii="Segoe UI" w:hAnsi="Segoe UI" w:cs="Segoe UI"/>
          <w:sz w:val="21"/>
          <w:szCs w:val="21"/>
        </w:rPr>
        <w:t xml:space="preserve">. We would also encourage applicants to contact the Business Grants Hub on 12 28 46 or at </w:t>
      </w:r>
      <w:hyperlink r:id="rId11" w:history="1">
        <w:r w:rsidR="00D6398E" w:rsidRPr="008E1E9C">
          <w:rPr>
            <w:rFonts w:ascii="Segoe UI" w:eastAsiaTheme="minorHAnsi" w:hAnsi="Segoe UI" w:cs="Segoe UI"/>
            <w:color w:val="0000FF"/>
            <w:sz w:val="21"/>
            <w:szCs w:val="21"/>
            <w:u w:val="single"/>
            <w:lang w:eastAsia="en-US"/>
          </w:rPr>
          <w:t>Growing Regions Program Round 1 | business.gov.au</w:t>
        </w:r>
      </w:hyperlink>
      <w:r w:rsidR="00D6398E" w:rsidRPr="008E1E9C">
        <w:rPr>
          <w:rFonts w:ascii="Segoe UI" w:eastAsiaTheme="minorHAnsi" w:hAnsi="Segoe UI" w:cs="Segoe UI"/>
          <w:color w:val="000000" w:themeColor="text1"/>
          <w:sz w:val="21"/>
          <w:szCs w:val="21"/>
          <w:lang w:eastAsia="en-US"/>
        </w:rPr>
        <w:t xml:space="preserve"> to discuss their project applications.</w:t>
      </w:r>
    </w:p>
    <w:p w14:paraId="09AD7081" w14:textId="77777777" w:rsidR="00D6398E" w:rsidRPr="001B3776" w:rsidRDefault="00D6398E" w:rsidP="00A11DB3">
      <w:pPr>
        <w:pStyle w:val="NormalWeb"/>
        <w:spacing w:before="0" w:beforeAutospacing="0" w:after="0" w:afterAutospacing="0"/>
        <w:rPr>
          <w:rFonts w:ascii="Segoe UI" w:hAnsi="Segoe UI" w:cs="Segoe UI"/>
          <w:sz w:val="21"/>
          <w:szCs w:val="21"/>
        </w:rPr>
      </w:pPr>
    </w:p>
    <w:p w14:paraId="2AD62227" w14:textId="6546E322" w:rsidR="00A11DB3" w:rsidRPr="008E1E9C" w:rsidRDefault="00A11DB3" w:rsidP="00907A39">
      <w:pPr>
        <w:pStyle w:val="NormalWeb"/>
        <w:spacing w:before="0" w:beforeAutospacing="0" w:after="0" w:afterAutospacing="0"/>
        <w:rPr>
          <w:rFonts w:ascii="Segoe UI" w:hAnsi="Segoe UI" w:cs="Segoe UI"/>
          <w:b/>
          <w:sz w:val="21"/>
          <w:szCs w:val="21"/>
        </w:rPr>
      </w:pPr>
      <w:r w:rsidRPr="008E1E9C">
        <w:rPr>
          <w:rFonts w:ascii="Segoe UI" w:hAnsi="Segoe UI" w:cs="Segoe UI"/>
          <w:b/>
          <w:sz w:val="21"/>
          <w:szCs w:val="21"/>
        </w:rPr>
        <w:lastRenderedPageBreak/>
        <w:t>Cost escalations in my region (and probably most others) are horrendous. Quotes may have little meaning and the 34 weeks it takes to get to the point of funding makes it harder. Can applicants build in a percentage for escalations?</w:t>
      </w:r>
    </w:p>
    <w:p w14:paraId="7985360D" w14:textId="15B9539D" w:rsidR="00801F2C" w:rsidRPr="008E1E9C" w:rsidRDefault="00801F2C" w:rsidP="00907A39">
      <w:pPr>
        <w:spacing w:before="0"/>
        <w:rPr>
          <w:rFonts w:ascii="Segoe UI" w:hAnsi="Segoe UI" w:cs="Segoe UI"/>
          <w:iCs/>
          <w:sz w:val="21"/>
          <w:szCs w:val="21"/>
        </w:rPr>
      </w:pPr>
      <w:r w:rsidRPr="008E1E9C">
        <w:rPr>
          <w:rFonts w:ascii="Segoe UI" w:hAnsi="Segoe UI" w:cs="Segoe UI"/>
          <w:iCs/>
          <w:sz w:val="21"/>
          <w:szCs w:val="21"/>
        </w:rPr>
        <w:t>At EOI stage, the intent of the guidelines is for applicants to demonstrate that the project budget</w:t>
      </w:r>
      <w:r w:rsidR="000D716D" w:rsidRPr="008E1E9C">
        <w:rPr>
          <w:rFonts w:ascii="Segoe UI" w:hAnsi="Segoe UI" w:cs="Segoe UI"/>
          <w:iCs/>
          <w:sz w:val="21"/>
          <w:szCs w:val="21"/>
        </w:rPr>
        <w:t xml:space="preserve"> </w:t>
      </w:r>
      <w:r w:rsidRPr="008E1E9C">
        <w:rPr>
          <w:rFonts w:ascii="Segoe UI" w:hAnsi="Segoe UI" w:cs="Segoe UI"/>
          <w:iCs/>
          <w:sz w:val="21"/>
          <w:szCs w:val="21"/>
        </w:rPr>
        <w:t>is based on robust assumptions. This can be done by attaching quotes or other costings which would give an assessor sufficient confidence that the budget is realistic for the proposed project.</w:t>
      </w:r>
      <w:r w:rsidR="00606912">
        <w:rPr>
          <w:rFonts w:ascii="Segoe UI" w:hAnsi="Segoe UI" w:cs="Segoe UI"/>
          <w:iCs/>
          <w:sz w:val="21"/>
          <w:szCs w:val="21"/>
        </w:rPr>
        <w:t xml:space="preserve"> However, we recognise that </w:t>
      </w:r>
      <w:r w:rsidR="006B47EB">
        <w:rPr>
          <w:rFonts w:ascii="Segoe UI" w:hAnsi="Segoe UI" w:cs="Segoe UI"/>
          <w:iCs/>
          <w:sz w:val="21"/>
          <w:szCs w:val="21"/>
        </w:rPr>
        <w:t>quotes or other costings</w:t>
      </w:r>
      <w:r w:rsidR="00606912">
        <w:rPr>
          <w:rFonts w:ascii="Segoe UI" w:hAnsi="Segoe UI" w:cs="Segoe UI"/>
          <w:iCs/>
          <w:sz w:val="21"/>
          <w:szCs w:val="21"/>
        </w:rPr>
        <w:t xml:space="preserve"> may vary between</w:t>
      </w:r>
      <w:r w:rsidR="006B47EB">
        <w:rPr>
          <w:rFonts w:ascii="Segoe UI" w:hAnsi="Segoe UI" w:cs="Segoe UI"/>
          <w:iCs/>
          <w:sz w:val="21"/>
          <w:szCs w:val="21"/>
        </w:rPr>
        <w:t xml:space="preserve"> the</w:t>
      </w:r>
      <w:r w:rsidR="00606912">
        <w:rPr>
          <w:rFonts w:ascii="Segoe UI" w:hAnsi="Segoe UI" w:cs="Segoe UI"/>
          <w:iCs/>
          <w:sz w:val="21"/>
          <w:szCs w:val="21"/>
        </w:rPr>
        <w:t xml:space="preserve"> EOI and full application stage</w:t>
      </w:r>
      <w:r w:rsidR="006B47EB">
        <w:rPr>
          <w:rFonts w:ascii="Segoe UI" w:hAnsi="Segoe UI" w:cs="Segoe UI"/>
          <w:iCs/>
          <w:sz w:val="21"/>
          <w:szCs w:val="21"/>
        </w:rPr>
        <w:t>.</w:t>
      </w:r>
    </w:p>
    <w:p w14:paraId="6B848D9A" w14:textId="77777777" w:rsidR="00801F2C" w:rsidRPr="00501F0B" w:rsidRDefault="00801F2C" w:rsidP="00A11DB3">
      <w:pPr>
        <w:pStyle w:val="NormalWeb"/>
        <w:spacing w:before="0" w:beforeAutospacing="0" w:after="0" w:afterAutospacing="0"/>
        <w:rPr>
          <w:rFonts w:ascii="Segoe UI" w:hAnsi="Segoe UI" w:cs="Segoe UI"/>
          <w:sz w:val="21"/>
          <w:szCs w:val="21"/>
        </w:rPr>
      </w:pPr>
    </w:p>
    <w:p w14:paraId="39DD7DE8" w14:textId="77777777" w:rsidR="00A11DB3" w:rsidRPr="008E1E9C" w:rsidRDefault="00A11DB3" w:rsidP="001E235A">
      <w:pPr>
        <w:spacing w:before="0" w:after="0"/>
        <w:rPr>
          <w:rFonts w:ascii="Segoe UI" w:eastAsia="Times New Roman" w:hAnsi="Segoe UI" w:cs="Segoe UI"/>
          <w:b/>
          <w:sz w:val="21"/>
          <w:szCs w:val="21"/>
          <w:lang w:eastAsia="en-AU"/>
        </w:rPr>
      </w:pPr>
      <w:r w:rsidRPr="008E1E9C">
        <w:rPr>
          <w:rFonts w:ascii="Segoe UI" w:eastAsia="Times New Roman" w:hAnsi="Segoe UI" w:cs="Segoe UI"/>
          <w:b/>
          <w:sz w:val="21"/>
          <w:szCs w:val="21"/>
          <w:lang w:eastAsia="en-AU"/>
        </w:rPr>
        <w:t>How will an applicant be certain that they are eligible for disaster area project funding (i.e. they may be in the area but it may be assessed that the project does not fit the criteria)? Can applicants 'hedge their bets' when seeking legitimate disaster area (90/10) or remote area (70/30) funding splits, where they go for the best split (e.g. 90/10) but can roll back to 50/50 if not supported / unsuccessful at the best funding split?  </w:t>
      </w:r>
    </w:p>
    <w:p w14:paraId="6DB1272D" w14:textId="6F6EA2C4" w:rsidR="00907A39" w:rsidRPr="008E1E9C" w:rsidRDefault="00907A39" w:rsidP="001E235A">
      <w:pPr>
        <w:spacing w:before="0"/>
        <w:rPr>
          <w:rFonts w:ascii="Segoe UI" w:hAnsi="Segoe UI" w:cs="Segoe UI"/>
          <w:color w:val="000000"/>
          <w:sz w:val="21"/>
          <w:szCs w:val="21"/>
        </w:rPr>
      </w:pPr>
      <w:r w:rsidRPr="008E1E9C">
        <w:rPr>
          <w:rFonts w:ascii="Segoe UI" w:hAnsi="Segoe UI" w:cs="Segoe UI"/>
          <w:color w:val="000000"/>
          <w:sz w:val="21"/>
          <w:szCs w:val="21"/>
        </w:rPr>
        <w:t xml:space="preserve">To be eligible for the up to 90% co-contribution towards eligible project costs, the specific project site must be located in </w:t>
      </w:r>
      <w:r w:rsidR="00FB0762">
        <w:rPr>
          <w:rFonts w:ascii="Segoe UI" w:hAnsi="Segoe UI" w:cs="Segoe UI"/>
          <w:color w:val="000000"/>
          <w:sz w:val="21"/>
          <w:szCs w:val="21"/>
        </w:rPr>
        <w:t xml:space="preserve">an </w:t>
      </w:r>
      <w:r w:rsidRPr="008E1E9C">
        <w:rPr>
          <w:rFonts w:ascii="Segoe UI" w:hAnsi="Segoe UI" w:cs="Segoe UI"/>
          <w:color w:val="000000"/>
          <w:sz w:val="21"/>
          <w:szCs w:val="21"/>
        </w:rPr>
        <w:t xml:space="preserve">area impacted by natural disaster from 1 May 2022 onwards. Applicants must identify these areas using the link provided on page 8 of the guidelines. This link will direct applicants to the search tools and maps provided by the Department of Home Affairs’ on its Disaster Assist web page. The project site must </w:t>
      </w:r>
      <w:r w:rsidR="008D2525">
        <w:rPr>
          <w:rFonts w:ascii="Segoe UI" w:hAnsi="Segoe UI" w:cs="Segoe UI"/>
          <w:color w:val="000000"/>
          <w:sz w:val="21"/>
          <w:szCs w:val="21"/>
        </w:rPr>
        <w:t xml:space="preserve">also </w:t>
      </w:r>
      <w:r w:rsidRPr="008E1E9C">
        <w:rPr>
          <w:rFonts w:ascii="Segoe UI" w:hAnsi="Segoe UI" w:cs="Segoe UI"/>
          <w:color w:val="000000"/>
          <w:sz w:val="21"/>
          <w:szCs w:val="21"/>
        </w:rPr>
        <w:t xml:space="preserve">be directly impacted by the disaster. </w:t>
      </w:r>
    </w:p>
    <w:p w14:paraId="7A33A1BB" w14:textId="5690E8FF" w:rsidR="00907A39" w:rsidRDefault="00907A39" w:rsidP="00907A39">
      <w:pPr>
        <w:rPr>
          <w:rFonts w:ascii="Segoe UI" w:hAnsi="Segoe UI" w:cs="Segoe UI"/>
          <w:color w:val="000000"/>
          <w:sz w:val="21"/>
          <w:szCs w:val="21"/>
        </w:rPr>
      </w:pPr>
      <w:r w:rsidRPr="008E1E9C">
        <w:rPr>
          <w:rFonts w:ascii="Segoe UI" w:hAnsi="Segoe UI" w:cs="Segoe UI"/>
          <w:color w:val="000000"/>
          <w:sz w:val="21"/>
          <w:szCs w:val="21"/>
        </w:rPr>
        <w:t>The evidence required to support the request for co-funding requirements under Group 1 could include evidence that the project location has been identified on the Disaster Assist website coupled with evidence of the specific site being impacted</w:t>
      </w:r>
      <w:r w:rsidR="008E1E9C">
        <w:rPr>
          <w:rFonts w:ascii="Segoe UI" w:hAnsi="Segoe UI" w:cs="Segoe UI"/>
          <w:color w:val="000000"/>
          <w:sz w:val="21"/>
          <w:szCs w:val="21"/>
        </w:rPr>
        <w:t>. F</w:t>
      </w:r>
      <w:r w:rsidRPr="008E1E9C">
        <w:rPr>
          <w:rFonts w:ascii="Segoe UI" w:hAnsi="Segoe UI" w:cs="Segoe UI"/>
          <w:color w:val="000000"/>
          <w:sz w:val="21"/>
          <w:szCs w:val="21"/>
        </w:rPr>
        <w:t>or example, photos, newspaper articles, insurance documents etc.</w:t>
      </w:r>
    </w:p>
    <w:p w14:paraId="10476FDB" w14:textId="49D14611" w:rsidR="008D2525" w:rsidRPr="008E1E9C" w:rsidRDefault="008D2525" w:rsidP="00907A39">
      <w:pPr>
        <w:rPr>
          <w:rFonts w:ascii="Segoe UI" w:hAnsi="Segoe UI" w:cs="Segoe UI"/>
          <w:color w:val="000000"/>
          <w:sz w:val="21"/>
          <w:szCs w:val="21"/>
        </w:rPr>
      </w:pPr>
      <w:r>
        <w:rPr>
          <w:rFonts w:ascii="Segoe UI" w:hAnsi="Segoe UI" w:cs="Segoe UI"/>
          <w:color w:val="000000"/>
          <w:sz w:val="21"/>
          <w:szCs w:val="21"/>
        </w:rPr>
        <w:t xml:space="preserve">Where the evidence to support a Group 1 application is deemed insufficient but the application is meritorious in all other respects, the applicant may still be invited to submit a </w:t>
      </w:r>
      <w:r w:rsidR="004E557D">
        <w:rPr>
          <w:rFonts w:ascii="Segoe UI" w:hAnsi="Segoe UI" w:cs="Segoe UI"/>
          <w:color w:val="000000"/>
          <w:sz w:val="21"/>
          <w:szCs w:val="21"/>
        </w:rPr>
        <w:t>f</w:t>
      </w:r>
      <w:r>
        <w:rPr>
          <w:rFonts w:ascii="Segoe UI" w:hAnsi="Segoe UI" w:cs="Segoe UI"/>
          <w:color w:val="000000"/>
          <w:sz w:val="21"/>
          <w:szCs w:val="21"/>
        </w:rPr>
        <w:t xml:space="preserve">ull </w:t>
      </w:r>
      <w:r w:rsidR="004E557D">
        <w:rPr>
          <w:rFonts w:ascii="Segoe UI" w:hAnsi="Segoe UI" w:cs="Segoe UI"/>
          <w:color w:val="000000"/>
          <w:sz w:val="21"/>
          <w:szCs w:val="21"/>
        </w:rPr>
        <w:t>a</w:t>
      </w:r>
      <w:r>
        <w:rPr>
          <w:rFonts w:ascii="Segoe UI" w:hAnsi="Segoe UI" w:cs="Segoe UI"/>
          <w:color w:val="000000"/>
          <w:sz w:val="21"/>
          <w:szCs w:val="21"/>
        </w:rPr>
        <w:t>pplication under the co-funding group associated with the project location only. In this case, the applicant will need to demonstrate they meet the co-funding requirements for that new group as part of the Full Application.</w:t>
      </w:r>
    </w:p>
    <w:p w14:paraId="5FEC346B" w14:textId="219815BB" w:rsidR="00907A39" w:rsidRPr="008E1E9C" w:rsidRDefault="00907A39" w:rsidP="00907A39">
      <w:pPr>
        <w:rPr>
          <w:rStyle w:val="Hyperlink"/>
          <w:rFonts w:ascii="Segoe UI" w:hAnsi="Segoe UI" w:cs="Segoe UI"/>
          <w:color w:val="0000FF"/>
          <w:sz w:val="21"/>
          <w:szCs w:val="21"/>
        </w:rPr>
      </w:pPr>
      <w:r w:rsidRPr="008E1E9C">
        <w:rPr>
          <w:rFonts w:ascii="Segoe UI" w:hAnsi="Segoe UI" w:cs="Segoe UI"/>
          <w:color w:val="000000"/>
          <w:sz w:val="21"/>
          <w:szCs w:val="21"/>
        </w:rPr>
        <w:t xml:space="preserve">In terms of project specifics, we encourage all applicants to contact the Business Grants Hub to discuss any questions they may have regarding their project eligibility, circumstances and activities. The Business Grants Hubs contact details are provided here </w:t>
      </w:r>
      <w:hyperlink r:id="rId12" w:history="1">
        <w:r w:rsidRPr="008E1E9C">
          <w:rPr>
            <w:rStyle w:val="Hyperlink"/>
            <w:rFonts w:ascii="Segoe UI" w:hAnsi="Segoe UI" w:cs="Segoe UI"/>
            <w:color w:val="0000FF"/>
            <w:sz w:val="21"/>
            <w:szCs w:val="21"/>
          </w:rPr>
          <w:t>Growing Regions Program Round 1 | business.gov.au</w:t>
        </w:r>
      </w:hyperlink>
    </w:p>
    <w:p w14:paraId="3570A81C" w14:textId="77777777" w:rsidR="008E1E9C" w:rsidRPr="001B3776" w:rsidRDefault="008E1E9C" w:rsidP="005901AB">
      <w:pPr>
        <w:spacing w:before="0" w:after="0"/>
        <w:rPr>
          <w:rFonts w:ascii="Segoe UI" w:eastAsia="Times New Roman" w:hAnsi="Segoe UI" w:cs="Segoe UI"/>
          <w:sz w:val="21"/>
          <w:szCs w:val="21"/>
          <w:lang w:eastAsia="en-AU"/>
        </w:rPr>
      </w:pPr>
    </w:p>
    <w:p w14:paraId="6B87DE86" w14:textId="7DFEDCFC" w:rsidR="00A11DB3" w:rsidRPr="008E1E9C" w:rsidRDefault="00FD746D" w:rsidP="005901AB">
      <w:pPr>
        <w:spacing w:before="0" w:after="0"/>
        <w:rPr>
          <w:rFonts w:ascii="Segoe UI" w:eastAsia="Times New Roman" w:hAnsi="Segoe UI" w:cs="Segoe UI"/>
          <w:b/>
          <w:sz w:val="21"/>
          <w:szCs w:val="21"/>
          <w:lang w:eastAsia="en-AU"/>
        </w:rPr>
      </w:pPr>
      <w:r w:rsidRPr="008E1E9C">
        <w:rPr>
          <w:rFonts w:ascii="Segoe UI" w:eastAsia="Times New Roman" w:hAnsi="Segoe UI" w:cs="Segoe UI"/>
          <w:b/>
          <w:sz w:val="21"/>
          <w:szCs w:val="21"/>
          <w:lang w:eastAsia="en-AU"/>
        </w:rPr>
        <w:t xml:space="preserve">Is </w:t>
      </w:r>
      <w:r w:rsidR="00A11DB3" w:rsidRPr="008E1E9C">
        <w:rPr>
          <w:rFonts w:ascii="Segoe UI" w:eastAsia="Times New Roman" w:hAnsi="Segoe UI" w:cs="Segoe UI"/>
          <w:b/>
          <w:sz w:val="21"/>
          <w:szCs w:val="21"/>
          <w:lang w:eastAsia="en-AU"/>
        </w:rPr>
        <w:t>digital infrastructure</w:t>
      </w:r>
      <w:r w:rsidR="001E235A" w:rsidRPr="008E1E9C">
        <w:rPr>
          <w:rFonts w:ascii="Segoe UI" w:eastAsia="Times New Roman" w:hAnsi="Segoe UI" w:cs="Segoe UI"/>
          <w:b/>
          <w:sz w:val="21"/>
          <w:szCs w:val="21"/>
          <w:lang w:eastAsia="en-AU"/>
        </w:rPr>
        <w:t xml:space="preserve"> eligible?</w:t>
      </w:r>
    </w:p>
    <w:p w14:paraId="5C293FF1" w14:textId="11363C21" w:rsidR="00541786" w:rsidRDefault="005901AB" w:rsidP="005901AB">
      <w:pPr>
        <w:spacing w:before="0"/>
        <w:rPr>
          <w:rFonts w:ascii="Segoe UI" w:hAnsi="Segoe UI" w:cs="Segoe UI"/>
          <w:sz w:val="21"/>
          <w:szCs w:val="21"/>
        </w:rPr>
      </w:pPr>
      <w:r w:rsidRPr="00F77EC1">
        <w:rPr>
          <w:rFonts w:ascii="Segoe UI" w:hAnsi="Segoe UI" w:cs="Segoe UI"/>
          <w:sz w:val="21"/>
          <w:szCs w:val="21"/>
        </w:rPr>
        <w:t>The program is designed to fund hard infrastructure.</w:t>
      </w:r>
      <w:r w:rsidR="00CC7B07" w:rsidRPr="00F77EC1">
        <w:rPr>
          <w:b/>
          <w:bCs/>
          <w:sz w:val="24"/>
          <w:szCs w:val="24"/>
        </w:rPr>
        <w:t xml:space="preserve"> </w:t>
      </w:r>
      <w:r w:rsidR="00CC7B07" w:rsidRPr="00F77EC1">
        <w:rPr>
          <w:rFonts w:ascii="Segoe UI" w:hAnsi="Segoe UI" w:cs="Segoe UI"/>
          <w:sz w:val="21"/>
          <w:szCs w:val="21"/>
        </w:rPr>
        <w:t xml:space="preserve">Appendix B of the guidelines </w:t>
      </w:r>
      <w:r w:rsidR="00F77EC1">
        <w:rPr>
          <w:rFonts w:ascii="Segoe UI" w:hAnsi="Segoe UI" w:cs="Segoe UI"/>
          <w:sz w:val="21"/>
          <w:szCs w:val="21"/>
        </w:rPr>
        <w:t>outlines that</w:t>
      </w:r>
      <w:r w:rsidR="00CC7B07" w:rsidRPr="00F77EC1">
        <w:rPr>
          <w:rFonts w:ascii="Segoe UI" w:hAnsi="Segoe UI" w:cs="Segoe UI"/>
          <w:sz w:val="21"/>
          <w:szCs w:val="21"/>
        </w:rPr>
        <w:t xml:space="preserve"> ongoing upgrades, updates and maintenance of existing ICT systems, the costs of ongoing subscription-based software, and IT support membership and warranties for purchases </w:t>
      </w:r>
      <w:r w:rsidR="00F77EC1">
        <w:rPr>
          <w:rFonts w:ascii="Segoe UI" w:hAnsi="Segoe UI" w:cs="Segoe UI"/>
          <w:sz w:val="21"/>
          <w:szCs w:val="21"/>
        </w:rPr>
        <w:t>are</w:t>
      </w:r>
      <w:r w:rsidR="00CC7B07" w:rsidRPr="00F77EC1">
        <w:rPr>
          <w:rFonts w:ascii="Segoe UI" w:hAnsi="Segoe UI" w:cs="Segoe UI"/>
          <w:sz w:val="21"/>
          <w:szCs w:val="21"/>
        </w:rPr>
        <w:t xml:space="preserve"> ineligible expenditure. Additional examples of ineligible expenditure specific to investment ready projects include ICT equipment, including software or hardware that is not an integral part of the funding infrastructure. </w:t>
      </w:r>
      <w:r w:rsidR="00CC7B07" w:rsidRPr="00F77EC1">
        <w:rPr>
          <w:rFonts w:ascii="Segoe UI" w:hAnsi="Segoe UI" w:cs="Segoe UI"/>
          <w:b/>
          <w:sz w:val="21"/>
          <w:szCs w:val="21"/>
        </w:rPr>
        <w:t xml:space="preserve"> </w:t>
      </w:r>
      <w:r w:rsidR="00541786" w:rsidRPr="00F77EC1">
        <w:rPr>
          <w:rFonts w:ascii="Segoe UI" w:hAnsi="Segoe UI" w:cs="Segoe UI"/>
          <w:sz w:val="21"/>
          <w:szCs w:val="21"/>
        </w:rPr>
        <w:t>However</w:t>
      </w:r>
      <w:r w:rsidR="00CC7B07" w:rsidRPr="00F77EC1">
        <w:rPr>
          <w:rFonts w:ascii="Segoe UI" w:hAnsi="Segoe UI" w:cs="Segoe UI"/>
          <w:b/>
          <w:sz w:val="21"/>
          <w:szCs w:val="21"/>
        </w:rPr>
        <w:t xml:space="preserve">, </w:t>
      </w:r>
      <w:r w:rsidR="00CC7B07" w:rsidRPr="00F77EC1">
        <w:rPr>
          <w:rFonts w:ascii="Segoe UI" w:hAnsi="Segoe UI" w:cs="Segoe UI"/>
          <w:sz w:val="21"/>
          <w:szCs w:val="21"/>
        </w:rPr>
        <w:t xml:space="preserve">Appendix A of the guidelines includes ICT cabling as eligible material </w:t>
      </w:r>
      <w:r w:rsidR="00541786" w:rsidRPr="00F77EC1">
        <w:rPr>
          <w:rFonts w:ascii="Segoe UI" w:hAnsi="Segoe UI" w:cs="Segoe UI"/>
          <w:sz w:val="21"/>
          <w:szCs w:val="21"/>
        </w:rPr>
        <w:t>costs.</w:t>
      </w:r>
    </w:p>
    <w:p w14:paraId="3FE79A74" w14:textId="1DA19DA3" w:rsidR="001E235A" w:rsidRPr="008E1E9C" w:rsidRDefault="00CC7B07" w:rsidP="005901AB">
      <w:pPr>
        <w:spacing w:before="0"/>
        <w:rPr>
          <w:rStyle w:val="Hyperlink"/>
          <w:rFonts w:ascii="Segoe UI" w:eastAsia="Times New Roman" w:hAnsi="Segoe UI" w:cs="Segoe UI"/>
          <w:color w:val="0000FF"/>
          <w:sz w:val="21"/>
          <w:szCs w:val="21"/>
        </w:rPr>
      </w:pPr>
      <w:r>
        <w:rPr>
          <w:rFonts w:ascii="Segoe UI" w:hAnsi="Segoe UI" w:cs="Segoe UI"/>
          <w:sz w:val="21"/>
          <w:szCs w:val="21"/>
        </w:rPr>
        <w:t>We</w:t>
      </w:r>
      <w:r w:rsidR="00FD746D" w:rsidRPr="008E1E9C">
        <w:rPr>
          <w:rFonts w:ascii="Segoe UI" w:hAnsi="Segoe UI" w:cs="Segoe UI"/>
          <w:sz w:val="21"/>
          <w:szCs w:val="21"/>
        </w:rPr>
        <w:t xml:space="preserve"> would encourage applicants </w:t>
      </w:r>
      <w:r w:rsidR="008B0159">
        <w:rPr>
          <w:rFonts w:ascii="Segoe UI" w:hAnsi="Segoe UI" w:cs="Segoe UI"/>
          <w:sz w:val="21"/>
          <w:szCs w:val="21"/>
        </w:rPr>
        <w:t xml:space="preserve">to </w:t>
      </w:r>
      <w:r w:rsidR="008B0159">
        <w:rPr>
          <w:rFonts w:ascii="Segoe UI" w:eastAsia="Times New Roman" w:hAnsi="Segoe UI" w:cs="Segoe UI"/>
          <w:color w:val="000000"/>
          <w:sz w:val="21"/>
          <w:szCs w:val="21"/>
        </w:rPr>
        <w:t>c</w:t>
      </w:r>
      <w:r w:rsidR="001E235A" w:rsidRPr="008E1E9C">
        <w:rPr>
          <w:rFonts w:ascii="Segoe UI" w:eastAsia="Times New Roman" w:hAnsi="Segoe UI" w:cs="Segoe UI"/>
          <w:color w:val="000000"/>
          <w:sz w:val="21"/>
          <w:szCs w:val="21"/>
        </w:rPr>
        <w:t>ontact the Business Grants Hub to</w:t>
      </w:r>
      <w:r w:rsidR="008B0159">
        <w:rPr>
          <w:rFonts w:ascii="Segoe UI" w:eastAsia="Times New Roman" w:hAnsi="Segoe UI" w:cs="Segoe UI"/>
          <w:color w:val="000000"/>
          <w:sz w:val="21"/>
          <w:szCs w:val="21"/>
        </w:rPr>
        <w:t xml:space="preserve"> discuss</w:t>
      </w:r>
      <w:r w:rsidR="001E235A" w:rsidRPr="008E1E9C">
        <w:rPr>
          <w:rFonts w:ascii="Segoe UI" w:eastAsia="Times New Roman" w:hAnsi="Segoe UI" w:cs="Segoe UI"/>
          <w:color w:val="000000"/>
          <w:sz w:val="21"/>
          <w:szCs w:val="21"/>
        </w:rPr>
        <w:t xml:space="preserve"> the specifics of </w:t>
      </w:r>
      <w:r w:rsidR="008B0159">
        <w:rPr>
          <w:rFonts w:ascii="Segoe UI" w:eastAsia="Times New Roman" w:hAnsi="Segoe UI" w:cs="Segoe UI"/>
          <w:color w:val="000000"/>
          <w:sz w:val="21"/>
          <w:szCs w:val="21"/>
        </w:rPr>
        <w:t xml:space="preserve">the </w:t>
      </w:r>
      <w:r w:rsidR="001E235A" w:rsidRPr="008E1E9C">
        <w:rPr>
          <w:rFonts w:ascii="Segoe UI" w:eastAsia="Times New Roman" w:hAnsi="Segoe UI" w:cs="Segoe UI"/>
          <w:color w:val="000000"/>
          <w:sz w:val="21"/>
          <w:szCs w:val="21"/>
        </w:rPr>
        <w:t xml:space="preserve">project including project eligibility, circumstances and activities. The Business Grants Hubs contact details are provided here </w:t>
      </w:r>
      <w:hyperlink r:id="rId13" w:history="1">
        <w:r w:rsidR="001E235A" w:rsidRPr="008E1E9C">
          <w:rPr>
            <w:rStyle w:val="Hyperlink"/>
            <w:rFonts w:ascii="Segoe UI" w:eastAsia="Times New Roman" w:hAnsi="Segoe UI" w:cs="Segoe UI"/>
            <w:color w:val="0000FF"/>
            <w:sz w:val="21"/>
            <w:szCs w:val="21"/>
          </w:rPr>
          <w:t>Growing Regions Program Round 1 | business.gov.au</w:t>
        </w:r>
      </w:hyperlink>
    </w:p>
    <w:p w14:paraId="21F1D174" w14:textId="54FD089C" w:rsidR="00EE5C5A" w:rsidRPr="008E1E9C" w:rsidRDefault="00EE5C5A" w:rsidP="005901AB">
      <w:pPr>
        <w:spacing w:before="0"/>
        <w:rPr>
          <w:rStyle w:val="Hyperlink"/>
          <w:rFonts w:ascii="Segoe UI" w:eastAsia="Times New Roman" w:hAnsi="Segoe UI" w:cs="Segoe UI"/>
          <w:color w:val="0000FF"/>
          <w:sz w:val="21"/>
          <w:szCs w:val="21"/>
        </w:rPr>
      </w:pPr>
    </w:p>
    <w:p w14:paraId="5B4D582E" w14:textId="08D5225E" w:rsidR="00EE5C5A" w:rsidRPr="008E1E9C" w:rsidRDefault="00EE5C5A" w:rsidP="00EE5C5A">
      <w:pPr>
        <w:pStyle w:val="NormalWeb"/>
        <w:spacing w:before="0" w:beforeAutospacing="0" w:after="0" w:afterAutospacing="0"/>
        <w:rPr>
          <w:rFonts w:ascii="Segoe UI" w:hAnsi="Segoe UI" w:cs="Segoe UI"/>
          <w:b/>
          <w:sz w:val="21"/>
          <w:szCs w:val="21"/>
        </w:rPr>
      </w:pPr>
      <w:r w:rsidRPr="008E1E9C">
        <w:rPr>
          <w:rFonts w:ascii="Segoe UI" w:hAnsi="Segoe UI" w:cs="Segoe UI"/>
          <w:b/>
          <w:sz w:val="21"/>
          <w:szCs w:val="21"/>
        </w:rPr>
        <w:t>When does stage two – full applications of the Growing Regions Program application process close?</w:t>
      </w:r>
    </w:p>
    <w:p w14:paraId="413CC8E8" w14:textId="78A76961" w:rsidR="00EE5C5A" w:rsidRPr="008E1E9C" w:rsidRDefault="00EE5C5A" w:rsidP="00EE5C5A">
      <w:pPr>
        <w:pStyle w:val="NormalWeb"/>
        <w:spacing w:before="0" w:beforeAutospacing="0" w:after="0" w:afterAutospacing="0"/>
        <w:rPr>
          <w:rFonts w:ascii="Segoe UI" w:hAnsi="Segoe UI" w:cs="Segoe UI"/>
          <w:color w:val="06162E" w:themeColor="accent1" w:themeShade="BF"/>
          <w:sz w:val="21"/>
          <w:szCs w:val="21"/>
        </w:rPr>
      </w:pPr>
      <w:r w:rsidRPr="008E1E9C">
        <w:rPr>
          <w:rFonts w:ascii="Segoe UI" w:hAnsi="Segoe UI" w:cs="Segoe UI"/>
          <w:color w:val="06162E" w:themeColor="accent1" w:themeShade="BF"/>
          <w:sz w:val="21"/>
          <w:szCs w:val="21"/>
        </w:rPr>
        <w:t>The closing date and time for stage two – full applications is 5pm Australian Eastern Daylight Savings Time (AEDST) on</w:t>
      </w:r>
      <w:r w:rsidR="008B0159">
        <w:rPr>
          <w:rFonts w:ascii="Segoe UI" w:hAnsi="Segoe UI" w:cs="Segoe UI"/>
          <w:color w:val="06162E" w:themeColor="accent1" w:themeShade="BF"/>
          <w:sz w:val="21"/>
          <w:szCs w:val="21"/>
        </w:rPr>
        <w:t xml:space="preserve"> </w:t>
      </w:r>
      <w:r w:rsidRPr="008E1E9C">
        <w:rPr>
          <w:rFonts w:ascii="Segoe UI" w:hAnsi="Segoe UI" w:cs="Segoe UI"/>
          <w:color w:val="06162E" w:themeColor="accent1" w:themeShade="BF"/>
          <w:sz w:val="21"/>
          <w:szCs w:val="21"/>
        </w:rPr>
        <w:t>12 December 2023.</w:t>
      </w:r>
    </w:p>
    <w:p w14:paraId="21D90AC0" w14:textId="77777777" w:rsidR="005C127E" w:rsidRPr="008E1E9C" w:rsidRDefault="005C127E" w:rsidP="005901AB">
      <w:pPr>
        <w:spacing w:before="0"/>
        <w:rPr>
          <w:rFonts w:ascii="Segoe UI" w:hAnsi="Segoe UI" w:cs="Segoe UI"/>
          <w:sz w:val="21"/>
          <w:szCs w:val="21"/>
        </w:rPr>
      </w:pPr>
    </w:p>
    <w:p w14:paraId="7A82FC7F" w14:textId="1C69951D" w:rsidR="00A11DB3" w:rsidRPr="008E1E9C" w:rsidRDefault="00A11DB3" w:rsidP="005C127E">
      <w:pPr>
        <w:spacing w:before="0" w:after="0"/>
        <w:rPr>
          <w:rFonts w:ascii="Segoe UI" w:eastAsia="Times New Roman" w:hAnsi="Segoe UI" w:cs="Segoe UI"/>
          <w:b/>
          <w:color w:val="auto"/>
          <w:sz w:val="21"/>
          <w:szCs w:val="21"/>
          <w:lang w:eastAsia="en-AU"/>
        </w:rPr>
      </w:pPr>
      <w:r w:rsidRPr="008E1E9C">
        <w:rPr>
          <w:rFonts w:ascii="Segoe UI" w:eastAsia="Times New Roman" w:hAnsi="Segoe UI" w:cs="Segoe UI"/>
          <w:b/>
          <w:color w:val="auto"/>
          <w:sz w:val="21"/>
          <w:szCs w:val="21"/>
          <w:lang w:eastAsia="en-AU"/>
        </w:rPr>
        <w:t xml:space="preserve">Is there any prospect of </w:t>
      </w:r>
      <w:r w:rsidR="000D716D" w:rsidRPr="008E1E9C">
        <w:rPr>
          <w:rFonts w:ascii="Segoe UI" w:eastAsia="Times New Roman" w:hAnsi="Segoe UI" w:cs="Segoe UI"/>
          <w:b/>
          <w:color w:val="auto"/>
          <w:sz w:val="21"/>
          <w:szCs w:val="21"/>
          <w:lang w:eastAsia="en-AU"/>
        </w:rPr>
        <w:t>additional</w:t>
      </w:r>
      <w:r w:rsidRPr="008E1E9C">
        <w:rPr>
          <w:rFonts w:ascii="Segoe UI" w:eastAsia="Times New Roman" w:hAnsi="Segoe UI" w:cs="Segoe UI"/>
          <w:b/>
          <w:color w:val="auto"/>
          <w:sz w:val="21"/>
          <w:szCs w:val="21"/>
          <w:lang w:eastAsia="en-AU"/>
        </w:rPr>
        <w:t xml:space="preserve"> councils in being added to the Group 2 co-funding group?</w:t>
      </w:r>
    </w:p>
    <w:p w14:paraId="0E1D8C06" w14:textId="7833B7B4" w:rsidR="00A11DB3" w:rsidRPr="008E1E9C" w:rsidRDefault="008D412C" w:rsidP="005C127E">
      <w:pPr>
        <w:tabs>
          <w:tab w:val="left" w:pos="3119"/>
        </w:tabs>
        <w:spacing w:before="0" w:after="0"/>
        <w:rPr>
          <w:rFonts w:ascii="Segoe UI" w:eastAsia="Times New Roman" w:hAnsi="Segoe UI" w:cs="Segoe UI"/>
          <w:iCs/>
          <w:sz w:val="21"/>
          <w:szCs w:val="21"/>
        </w:rPr>
      </w:pPr>
      <w:r w:rsidRPr="008E1E9C">
        <w:rPr>
          <w:rFonts w:ascii="Segoe UI" w:eastAsia="Times New Roman" w:hAnsi="Segoe UI" w:cs="Segoe UI"/>
          <w:iCs/>
          <w:sz w:val="21"/>
          <w:szCs w:val="21"/>
        </w:rPr>
        <w:lastRenderedPageBreak/>
        <w:t xml:space="preserve">There are no plans to modify the co-funding groups for Round 1 of the program. </w:t>
      </w:r>
    </w:p>
    <w:p w14:paraId="1C6637AA" w14:textId="77777777" w:rsidR="005C127E" w:rsidRPr="008E1E9C" w:rsidRDefault="005C127E" w:rsidP="005C127E">
      <w:pPr>
        <w:tabs>
          <w:tab w:val="left" w:pos="3119"/>
        </w:tabs>
        <w:spacing w:before="0" w:after="0"/>
        <w:rPr>
          <w:rFonts w:ascii="Segoe UI" w:hAnsi="Segoe UI" w:cs="Segoe UI"/>
          <w:sz w:val="21"/>
          <w:szCs w:val="21"/>
        </w:rPr>
      </w:pPr>
    </w:p>
    <w:p w14:paraId="57D7EBD1" w14:textId="77777777" w:rsidR="00EE5C5A" w:rsidRPr="008E1E9C" w:rsidRDefault="00EE5C5A" w:rsidP="00EE5C5A">
      <w:pPr>
        <w:spacing w:before="0" w:after="0"/>
        <w:rPr>
          <w:rFonts w:ascii="Segoe UI" w:eastAsia="Times New Roman" w:hAnsi="Segoe UI" w:cs="Segoe UI"/>
          <w:b/>
          <w:color w:val="06162E" w:themeColor="accent1" w:themeShade="BF"/>
          <w:sz w:val="21"/>
          <w:szCs w:val="21"/>
          <w:lang w:eastAsia="en-AU"/>
        </w:rPr>
      </w:pPr>
      <w:r w:rsidRPr="008E1E9C">
        <w:rPr>
          <w:rFonts w:ascii="Segoe UI" w:eastAsia="Times New Roman" w:hAnsi="Segoe UI" w:cs="Segoe UI"/>
          <w:b/>
          <w:color w:val="06162E" w:themeColor="accent1" w:themeShade="BF"/>
          <w:sz w:val="21"/>
          <w:szCs w:val="21"/>
          <w:lang w:eastAsia="en-AU"/>
        </w:rPr>
        <w:t>How do applicants apply project location geographic eligibility requirements to projects such as bike tracks etc?</w:t>
      </w:r>
    </w:p>
    <w:p w14:paraId="117EA4EB" w14:textId="77777777" w:rsidR="00EE5C5A" w:rsidRPr="008E1E9C" w:rsidRDefault="00EE5C5A" w:rsidP="00EE5C5A">
      <w:pPr>
        <w:spacing w:before="0" w:after="0"/>
        <w:rPr>
          <w:rFonts w:ascii="Segoe UI" w:eastAsia="Times New Roman" w:hAnsi="Segoe UI" w:cs="Segoe UI"/>
          <w:color w:val="06162E" w:themeColor="accent1" w:themeShade="BF"/>
          <w:sz w:val="21"/>
          <w:szCs w:val="21"/>
          <w:lang w:eastAsia="en-AU"/>
        </w:rPr>
      </w:pPr>
      <w:r w:rsidRPr="008E1E9C">
        <w:rPr>
          <w:rFonts w:ascii="Segoe UI" w:eastAsia="Times New Roman" w:hAnsi="Segoe UI" w:cs="Segoe UI"/>
          <w:color w:val="06162E" w:themeColor="accent1" w:themeShade="BF"/>
          <w:sz w:val="21"/>
          <w:szCs w:val="21"/>
          <w:lang w:eastAsia="en-AU"/>
        </w:rPr>
        <w:t xml:space="preserve">Applicants should use the project’s starting point address to determine a project’s geographic eligibility. </w:t>
      </w:r>
    </w:p>
    <w:p w14:paraId="6CEA46B5" w14:textId="77777777" w:rsidR="00A11DB3" w:rsidRPr="008E1E9C" w:rsidRDefault="00A11DB3" w:rsidP="00A11DB3">
      <w:pPr>
        <w:spacing w:after="0"/>
        <w:rPr>
          <w:rFonts w:ascii="Segoe UI" w:eastAsia="Times New Roman" w:hAnsi="Segoe UI" w:cs="Segoe UI"/>
          <w:sz w:val="21"/>
          <w:szCs w:val="21"/>
          <w:lang w:eastAsia="en-AU"/>
        </w:rPr>
      </w:pPr>
    </w:p>
    <w:p w14:paraId="72A7723B" w14:textId="478ED212" w:rsidR="00A11DB3" w:rsidRPr="008E1E9C" w:rsidRDefault="005C127E" w:rsidP="00372B8C">
      <w:pPr>
        <w:spacing w:before="0" w:after="0"/>
        <w:rPr>
          <w:rFonts w:ascii="Segoe UI" w:eastAsia="Times New Roman" w:hAnsi="Segoe UI" w:cs="Segoe UI"/>
          <w:b/>
          <w:sz w:val="21"/>
          <w:szCs w:val="21"/>
          <w:lang w:eastAsia="en-AU"/>
        </w:rPr>
      </w:pPr>
      <w:r w:rsidRPr="008E1E9C">
        <w:rPr>
          <w:rFonts w:ascii="Segoe UI" w:eastAsia="Times New Roman" w:hAnsi="Segoe UI" w:cs="Segoe UI"/>
          <w:b/>
          <w:sz w:val="21"/>
          <w:szCs w:val="21"/>
          <w:lang w:eastAsia="en-AU"/>
        </w:rPr>
        <w:t>My community infrastructure project does not meet the geographic eligibility criteria as it is located within a Greater Capital City Statistical Area</w:t>
      </w:r>
      <w:r w:rsidR="00372B8C" w:rsidRPr="008E1E9C">
        <w:rPr>
          <w:rFonts w:ascii="Segoe UI" w:eastAsia="Times New Roman" w:hAnsi="Segoe UI" w:cs="Segoe UI"/>
          <w:b/>
          <w:sz w:val="21"/>
          <w:szCs w:val="21"/>
          <w:lang w:eastAsia="en-AU"/>
        </w:rPr>
        <w:t>, why does this program use this definition?</w:t>
      </w:r>
    </w:p>
    <w:p w14:paraId="02AC47BB" w14:textId="053D5B89" w:rsidR="00372B8C" w:rsidRPr="008E1E9C" w:rsidRDefault="008D412C" w:rsidP="00372B8C">
      <w:pPr>
        <w:spacing w:before="0"/>
        <w:rPr>
          <w:rFonts w:ascii="Segoe UI" w:eastAsia="Times New Roman" w:hAnsi="Segoe UI" w:cs="Segoe UI"/>
          <w:sz w:val="21"/>
          <w:szCs w:val="21"/>
        </w:rPr>
      </w:pPr>
      <w:r w:rsidRPr="008E1E9C">
        <w:rPr>
          <w:rFonts w:ascii="Segoe UI" w:eastAsia="Times New Roman" w:hAnsi="Segoe UI" w:cs="Segoe UI"/>
          <w:sz w:val="21"/>
          <w:szCs w:val="21"/>
        </w:rPr>
        <w:t>T</w:t>
      </w:r>
      <w:r w:rsidR="00372B8C" w:rsidRPr="008E1E9C">
        <w:rPr>
          <w:rFonts w:ascii="Segoe UI" w:eastAsia="Times New Roman" w:hAnsi="Segoe UI" w:cs="Segoe UI"/>
          <w:sz w:val="21"/>
          <w:szCs w:val="21"/>
        </w:rPr>
        <w:t>he geographic boundaries applied</w:t>
      </w:r>
      <w:r w:rsidRPr="008E1E9C">
        <w:rPr>
          <w:rFonts w:ascii="Segoe UI" w:eastAsia="Times New Roman" w:hAnsi="Segoe UI" w:cs="Segoe UI"/>
          <w:sz w:val="21"/>
          <w:szCs w:val="21"/>
        </w:rPr>
        <w:t xml:space="preserve"> under the program – the Greater Capital City Statistical Areas as defined by the Australian Bureau of Statistics - provide</w:t>
      </w:r>
      <w:r w:rsidR="00372B8C" w:rsidRPr="008E1E9C">
        <w:rPr>
          <w:rFonts w:ascii="Segoe UI" w:eastAsia="Times New Roman" w:hAnsi="Segoe UI" w:cs="Segoe UI"/>
          <w:sz w:val="21"/>
          <w:szCs w:val="21"/>
        </w:rPr>
        <w:t xml:space="preserve"> on an up-to-date definition of the functional extent of each of the eight state and territory capital cities, using a consistent and evidence-based approach.</w:t>
      </w:r>
    </w:p>
    <w:p w14:paraId="5639C5EC" w14:textId="35345204" w:rsidR="00372B8C" w:rsidRPr="008E1E9C" w:rsidRDefault="008D412C" w:rsidP="00372B8C">
      <w:pPr>
        <w:spacing w:before="0"/>
        <w:rPr>
          <w:rFonts w:ascii="Segoe UI" w:hAnsi="Segoe UI" w:cs="Segoe UI"/>
          <w:sz w:val="21"/>
          <w:szCs w:val="21"/>
        </w:rPr>
      </w:pPr>
      <w:r w:rsidRPr="008E1E9C">
        <w:rPr>
          <w:rFonts w:ascii="Segoe UI" w:eastAsia="Times New Roman" w:hAnsi="Segoe UI" w:cs="Segoe UI"/>
          <w:sz w:val="21"/>
          <w:szCs w:val="21"/>
        </w:rPr>
        <w:t>Projects l</w:t>
      </w:r>
      <w:r w:rsidR="00372B8C" w:rsidRPr="008E1E9C">
        <w:rPr>
          <w:rFonts w:ascii="Segoe UI" w:eastAsia="Times New Roman" w:hAnsi="Segoe UI" w:cs="Segoe UI"/>
          <w:sz w:val="21"/>
          <w:szCs w:val="21"/>
        </w:rPr>
        <w:t xml:space="preserve">ocated inside the Greater Capital City Statistical Areas will be geographically eligible for the Thriving Suburbs </w:t>
      </w:r>
      <w:r w:rsidR="008E1E9C" w:rsidRPr="008E1E9C">
        <w:rPr>
          <w:rFonts w:ascii="Segoe UI" w:eastAsia="Times New Roman" w:hAnsi="Segoe UI" w:cs="Segoe UI"/>
          <w:sz w:val="21"/>
          <w:szCs w:val="21"/>
        </w:rPr>
        <w:t>P</w:t>
      </w:r>
      <w:r w:rsidR="00372B8C" w:rsidRPr="008E1E9C">
        <w:rPr>
          <w:rFonts w:ascii="Segoe UI" w:eastAsia="Times New Roman" w:hAnsi="Segoe UI" w:cs="Segoe UI"/>
          <w:sz w:val="21"/>
          <w:szCs w:val="21"/>
        </w:rPr>
        <w:t>rogram. Between the Growing Regions and the Thriving Suburbs programs local government entities and not</w:t>
      </w:r>
      <w:r w:rsidR="00372B8C" w:rsidRPr="008E1E9C">
        <w:rPr>
          <w:rFonts w:ascii="Segoe UI" w:eastAsia="Times New Roman" w:hAnsi="Segoe UI" w:cs="Segoe UI"/>
          <w:sz w:val="21"/>
          <w:szCs w:val="21"/>
        </w:rPr>
        <w:noBreakHyphen/>
        <w:t>for</w:t>
      </w:r>
      <w:r w:rsidR="00372B8C" w:rsidRPr="008E1E9C">
        <w:rPr>
          <w:rFonts w:ascii="Segoe UI" w:eastAsia="Times New Roman" w:hAnsi="Segoe UI" w:cs="Segoe UI"/>
          <w:sz w:val="21"/>
          <w:szCs w:val="21"/>
        </w:rPr>
        <w:noBreakHyphen/>
        <w:t>profit organisations in every part of the country will be able to apply for Australian Government funding for capital works projects that deliver community and economic infrastructure projects.</w:t>
      </w:r>
    </w:p>
    <w:p w14:paraId="38B84A7E" w14:textId="77777777" w:rsidR="00372B8C" w:rsidRPr="008E1E9C" w:rsidRDefault="00372B8C" w:rsidP="00372B8C">
      <w:pPr>
        <w:spacing w:after="0"/>
        <w:rPr>
          <w:rFonts w:ascii="Segoe UI" w:eastAsia="Times New Roman" w:hAnsi="Segoe UI" w:cs="Segoe UI"/>
          <w:b/>
          <w:sz w:val="21"/>
          <w:szCs w:val="21"/>
          <w:lang w:eastAsia="en-AU"/>
        </w:rPr>
      </w:pPr>
      <w:r w:rsidRPr="008E1E9C">
        <w:rPr>
          <w:rFonts w:ascii="Segoe UI" w:eastAsia="Times New Roman" w:hAnsi="Segoe UI" w:cs="Segoe UI"/>
          <w:b/>
          <w:sz w:val="21"/>
          <w:szCs w:val="21"/>
          <w:lang w:eastAsia="en-AU"/>
        </w:rPr>
        <w:t>When will more information about Thriving Suburbs Program be made available. </w:t>
      </w:r>
    </w:p>
    <w:p w14:paraId="110EA6E8" w14:textId="77777777" w:rsidR="00372B8C" w:rsidRPr="008E1E9C" w:rsidRDefault="00372B8C" w:rsidP="00372B8C">
      <w:pPr>
        <w:shd w:val="clear" w:color="auto" w:fill="FFFFFF"/>
        <w:suppressAutoHyphens w:val="0"/>
        <w:spacing w:before="0" w:after="100" w:afterAutospacing="1"/>
        <w:rPr>
          <w:rFonts w:ascii="Segoe UI" w:eastAsia="Times New Roman" w:hAnsi="Segoe UI" w:cs="Segoe UI"/>
          <w:color w:val="212529"/>
          <w:sz w:val="21"/>
          <w:szCs w:val="21"/>
          <w:lang w:eastAsia="en-AU"/>
        </w:rPr>
      </w:pPr>
      <w:r w:rsidRPr="008E1E9C">
        <w:rPr>
          <w:rFonts w:ascii="Segoe UI" w:eastAsia="Times New Roman" w:hAnsi="Segoe UI" w:cs="Segoe UI"/>
          <w:color w:val="212529"/>
          <w:sz w:val="21"/>
          <w:szCs w:val="21"/>
          <w:lang w:eastAsia="en-AU"/>
        </w:rPr>
        <w:t xml:space="preserve">Information on the program guidelines, eligibility criteria and the application process will be provided on the department’s website in due course. Please continue to monitor the department’s website at </w:t>
      </w:r>
      <w:hyperlink r:id="rId14" w:history="1">
        <w:r w:rsidRPr="008E1E9C">
          <w:rPr>
            <w:rFonts w:ascii="Segoe UI" w:hAnsi="Segoe UI" w:cs="Segoe UI"/>
            <w:color w:val="0000FF"/>
            <w:sz w:val="21"/>
            <w:szCs w:val="21"/>
            <w:u w:val="single"/>
          </w:rPr>
          <w:t>Thriving Suburbs Program | Department of Infrastructure, Transport, Regional Development, Communications and the Arts</w:t>
        </w:r>
      </w:hyperlink>
    </w:p>
    <w:p w14:paraId="6650FE66" w14:textId="77777777" w:rsidR="00EE5C5A" w:rsidRPr="008E1E9C" w:rsidRDefault="00EE5C5A" w:rsidP="00EE5C5A">
      <w:pPr>
        <w:pStyle w:val="NormalWeb"/>
        <w:spacing w:before="0" w:beforeAutospacing="0" w:after="0" w:afterAutospacing="0"/>
        <w:rPr>
          <w:rFonts w:ascii="Segoe UI" w:hAnsi="Segoe UI" w:cs="Segoe UI"/>
          <w:b/>
          <w:sz w:val="21"/>
          <w:szCs w:val="21"/>
        </w:rPr>
      </w:pPr>
      <w:r w:rsidRPr="008E1E9C">
        <w:rPr>
          <w:rFonts w:ascii="Segoe UI" w:hAnsi="Segoe UI" w:cs="Segoe UI"/>
          <w:b/>
          <w:sz w:val="21"/>
          <w:szCs w:val="21"/>
        </w:rPr>
        <w:t>If an EOI is not successful in Round 1, can an applicant apply again in Round 2?</w:t>
      </w:r>
    </w:p>
    <w:p w14:paraId="4C3C83F1" w14:textId="71207B9B" w:rsidR="00EE5C5A" w:rsidRPr="008E1E9C" w:rsidRDefault="00EE5C5A" w:rsidP="00EE5C5A">
      <w:pPr>
        <w:pStyle w:val="NormalWeb"/>
        <w:spacing w:before="0" w:beforeAutospacing="0" w:after="0" w:afterAutospacing="0"/>
        <w:rPr>
          <w:rFonts w:ascii="Segoe UI" w:hAnsi="Segoe UI" w:cs="Segoe UI"/>
          <w:sz w:val="21"/>
          <w:szCs w:val="21"/>
        </w:rPr>
      </w:pPr>
      <w:r w:rsidRPr="008E1E9C">
        <w:rPr>
          <w:rFonts w:ascii="Segoe UI" w:hAnsi="Segoe UI" w:cs="Segoe UI"/>
          <w:sz w:val="21"/>
          <w:szCs w:val="21"/>
        </w:rPr>
        <w:t xml:space="preserve">Unsuccessful applicants from Round 1 may be able to apply for Round 2, noting the guidelines for </w:t>
      </w:r>
      <w:r w:rsidR="004E557D">
        <w:rPr>
          <w:rFonts w:ascii="Segoe UI" w:hAnsi="Segoe UI" w:cs="Segoe UI"/>
          <w:sz w:val="21"/>
          <w:szCs w:val="21"/>
        </w:rPr>
        <w:t xml:space="preserve"> the </w:t>
      </w:r>
      <w:r w:rsidRPr="008E1E9C">
        <w:rPr>
          <w:rFonts w:ascii="Segoe UI" w:hAnsi="Segoe UI" w:cs="Segoe UI"/>
          <w:sz w:val="21"/>
          <w:szCs w:val="21"/>
        </w:rPr>
        <w:t xml:space="preserve">Growing Regions Program - Round 2 have not yet been finalised. If applicants were unsuccessful in their last application we would encourage them to contact the Business Grants Hub for feedback. </w:t>
      </w:r>
    </w:p>
    <w:p w14:paraId="1DD4BB51" w14:textId="77777777" w:rsidR="00EE5C5A" w:rsidRPr="008E1E9C" w:rsidRDefault="00EE5C5A" w:rsidP="00EE5C5A">
      <w:pPr>
        <w:spacing w:before="0" w:after="0"/>
        <w:rPr>
          <w:rFonts w:ascii="Segoe UI" w:eastAsia="Times New Roman" w:hAnsi="Segoe UI" w:cs="Segoe UI"/>
          <w:b/>
          <w:color w:val="06162E" w:themeColor="accent1" w:themeShade="BF"/>
          <w:sz w:val="21"/>
          <w:szCs w:val="21"/>
          <w:lang w:eastAsia="en-AU"/>
        </w:rPr>
      </w:pPr>
    </w:p>
    <w:p w14:paraId="5DA662A7" w14:textId="25829682" w:rsidR="00EE5C5A" w:rsidRPr="008E1E9C" w:rsidRDefault="00EE5C5A" w:rsidP="00EE5C5A">
      <w:pPr>
        <w:spacing w:before="0" w:after="0"/>
        <w:rPr>
          <w:rFonts w:ascii="Segoe UI" w:eastAsia="Times New Roman" w:hAnsi="Segoe UI" w:cs="Segoe UI"/>
          <w:b/>
          <w:color w:val="06162E" w:themeColor="accent1" w:themeShade="BF"/>
          <w:sz w:val="21"/>
          <w:szCs w:val="21"/>
          <w:lang w:eastAsia="en-AU"/>
        </w:rPr>
      </w:pPr>
      <w:r w:rsidRPr="008E1E9C">
        <w:rPr>
          <w:rFonts w:ascii="Segoe UI" w:eastAsia="Times New Roman" w:hAnsi="Segoe UI" w:cs="Segoe UI"/>
          <w:b/>
          <w:color w:val="06162E" w:themeColor="accent1" w:themeShade="BF"/>
          <w:sz w:val="21"/>
          <w:szCs w:val="21"/>
          <w:lang w:eastAsia="en-AU"/>
        </w:rPr>
        <w:t>When will Round 2 of the Growing Regions program open?</w:t>
      </w:r>
    </w:p>
    <w:p w14:paraId="0CC75823" w14:textId="4DFEDE9D" w:rsidR="00372B8C" w:rsidRDefault="00EE5C5A" w:rsidP="00A87F87">
      <w:pPr>
        <w:spacing w:before="0" w:after="0"/>
        <w:rPr>
          <w:rFonts w:ascii="Segoe UI" w:eastAsia="Times New Roman" w:hAnsi="Segoe UI" w:cs="Segoe UI"/>
          <w:color w:val="06162E" w:themeColor="accent1" w:themeShade="BF"/>
          <w:sz w:val="21"/>
          <w:szCs w:val="21"/>
          <w:lang w:eastAsia="en-AU"/>
        </w:rPr>
      </w:pPr>
      <w:r w:rsidRPr="008E1E9C">
        <w:rPr>
          <w:rFonts w:ascii="Segoe UI" w:eastAsia="Times New Roman" w:hAnsi="Segoe UI" w:cs="Segoe UI"/>
          <w:color w:val="06162E" w:themeColor="accent1" w:themeShade="BF"/>
          <w:sz w:val="21"/>
          <w:szCs w:val="21"/>
          <w:lang w:eastAsia="en-AU"/>
        </w:rPr>
        <w:t xml:space="preserve">Round 2 is expected to launch in late 2023. </w:t>
      </w:r>
    </w:p>
    <w:p w14:paraId="45AF181C" w14:textId="693CB34D" w:rsidR="00E075A4" w:rsidRDefault="00E075A4" w:rsidP="00A87F87">
      <w:pPr>
        <w:spacing w:before="0" w:after="0"/>
        <w:rPr>
          <w:rFonts w:ascii="Segoe UI" w:eastAsia="Times New Roman" w:hAnsi="Segoe UI" w:cs="Segoe UI"/>
          <w:color w:val="06162E" w:themeColor="accent1" w:themeShade="BF"/>
          <w:sz w:val="21"/>
          <w:szCs w:val="21"/>
          <w:lang w:eastAsia="en-AU"/>
        </w:rPr>
      </w:pPr>
    </w:p>
    <w:p w14:paraId="71A508FF" w14:textId="77777777" w:rsidR="00E075A4" w:rsidRPr="00E075A4" w:rsidRDefault="00E075A4" w:rsidP="00A87F87">
      <w:pPr>
        <w:spacing w:before="0" w:after="0"/>
        <w:rPr>
          <w:rFonts w:ascii="Segoe UI" w:hAnsi="Segoe UI" w:cs="Segoe UI"/>
          <w:b/>
          <w:sz w:val="21"/>
          <w:szCs w:val="21"/>
        </w:rPr>
      </w:pPr>
      <w:r w:rsidRPr="00E075A4">
        <w:rPr>
          <w:rFonts w:ascii="Segoe UI" w:hAnsi="Segoe UI" w:cs="Segoe UI"/>
          <w:b/>
          <w:sz w:val="21"/>
          <w:szCs w:val="21"/>
        </w:rPr>
        <w:t>Further information</w:t>
      </w:r>
    </w:p>
    <w:p w14:paraId="05D1E204" w14:textId="4E052ED9" w:rsidR="00E075A4" w:rsidRDefault="00E075A4" w:rsidP="00A87F87">
      <w:pPr>
        <w:spacing w:before="0" w:after="0"/>
        <w:rPr>
          <w:rFonts w:ascii="Segoe UI" w:eastAsia="Times New Roman" w:hAnsi="Segoe UI" w:cs="Segoe UI"/>
          <w:color w:val="06162E" w:themeColor="accent1" w:themeShade="BF"/>
          <w:sz w:val="21"/>
          <w:szCs w:val="21"/>
          <w:lang w:eastAsia="en-AU"/>
        </w:rPr>
      </w:pPr>
      <w:r>
        <w:t>Th</w:t>
      </w:r>
      <w:r>
        <w:t>ese</w:t>
      </w:r>
      <w:r>
        <w:t xml:space="preserve"> </w:t>
      </w:r>
      <w:r>
        <w:t>FAQs are</w:t>
      </w:r>
      <w:r>
        <w:t xml:space="preserve"> intended to complement</w:t>
      </w:r>
      <w:r>
        <w:t xml:space="preserve"> the</w:t>
      </w:r>
      <w:r>
        <w:t xml:space="preserve"> Grant Opportunity Guidelines for this program. If you have any questions</w:t>
      </w:r>
      <w:r>
        <w:t xml:space="preserve"> about the guidelines or</w:t>
      </w:r>
      <w:r>
        <w:t xml:space="preserve"> during the application process, contact us </w:t>
      </w:r>
      <w:r>
        <w:t xml:space="preserve">the Business Grants Hub at </w:t>
      </w:r>
      <w:hyperlink r:id="rId15" w:history="1">
        <w:r w:rsidRPr="008E1E9C">
          <w:rPr>
            <w:rStyle w:val="Hyperlink"/>
            <w:rFonts w:ascii="Segoe UI" w:eastAsia="Times New Roman" w:hAnsi="Segoe UI" w:cs="Segoe UI"/>
            <w:color w:val="0000FF"/>
            <w:sz w:val="21"/>
            <w:szCs w:val="21"/>
          </w:rPr>
          <w:t>Growing Regions Program Round 1 | business.gov.au</w:t>
        </w:r>
      </w:hyperlink>
    </w:p>
    <w:p w14:paraId="0C19C853" w14:textId="5426DE36" w:rsidR="00E075A4" w:rsidRDefault="00E075A4" w:rsidP="00A87F87">
      <w:pPr>
        <w:spacing w:before="0" w:after="0"/>
        <w:rPr>
          <w:rFonts w:ascii="Segoe UI" w:eastAsia="Times New Roman" w:hAnsi="Segoe UI" w:cs="Segoe UI"/>
          <w:color w:val="06162E" w:themeColor="accent1" w:themeShade="BF"/>
          <w:sz w:val="21"/>
          <w:szCs w:val="21"/>
          <w:lang w:eastAsia="en-AU"/>
        </w:rPr>
      </w:pPr>
    </w:p>
    <w:p w14:paraId="72279116" w14:textId="72F5E02A" w:rsidR="00E075A4" w:rsidRDefault="00E075A4" w:rsidP="00A87F87">
      <w:pPr>
        <w:spacing w:before="0" w:after="0"/>
        <w:rPr>
          <w:rFonts w:ascii="Segoe UI" w:eastAsia="Times New Roman" w:hAnsi="Segoe UI" w:cs="Segoe UI"/>
          <w:color w:val="06162E" w:themeColor="accent1" w:themeShade="BF"/>
          <w:sz w:val="21"/>
          <w:szCs w:val="21"/>
          <w:lang w:eastAsia="en-AU"/>
        </w:rPr>
      </w:pPr>
    </w:p>
    <w:p w14:paraId="5DA5B01B" w14:textId="3861D799" w:rsidR="00E075A4" w:rsidRDefault="00E075A4" w:rsidP="00A87F87">
      <w:pPr>
        <w:spacing w:before="0" w:after="0"/>
        <w:rPr>
          <w:rFonts w:ascii="Segoe UI" w:eastAsia="Times New Roman" w:hAnsi="Segoe UI" w:cs="Segoe UI"/>
          <w:color w:val="06162E" w:themeColor="accent1" w:themeShade="BF"/>
          <w:sz w:val="21"/>
          <w:szCs w:val="21"/>
          <w:lang w:eastAsia="en-AU"/>
        </w:rPr>
      </w:pPr>
    </w:p>
    <w:p w14:paraId="1C98CF9E" w14:textId="77777777" w:rsidR="00E075A4" w:rsidRPr="00A87F87" w:rsidRDefault="00E075A4" w:rsidP="00A87F87">
      <w:pPr>
        <w:spacing w:before="0" w:after="0"/>
        <w:rPr>
          <w:rFonts w:ascii="Segoe UI" w:eastAsia="Times New Roman" w:hAnsi="Segoe UI" w:cs="Segoe UI"/>
          <w:color w:val="06162E" w:themeColor="accent1" w:themeShade="BF"/>
          <w:sz w:val="21"/>
          <w:szCs w:val="21"/>
          <w:lang w:eastAsia="en-AU"/>
        </w:rPr>
      </w:pPr>
      <w:bookmarkStart w:id="2" w:name="_GoBack"/>
      <w:bookmarkEnd w:id="2"/>
    </w:p>
    <w:sectPr w:rsidR="00E075A4" w:rsidRPr="00A87F87" w:rsidSect="00117099">
      <w:headerReference w:type="default" r:id="rId16"/>
      <w:footerReference w:type="default" r:id="rId17"/>
      <w:headerReference w:type="first" r:id="rId18"/>
      <w:footerReference w:type="first" r:id="rId19"/>
      <w:pgSz w:w="11906" w:h="16838" w:code="9"/>
      <w:pgMar w:top="1021" w:right="1021" w:bottom="709" w:left="1021" w:header="51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90FE" w16cex:dateUtc="2023-07-19T06:42:00Z"/>
  <w16cex:commentExtensible w16cex:durableId="2861487E" w16cex:dateUtc="2023-07-18T07:21:00Z"/>
  <w16cex:commentExtensible w16cex:durableId="28629135" w16cex:dateUtc="2023-07-19T06:43:00Z"/>
  <w16cex:commentExtensible w16cex:durableId="286291B4" w16cex:dateUtc="2023-07-19T06:45:00Z"/>
  <w16cex:commentExtensible w16cex:durableId="28614A74" w16cex:dateUtc="2023-07-18T07:29:00Z"/>
  <w16cex:commentExtensible w16cex:durableId="28629278" w16cex:dateUtc="2023-07-19T06:48:00Z"/>
  <w16cex:commentExtensible w16cex:durableId="286293C7" w16cex:dateUtc="2023-07-19T06:54:00Z"/>
  <w16cex:commentExtensible w16cex:durableId="28614AE9" w16cex:dateUtc="2023-07-18T07:31:00Z"/>
  <w16cex:commentExtensible w16cex:durableId="2862941B" w16cex:dateUtc="2023-07-19T0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79D05" w14:textId="77777777" w:rsidR="00AF49C0" w:rsidRDefault="00AF49C0" w:rsidP="008456D5">
      <w:pPr>
        <w:spacing w:before="0" w:after="0"/>
      </w:pPr>
      <w:r>
        <w:separator/>
      </w:r>
    </w:p>
  </w:endnote>
  <w:endnote w:type="continuationSeparator" w:id="0">
    <w:p w14:paraId="66C189E7" w14:textId="77777777" w:rsidR="00AF49C0" w:rsidRDefault="00AF49C0" w:rsidP="008456D5">
      <w:pPr>
        <w:spacing w:before="0" w:after="0"/>
      </w:pPr>
      <w:r>
        <w:continuationSeparator/>
      </w:r>
    </w:p>
  </w:endnote>
  <w:endnote w:type="continuationNotice" w:id="1">
    <w:p w14:paraId="4FC0FDEA" w14:textId="77777777" w:rsidR="00AF49C0" w:rsidRDefault="00AF49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C3F3" w14:textId="244D8BF4" w:rsidR="00E075A4" w:rsidRDefault="00E075A4">
    <w:pPr>
      <w:pStyle w:val="Footer"/>
    </w:pPr>
    <w:r>
      <w:t>Growing Regions Program – Frequently Asked Questions – Expressions of Interest – July 2023</w:t>
    </w:r>
  </w:p>
  <w:p w14:paraId="4066BAED" w14:textId="04594438" w:rsidR="00661690" w:rsidRDefault="00661690" w:rsidP="00546218">
    <w:pPr>
      <w:pStyle w:val="Footer"/>
      <w:spacing w:befor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A066" w14:textId="77777777" w:rsidR="00661690" w:rsidRDefault="00661690" w:rsidP="00D02062">
    <w:pPr>
      <w:pStyle w:val="Footer"/>
      <w:spacing w:before="720"/>
    </w:pPr>
    <w:r>
      <w:rPr>
        <w:noProof/>
        <w:lang w:eastAsia="en-AU"/>
      </w:rPr>
      <mc:AlternateContent>
        <mc:Choice Requires="wps">
          <w:drawing>
            <wp:anchor distT="0" distB="0" distL="114300" distR="114300" simplePos="0" relativeHeight="251659264" behindDoc="1" locked="1" layoutInCell="1" allowOverlap="1" wp14:anchorId="419C42B2" wp14:editId="002AFDFA">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05F5D244" w14:textId="77777777" w:rsidR="00661690" w:rsidRDefault="00661690" w:rsidP="00D02062">
                          <w:pPr>
                            <w:pStyle w:val="Footer"/>
                            <w:jc w:val="right"/>
                          </w:pP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C42B2" id="_x0000_t202" coordsize="21600,21600" o:spt="202" path="m,l,21600r21600,l21600,xe">
              <v:stroke joinstyle="miter"/>
              <v:path gradientshapeok="t" o:connecttype="rect"/>
            </v:shapetype>
            <v:shape id="Text Box 7" o:spid="_x0000_s1026" type="#_x0000_t202" style="position:absolute;margin-left:288.95pt;margin-top:0;width:340.15pt;height:42.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LEAH&#10;CIcCAAASBQAADgAAAAAAAAAAAAAAAAAuAgAAZHJzL2Uyb0RvYy54bWxQSwECLQAUAAYACAAAACEA&#10;+rQKg9oAAAAEAQAADwAAAAAAAAAAAAAAAADhBAAAZHJzL2Rvd25yZXYueG1sUEsFBgAAAAAEAAQA&#10;8wAAAOgFAAAAAA==&#10;" filled="f" stroked="f" strokeweight=".5pt">
              <v:textbox inset="0,0,28mm,10mm">
                <w:txbxContent>
                  <w:p w14:paraId="05F5D244" w14:textId="77777777" w:rsidR="00661690" w:rsidRDefault="00661690" w:rsidP="00D02062">
                    <w:pPr>
                      <w:pStyle w:val="Footer"/>
                      <w:jc w:val="right"/>
                    </w:pPr>
                  </w:p>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751D02C8" wp14:editId="75261DD9">
          <wp:simplePos x="0" y="0"/>
          <wp:positionH relativeFrom="page">
            <wp:align>right</wp:align>
          </wp:positionH>
          <wp:positionV relativeFrom="page">
            <wp:align>bottom</wp:align>
          </wp:positionV>
          <wp:extent cx="10692000" cy="183240"/>
          <wp:effectExtent l="0" t="0" r="0" b="7620"/>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7C0EC" w14:textId="77777777" w:rsidR="00AF49C0" w:rsidRPr="005912BE" w:rsidRDefault="00AF49C0" w:rsidP="005912BE">
      <w:pPr>
        <w:spacing w:before="300"/>
        <w:rPr>
          <w:color w:val="008089" w:themeColor="accent2"/>
        </w:rPr>
      </w:pPr>
      <w:r w:rsidRPr="004B6858">
        <w:rPr>
          <w:color w:val="004044" w:themeColor="accent2" w:themeShade="80"/>
        </w:rPr>
        <w:t>----------</w:t>
      </w:r>
    </w:p>
  </w:footnote>
  <w:footnote w:type="continuationSeparator" w:id="0">
    <w:p w14:paraId="08850A23" w14:textId="77777777" w:rsidR="00AF49C0" w:rsidRDefault="00AF49C0" w:rsidP="008456D5">
      <w:pPr>
        <w:spacing w:before="0" w:after="0"/>
      </w:pPr>
      <w:r>
        <w:continuationSeparator/>
      </w:r>
    </w:p>
  </w:footnote>
  <w:footnote w:type="continuationNotice" w:id="1">
    <w:p w14:paraId="78BAF4B6" w14:textId="77777777" w:rsidR="00AF49C0" w:rsidRDefault="00AF49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2BD7" w14:textId="31FD4A38" w:rsidR="00661690" w:rsidRDefault="00661690" w:rsidP="00546218">
    <w:pPr>
      <w:pStyle w:val="Header"/>
      <w:spacing w:after="1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EAF2" w14:textId="77777777" w:rsidR="00661690" w:rsidRDefault="00661690">
    <w:pPr>
      <w:pStyle w:val="Header"/>
    </w:pPr>
    <w:r>
      <w:rPr>
        <w:noProof/>
        <w:lang w:eastAsia="en-AU"/>
      </w:rPr>
      <w:drawing>
        <wp:anchor distT="0" distB="0" distL="114300" distR="114300" simplePos="0" relativeHeight="251655168" behindDoc="1" locked="1" layoutInCell="1" allowOverlap="1" wp14:anchorId="6B0EE3E0" wp14:editId="2CAA1E86">
          <wp:simplePos x="0" y="0"/>
          <wp:positionH relativeFrom="page">
            <wp:align>right</wp:align>
          </wp:positionH>
          <wp:positionV relativeFrom="page">
            <wp:align>top</wp:align>
          </wp:positionV>
          <wp:extent cx="10691640" cy="1944360"/>
          <wp:effectExtent l="0" t="0" r="0"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1640" cy="1944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E653F7"/>
    <w:multiLevelType w:val="hybridMultilevel"/>
    <w:tmpl w:val="F0D0F4FC"/>
    <w:lvl w:ilvl="0" w:tplc="058AEABE">
      <w:start w:val="1"/>
      <w:numFmt w:val="bullet"/>
      <w:lvlText w:val="•"/>
      <w:lvlJc w:val="left"/>
      <w:pPr>
        <w:tabs>
          <w:tab w:val="num" w:pos="720"/>
        </w:tabs>
        <w:ind w:left="720" w:hanging="360"/>
      </w:pPr>
      <w:rPr>
        <w:rFonts w:ascii="Arial" w:hAnsi="Arial" w:hint="default"/>
      </w:rPr>
    </w:lvl>
    <w:lvl w:ilvl="1" w:tplc="2DB01302" w:tentative="1">
      <w:start w:val="1"/>
      <w:numFmt w:val="bullet"/>
      <w:lvlText w:val="•"/>
      <w:lvlJc w:val="left"/>
      <w:pPr>
        <w:tabs>
          <w:tab w:val="num" w:pos="1440"/>
        </w:tabs>
        <w:ind w:left="1440" w:hanging="360"/>
      </w:pPr>
      <w:rPr>
        <w:rFonts w:ascii="Arial" w:hAnsi="Arial" w:hint="default"/>
      </w:rPr>
    </w:lvl>
    <w:lvl w:ilvl="2" w:tplc="7CF8B50E" w:tentative="1">
      <w:start w:val="1"/>
      <w:numFmt w:val="bullet"/>
      <w:lvlText w:val="•"/>
      <w:lvlJc w:val="left"/>
      <w:pPr>
        <w:tabs>
          <w:tab w:val="num" w:pos="2160"/>
        </w:tabs>
        <w:ind w:left="2160" w:hanging="360"/>
      </w:pPr>
      <w:rPr>
        <w:rFonts w:ascii="Arial" w:hAnsi="Arial" w:hint="default"/>
      </w:rPr>
    </w:lvl>
    <w:lvl w:ilvl="3" w:tplc="69322450" w:tentative="1">
      <w:start w:val="1"/>
      <w:numFmt w:val="bullet"/>
      <w:lvlText w:val="•"/>
      <w:lvlJc w:val="left"/>
      <w:pPr>
        <w:tabs>
          <w:tab w:val="num" w:pos="2880"/>
        </w:tabs>
        <w:ind w:left="2880" w:hanging="360"/>
      </w:pPr>
      <w:rPr>
        <w:rFonts w:ascii="Arial" w:hAnsi="Arial" w:hint="default"/>
      </w:rPr>
    </w:lvl>
    <w:lvl w:ilvl="4" w:tplc="5D062EEE" w:tentative="1">
      <w:start w:val="1"/>
      <w:numFmt w:val="bullet"/>
      <w:lvlText w:val="•"/>
      <w:lvlJc w:val="left"/>
      <w:pPr>
        <w:tabs>
          <w:tab w:val="num" w:pos="3600"/>
        </w:tabs>
        <w:ind w:left="3600" w:hanging="360"/>
      </w:pPr>
      <w:rPr>
        <w:rFonts w:ascii="Arial" w:hAnsi="Arial" w:hint="default"/>
      </w:rPr>
    </w:lvl>
    <w:lvl w:ilvl="5" w:tplc="E2FA3516" w:tentative="1">
      <w:start w:val="1"/>
      <w:numFmt w:val="bullet"/>
      <w:lvlText w:val="•"/>
      <w:lvlJc w:val="left"/>
      <w:pPr>
        <w:tabs>
          <w:tab w:val="num" w:pos="4320"/>
        </w:tabs>
        <w:ind w:left="4320" w:hanging="360"/>
      </w:pPr>
      <w:rPr>
        <w:rFonts w:ascii="Arial" w:hAnsi="Arial" w:hint="default"/>
      </w:rPr>
    </w:lvl>
    <w:lvl w:ilvl="6" w:tplc="DA102142" w:tentative="1">
      <w:start w:val="1"/>
      <w:numFmt w:val="bullet"/>
      <w:lvlText w:val="•"/>
      <w:lvlJc w:val="left"/>
      <w:pPr>
        <w:tabs>
          <w:tab w:val="num" w:pos="5040"/>
        </w:tabs>
        <w:ind w:left="5040" w:hanging="360"/>
      </w:pPr>
      <w:rPr>
        <w:rFonts w:ascii="Arial" w:hAnsi="Arial" w:hint="default"/>
      </w:rPr>
    </w:lvl>
    <w:lvl w:ilvl="7" w:tplc="688671BA" w:tentative="1">
      <w:start w:val="1"/>
      <w:numFmt w:val="bullet"/>
      <w:lvlText w:val="•"/>
      <w:lvlJc w:val="left"/>
      <w:pPr>
        <w:tabs>
          <w:tab w:val="num" w:pos="5760"/>
        </w:tabs>
        <w:ind w:left="5760" w:hanging="360"/>
      </w:pPr>
      <w:rPr>
        <w:rFonts w:ascii="Arial" w:hAnsi="Arial" w:hint="default"/>
      </w:rPr>
    </w:lvl>
    <w:lvl w:ilvl="8" w:tplc="472CDD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3342B3"/>
    <w:multiLevelType w:val="hybridMultilevel"/>
    <w:tmpl w:val="03C29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E170D"/>
    <w:multiLevelType w:val="hybridMultilevel"/>
    <w:tmpl w:val="277E9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0F15F2"/>
    <w:multiLevelType w:val="hybridMultilevel"/>
    <w:tmpl w:val="36560572"/>
    <w:lvl w:ilvl="0" w:tplc="0C090001">
      <w:start w:val="1"/>
      <w:numFmt w:val="bullet"/>
      <w:lvlText w:val=""/>
      <w:lvlJc w:val="left"/>
      <w:pPr>
        <w:tabs>
          <w:tab w:val="num" w:pos="360"/>
        </w:tabs>
        <w:ind w:left="360" w:hanging="360"/>
      </w:pPr>
      <w:rPr>
        <w:rFonts w:ascii="Symbol" w:hAnsi="Symbol" w:hint="default"/>
      </w:rPr>
    </w:lvl>
    <w:lvl w:ilvl="1" w:tplc="181A0958" w:tentative="1">
      <w:start w:val="1"/>
      <w:numFmt w:val="bullet"/>
      <w:lvlText w:val="•"/>
      <w:lvlJc w:val="left"/>
      <w:pPr>
        <w:tabs>
          <w:tab w:val="num" w:pos="1080"/>
        </w:tabs>
        <w:ind w:left="1080" w:hanging="360"/>
      </w:pPr>
      <w:rPr>
        <w:rFonts w:ascii="Arial" w:hAnsi="Arial" w:hint="default"/>
      </w:rPr>
    </w:lvl>
    <w:lvl w:ilvl="2" w:tplc="CC4ACBB2" w:tentative="1">
      <w:start w:val="1"/>
      <w:numFmt w:val="bullet"/>
      <w:lvlText w:val="•"/>
      <w:lvlJc w:val="left"/>
      <w:pPr>
        <w:tabs>
          <w:tab w:val="num" w:pos="1800"/>
        </w:tabs>
        <w:ind w:left="1800" w:hanging="360"/>
      </w:pPr>
      <w:rPr>
        <w:rFonts w:ascii="Arial" w:hAnsi="Arial" w:hint="default"/>
      </w:rPr>
    </w:lvl>
    <w:lvl w:ilvl="3" w:tplc="FE98D8D0" w:tentative="1">
      <w:start w:val="1"/>
      <w:numFmt w:val="bullet"/>
      <w:lvlText w:val="•"/>
      <w:lvlJc w:val="left"/>
      <w:pPr>
        <w:tabs>
          <w:tab w:val="num" w:pos="2520"/>
        </w:tabs>
        <w:ind w:left="2520" w:hanging="360"/>
      </w:pPr>
      <w:rPr>
        <w:rFonts w:ascii="Arial" w:hAnsi="Arial" w:hint="default"/>
      </w:rPr>
    </w:lvl>
    <w:lvl w:ilvl="4" w:tplc="4AB47350" w:tentative="1">
      <w:start w:val="1"/>
      <w:numFmt w:val="bullet"/>
      <w:lvlText w:val="•"/>
      <w:lvlJc w:val="left"/>
      <w:pPr>
        <w:tabs>
          <w:tab w:val="num" w:pos="3240"/>
        </w:tabs>
        <w:ind w:left="3240" w:hanging="360"/>
      </w:pPr>
      <w:rPr>
        <w:rFonts w:ascii="Arial" w:hAnsi="Arial" w:hint="default"/>
      </w:rPr>
    </w:lvl>
    <w:lvl w:ilvl="5" w:tplc="45D469F6" w:tentative="1">
      <w:start w:val="1"/>
      <w:numFmt w:val="bullet"/>
      <w:lvlText w:val="•"/>
      <w:lvlJc w:val="left"/>
      <w:pPr>
        <w:tabs>
          <w:tab w:val="num" w:pos="3960"/>
        </w:tabs>
        <w:ind w:left="3960" w:hanging="360"/>
      </w:pPr>
      <w:rPr>
        <w:rFonts w:ascii="Arial" w:hAnsi="Arial" w:hint="default"/>
      </w:rPr>
    </w:lvl>
    <w:lvl w:ilvl="6" w:tplc="A0F6752C" w:tentative="1">
      <w:start w:val="1"/>
      <w:numFmt w:val="bullet"/>
      <w:lvlText w:val="•"/>
      <w:lvlJc w:val="left"/>
      <w:pPr>
        <w:tabs>
          <w:tab w:val="num" w:pos="4680"/>
        </w:tabs>
        <w:ind w:left="4680" w:hanging="360"/>
      </w:pPr>
      <w:rPr>
        <w:rFonts w:ascii="Arial" w:hAnsi="Arial" w:hint="default"/>
      </w:rPr>
    </w:lvl>
    <w:lvl w:ilvl="7" w:tplc="8E2EDCC2" w:tentative="1">
      <w:start w:val="1"/>
      <w:numFmt w:val="bullet"/>
      <w:lvlText w:val="•"/>
      <w:lvlJc w:val="left"/>
      <w:pPr>
        <w:tabs>
          <w:tab w:val="num" w:pos="5400"/>
        </w:tabs>
        <w:ind w:left="5400" w:hanging="360"/>
      </w:pPr>
      <w:rPr>
        <w:rFonts w:ascii="Arial" w:hAnsi="Arial" w:hint="default"/>
      </w:rPr>
    </w:lvl>
    <w:lvl w:ilvl="8" w:tplc="89D05E0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DB85CFF"/>
    <w:multiLevelType w:val="hybridMultilevel"/>
    <w:tmpl w:val="F89406F4"/>
    <w:lvl w:ilvl="0" w:tplc="02CA5DF8">
      <w:start w:val="1"/>
      <w:numFmt w:val="bullet"/>
      <w:lvlText w:val="•"/>
      <w:lvlJc w:val="left"/>
      <w:pPr>
        <w:tabs>
          <w:tab w:val="num" w:pos="720"/>
        </w:tabs>
        <w:ind w:left="720" w:hanging="360"/>
      </w:pPr>
      <w:rPr>
        <w:rFonts w:ascii="Arial" w:hAnsi="Arial" w:hint="default"/>
      </w:rPr>
    </w:lvl>
    <w:lvl w:ilvl="1" w:tplc="91B8B1B0" w:tentative="1">
      <w:start w:val="1"/>
      <w:numFmt w:val="bullet"/>
      <w:lvlText w:val="•"/>
      <w:lvlJc w:val="left"/>
      <w:pPr>
        <w:tabs>
          <w:tab w:val="num" w:pos="1440"/>
        </w:tabs>
        <w:ind w:left="1440" w:hanging="360"/>
      </w:pPr>
      <w:rPr>
        <w:rFonts w:ascii="Arial" w:hAnsi="Arial" w:hint="default"/>
      </w:rPr>
    </w:lvl>
    <w:lvl w:ilvl="2" w:tplc="2DA46A78" w:tentative="1">
      <w:start w:val="1"/>
      <w:numFmt w:val="bullet"/>
      <w:lvlText w:val="•"/>
      <w:lvlJc w:val="left"/>
      <w:pPr>
        <w:tabs>
          <w:tab w:val="num" w:pos="2160"/>
        </w:tabs>
        <w:ind w:left="2160" w:hanging="360"/>
      </w:pPr>
      <w:rPr>
        <w:rFonts w:ascii="Arial" w:hAnsi="Arial" w:hint="default"/>
      </w:rPr>
    </w:lvl>
    <w:lvl w:ilvl="3" w:tplc="E13A241A" w:tentative="1">
      <w:start w:val="1"/>
      <w:numFmt w:val="bullet"/>
      <w:lvlText w:val="•"/>
      <w:lvlJc w:val="left"/>
      <w:pPr>
        <w:tabs>
          <w:tab w:val="num" w:pos="2880"/>
        </w:tabs>
        <w:ind w:left="2880" w:hanging="360"/>
      </w:pPr>
      <w:rPr>
        <w:rFonts w:ascii="Arial" w:hAnsi="Arial" w:hint="default"/>
      </w:rPr>
    </w:lvl>
    <w:lvl w:ilvl="4" w:tplc="569E4C88" w:tentative="1">
      <w:start w:val="1"/>
      <w:numFmt w:val="bullet"/>
      <w:lvlText w:val="•"/>
      <w:lvlJc w:val="left"/>
      <w:pPr>
        <w:tabs>
          <w:tab w:val="num" w:pos="3600"/>
        </w:tabs>
        <w:ind w:left="3600" w:hanging="360"/>
      </w:pPr>
      <w:rPr>
        <w:rFonts w:ascii="Arial" w:hAnsi="Arial" w:hint="default"/>
      </w:rPr>
    </w:lvl>
    <w:lvl w:ilvl="5" w:tplc="556EEE8A" w:tentative="1">
      <w:start w:val="1"/>
      <w:numFmt w:val="bullet"/>
      <w:lvlText w:val="•"/>
      <w:lvlJc w:val="left"/>
      <w:pPr>
        <w:tabs>
          <w:tab w:val="num" w:pos="4320"/>
        </w:tabs>
        <w:ind w:left="4320" w:hanging="360"/>
      </w:pPr>
      <w:rPr>
        <w:rFonts w:ascii="Arial" w:hAnsi="Arial" w:hint="default"/>
      </w:rPr>
    </w:lvl>
    <w:lvl w:ilvl="6" w:tplc="CFDCBA36" w:tentative="1">
      <w:start w:val="1"/>
      <w:numFmt w:val="bullet"/>
      <w:lvlText w:val="•"/>
      <w:lvlJc w:val="left"/>
      <w:pPr>
        <w:tabs>
          <w:tab w:val="num" w:pos="5040"/>
        </w:tabs>
        <w:ind w:left="5040" w:hanging="360"/>
      </w:pPr>
      <w:rPr>
        <w:rFonts w:ascii="Arial" w:hAnsi="Arial" w:hint="default"/>
      </w:rPr>
    </w:lvl>
    <w:lvl w:ilvl="7" w:tplc="2E12BC62" w:tentative="1">
      <w:start w:val="1"/>
      <w:numFmt w:val="bullet"/>
      <w:lvlText w:val="•"/>
      <w:lvlJc w:val="left"/>
      <w:pPr>
        <w:tabs>
          <w:tab w:val="num" w:pos="5760"/>
        </w:tabs>
        <w:ind w:left="5760" w:hanging="360"/>
      </w:pPr>
      <w:rPr>
        <w:rFonts w:ascii="Arial" w:hAnsi="Arial" w:hint="default"/>
      </w:rPr>
    </w:lvl>
    <w:lvl w:ilvl="8" w:tplc="8326D8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F32C61"/>
    <w:multiLevelType w:val="hybridMultilevel"/>
    <w:tmpl w:val="A3FC7F84"/>
    <w:lvl w:ilvl="0" w:tplc="0C090001">
      <w:start w:val="1"/>
      <w:numFmt w:val="bullet"/>
      <w:lvlText w:val=""/>
      <w:lvlJc w:val="left"/>
      <w:pPr>
        <w:tabs>
          <w:tab w:val="num" w:pos="360"/>
        </w:tabs>
        <w:ind w:left="360" w:hanging="360"/>
      </w:pPr>
      <w:rPr>
        <w:rFonts w:ascii="Symbol" w:hAnsi="Symbol" w:hint="default"/>
      </w:rPr>
    </w:lvl>
    <w:lvl w:ilvl="1" w:tplc="C1EE5026" w:tentative="1">
      <w:start w:val="1"/>
      <w:numFmt w:val="bullet"/>
      <w:lvlText w:val="•"/>
      <w:lvlJc w:val="left"/>
      <w:pPr>
        <w:tabs>
          <w:tab w:val="num" w:pos="1080"/>
        </w:tabs>
        <w:ind w:left="1080" w:hanging="360"/>
      </w:pPr>
      <w:rPr>
        <w:rFonts w:ascii="Arial" w:hAnsi="Arial" w:hint="default"/>
      </w:rPr>
    </w:lvl>
    <w:lvl w:ilvl="2" w:tplc="417A652A" w:tentative="1">
      <w:start w:val="1"/>
      <w:numFmt w:val="bullet"/>
      <w:lvlText w:val="•"/>
      <w:lvlJc w:val="left"/>
      <w:pPr>
        <w:tabs>
          <w:tab w:val="num" w:pos="1800"/>
        </w:tabs>
        <w:ind w:left="1800" w:hanging="360"/>
      </w:pPr>
      <w:rPr>
        <w:rFonts w:ascii="Arial" w:hAnsi="Arial" w:hint="default"/>
      </w:rPr>
    </w:lvl>
    <w:lvl w:ilvl="3" w:tplc="9C4ED08E" w:tentative="1">
      <w:start w:val="1"/>
      <w:numFmt w:val="bullet"/>
      <w:lvlText w:val="•"/>
      <w:lvlJc w:val="left"/>
      <w:pPr>
        <w:tabs>
          <w:tab w:val="num" w:pos="2520"/>
        </w:tabs>
        <w:ind w:left="2520" w:hanging="360"/>
      </w:pPr>
      <w:rPr>
        <w:rFonts w:ascii="Arial" w:hAnsi="Arial" w:hint="default"/>
      </w:rPr>
    </w:lvl>
    <w:lvl w:ilvl="4" w:tplc="5046FB3C" w:tentative="1">
      <w:start w:val="1"/>
      <w:numFmt w:val="bullet"/>
      <w:lvlText w:val="•"/>
      <w:lvlJc w:val="left"/>
      <w:pPr>
        <w:tabs>
          <w:tab w:val="num" w:pos="3240"/>
        </w:tabs>
        <w:ind w:left="3240" w:hanging="360"/>
      </w:pPr>
      <w:rPr>
        <w:rFonts w:ascii="Arial" w:hAnsi="Arial" w:hint="default"/>
      </w:rPr>
    </w:lvl>
    <w:lvl w:ilvl="5" w:tplc="C8AADC56" w:tentative="1">
      <w:start w:val="1"/>
      <w:numFmt w:val="bullet"/>
      <w:lvlText w:val="•"/>
      <w:lvlJc w:val="left"/>
      <w:pPr>
        <w:tabs>
          <w:tab w:val="num" w:pos="3960"/>
        </w:tabs>
        <w:ind w:left="3960" w:hanging="360"/>
      </w:pPr>
      <w:rPr>
        <w:rFonts w:ascii="Arial" w:hAnsi="Arial" w:hint="default"/>
      </w:rPr>
    </w:lvl>
    <w:lvl w:ilvl="6" w:tplc="60D68F90" w:tentative="1">
      <w:start w:val="1"/>
      <w:numFmt w:val="bullet"/>
      <w:lvlText w:val="•"/>
      <w:lvlJc w:val="left"/>
      <w:pPr>
        <w:tabs>
          <w:tab w:val="num" w:pos="4680"/>
        </w:tabs>
        <w:ind w:left="4680" w:hanging="360"/>
      </w:pPr>
      <w:rPr>
        <w:rFonts w:ascii="Arial" w:hAnsi="Arial" w:hint="default"/>
      </w:rPr>
    </w:lvl>
    <w:lvl w:ilvl="7" w:tplc="1F267F52" w:tentative="1">
      <w:start w:val="1"/>
      <w:numFmt w:val="bullet"/>
      <w:lvlText w:val="•"/>
      <w:lvlJc w:val="left"/>
      <w:pPr>
        <w:tabs>
          <w:tab w:val="num" w:pos="5400"/>
        </w:tabs>
        <w:ind w:left="5400" w:hanging="360"/>
      </w:pPr>
      <w:rPr>
        <w:rFonts w:ascii="Arial" w:hAnsi="Arial" w:hint="default"/>
      </w:rPr>
    </w:lvl>
    <w:lvl w:ilvl="8" w:tplc="FA26083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DBB276F"/>
    <w:multiLevelType w:val="hybridMultilevel"/>
    <w:tmpl w:val="906C2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A51938"/>
    <w:multiLevelType w:val="multilevel"/>
    <w:tmpl w:val="298C34E4"/>
    <w:numStyleLink w:val="AppendixNumbers"/>
  </w:abstractNum>
  <w:abstractNum w:abstractNumId="21" w15:restartNumberingAfterBreak="0">
    <w:nsid w:val="3B666B02"/>
    <w:multiLevelType w:val="hybridMultilevel"/>
    <w:tmpl w:val="D9008B9E"/>
    <w:lvl w:ilvl="0" w:tplc="B1EC29FC">
      <w:start w:val="1"/>
      <w:numFmt w:val="bullet"/>
      <w:lvlText w:val="•"/>
      <w:lvlJc w:val="left"/>
      <w:pPr>
        <w:tabs>
          <w:tab w:val="num" w:pos="360"/>
        </w:tabs>
        <w:ind w:left="360" w:hanging="360"/>
      </w:pPr>
      <w:rPr>
        <w:rFonts w:ascii="Arial" w:hAnsi="Arial" w:hint="default"/>
      </w:rPr>
    </w:lvl>
    <w:lvl w:ilvl="1" w:tplc="181A0958" w:tentative="1">
      <w:start w:val="1"/>
      <w:numFmt w:val="bullet"/>
      <w:lvlText w:val="•"/>
      <w:lvlJc w:val="left"/>
      <w:pPr>
        <w:tabs>
          <w:tab w:val="num" w:pos="1080"/>
        </w:tabs>
        <w:ind w:left="1080" w:hanging="360"/>
      </w:pPr>
      <w:rPr>
        <w:rFonts w:ascii="Arial" w:hAnsi="Arial" w:hint="default"/>
      </w:rPr>
    </w:lvl>
    <w:lvl w:ilvl="2" w:tplc="CC4ACBB2" w:tentative="1">
      <w:start w:val="1"/>
      <w:numFmt w:val="bullet"/>
      <w:lvlText w:val="•"/>
      <w:lvlJc w:val="left"/>
      <w:pPr>
        <w:tabs>
          <w:tab w:val="num" w:pos="1800"/>
        </w:tabs>
        <w:ind w:left="1800" w:hanging="360"/>
      </w:pPr>
      <w:rPr>
        <w:rFonts w:ascii="Arial" w:hAnsi="Arial" w:hint="default"/>
      </w:rPr>
    </w:lvl>
    <w:lvl w:ilvl="3" w:tplc="FE98D8D0" w:tentative="1">
      <w:start w:val="1"/>
      <w:numFmt w:val="bullet"/>
      <w:lvlText w:val="•"/>
      <w:lvlJc w:val="left"/>
      <w:pPr>
        <w:tabs>
          <w:tab w:val="num" w:pos="2520"/>
        </w:tabs>
        <w:ind w:left="2520" w:hanging="360"/>
      </w:pPr>
      <w:rPr>
        <w:rFonts w:ascii="Arial" w:hAnsi="Arial" w:hint="default"/>
      </w:rPr>
    </w:lvl>
    <w:lvl w:ilvl="4" w:tplc="4AB47350" w:tentative="1">
      <w:start w:val="1"/>
      <w:numFmt w:val="bullet"/>
      <w:lvlText w:val="•"/>
      <w:lvlJc w:val="left"/>
      <w:pPr>
        <w:tabs>
          <w:tab w:val="num" w:pos="3240"/>
        </w:tabs>
        <w:ind w:left="3240" w:hanging="360"/>
      </w:pPr>
      <w:rPr>
        <w:rFonts w:ascii="Arial" w:hAnsi="Arial" w:hint="default"/>
      </w:rPr>
    </w:lvl>
    <w:lvl w:ilvl="5" w:tplc="45D469F6" w:tentative="1">
      <w:start w:val="1"/>
      <w:numFmt w:val="bullet"/>
      <w:lvlText w:val="•"/>
      <w:lvlJc w:val="left"/>
      <w:pPr>
        <w:tabs>
          <w:tab w:val="num" w:pos="3960"/>
        </w:tabs>
        <w:ind w:left="3960" w:hanging="360"/>
      </w:pPr>
      <w:rPr>
        <w:rFonts w:ascii="Arial" w:hAnsi="Arial" w:hint="default"/>
      </w:rPr>
    </w:lvl>
    <w:lvl w:ilvl="6" w:tplc="A0F6752C" w:tentative="1">
      <w:start w:val="1"/>
      <w:numFmt w:val="bullet"/>
      <w:lvlText w:val="•"/>
      <w:lvlJc w:val="left"/>
      <w:pPr>
        <w:tabs>
          <w:tab w:val="num" w:pos="4680"/>
        </w:tabs>
        <w:ind w:left="4680" w:hanging="360"/>
      </w:pPr>
      <w:rPr>
        <w:rFonts w:ascii="Arial" w:hAnsi="Arial" w:hint="default"/>
      </w:rPr>
    </w:lvl>
    <w:lvl w:ilvl="7" w:tplc="8E2EDCC2" w:tentative="1">
      <w:start w:val="1"/>
      <w:numFmt w:val="bullet"/>
      <w:lvlText w:val="•"/>
      <w:lvlJc w:val="left"/>
      <w:pPr>
        <w:tabs>
          <w:tab w:val="num" w:pos="5400"/>
        </w:tabs>
        <w:ind w:left="5400" w:hanging="360"/>
      </w:pPr>
      <w:rPr>
        <w:rFonts w:ascii="Arial" w:hAnsi="Arial" w:hint="default"/>
      </w:rPr>
    </w:lvl>
    <w:lvl w:ilvl="8" w:tplc="89D05E0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49367005"/>
    <w:multiLevelType w:val="hybridMultilevel"/>
    <w:tmpl w:val="847C185E"/>
    <w:lvl w:ilvl="0" w:tplc="3F6A1B7A">
      <w:start w:val="1"/>
      <w:numFmt w:val="bullet"/>
      <w:lvlText w:val="•"/>
      <w:lvlJc w:val="left"/>
      <w:pPr>
        <w:tabs>
          <w:tab w:val="num" w:pos="720"/>
        </w:tabs>
        <w:ind w:left="720" w:hanging="360"/>
      </w:pPr>
      <w:rPr>
        <w:rFonts w:ascii="Arial" w:hAnsi="Arial" w:hint="default"/>
      </w:rPr>
    </w:lvl>
    <w:lvl w:ilvl="1" w:tplc="784203BA" w:tentative="1">
      <w:start w:val="1"/>
      <w:numFmt w:val="bullet"/>
      <w:lvlText w:val="•"/>
      <w:lvlJc w:val="left"/>
      <w:pPr>
        <w:tabs>
          <w:tab w:val="num" w:pos="1440"/>
        </w:tabs>
        <w:ind w:left="1440" w:hanging="360"/>
      </w:pPr>
      <w:rPr>
        <w:rFonts w:ascii="Arial" w:hAnsi="Arial" w:hint="default"/>
      </w:rPr>
    </w:lvl>
    <w:lvl w:ilvl="2" w:tplc="5478F62C" w:tentative="1">
      <w:start w:val="1"/>
      <w:numFmt w:val="bullet"/>
      <w:lvlText w:val="•"/>
      <w:lvlJc w:val="left"/>
      <w:pPr>
        <w:tabs>
          <w:tab w:val="num" w:pos="2160"/>
        </w:tabs>
        <w:ind w:left="2160" w:hanging="360"/>
      </w:pPr>
      <w:rPr>
        <w:rFonts w:ascii="Arial" w:hAnsi="Arial" w:hint="default"/>
      </w:rPr>
    </w:lvl>
    <w:lvl w:ilvl="3" w:tplc="7DF4A0A4" w:tentative="1">
      <w:start w:val="1"/>
      <w:numFmt w:val="bullet"/>
      <w:lvlText w:val="•"/>
      <w:lvlJc w:val="left"/>
      <w:pPr>
        <w:tabs>
          <w:tab w:val="num" w:pos="2880"/>
        </w:tabs>
        <w:ind w:left="2880" w:hanging="360"/>
      </w:pPr>
      <w:rPr>
        <w:rFonts w:ascii="Arial" w:hAnsi="Arial" w:hint="default"/>
      </w:rPr>
    </w:lvl>
    <w:lvl w:ilvl="4" w:tplc="2C4E1C6A" w:tentative="1">
      <w:start w:val="1"/>
      <w:numFmt w:val="bullet"/>
      <w:lvlText w:val="•"/>
      <w:lvlJc w:val="left"/>
      <w:pPr>
        <w:tabs>
          <w:tab w:val="num" w:pos="3600"/>
        </w:tabs>
        <w:ind w:left="3600" w:hanging="360"/>
      </w:pPr>
      <w:rPr>
        <w:rFonts w:ascii="Arial" w:hAnsi="Arial" w:hint="default"/>
      </w:rPr>
    </w:lvl>
    <w:lvl w:ilvl="5" w:tplc="76225D5C" w:tentative="1">
      <w:start w:val="1"/>
      <w:numFmt w:val="bullet"/>
      <w:lvlText w:val="•"/>
      <w:lvlJc w:val="left"/>
      <w:pPr>
        <w:tabs>
          <w:tab w:val="num" w:pos="4320"/>
        </w:tabs>
        <w:ind w:left="4320" w:hanging="360"/>
      </w:pPr>
      <w:rPr>
        <w:rFonts w:ascii="Arial" w:hAnsi="Arial" w:hint="default"/>
      </w:rPr>
    </w:lvl>
    <w:lvl w:ilvl="6" w:tplc="0626624C" w:tentative="1">
      <w:start w:val="1"/>
      <w:numFmt w:val="bullet"/>
      <w:lvlText w:val="•"/>
      <w:lvlJc w:val="left"/>
      <w:pPr>
        <w:tabs>
          <w:tab w:val="num" w:pos="5040"/>
        </w:tabs>
        <w:ind w:left="5040" w:hanging="360"/>
      </w:pPr>
      <w:rPr>
        <w:rFonts w:ascii="Arial" w:hAnsi="Arial" w:hint="default"/>
      </w:rPr>
    </w:lvl>
    <w:lvl w:ilvl="7" w:tplc="9CAE2C7E" w:tentative="1">
      <w:start w:val="1"/>
      <w:numFmt w:val="bullet"/>
      <w:lvlText w:val="•"/>
      <w:lvlJc w:val="left"/>
      <w:pPr>
        <w:tabs>
          <w:tab w:val="num" w:pos="5760"/>
        </w:tabs>
        <w:ind w:left="5760" w:hanging="360"/>
      </w:pPr>
      <w:rPr>
        <w:rFonts w:ascii="Arial" w:hAnsi="Arial" w:hint="default"/>
      </w:rPr>
    </w:lvl>
    <w:lvl w:ilvl="8" w:tplc="561AA9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131D97"/>
    <w:multiLevelType w:val="hybridMultilevel"/>
    <w:tmpl w:val="CAD013DE"/>
    <w:lvl w:ilvl="0" w:tplc="B09498A6">
      <w:start w:val="1"/>
      <w:numFmt w:val="bullet"/>
      <w:lvlText w:val="•"/>
      <w:lvlJc w:val="left"/>
      <w:pPr>
        <w:tabs>
          <w:tab w:val="num" w:pos="720"/>
        </w:tabs>
        <w:ind w:left="720" w:hanging="360"/>
      </w:pPr>
      <w:rPr>
        <w:rFonts w:ascii="Arial" w:hAnsi="Arial" w:hint="default"/>
      </w:rPr>
    </w:lvl>
    <w:lvl w:ilvl="1" w:tplc="9CDE7812" w:tentative="1">
      <w:start w:val="1"/>
      <w:numFmt w:val="bullet"/>
      <w:lvlText w:val="•"/>
      <w:lvlJc w:val="left"/>
      <w:pPr>
        <w:tabs>
          <w:tab w:val="num" w:pos="1440"/>
        </w:tabs>
        <w:ind w:left="1440" w:hanging="360"/>
      </w:pPr>
      <w:rPr>
        <w:rFonts w:ascii="Arial" w:hAnsi="Arial" w:hint="default"/>
      </w:rPr>
    </w:lvl>
    <w:lvl w:ilvl="2" w:tplc="AFA0269E" w:tentative="1">
      <w:start w:val="1"/>
      <w:numFmt w:val="bullet"/>
      <w:lvlText w:val="•"/>
      <w:lvlJc w:val="left"/>
      <w:pPr>
        <w:tabs>
          <w:tab w:val="num" w:pos="2160"/>
        </w:tabs>
        <w:ind w:left="2160" w:hanging="360"/>
      </w:pPr>
      <w:rPr>
        <w:rFonts w:ascii="Arial" w:hAnsi="Arial" w:hint="default"/>
      </w:rPr>
    </w:lvl>
    <w:lvl w:ilvl="3" w:tplc="FD88D9E0" w:tentative="1">
      <w:start w:val="1"/>
      <w:numFmt w:val="bullet"/>
      <w:lvlText w:val="•"/>
      <w:lvlJc w:val="left"/>
      <w:pPr>
        <w:tabs>
          <w:tab w:val="num" w:pos="2880"/>
        </w:tabs>
        <w:ind w:left="2880" w:hanging="360"/>
      </w:pPr>
      <w:rPr>
        <w:rFonts w:ascii="Arial" w:hAnsi="Arial" w:hint="default"/>
      </w:rPr>
    </w:lvl>
    <w:lvl w:ilvl="4" w:tplc="201EAAA8" w:tentative="1">
      <w:start w:val="1"/>
      <w:numFmt w:val="bullet"/>
      <w:lvlText w:val="•"/>
      <w:lvlJc w:val="left"/>
      <w:pPr>
        <w:tabs>
          <w:tab w:val="num" w:pos="3600"/>
        </w:tabs>
        <w:ind w:left="3600" w:hanging="360"/>
      </w:pPr>
      <w:rPr>
        <w:rFonts w:ascii="Arial" w:hAnsi="Arial" w:hint="default"/>
      </w:rPr>
    </w:lvl>
    <w:lvl w:ilvl="5" w:tplc="A4DE7C32" w:tentative="1">
      <w:start w:val="1"/>
      <w:numFmt w:val="bullet"/>
      <w:lvlText w:val="•"/>
      <w:lvlJc w:val="left"/>
      <w:pPr>
        <w:tabs>
          <w:tab w:val="num" w:pos="4320"/>
        </w:tabs>
        <w:ind w:left="4320" w:hanging="360"/>
      </w:pPr>
      <w:rPr>
        <w:rFonts w:ascii="Arial" w:hAnsi="Arial" w:hint="default"/>
      </w:rPr>
    </w:lvl>
    <w:lvl w:ilvl="6" w:tplc="205817F4" w:tentative="1">
      <w:start w:val="1"/>
      <w:numFmt w:val="bullet"/>
      <w:lvlText w:val="•"/>
      <w:lvlJc w:val="left"/>
      <w:pPr>
        <w:tabs>
          <w:tab w:val="num" w:pos="5040"/>
        </w:tabs>
        <w:ind w:left="5040" w:hanging="360"/>
      </w:pPr>
      <w:rPr>
        <w:rFonts w:ascii="Arial" w:hAnsi="Arial" w:hint="default"/>
      </w:rPr>
    </w:lvl>
    <w:lvl w:ilvl="7" w:tplc="5EBEF6AA" w:tentative="1">
      <w:start w:val="1"/>
      <w:numFmt w:val="bullet"/>
      <w:lvlText w:val="•"/>
      <w:lvlJc w:val="left"/>
      <w:pPr>
        <w:tabs>
          <w:tab w:val="num" w:pos="5760"/>
        </w:tabs>
        <w:ind w:left="5760" w:hanging="360"/>
      </w:pPr>
      <w:rPr>
        <w:rFonts w:ascii="Arial" w:hAnsi="Arial" w:hint="default"/>
      </w:rPr>
    </w:lvl>
    <w:lvl w:ilvl="8" w:tplc="A086D3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7020C9"/>
    <w:multiLevelType w:val="hybridMultilevel"/>
    <w:tmpl w:val="E280DAC2"/>
    <w:lvl w:ilvl="0" w:tplc="A198C5C0">
      <w:start w:val="1"/>
      <w:numFmt w:val="decimal"/>
      <w:lvlText w:val="%1."/>
      <w:lvlJc w:val="left"/>
      <w:pPr>
        <w:ind w:left="720" w:hanging="360"/>
      </w:pPr>
      <w:rPr>
        <w:rFonts w:ascii="Calibri" w:hAnsi="Calibri"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0B135E0"/>
    <w:multiLevelType w:val="hybridMultilevel"/>
    <w:tmpl w:val="24567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F820FD"/>
    <w:multiLevelType w:val="hybridMultilevel"/>
    <w:tmpl w:val="56FC60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E17B88"/>
    <w:multiLevelType w:val="hybridMultilevel"/>
    <w:tmpl w:val="B492D6CA"/>
    <w:lvl w:ilvl="0" w:tplc="C512B8AC">
      <w:start w:val="1"/>
      <w:numFmt w:val="bullet"/>
      <w:lvlText w:val="•"/>
      <w:lvlJc w:val="left"/>
      <w:pPr>
        <w:tabs>
          <w:tab w:val="num" w:pos="720"/>
        </w:tabs>
        <w:ind w:left="720" w:hanging="360"/>
      </w:pPr>
      <w:rPr>
        <w:rFonts w:ascii="Arial" w:hAnsi="Arial" w:hint="default"/>
      </w:rPr>
    </w:lvl>
    <w:lvl w:ilvl="1" w:tplc="44C01078" w:tentative="1">
      <w:start w:val="1"/>
      <w:numFmt w:val="bullet"/>
      <w:lvlText w:val="•"/>
      <w:lvlJc w:val="left"/>
      <w:pPr>
        <w:tabs>
          <w:tab w:val="num" w:pos="1440"/>
        </w:tabs>
        <w:ind w:left="1440" w:hanging="360"/>
      </w:pPr>
      <w:rPr>
        <w:rFonts w:ascii="Arial" w:hAnsi="Arial" w:hint="default"/>
      </w:rPr>
    </w:lvl>
    <w:lvl w:ilvl="2" w:tplc="2430B174" w:tentative="1">
      <w:start w:val="1"/>
      <w:numFmt w:val="bullet"/>
      <w:lvlText w:val="•"/>
      <w:lvlJc w:val="left"/>
      <w:pPr>
        <w:tabs>
          <w:tab w:val="num" w:pos="2160"/>
        </w:tabs>
        <w:ind w:left="2160" w:hanging="360"/>
      </w:pPr>
      <w:rPr>
        <w:rFonts w:ascii="Arial" w:hAnsi="Arial" w:hint="default"/>
      </w:rPr>
    </w:lvl>
    <w:lvl w:ilvl="3" w:tplc="3264988C" w:tentative="1">
      <w:start w:val="1"/>
      <w:numFmt w:val="bullet"/>
      <w:lvlText w:val="•"/>
      <w:lvlJc w:val="left"/>
      <w:pPr>
        <w:tabs>
          <w:tab w:val="num" w:pos="2880"/>
        </w:tabs>
        <w:ind w:left="2880" w:hanging="360"/>
      </w:pPr>
      <w:rPr>
        <w:rFonts w:ascii="Arial" w:hAnsi="Arial" w:hint="default"/>
      </w:rPr>
    </w:lvl>
    <w:lvl w:ilvl="4" w:tplc="9D425520" w:tentative="1">
      <w:start w:val="1"/>
      <w:numFmt w:val="bullet"/>
      <w:lvlText w:val="•"/>
      <w:lvlJc w:val="left"/>
      <w:pPr>
        <w:tabs>
          <w:tab w:val="num" w:pos="3600"/>
        </w:tabs>
        <w:ind w:left="3600" w:hanging="360"/>
      </w:pPr>
      <w:rPr>
        <w:rFonts w:ascii="Arial" w:hAnsi="Arial" w:hint="default"/>
      </w:rPr>
    </w:lvl>
    <w:lvl w:ilvl="5" w:tplc="333A9A5A" w:tentative="1">
      <w:start w:val="1"/>
      <w:numFmt w:val="bullet"/>
      <w:lvlText w:val="•"/>
      <w:lvlJc w:val="left"/>
      <w:pPr>
        <w:tabs>
          <w:tab w:val="num" w:pos="4320"/>
        </w:tabs>
        <w:ind w:left="4320" w:hanging="360"/>
      </w:pPr>
      <w:rPr>
        <w:rFonts w:ascii="Arial" w:hAnsi="Arial" w:hint="default"/>
      </w:rPr>
    </w:lvl>
    <w:lvl w:ilvl="6" w:tplc="F8463D2E" w:tentative="1">
      <w:start w:val="1"/>
      <w:numFmt w:val="bullet"/>
      <w:lvlText w:val="•"/>
      <w:lvlJc w:val="left"/>
      <w:pPr>
        <w:tabs>
          <w:tab w:val="num" w:pos="5040"/>
        </w:tabs>
        <w:ind w:left="5040" w:hanging="360"/>
      </w:pPr>
      <w:rPr>
        <w:rFonts w:ascii="Arial" w:hAnsi="Arial" w:hint="default"/>
      </w:rPr>
    </w:lvl>
    <w:lvl w:ilvl="7" w:tplc="774E8CE8" w:tentative="1">
      <w:start w:val="1"/>
      <w:numFmt w:val="bullet"/>
      <w:lvlText w:val="•"/>
      <w:lvlJc w:val="left"/>
      <w:pPr>
        <w:tabs>
          <w:tab w:val="num" w:pos="5760"/>
        </w:tabs>
        <w:ind w:left="5760" w:hanging="360"/>
      </w:pPr>
      <w:rPr>
        <w:rFonts w:ascii="Arial" w:hAnsi="Arial" w:hint="default"/>
      </w:rPr>
    </w:lvl>
    <w:lvl w:ilvl="8" w:tplc="09069F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FD256D"/>
    <w:multiLevelType w:val="hybridMultilevel"/>
    <w:tmpl w:val="03703D20"/>
    <w:lvl w:ilvl="0" w:tplc="55680470">
      <w:start w:val="1"/>
      <w:numFmt w:val="bullet"/>
      <w:lvlText w:val="•"/>
      <w:lvlJc w:val="left"/>
      <w:pPr>
        <w:tabs>
          <w:tab w:val="num" w:pos="720"/>
        </w:tabs>
        <w:ind w:left="720" w:hanging="360"/>
      </w:pPr>
      <w:rPr>
        <w:rFonts w:ascii="Arial" w:hAnsi="Arial" w:hint="default"/>
      </w:rPr>
    </w:lvl>
    <w:lvl w:ilvl="1" w:tplc="A266D100" w:tentative="1">
      <w:start w:val="1"/>
      <w:numFmt w:val="bullet"/>
      <w:lvlText w:val="•"/>
      <w:lvlJc w:val="left"/>
      <w:pPr>
        <w:tabs>
          <w:tab w:val="num" w:pos="1440"/>
        </w:tabs>
        <w:ind w:left="1440" w:hanging="360"/>
      </w:pPr>
      <w:rPr>
        <w:rFonts w:ascii="Arial" w:hAnsi="Arial" w:hint="default"/>
      </w:rPr>
    </w:lvl>
    <w:lvl w:ilvl="2" w:tplc="9C087226" w:tentative="1">
      <w:start w:val="1"/>
      <w:numFmt w:val="bullet"/>
      <w:lvlText w:val="•"/>
      <w:lvlJc w:val="left"/>
      <w:pPr>
        <w:tabs>
          <w:tab w:val="num" w:pos="2160"/>
        </w:tabs>
        <w:ind w:left="2160" w:hanging="360"/>
      </w:pPr>
      <w:rPr>
        <w:rFonts w:ascii="Arial" w:hAnsi="Arial" w:hint="default"/>
      </w:rPr>
    </w:lvl>
    <w:lvl w:ilvl="3" w:tplc="A538EEFA" w:tentative="1">
      <w:start w:val="1"/>
      <w:numFmt w:val="bullet"/>
      <w:lvlText w:val="•"/>
      <w:lvlJc w:val="left"/>
      <w:pPr>
        <w:tabs>
          <w:tab w:val="num" w:pos="2880"/>
        </w:tabs>
        <w:ind w:left="2880" w:hanging="360"/>
      </w:pPr>
      <w:rPr>
        <w:rFonts w:ascii="Arial" w:hAnsi="Arial" w:hint="default"/>
      </w:rPr>
    </w:lvl>
    <w:lvl w:ilvl="4" w:tplc="8B3CE96E" w:tentative="1">
      <w:start w:val="1"/>
      <w:numFmt w:val="bullet"/>
      <w:lvlText w:val="•"/>
      <w:lvlJc w:val="left"/>
      <w:pPr>
        <w:tabs>
          <w:tab w:val="num" w:pos="3600"/>
        </w:tabs>
        <w:ind w:left="3600" w:hanging="360"/>
      </w:pPr>
      <w:rPr>
        <w:rFonts w:ascii="Arial" w:hAnsi="Arial" w:hint="default"/>
      </w:rPr>
    </w:lvl>
    <w:lvl w:ilvl="5" w:tplc="D56658DE" w:tentative="1">
      <w:start w:val="1"/>
      <w:numFmt w:val="bullet"/>
      <w:lvlText w:val="•"/>
      <w:lvlJc w:val="left"/>
      <w:pPr>
        <w:tabs>
          <w:tab w:val="num" w:pos="4320"/>
        </w:tabs>
        <w:ind w:left="4320" w:hanging="360"/>
      </w:pPr>
      <w:rPr>
        <w:rFonts w:ascii="Arial" w:hAnsi="Arial" w:hint="default"/>
      </w:rPr>
    </w:lvl>
    <w:lvl w:ilvl="6" w:tplc="A89CEF22" w:tentative="1">
      <w:start w:val="1"/>
      <w:numFmt w:val="bullet"/>
      <w:lvlText w:val="•"/>
      <w:lvlJc w:val="left"/>
      <w:pPr>
        <w:tabs>
          <w:tab w:val="num" w:pos="5040"/>
        </w:tabs>
        <w:ind w:left="5040" w:hanging="360"/>
      </w:pPr>
      <w:rPr>
        <w:rFonts w:ascii="Arial" w:hAnsi="Arial" w:hint="default"/>
      </w:rPr>
    </w:lvl>
    <w:lvl w:ilvl="7" w:tplc="8E4215E8" w:tentative="1">
      <w:start w:val="1"/>
      <w:numFmt w:val="bullet"/>
      <w:lvlText w:val="•"/>
      <w:lvlJc w:val="left"/>
      <w:pPr>
        <w:tabs>
          <w:tab w:val="num" w:pos="5760"/>
        </w:tabs>
        <w:ind w:left="5760" w:hanging="360"/>
      </w:pPr>
      <w:rPr>
        <w:rFonts w:ascii="Arial" w:hAnsi="Arial" w:hint="default"/>
      </w:rPr>
    </w:lvl>
    <w:lvl w:ilvl="8" w:tplc="D5B6379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9"/>
  </w:num>
  <w:num w:numId="26">
    <w:abstractNumId w:val="29"/>
  </w:num>
  <w:num w:numId="27">
    <w:abstractNumId w:val="29"/>
  </w:num>
  <w:num w:numId="28">
    <w:abstractNumId w:val="28"/>
  </w:num>
  <w:num w:numId="29">
    <w:abstractNumId w:val="25"/>
  </w:num>
  <w:num w:numId="30">
    <w:abstractNumId w:val="11"/>
  </w:num>
  <w:num w:numId="31">
    <w:abstractNumId w:val="32"/>
  </w:num>
  <w:num w:numId="32">
    <w:abstractNumId w:val="24"/>
  </w:num>
  <w:num w:numId="33">
    <w:abstractNumId w:val="16"/>
  </w:num>
  <w:num w:numId="34">
    <w:abstractNumId w:val="18"/>
  </w:num>
  <w:num w:numId="35">
    <w:abstractNumId w:val="30"/>
  </w:num>
  <w:num w:numId="36">
    <w:abstractNumId w:val="14"/>
  </w:num>
  <w:num w:numId="37">
    <w:abstractNumId w:val="21"/>
  </w:num>
  <w:num w:numId="38">
    <w:abstractNumId w:val="31"/>
  </w:num>
  <w:num w:numId="39">
    <w:abstractNumId w:val="17"/>
  </w:num>
  <w:num w:numId="40">
    <w:abstractNumId w:val="15"/>
  </w:num>
  <w:num w:numId="41">
    <w:abstractNumId w:val="1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AC"/>
    <w:rsid w:val="0001430B"/>
    <w:rsid w:val="00017870"/>
    <w:rsid w:val="000354B0"/>
    <w:rsid w:val="000536ED"/>
    <w:rsid w:val="00061E8B"/>
    <w:rsid w:val="000719CB"/>
    <w:rsid w:val="000A42F9"/>
    <w:rsid w:val="000A61FF"/>
    <w:rsid w:val="000D716D"/>
    <w:rsid w:val="000E24BA"/>
    <w:rsid w:val="000E2CD1"/>
    <w:rsid w:val="000E5674"/>
    <w:rsid w:val="00117099"/>
    <w:rsid w:val="001349C6"/>
    <w:rsid w:val="0019326F"/>
    <w:rsid w:val="001B3776"/>
    <w:rsid w:val="001D2788"/>
    <w:rsid w:val="001D50AD"/>
    <w:rsid w:val="001E235A"/>
    <w:rsid w:val="002254D5"/>
    <w:rsid w:val="0022611D"/>
    <w:rsid w:val="002309F3"/>
    <w:rsid w:val="00232E7D"/>
    <w:rsid w:val="002341C0"/>
    <w:rsid w:val="00243E11"/>
    <w:rsid w:val="0025377B"/>
    <w:rsid w:val="0026422D"/>
    <w:rsid w:val="00273AD8"/>
    <w:rsid w:val="00284164"/>
    <w:rsid w:val="002847D2"/>
    <w:rsid w:val="002B3569"/>
    <w:rsid w:val="002B7197"/>
    <w:rsid w:val="002C4579"/>
    <w:rsid w:val="002C4BA2"/>
    <w:rsid w:val="002D7BE2"/>
    <w:rsid w:val="002E1ADA"/>
    <w:rsid w:val="00303EE6"/>
    <w:rsid w:val="00323391"/>
    <w:rsid w:val="003720E9"/>
    <w:rsid w:val="00372B8C"/>
    <w:rsid w:val="003C625A"/>
    <w:rsid w:val="003F775D"/>
    <w:rsid w:val="00420F04"/>
    <w:rsid w:val="00450D0E"/>
    <w:rsid w:val="00452490"/>
    <w:rsid w:val="00477E77"/>
    <w:rsid w:val="004B6858"/>
    <w:rsid w:val="004E1020"/>
    <w:rsid w:val="004E557D"/>
    <w:rsid w:val="00501F0B"/>
    <w:rsid w:val="005115C5"/>
    <w:rsid w:val="005330A8"/>
    <w:rsid w:val="005402B0"/>
    <w:rsid w:val="00541213"/>
    <w:rsid w:val="00541786"/>
    <w:rsid w:val="0054285B"/>
    <w:rsid w:val="00546218"/>
    <w:rsid w:val="00565016"/>
    <w:rsid w:val="005837CF"/>
    <w:rsid w:val="005901AB"/>
    <w:rsid w:val="005912BE"/>
    <w:rsid w:val="005C127E"/>
    <w:rsid w:val="005D24FA"/>
    <w:rsid w:val="005F794B"/>
    <w:rsid w:val="00606912"/>
    <w:rsid w:val="00626B0A"/>
    <w:rsid w:val="0063198A"/>
    <w:rsid w:val="00642E30"/>
    <w:rsid w:val="00661249"/>
    <w:rsid w:val="00661690"/>
    <w:rsid w:val="0067240A"/>
    <w:rsid w:val="00686A7B"/>
    <w:rsid w:val="006A266A"/>
    <w:rsid w:val="006B098A"/>
    <w:rsid w:val="006B47EB"/>
    <w:rsid w:val="006B70E2"/>
    <w:rsid w:val="006E1ECA"/>
    <w:rsid w:val="00703F60"/>
    <w:rsid w:val="00766CBD"/>
    <w:rsid w:val="00771DD2"/>
    <w:rsid w:val="00786A0D"/>
    <w:rsid w:val="007A05BE"/>
    <w:rsid w:val="007B574C"/>
    <w:rsid w:val="007D3DDB"/>
    <w:rsid w:val="00801F2C"/>
    <w:rsid w:val="008067A1"/>
    <w:rsid w:val="00814653"/>
    <w:rsid w:val="008456D5"/>
    <w:rsid w:val="0084634B"/>
    <w:rsid w:val="00853E3F"/>
    <w:rsid w:val="008A1887"/>
    <w:rsid w:val="008A61B2"/>
    <w:rsid w:val="008B0159"/>
    <w:rsid w:val="008B04DF"/>
    <w:rsid w:val="008B6A81"/>
    <w:rsid w:val="008D2525"/>
    <w:rsid w:val="008D412C"/>
    <w:rsid w:val="008E022A"/>
    <w:rsid w:val="008E1E9C"/>
    <w:rsid w:val="008E2A0D"/>
    <w:rsid w:val="00907A39"/>
    <w:rsid w:val="009947C1"/>
    <w:rsid w:val="009B00F2"/>
    <w:rsid w:val="00A070A2"/>
    <w:rsid w:val="00A11DB3"/>
    <w:rsid w:val="00A370AD"/>
    <w:rsid w:val="00A62339"/>
    <w:rsid w:val="00A81FA3"/>
    <w:rsid w:val="00A87F87"/>
    <w:rsid w:val="00A95970"/>
    <w:rsid w:val="00AD7703"/>
    <w:rsid w:val="00AE0827"/>
    <w:rsid w:val="00AF49C0"/>
    <w:rsid w:val="00B01FE6"/>
    <w:rsid w:val="00B1172F"/>
    <w:rsid w:val="00B37168"/>
    <w:rsid w:val="00B42AC2"/>
    <w:rsid w:val="00BB3AAC"/>
    <w:rsid w:val="00BC4E27"/>
    <w:rsid w:val="00BE3AD8"/>
    <w:rsid w:val="00BF11FC"/>
    <w:rsid w:val="00C5384E"/>
    <w:rsid w:val="00C859DD"/>
    <w:rsid w:val="00CA2DA6"/>
    <w:rsid w:val="00CC7B07"/>
    <w:rsid w:val="00CD233E"/>
    <w:rsid w:val="00CF6CFD"/>
    <w:rsid w:val="00D02062"/>
    <w:rsid w:val="00D166D6"/>
    <w:rsid w:val="00D26121"/>
    <w:rsid w:val="00D51E23"/>
    <w:rsid w:val="00D54E1C"/>
    <w:rsid w:val="00D5655E"/>
    <w:rsid w:val="00D6398E"/>
    <w:rsid w:val="00D85899"/>
    <w:rsid w:val="00DE4233"/>
    <w:rsid w:val="00DE4362"/>
    <w:rsid w:val="00DE4FE2"/>
    <w:rsid w:val="00E04908"/>
    <w:rsid w:val="00E075A4"/>
    <w:rsid w:val="00E151A7"/>
    <w:rsid w:val="00E210F9"/>
    <w:rsid w:val="00E41F41"/>
    <w:rsid w:val="00E82E9B"/>
    <w:rsid w:val="00EB1C3E"/>
    <w:rsid w:val="00EE5C5A"/>
    <w:rsid w:val="00F11869"/>
    <w:rsid w:val="00F1428D"/>
    <w:rsid w:val="00F300F3"/>
    <w:rsid w:val="00F32DFD"/>
    <w:rsid w:val="00F51CB9"/>
    <w:rsid w:val="00F64FAC"/>
    <w:rsid w:val="00F67CDB"/>
    <w:rsid w:val="00F737E9"/>
    <w:rsid w:val="00F77EC1"/>
    <w:rsid w:val="00F85D97"/>
    <w:rsid w:val="00F947D2"/>
    <w:rsid w:val="00FB0762"/>
    <w:rsid w:val="00FB3E8A"/>
    <w:rsid w:val="00FC32B2"/>
    <w:rsid w:val="00FC34AF"/>
    <w:rsid w:val="00FD746D"/>
    <w:rsid w:val="00FE221B"/>
    <w:rsid w:val="00FE6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78269"/>
  <w15:chartTrackingRefBased/>
  <w15:docId w15:val="{A1A314BA-1185-473B-95FB-4FD60F3B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858"/>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B6858"/>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B6858"/>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BE3AD8"/>
    <w:pPr>
      <w:numPr>
        <w:ilvl w:val="1"/>
      </w:numPr>
      <w:spacing w:before="240" w:after="160"/>
    </w:pPr>
    <w:rPr>
      <w:rFonts w:asciiTheme="majorHAnsi" w:eastAsiaTheme="minorEastAsia" w:hAnsiTheme="majorHAnsi"/>
      <w:color w:val="008089" w:themeColor="accent2"/>
      <w:sz w:val="44"/>
    </w:rPr>
  </w:style>
  <w:style w:type="character" w:customStyle="1" w:styleId="SubtitleChar">
    <w:name w:val="Subtitle Char"/>
    <w:basedOn w:val="DefaultParagraphFont"/>
    <w:link w:val="Subtitle"/>
    <w:uiPriority w:val="18"/>
    <w:rsid w:val="00BE3AD8"/>
    <w:rPr>
      <w:rFonts w:asciiTheme="majorHAnsi" w:eastAsiaTheme="minorEastAsia" w:hAnsiTheme="majorHAnsi"/>
      <w:color w:val="008089" w:themeColor="accent2"/>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4B6858"/>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B6858"/>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2309F3"/>
    <w:pPr>
      <w:numPr>
        <w:numId w:val="11"/>
      </w:numPr>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642E30"/>
    <w:pPr>
      <w:numPr>
        <w:numId w:val="27"/>
      </w:numPr>
      <w:spacing w:before="80"/>
    </w:pPr>
    <w:rPr>
      <w:kern w:val="12"/>
      <w:sz w:val="20"/>
      <w:szCs w:val="20"/>
    </w:rPr>
  </w:style>
  <w:style w:type="paragraph" w:customStyle="1" w:styleId="Box2Text">
    <w:name w:val="Box 2 Text"/>
    <w:basedOn w:val="Normal"/>
    <w:uiPriority w:val="24"/>
    <w:qFormat/>
    <w:rsid w:val="00642E30"/>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642E30"/>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26121"/>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26121"/>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2Checklist">
    <w:name w:val="Box 2 Checklist"/>
    <w:basedOn w:val="Box2Text"/>
    <w:uiPriority w:val="26"/>
    <w:qFormat/>
    <w:rsid w:val="00642E30"/>
    <w:pPr>
      <w:numPr>
        <w:ilvl w:val="2"/>
        <w:numId w:val="27"/>
      </w:numPr>
    </w:pPr>
    <w:rPr>
      <w:kern w:val="12"/>
      <w:sz w:val="20"/>
      <w:szCs w:val="20"/>
    </w:rPr>
  </w:style>
  <w:style w:type="numbering" w:customStyle="1" w:styleId="BoxedBullets">
    <w:name w:val="Boxed Bullets"/>
    <w:uiPriority w:val="99"/>
    <w:rsid w:val="00642E30"/>
    <w:pPr>
      <w:numPr>
        <w:numId w:val="24"/>
      </w:numPr>
    </w:pPr>
  </w:style>
  <w:style w:type="character" w:styleId="UnresolvedMention">
    <w:name w:val="Unresolved Mention"/>
    <w:basedOn w:val="DefaultParagraphFont"/>
    <w:uiPriority w:val="99"/>
    <w:semiHidden/>
    <w:unhideWhenUsed/>
    <w:rsid w:val="00FE221B"/>
    <w:rPr>
      <w:color w:val="605E5C"/>
      <w:shd w:val="clear" w:color="auto" w:fill="E1DFDD"/>
    </w:rPr>
  </w:style>
  <w:style w:type="paragraph" w:styleId="NormalWeb">
    <w:name w:val="Normal (Web)"/>
    <w:basedOn w:val="Normal"/>
    <w:uiPriority w:val="99"/>
    <w:unhideWhenUsed/>
    <w:rsid w:val="00F64FAC"/>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Paragraph">
    <w:name w:val="List Paragraph"/>
    <w:basedOn w:val="Normal"/>
    <w:uiPriority w:val="34"/>
    <w:unhideWhenUsed/>
    <w:qFormat/>
    <w:rsid w:val="00F64FAC"/>
    <w:pPr>
      <w:ind w:left="720"/>
      <w:contextualSpacing/>
    </w:pPr>
  </w:style>
  <w:style w:type="character" w:styleId="CommentReference">
    <w:name w:val="annotation reference"/>
    <w:basedOn w:val="DefaultParagraphFont"/>
    <w:uiPriority w:val="99"/>
    <w:semiHidden/>
    <w:unhideWhenUsed/>
    <w:rsid w:val="00661249"/>
    <w:rPr>
      <w:sz w:val="16"/>
      <w:szCs w:val="16"/>
    </w:rPr>
  </w:style>
  <w:style w:type="paragraph" w:styleId="CommentText">
    <w:name w:val="annotation text"/>
    <w:basedOn w:val="Normal"/>
    <w:link w:val="CommentTextChar"/>
    <w:uiPriority w:val="99"/>
    <w:semiHidden/>
    <w:unhideWhenUsed/>
    <w:rsid w:val="00661249"/>
    <w:rPr>
      <w:sz w:val="20"/>
      <w:szCs w:val="20"/>
    </w:rPr>
  </w:style>
  <w:style w:type="character" w:customStyle="1" w:styleId="CommentTextChar">
    <w:name w:val="Comment Text Char"/>
    <w:basedOn w:val="DefaultParagraphFont"/>
    <w:link w:val="CommentText"/>
    <w:uiPriority w:val="99"/>
    <w:semiHidden/>
    <w:rsid w:val="00661249"/>
    <w:rPr>
      <w:sz w:val="20"/>
      <w:szCs w:val="20"/>
    </w:rPr>
  </w:style>
  <w:style w:type="paragraph" w:styleId="CommentSubject">
    <w:name w:val="annotation subject"/>
    <w:basedOn w:val="CommentText"/>
    <w:next w:val="CommentText"/>
    <w:link w:val="CommentSubjectChar"/>
    <w:uiPriority w:val="99"/>
    <w:semiHidden/>
    <w:unhideWhenUsed/>
    <w:rsid w:val="00661249"/>
    <w:rPr>
      <w:b/>
      <w:bCs/>
    </w:rPr>
  </w:style>
  <w:style w:type="character" w:customStyle="1" w:styleId="CommentSubjectChar">
    <w:name w:val="Comment Subject Char"/>
    <w:basedOn w:val="CommentTextChar"/>
    <w:link w:val="CommentSubject"/>
    <w:uiPriority w:val="99"/>
    <w:semiHidden/>
    <w:rsid w:val="00661249"/>
    <w:rPr>
      <w:b/>
      <w:bCs/>
      <w:sz w:val="20"/>
      <w:szCs w:val="20"/>
    </w:rPr>
  </w:style>
  <w:style w:type="paragraph" w:styleId="BalloonText">
    <w:name w:val="Balloon Text"/>
    <w:basedOn w:val="Normal"/>
    <w:link w:val="BalloonTextChar"/>
    <w:uiPriority w:val="99"/>
    <w:semiHidden/>
    <w:unhideWhenUsed/>
    <w:rsid w:val="006612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49"/>
    <w:rPr>
      <w:rFonts w:ascii="Segoe UI" w:hAnsi="Segoe UI" w:cs="Segoe UI"/>
      <w:sz w:val="18"/>
      <w:szCs w:val="18"/>
    </w:rPr>
  </w:style>
  <w:style w:type="paragraph" w:styleId="Revision">
    <w:name w:val="Revision"/>
    <w:hidden/>
    <w:uiPriority w:val="99"/>
    <w:semiHidden/>
    <w:rsid w:val="0025377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2944">
      <w:bodyDiv w:val="1"/>
      <w:marLeft w:val="0"/>
      <w:marRight w:val="0"/>
      <w:marTop w:val="0"/>
      <w:marBottom w:val="0"/>
      <w:divBdr>
        <w:top w:val="none" w:sz="0" w:space="0" w:color="auto"/>
        <w:left w:val="none" w:sz="0" w:space="0" w:color="auto"/>
        <w:bottom w:val="none" w:sz="0" w:space="0" w:color="auto"/>
        <w:right w:val="none" w:sz="0" w:space="0" w:color="auto"/>
      </w:divBdr>
    </w:div>
    <w:div w:id="225192128">
      <w:bodyDiv w:val="1"/>
      <w:marLeft w:val="0"/>
      <w:marRight w:val="0"/>
      <w:marTop w:val="0"/>
      <w:marBottom w:val="0"/>
      <w:divBdr>
        <w:top w:val="none" w:sz="0" w:space="0" w:color="auto"/>
        <w:left w:val="none" w:sz="0" w:space="0" w:color="auto"/>
        <w:bottom w:val="none" w:sz="0" w:space="0" w:color="auto"/>
        <w:right w:val="none" w:sz="0" w:space="0" w:color="auto"/>
      </w:divBdr>
    </w:div>
    <w:div w:id="337003161">
      <w:bodyDiv w:val="1"/>
      <w:marLeft w:val="0"/>
      <w:marRight w:val="0"/>
      <w:marTop w:val="0"/>
      <w:marBottom w:val="0"/>
      <w:divBdr>
        <w:top w:val="none" w:sz="0" w:space="0" w:color="auto"/>
        <w:left w:val="none" w:sz="0" w:space="0" w:color="auto"/>
        <w:bottom w:val="none" w:sz="0" w:space="0" w:color="auto"/>
        <w:right w:val="none" w:sz="0" w:space="0" w:color="auto"/>
      </w:divBdr>
    </w:div>
    <w:div w:id="561138285">
      <w:bodyDiv w:val="1"/>
      <w:marLeft w:val="0"/>
      <w:marRight w:val="0"/>
      <w:marTop w:val="0"/>
      <w:marBottom w:val="0"/>
      <w:divBdr>
        <w:top w:val="none" w:sz="0" w:space="0" w:color="auto"/>
        <w:left w:val="none" w:sz="0" w:space="0" w:color="auto"/>
        <w:bottom w:val="none" w:sz="0" w:space="0" w:color="auto"/>
        <w:right w:val="none" w:sz="0" w:space="0" w:color="auto"/>
      </w:divBdr>
    </w:div>
    <w:div w:id="607394234">
      <w:bodyDiv w:val="1"/>
      <w:marLeft w:val="0"/>
      <w:marRight w:val="0"/>
      <w:marTop w:val="0"/>
      <w:marBottom w:val="0"/>
      <w:divBdr>
        <w:top w:val="none" w:sz="0" w:space="0" w:color="auto"/>
        <w:left w:val="none" w:sz="0" w:space="0" w:color="auto"/>
        <w:bottom w:val="none" w:sz="0" w:space="0" w:color="auto"/>
        <w:right w:val="none" w:sz="0" w:space="0" w:color="auto"/>
      </w:divBdr>
    </w:div>
    <w:div w:id="878472192">
      <w:bodyDiv w:val="1"/>
      <w:marLeft w:val="0"/>
      <w:marRight w:val="0"/>
      <w:marTop w:val="0"/>
      <w:marBottom w:val="0"/>
      <w:divBdr>
        <w:top w:val="none" w:sz="0" w:space="0" w:color="auto"/>
        <w:left w:val="none" w:sz="0" w:space="0" w:color="auto"/>
        <w:bottom w:val="none" w:sz="0" w:space="0" w:color="auto"/>
        <w:right w:val="none" w:sz="0" w:space="0" w:color="auto"/>
      </w:divBdr>
      <w:divsChild>
        <w:div w:id="57897206">
          <w:marLeft w:val="547"/>
          <w:marRight w:val="0"/>
          <w:marTop w:val="0"/>
          <w:marBottom w:val="0"/>
          <w:divBdr>
            <w:top w:val="none" w:sz="0" w:space="0" w:color="auto"/>
            <w:left w:val="none" w:sz="0" w:space="0" w:color="auto"/>
            <w:bottom w:val="none" w:sz="0" w:space="0" w:color="auto"/>
            <w:right w:val="none" w:sz="0" w:space="0" w:color="auto"/>
          </w:divBdr>
        </w:div>
        <w:div w:id="444735913">
          <w:marLeft w:val="547"/>
          <w:marRight w:val="0"/>
          <w:marTop w:val="0"/>
          <w:marBottom w:val="0"/>
          <w:divBdr>
            <w:top w:val="none" w:sz="0" w:space="0" w:color="auto"/>
            <w:left w:val="none" w:sz="0" w:space="0" w:color="auto"/>
            <w:bottom w:val="none" w:sz="0" w:space="0" w:color="auto"/>
            <w:right w:val="none" w:sz="0" w:space="0" w:color="auto"/>
          </w:divBdr>
        </w:div>
        <w:div w:id="624387009">
          <w:marLeft w:val="547"/>
          <w:marRight w:val="0"/>
          <w:marTop w:val="0"/>
          <w:marBottom w:val="0"/>
          <w:divBdr>
            <w:top w:val="none" w:sz="0" w:space="0" w:color="auto"/>
            <w:left w:val="none" w:sz="0" w:space="0" w:color="auto"/>
            <w:bottom w:val="none" w:sz="0" w:space="0" w:color="auto"/>
            <w:right w:val="none" w:sz="0" w:space="0" w:color="auto"/>
          </w:divBdr>
        </w:div>
        <w:div w:id="1353536018">
          <w:marLeft w:val="547"/>
          <w:marRight w:val="0"/>
          <w:marTop w:val="0"/>
          <w:marBottom w:val="0"/>
          <w:divBdr>
            <w:top w:val="none" w:sz="0" w:space="0" w:color="auto"/>
            <w:left w:val="none" w:sz="0" w:space="0" w:color="auto"/>
            <w:bottom w:val="none" w:sz="0" w:space="0" w:color="auto"/>
            <w:right w:val="none" w:sz="0" w:space="0" w:color="auto"/>
          </w:divBdr>
        </w:div>
        <w:div w:id="1473860969">
          <w:marLeft w:val="547"/>
          <w:marRight w:val="0"/>
          <w:marTop w:val="0"/>
          <w:marBottom w:val="0"/>
          <w:divBdr>
            <w:top w:val="none" w:sz="0" w:space="0" w:color="auto"/>
            <w:left w:val="none" w:sz="0" w:space="0" w:color="auto"/>
            <w:bottom w:val="none" w:sz="0" w:space="0" w:color="auto"/>
            <w:right w:val="none" w:sz="0" w:space="0" w:color="auto"/>
          </w:divBdr>
        </w:div>
        <w:div w:id="1734615465">
          <w:marLeft w:val="547"/>
          <w:marRight w:val="0"/>
          <w:marTop w:val="0"/>
          <w:marBottom w:val="0"/>
          <w:divBdr>
            <w:top w:val="none" w:sz="0" w:space="0" w:color="auto"/>
            <w:left w:val="none" w:sz="0" w:space="0" w:color="auto"/>
            <w:bottom w:val="none" w:sz="0" w:space="0" w:color="auto"/>
            <w:right w:val="none" w:sz="0" w:space="0" w:color="auto"/>
          </w:divBdr>
        </w:div>
        <w:div w:id="1995916473">
          <w:marLeft w:val="547"/>
          <w:marRight w:val="0"/>
          <w:marTop w:val="0"/>
          <w:marBottom w:val="0"/>
          <w:divBdr>
            <w:top w:val="none" w:sz="0" w:space="0" w:color="auto"/>
            <w:left w:val="none" w:sz="0" w:space="0" w:color="auto"/>
            <w:bottom w:val="none" w:sz="0" w:space="0" w:color="auto"/>
            <w:right w:val="none" w:sz="0" w:space="0" w:color="auto"/>
          </w:divBdr>
        </w:div>
      </w:divsChild>
    </w:div>
    <w:div w:id="983584974">
      <w:bodyDiv w:val="1"/>
      <w:marLeft w:val="0"/>
      <w:marRight w:val="0"/>
      <w:marTop w:val="0"/>
      <w:marBottom w:val="0"/>
      <w:divBdr>
        <w:top w:val="none" w:sz="0" w:space="0" w:color="auto"/>
        <w:left w:val="none" w:sz="0" w:space="0" w:color="auto"/>
        <w:bottom w:val="none" w:sz="0" w:space="0" w:color="auto"/>
        <w:right w:val="none" w:sz="0" w:space="0" w:color="auto"/>
      </w:divBdr>
    </w:div>
    <w:div w:id="1009526598">
      <w:bodyDiv w:val="1"/>
      <w:marLeft w:val="0"/>
      <w:marRight w:val="0"/>
      <w:marTop w:val="0"/>
      <w:marBottom w:val="0"/>
      <w:divBdr>
        <w:top w:val="none" w:sz="0" w:space="0" w:color="auto"/>
        <w:left w:val="none" w:sz="0" w:space="0" w:color="auto"/>
        <w:bottom w:val="none" w:sz="0" w:space="0" w:color="auto"/>
        <w:right w:val="none" w:sz="0" w:space="0" w:color="auto"/>
      </w:divBdr>
      <w:divsChild>
        <w:div w:id="1671982383">
          <w:marLeft w:val="547"/>
          <w:marRight w:val="0"/>
          <w:marTop w:val="0"/>
          <w:marBottom w:val="0"/>
          <w:divBdr>
            <w:top w:val="none" w:sz="0" w:space="0" w:color="auto"/>
            <w:left w:val="none" w:sz="0" w:space="0" w:color="auto"/>
            <w:bottom w:val="none" w:sz="0" w:space="0" w:color="auto"/>
            <w:right w:val="none" w:sz="0" w:space="0" w:color="auto"/>
          </w:divBdr>
        </w:div>
      </w:divsChild>
    </w:div>
    <w:div w:id="1099566381">
      <w:bodyDiv w:val="1"/>
      <w:marLeft w:val="0"/>
      <w:marRight w:val="0"/>
      <w:marTop w:val="0"/>
      <w:marBottom w:val="0"/>
      <w:divBdr>
        <w:top w:val="none" w:sz="0" w:space="0" w:color="auto"/>
        <w:left w:val="none" w:sz="0" w:space="0" w:color="auto"/>
        <w:bottom w:val="none" w:sz="0" w:space="0" w:color="auto"/>
        <w:right w:val="none" w:sz="0" w:space="0" w:color="auto"/>
      </w:divBdr>
      <w:divsChild>
        <w:div w:id="795366741">
          <w:marLeft w:val="547"/>
          <w:marRight w:val="0"/>
          <w:marTop w:val="0"/>
          <w:marBottom w:val="0"/>
          <w:divBdr>
            <w:top w:val="none" w:sz="0" w:space="0" w:color="auto"/>
            <w:left w:val="none" w:sz="0" w:space="0" w:color="auto"/>
            <w:bottom w:val="none" w:sz="0" w:space="0" w:color="auto"/>
            <w:right w:val="none" w:sz="0" w:space="0" w:color="auto"/>
          </w:divBdr>
        </w:div>
      </w:divsChild>
    </w:div>
    <w:div w:id="1244026106">
      <w:bodyDiv w:val="1"/>
      <w:marLeft w:val="0"/>
      <w:marRight w:val="0"/>
      <w:marTop w:val="0"/>
      <w:marBottom w:val="0"/>
      <w:divBdr>
        <w:top w:val="none" w:sz="0" w:space="0" w:color="auto"/>
        <w:left w:val="none" w:sz="0" w:space="0" w:color="auto"/>
        <w:bottom w:val="none" w:sz="0" w:space="0" w:color="auto"/>
        <w:right w:val="none" w:sz="0" w:space="0" w:color="auto"/>
      </w:divBdr>
      <w:divsChild>
        <w:div w:id="1898079858">
          <w:marLeft w:val="547"/>
          <w:marRight w:val="0"/>
          <w:marTop w:val="0"/>
          <w:marBottom w:val="0"/>
          <w:divBdr>
            <w:top w:val="none" w:sz="0" w:space="0" w:color="auto"/>
            <w:left w:val="none" w:sz="0" w:space="0" w:color="auto"/>
            <w:bottom w:val="none" w:sz="0" w:space="0" w:color="auto"/>
            <w:right w:val="none" w:sz="0" w:space="0" w:color="auto"/>
          </w:divBdr>
        </w:div>
      </w:divsChild>
    </w:div>
    <w:div w:id="1351375703">
      <w:bodyDiv w:val="1"/>
      <w:marLeft w:val="0"/>
      <w:marRight w:val="0"/>
      <w:marTop w:val="0"/>
      <w:marBottom w:val="0"/>
      <w:divBdr>
        <w:top w:val="none" w:sz="0" w:space="0" w:color="auto"/>
        <w:left w:val="none" w:sz="0" w:space="0" w:color="auto"/>
        <w:bottom w:val="none" w:sz="0" w:space="0" w:color="auto"/>
        <w:right w:val="none" w:sz="0" w:space="0" w:color="auto"/>
      </w:divBdr>
    </w:div>
    <w:div w:id="1620917820">
      <w:bodyDiv w:val="1"/>
      <w:marLeft w:val="0"/>
      <w:marRight w:val="0"/>
      <w:marTop w:val="0"/>
      <w:marBottom w:val="0"/>
      <w:divBdr>
        <w:top w:val="none" w:sz="0" w:space="0" w:color="auto"/>
        <w:left w:val="none" w:sz="0" w:space="0" w:color="auto"/>
        <w:bottom w:val="none" w:sz="0" w:space="0" w:color="auto"/>
        <w:right w:val="none" w:sz="0" w:space="0" w:color="auto"/>
      </w:divBdr>
      <w:divsChild>
        <w:div w:id="1193424262">
          <w:marLeft w:val="547"/>
          <w:marRight w:val="0"/>
          <w:marTop w:val="0"/>
          <w:marBottom w:val="0"/>
          <w:divBdr>
            <w:top w:val="none" w:sz="0" w:space="0" w:color="auto"/>
            <w:left w:val="none" w:sz="0" w:space="0" w:color="auto"/>
            <w:bottom w:val="none" w:sz="0" w:space="0" w:color="auto"/>
            <w:right w:val="none" w:sz="0" w:space="0" w:color="auto"/>
          </w:divBdr>
        </w:div>
      </w:divsChild>
    </w:div>
    <w:div w:id="1718889509">
      <w:bodyDiv w:val="1"/>
      <w:marLeft w:val="0"/>
      <w:marRight w:val="0"/>
      <w:marTop w:val="0"/>
      <w:marBottom w:val="0"/>
      <w:divBdr>
        <w:top w:val="none" w:sz="0" w:space="0" w:color="auto"/>
        <w:left w:val="none" w:sz="0" w:space="0" w:color="auto"/>
        <w:bottom w:val="none" w:sz="0" w:space="0" w:color="auto"/>
        <w:right w:val="none" w:sz="0" w:space="0" w:color="auto"/>
      </w:divBdr>
      <w:divsChild>
        <w:div w:id="916941560">
          <w:marLeft w:val="547"/>
          <w:marRight w:val="0"/>
          <w:marTop w:val="0"/>
          <w:marBottom w:val="0"/>
          <w:divBdr>
            <w:top w:val="none" w:sz="0" w:space="0" w:color="auto"/>
            <w:left w:val="none" w:sz="0" w:space="0" w:color="auto"/>
            <w:bottom w:val="none" w:sz="0" w:space="0" w:color="auto"/>
            <w:right w:val="none" w:sz="0" w:space="0" w:color="auto"/>
          </w:divBdr>
        </w:div>
      </w:divsChild>
    </w:div>
    <w:div w:id="1869024248">
      <w:bodyDiv w:val="1"/>
      <w:marLeft w:val="0"/>
      <w:marRight w:val="0"/>
      <w:marTop w:val="0"/>
      <w:marBottom w:val="0"/>
      <w:divBdr>
        <w:top w:val="none" w:sz="0" w:space="0" w:color="auto"/>
        <w:left w:val="none" w:sz="0" w:space="0" w:color="auto"/>
        <w:bottom w:val="none" w:sz="0" w:space="0" w:color="auto"/>
        <w:right w:val="none" w:sz="0" w:space="0" w:color="auto"/>
      </w:divBdr>
    </w:div>
    <w:div w:id="1963070304">
      <w:bodyDiv w:val="1"/>
      <w:marLeft w:val="0"/>
      <w:marRight w:val="0"/>
      <w:marTop w:val="0"/>
      <w:marBottom w:val="0"/>
      <w:divBdr>
        <w:top w:val="none" w:sz="0" w:space="0" w:color="auto"/>
        <w:left w:val="none" w:sz="0" w:space="0" w:color="auto"/>
        <w:bottom w:val="none" w:sz="0" w:space="0" w:color="auto"/>
        <w:right w:val="none" w:sz="0" w:space="0" w:color="auto"/>
      </w:divBdr>
    </w:div>
    <w:div w:id="20919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gov.au/grants-and-programs/growing-regions-program-round-1"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business.gov.au/grants-and-programs/growing-regions-program-round-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gov.au/grants-and-programs/growing-regions-program-round-1" TargetMode="External"/><Relationship Id="rId5" Type="http://schemas.openxmlformats.org/officeDocument/2006/relationships/settings" Target="settings.xml"/><Relationship Id="rId15" Type="http://schemas.openxmlformats.org/officeDocument/2006/relationships/hyperlink" Target="https://business.gov.au/grants-and-programs/growing-regions-program-round-1" TargetMode="External"/><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infrastructure.gov.au/territories-regions-cities/cities/thriving-suburbs-progra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Talking%20point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CEB4AFFB3A4E51AD442BCE33A5A121"/>
        <w:category>
          <w:name w:val="General"/>
          <w:gallery w:val="placeholder"/>
        </w:category>
        <w:types>
          <w:type w:val="bbPlcHdr"/>
        </w:types>
        <w:behaviors>
          <w:behavior w:val="content"/>
        </w:behaviors>
        <w:guid w:val="{E0161897-12B1-484B-A37F-62234D71493B}"/>
      </w:docPartPr>
      <w:docPartBody>
        <w:p w:rsidR="000644EC" w:rsidRDefault="000644EC">
          <w:pPr>
            <w:pStyle w:val="C8CEB4AFFB3A4E51AD442BCE33A5A121"/>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EC"/>
    <w:rsid w:val="000644EC"/>
    <w:rsid w:val="0039295D"/>
    <w:rsid w:val="00740E6F"/>
    <w:rsid w:val="00B77AE1"/>
    <w:rsid w:val="00C63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CEB4AFFB3A4E51AD442BCE33A5A121">
    <w:name w:val="C8CEB4AFFB3A4E51AD442BCE33A5A121"/>
  </w:style>
  <w:style w:type="paragraph" w:customStyle="1" w:styleId="7EBD12ED93A04CB1BA60BB6A63AF4379">
    <w:name w:val="7EBD12ED93A04CB1BA60BB6A63AF4379"/>
    <w:rsid w:val="00C63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DC9031-AF44-417D-B1F8-B56CACD7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DITRDCA_Talking points template.dotx</Template>
  <TotalTime>1</TotalTime>
  <Pages>4</Pages>
  <Words>1898</Words>
  <Characters>10824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Frequently Asked Questions – Growing Regions Program – Expressions of Interest</vt:lpstr>
    </vt:vector>
  </TitlesOfParts>
  <Company>Department of Infrastructure &amp; Regional Development</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Growing Regions Program – Expressions of Interest</dc:title>
  <dc:subject/>
  <dc:creator>ROACH Zoe</dc:creator>
  <cp:keywords/>
  <dc:description/>
  <cp:lastModifiedBy>MARRIAGE Bernadette</cp:lastModifiedBy>
  <cp:revision>2</cp:revision>
  <dcterms:created xsi:type="dcterms:W3CDTF">2023-07-21T01:44:00Z</dcterms:created>
  <dcterms:modified xsi:type="dcterms:W3CDTF">2023-07-21T01:44:00Z</dcterms:modified>
</cp:coreProperties>
</file>