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07F1D" w14:textId="77777777" w:rsidR="00203702" w:rsidRPr="009C60A5" w:rsidRDefault="00203702" w:rsidP="009F01CA">
      <w:pPr>
        <w:spacing w:before="0" w:after="1440"/>
      </w:pPr>
      <w:bookmarkStart w:id="0" w:name="_Hlk148428177"/>
      <w:bookmarkEnd w:id="0"/>
      <w:r w:rsidRPr="009C60A5">
        <w:rPr>
          <w:noProof/>
          <w:lang w:eastAsia="en-AU"/>
        </w:rPr>
        <w:drawing>
          <wp:anchor distT="0" distB="0" distL="114300" distR="114300" simplePos="0" relativeHeight="251658240" behindDoc="1" locked="1" layoutInCell="1" allowOverlap="1" wp14:anchorId="10411221" wp14:editId="455562CE">
            <wp:simplePos x="0" y="0"/>
            <wp:positionH relativeFrom="page">
              <wp:posOffset>-1346835</wp:posOffset>
            </wp:positionH>
            <wp:positionV relativeFrom="page">
              <wp:posOffset>6350</wp:posOffset>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r w:rsidRPr="009C60A5">
        <w:rPr>
          <w:noProof/>
          <w:lang w:eastAsia="en-AU"/>
        </w:rPr>
        <w:drawing>
          <wp:inline distT="0" distB="0" distL="0" distR="0" wp14:anchorId="4D777699" wp14:editId="7B0D9875">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4409360E" w14:textId="77777777" w:rsidR="005653A9" w:rsidRPr="009C60A5" w:rsidRDefault="005653A9" w:rsidP="009F01CA">
      <w:pPr>
        <w:pStyle w:val="AreaHeading"/>
        <w:spacing w:before="240" w:after="120"/>
      </w:pPr>
    </w:p>
    <w:p w14:paraId="306B8B9B" w14:textId="650A6990" w:rsidR="00E77C37" w:rsidRPr="009C60A5" w:rsidRDefault="00E77C37" w:rsidP="008903B5">
      <w:pPr>
        <w:pStyle w:val="AreaHeading"/>
        <w:spacing w:before="240" w:after="120"/>
        <w:jc w:val="center"/>
      </w:pPr>
    </w:p>
    <w:sdt>
      <w:sdtPr>
        <w:rPr>
          <w:b/>
          <w:sz w:val="60"/>
          <w:szCs w:val="60"/>
        </w:rPr>
        <w:alias w:val="Title"/>
        <w:tag w:val=""/>
        <w:id w:val="963621615"/>
        <w:placeholder>
          <w:docPart w:val="8248ECE0A1D541EC860541F613676BC2"/>
        </w:placeholder>
        <w:dataBinding w:prefixMappings="xmlns:ns0='http://purl.org/dc/elements/1.1/' xmlns:ns1='http://schemas.openxmlformats.org/package/2006/metadata/core-properties' " w:xpath="/ns1:coreProperties[1]/ns0:title[1]" w:storeItemID="{6C3C8BC8-F283-45AE-878A-BAB7291924A1}"/>
        <w:text/>
      </w:sdtPr>
      <w:sdtEndPr/>
      <w:sdtContent>
        <w:p w14:paraId="6BFD1EA6" w14:textId="037DA5B1" w:rsidR="009D39F0" w:rsidRDefault="008741F5" w:rsidP="009F01CA">
          <w:pPr>
            <w:rPr>
              <w:b/>
              <w:sz w:val="60"/>
              <w:szCs w:val="60"/>
            </w:rPr>
          </w:pPr>
          <w:r>
            <w:rPr>
              <w:b/>
              <w:sz w:val="60"/>
              <w:szCs w:val="60"/>
            </w:rPr>
            <w:t>Funding of</w:t>
          </w:r>
          <w:r w:rsidR="00E30C7A">
            <w:rPr>
              <w:b/>
              <w:sz w:val="60"/>
              <w:szCs w:val="60"/>
            </w:rPr>
            <w:t xml:space="preserve"> </w:t>
          </w:r>
          <w:r w:rsidR="00002B50">
            <w:rPr>
              <w:b/>
              <w:sz w:val="60"/>
              <w:szCs w:val="60"/>
            </w:rPr>
            <w:t xml:space="preserve">universal </w:t>
          </w:r>
          <w:r>
            <w:rPr>
              <w:b/>
              <w:sz w:val="60"/>
              <w:szCs w:val="60"/>
            </w:rPr>
            <w:t>telecommunications services</w:t>
          </w:r>
        </w:p>
      </w:sdtContent>
    </w:sdt>
    <w:p w14:paraId="5F5B81D6" w14:textId="1CA2BFDE" w:rsidR="00367DB8" w:rsidRPr="00F0694A" w:rsidRDefault="00367DB8" w:rsidP="009F01CA">
      <w:pPr>
        <w:pStyle w:val="Subtitle"/>
        <w:rPr>
          <w:b/>
          <w:sz w:val="32"/>
          <w:szCs w:val="32"/>
        </w:rPr>
      </w:pPr>
      <w:r w:rsidRPr="00F0694A">
        <w:rPr>
          <w:b/>
          <w:sz w:val="32"/>
          <w:szCs w:val="32"/>
        </w:rPr>
        <w:t xml:space="preserve">(incorporating </w:t>
      </w:r>
      <w:r w:rsidR="008C2915">
        <w:rPr>
          <w:b/>
          <w:sz w:val="32"/>
          <w:szCs w:val="32"/>
        </w:rPr>
        <w:t xml:space="preserve">public consultation for </w:t>
      </w:r>
      <w:r w:rsidRPr="00F0694A">
        <w:rPr>
          <w:b/>
          <w:sz w:val="32"/>
          <w:szCs w:val="32"/>
        </w:rPr>
        <w:t xml:space="preserve">s102ZFA </w:t>
      </w:r>
      <w:r w:rsidR="00D84773">
        <w:rPr>
          <w:b/>
          <w:sz w:val="32"/>
          <w:szCs w:val="32"/>
        </w:rPr>
        <w:t>R</w:t>
      </w:r>
      <w:r w:rsidRPr="00F0694A">
        <w:rPr>
          <w:b/>
          <w:sz w:val="32"/>
          <w:szCs w:val="32"/>
        </w:rPr>
        <w:t>eview of RBS legislation)</w:t>
      </w:r>
    </w:p>
    <w:p w14:paraId="7093F1B7" w14:textId="5B0EBC52" w:rsidR="00E77C37" w:rsidRPr="009C60A5" w:rsidRDefault="00E77C37" w:rsidP="009F01CA">
      <w:pPr>
        <w:pStyle w:val="Subtitle"/>
      </w:pPr>
      <w:r w:rsidRPr="009C60A5">
        <w:t>Discussion Paper</w:t>
      </w:r>
    </w:p>
    <w:sdt>
      <w:sdtPr>
        <w:rPr>
          <w:sz w:val="36"/>
          <w:szCs w:val="36"/>
        </w:rPr>
        <w:alias w:val="Publish Date"/>
        <w:tag w:val=""/>
        <w:id w:val="452527336"/>
        <w:placeholder>
          <w:docPart w:val="2EABE90ABB1C4FA787D4FDB347CCF116"/>
        </w:placeholder>
        <w:dataBinding w:prefixMappings="xmlns:ns0='http://schemas.microsoft.com/office/2006/coverPageProps' " w:xpath="/ns0:CoverPageProperties[1]/ns0:PublishDate[1]" w:storeItemID="{55AF091B-3C7A-41E3-B477-F2FDAA23CFDA}"/>
        <w:date w:fullDate="2024-04-01T00:00:00Z">
          <w:dateFormat w:val="MMMM yyyy"/>
          <w:lid w:val="en-AU"/>
          <w:storeMappedDataAs w:val="dateTime"/>
          <w:calendar w:val="gregorian"/>
        </w:date>
      </w:sdtPr>
      <w:sdtEndPr/>
      <w:sdtContent>
        <w:p w14:paraId="76ACF9D4" w14:textId="50401F9A" w:rsidR="00DE4FE2" w:rsidRPr="009C60A5" w:rsidRDefault="004205C5" w:rsidP="009F01CA">
          <w:pPr>
            <w:pStyle w:val="CoverDate"/>
            <w:rPr>
              <w:sz w:val="36"/>
              <w:szCs w:val="36"/>
            </w:rPr>
          </w:pPr>
          <w:r>
            <w:rPr>
              <w:sz w:val="36"/>
              <w:szCs w:val="36"/>
            </w:rPr>
            <w:t>April 2024</w:t>
          </w:r>
        </w:p>
      </w:sdtContent>
    </w:sdt>
    <w:p w14:paraId="64F9400F" w14:textId="77777777" w:rsidR="007A0640" w:rsidRPr="009C60A5" w:rsidRDefault="007A0640" w:rsidP="009F01CA">
      <w:pPr>
        <w:pStyle w:val="CoverDate"/>
      </w:pPr>
    </w:p>
    <w:p w14:paraId="3EBDBE2F" w14:textId="77777777" w:rsidR="007A0640" w:rsidRPr="009C60A5" w:rsidRDefault="007A0640" w:rsidP="009F01CA">
      <w:pPr>
        <w:suppressAutoHyphens w:val="0"/>
        <w:rPr>
          <w:kern w:val="12"/>
        </w:rPr>
      </w:pPr>
      <w:r w:rsidRPr="009C60A5">
        <w:br w:type="page"/>
      </w:r>
    </w:p>
    <w:p w14:paraId="1035F867" w14:textId="566E30F9" w:rsidR="007A0640" w:rsidRPr="009C60A5" w:rsidRDefault="007A0640" w:rsidP="009F01CA">
      <w:r w:rsidRPr="009C60A5">
        <w:lastRenderedPageBreak/>
        <w:t>© Commonwealth of Australia 202</w:t>
      </w:r>
      <w:r w:rsidR="00C10C42">
        <w:t>4</w:t>
      </w:r>
    </w:p>
    <w:p w14:paraId="01874D68" w14:textId="26346AFE" w:rsidR="007A0640" w:rsidRPr="009C60A5" w:rsidRDefault="004205C5" w:rsidP="009F01CA">
      <w:r>
        <w:t xml:space="preserve">April </w:t>
      </w:r>
      <w:r w:rsidR="007A0640" w:rsidRPr="009C60A5">
        <w:t>202</w:t>
      </w:r>
      <w:r w:rsidR="00DC71F1">
        <w:t>4</w:t>
      </w:r>
      <w:r w:rsidR="007A0640" w:rsidRPr="009C60A5">
        <w:t xml:space="preserve"> / INFRASTRUCTURE</w:t>
      </w:r>
    </w:p>
    <w:p w14:paraId="3EB134EC" w14:textId="77777777" w:rsidR="007A0640" w:rsidRPr="009C60A5" w:rsidRDefault="007A0640" w:rsidP="009F01CA">
      <w:pPr>
        <w:rPr>
          <w:b/>
          <w:sz w:val="24"/>
          <w:szCs w:val="24"/>
        </w:rPr>
      </w:pPr>
      <w:bookmarkStart w:id="1" w:name="_Toc142983191"/>
      <w:bookmarkStart w:id="2" w:name="_Toc143003328"/>
      <w:r w:rsidRPr="009C60A5">
        <w:rPr>
          <w:b/>
          <w:sz w:val="24"/>
          <w:szCs w:val="24"/>
        </w:rPr>
        <w:t>Ownership of intellectual property rights in this publication</w:t>
      </w:r>
      <w:bookmarkEnd w:id="1"/>
      <w:bookmarkEnd w:id="2"/>
    </w:p>
    <w:p w14:paraId="2F4806AC" w14:textId="77777777" w:rsidR="007A0640" w:rsidRPr="009C60A5" w:rsidRDefault="007A0640" w:rsidP="009F01CA">
      <w:r w:rsidRPr="009C60A5">
        <w:t>Unless otherwise noted, copyright (and any other intellectual property rights, if any) in this publication is owned by the Commonwealth of Australia (referred to below as the Commonwealth).</w:t>
      </w:r>
    </w:p>
    <w:p w14:paraId="7934B79E" w14:textId="77777777" w:rsidR="007A0640" w:rsidRPr="009C60A5" w:rsidRDefault="007A0640" w:rsidP="009F01CA">
      <w:pPr>
        <w:rPr>
          <w:b/>
        </w:rPr>
      </w:pPr>
      <w:bookmarkStart w:id="3" w:name="_Toc142983192"/>
      <w:bookmarkStart w:id="4" w:name="_Toc143003329"/>
      <w:r w:rsidRPr="009C60A5">
        <w:rPr>
          <w:b/>
        </w:rPr>
        <w:t>Disclaimer</w:t>
      </w:r>
      <w:bookmarkEnd w:id="3"/>
      <w:bookmarkEnd w:id="4"/>
    </w:p>
    <w:p w14:paraId="76751F02" w14:textId="77777777" w:rsidR="007A0640" w:rsidRPr="009C60A5" w:rsidRDefault="007A0640" w:rsidP="009F01CA">
      <w:r w:rsidRPr="009C60A5">
        <w:t>The material contained in this publication is made available on the understanding that the Commonwealth is not providing professional advice, and that users exercise their own skill and care with respect to its use, and seek independent advice if necessary.</w:t>
      </w:r>
    </w:p>
    <w:p w14:paraId="06337E40" w14:textId="77777777" w:rsidR="007A0640" w:rsidRPr="009C60A5" w:rsidRDefault="007A0640" w:rsidP="009F01CA">
      <w:r w:rsidRPr="009C60A5">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07F0DBC" w14:textId="77777777" w:rsidR="007A0640" w:rsidRPr="009C60A5" w:rsidRDefault="007A0640" w:rsidP="009F01CA">
      <w:pPr>
        <w:rPr>
          <w:b/>
        </w:rPr>
      </w:pPr>
      <w:bookmarkStart w:id="5" w:name="_Toc142983193"/>
      <w:bookmarkStart w:id="6" w:name="_Toc143003330"/>
      <w:r w:rsidRPr="009C60A5">
        <w:rPr>
          <w:b/>
        </w:rPr>
        <w:t>Creative Commons licence</w:t>
      </w:r>
      <w:bookmarkEnd w:id="5"/>
      <w:bookmarkEnd w:id="6"/>
    </w:p>
    <w:p w14:paraId="253E866B" w14:textId="77777777" w:rsidR="007A0640" w:rsidRPr="009C60A5" w:rsidRDefault="007A0640" w:rsidP="009F01CA">
      <w:r w:rsidRPr="009C60A5">
        <w:t>With the exception of (a) the Coat of Arms; (b) the Department of Infrastructure, Transport, Regional Development, Communications and the Arts photos and graphics, copyright in this publication is licensed under a Creative Commons Attribution 4.0 Australia Licence.</w:t>
      </w:r>
    </w:p>
    <w:p w14:paraId="6AB77549" w14:textId="77777777" w:rsidR="007A0640" w:rsidRPr="009C60A5" w:rsidRDefault="007A0640" w:rsidP="009F01CA">
      <w:r w:rsidRPr="009C60A5">
        <w:t>Creative Commons Attribution 4.0 Australia Licence is a standard form licence agreement that allows you to copy, communicate and adapt this publication provided that you attribute the work to the Commonwealth and abide by the other licence terms.</w:t>
      </w:r>
    </w:p>
    <w:p w14:paraId="1B1B62A0" w14:textId="4B358C01" w:rsidR="007A0640" w:rsidRPr="009C60A5" w:rsidRDefault="007A0640" w:rsidP="009F01CA">
      <w:r w:rsidRPr="009C60A5">
        <w:t xml:space="preserve">Further information on the licence terms is available from </w:t>
      </w:r>
      <w:hyperlink r:id="rId14" w:tooltip="Creative Commons website" w:history="1">
        <w:r w:rsidRPr="009C60A5">
          <w:rPr>
            <w:rStyle w:val="Hyperlink"/>
          </w:rPr>
          <w:t>https://creativecommons.org/licenses/by/4.0/</w:t>
        </w:r>
      </w:hyperlink>
      <w:r w:rsidRPr="009C60A5">
        <w:t>.</w:t>
      </w:r>
    </w:p>
    <w:p w14:paraId="04A361E8" w14:textId="56D6E241" w:rsidR="007A0640" w:rsidRPr="009C60A5" w:rsidRDefault="007A0640" w:rsidP="009F01CA">
      <w:r w:rsidRPr="009C60A5">
        <w:t>This publication should be attributed in the following way: © Commonwealth of Australia 202</w:t>
      </w:r>
      <w:r w:rsidR="00DC71F1">
        <w:t>4</w:t>
      </w:r>
      <w:r w:rsidRPr="009C60A5">
        <w:t>.</w:t>
      </w:r>
    </w:p>
    <w:p w14:paraId="0AEFA33A" w14:textId="77777777" w:rsidR="007A0640" w:rsidRPr="009C60A5" w:rsidRDefault="007A0640" w:rsidP="009F01CA">
      <w:pPr>
        <w:rPr>
          <w:b/>
        </w:rPr>
      </w:pPr>
      <w:bookmarkStart w:id="7" w:name="_Toc142983194"/>
      <w:bookmarkStart w:id="8" w:name="_Toc143003331"/>
      <w:r w:rsidRPr="009C60A5">
        <w:rPr>
          <w:b/>
        </w:rPr>
        <w:t>Use of the Coat of Arms</w:t>
      </w:r>
      <w:bookmarkEnd w:id="7"/>
      <w:bookmarkEnd w:id="8"/>
    </w:p>
    <w:p w14:paraId="2655A66A" w14:textId="6048F201" w:rsidR="007A0640" w:rsidRPr="009C60A5" w:rsidRDefault="007A0640" w:rsidP="009F01CA">
      <w:r w:rsidRPr="009C60A5">
        <w:t xml:space="preserve">The Department of the Prime Minister and Cabinet sets the terms under which the Coat of Arms is used. Please refer to the Commonwealth Coat of Arms - Information and Guidelines publication available at </w:t>
      </w:r>
      <w:hyperlink r:id="rId15" w:tooltip="Department of Prime Minister and Cabinet website" w:history="1">
        <w:r w:rsidRPr="009C60A5">
          <w:rPr>
            <w:rStyle w:val="Hyperlink"/>
          </w:rPr>
          <w:t>http://www.pmc.gov.au</w:t>
        </w:r>
      </w:hyperlink>
      <w:r w:rsidRPr="009C60A5">
        <w:t>.</w:t>
      </w:r>
    </w:p>
    <w:p w14:paraId="3EDDE8C8" w14:textId="77777777" w:rsidR="007A0640" w:rsidRPr="009C60A5" w:rsidRDefault="007A0640" w:rsidP="009F01CA">
      <w:pPr>
        <w:rPr>
          <w:b/>
        </w:rPr>
      </w:pPr>
      <w:bookmarkStart w:id="9" w:name="_Toc142983195"/>
      <w:bookmarkStart w:id="10" w:name="_Toc143003332"/>
      <w:r w:rsidRPr="009C60A5">
        <w:rPr>
          <w:b/>
        </w:rPr>
        <w:t>Contact us</w:t>
      </w:r>
      <w:bookmarkEnd w:id="9"/>
      <w:bookmarkEnd w:id="10"/>
    </w:p>
    <w:p w14:paraId="623803F1" w14:textId="77777777" w:rsidR="00B01E12" w:rsidRPr="009C60A5" w:rsidRDefault="007A0640" w:rsidP="009F01CA">
      <w:r w:rsidRPr="009C60A5">
        <w:t>This publication is available in hard copy or PDF format. All other rights are reserved, including in relation to any departmental logos or trademarks which may exist. For enquiries regarding the licence and any use of this publication, please contact:</w:t>
      </w:r>
    </w:p>
    <w:p w14:paraId="19FC12BD" w14:textId="77777777" w:rsidR="007A0640" w:rsidRPr="009C60A5" w:rsidRDefault="007A0640" w:rsidP="009F01CA">
      <w:pPr>
        <w:spacing w:before="0" w:after="0"/>
        <w:ind w:left="720"/>
      </w:pPr>
      <w:r w:rsidRPr="009C60A5">
        <w:t>Director—Creative Services</w:t>
      </w:r>
    </w:p>
    <w:p w14:paraId="76679C7F" w14:textId="77777777" w:rsidR="007A0640" w:rsidRPr="009C60A5" w:rsidRDefault="007A0640" w:rsidP="009F01CA">
      <w:pPr>
        <w:spacing w:before="0" w:after="0"/>
        <w:ind w:left="720"/>
      </w:pPr>
      <w:r w:rsidRPr="009C60A5">
        <w:t>Communication Branch</w:t>
      </w:r>
    </w:p>
    <w:p w14:paraId="7FEBAB0B" w14:textId="77777777" w:rsidR="007A0640" w:rsidRPr="009C60A5" w:rsidRDefault="007A0640" w:rsidP="009F01CA">
      <w:pPr>
        <w:spacing w:before="0" w:after="0"/>
        <w:ind w:left="720"/>
      </w:pPr>
      <w:r w:rsidRPr="009C60A5">
        <w:t>Department of Infrastructure, Transport, Regional Development, Communications and the Arts</w:t>
      </w:r>
    </w:p>
    <w:p w14:paraId="0F0DCF64" w14:textId="77777777" w:rsidR="007A0640" w:rsidRPr="009C60A5" w:rsidRDefault="007A0640" w:rsidP="009F01CA">
      <w:pPr>
        <w:spacing w:before="0" w:after="0"/>
        <w:ind w:left="720"/>
      </w:pPr>
      <w:r w:rsidRPr="009C60A5">
        <w:t>GPO Box 594</w:t>
      </w:r>
    </w:p>
    <w:p w14:paraId="1FD9F5B0" w14:textId="77777777" w:rsidR="007A0640" w:rsidRPr="009C60A5" w:rsidRDefault="007A0640" w:rsidP="009F01CA">
      <w:pPr>
        <w:spacing w:before="0" w:after="0"/>
        <w:ind w:left="720"/>
      </w:pPr>
      <w:r w:rsidRPr="009C60A5">
        <w:t>Canberra ACT 2601</w:t>
      </w:r>
    </w:p>
    <w:p w14:paraId="07B329EC" w14:textId="77777777" w:rsidR="00B01E12" w:rsidRPr="009C60A5" w:rsidRDefault="007A0640" w:rsidP="009F01CA">
      <w:pPr>
        <w:spacing w:before="0" w:after="0"/>
        <w:ind w:left="720"/>
      </w:pPr>
      <w:r w:rsidRPr="009C60A5">
        <w:t>Australia</w:t>
      </w:r>
    </w:p>
    <w:p w14:paraId="7F5BF30F" w14:textId="77777777" w:rsidR="001C7146" w:rsidRPr="009C60A5" w:rsidRDefault="001C7146" w:rsidP="009F01CA">
      <w:pPr>
        <w:spacing w:before="0" w:after="0"/>
        <w:ind w:left="720"/>
      </w:pPr>
    </w:p>
    <w:p w14:paraId="05888CB9" w14:textId="697902ED" w:rsidR="007A0640" w:rsidRPr="009C60A5" w:rsidRDefault="007A0640" w:rsidP="009F01CA">
      <w:pPr>
        <w:spacing w:before="0" w:after="0"/>
        <w:ind w:left="720"/>
      </w:pPr>
      <w:r w:rsidRPr="009C60A5">
        <w:t xml:space="preserve">Email: </w:t>
      </w:r>
      <w:hyperlink r:id="rId16" w:tooltip="Email the Publishing team at the Department of Infrastructure, Transport, Regional Development and Communications" w:history="1">
        <w:r w:rsidRPr="009C60A5">
          <w:rPr>
            <w:rStyle w:val="Hyperlink"/>
          </w:rPr>
          <w:t>publishing@infrastructure.gov.au</w:t>
        </w:r>
      </w:hyperlink>
    </w:p>
    <w:p w14:paraId="628B5BDD" w14:textId="627233E2" w:rsidR="00EB1904" w:rsidRPr="009C60A5" w:rsidRDefault="007A0640" w:rsidP="009F01CA">
      <w:pPr>
        <w:spacing w:before="0" w:after="0"/>
        <w:ind w:left="720"/>
        <w:rPr>
          <w:rStyle w:val="Hyperlink"/>
        </w:rPr>
      </w:pPr>
      <w:r w:rsidRPr="009C60A5">
        <w:t xml:space="preserve">Website: </w:t>
      </w:r>
      <w:hyperlink r:id="rId17" w:tooltip="Department of Infrastructure, Transport, Regional Development and Communications website" w:history="1">
        <w:r w:rsidRPr="009C60A5">
          <w:rPr>
            <w:rStyle w:val="Hyperlink"/>
          </w:rPr>
          <w:t>www.infrastructure.gov.au</w:t>
        </w:r>
      </w:hyperlink>
    </w:p>
    <w:p w14:paraId="17501224" w14:textId="77777777" w:rsidR="007A0640" w:rsidRPr="009C60A5" w:rsidRDefault="00EB1904" w:rsidP="009F01CA">
      <w:pPr>
        <w:suppressAutoHyphens w:val="0"/>
        <w:rPr>
          <w:color w:val="0046FF" w:themeColor="hyperlink"/>
          <w:u w:val="single"/>
        </w:rPr>
      </w:pPr>
      <w:r w:rsidRPr="009C60A5">
        <w:rPr>
          <w:rStyle w:val="Hyperlink"/>
        </w:rPr>
        <w:br w:type="page"/>
      </w:r>
    </w:p>
    <w:bookmarkStart w:id="11" w:name="_Toc143003333" w:displacedByCustomXml="next"/>
    <w:sdt>
      <w:sdtPr>
        <w:rPr>
          <w:b w:val="0"/>
          <w:noProof w:val="0"/>
          <w:sz w:val="22"/>
          <w:u w:val="none"/>
        </w:rPr>
        <w:id w:val="-23333846"/>
        <w:docPartObj>
          <w:docPartGallery w:val="Table of Contents"/>
          <w:docPartUnique/>
        </w:docPartObj>
      </w:sdtPr>
      <w:sdtEndPr>
        <w:rPr>
          <w:bCs/>
        </w:rPr>
      </w:sdtEndPr>
      <w:sdtContent>
        <w:p w14:paraId="595DB154" w14:textId="77777777" w:rsidR="0094185D" w:rsidRDefault="007D0012" w:rsidP="00585341">
          <w:pPr>
            <w:pStyle w:val="TOC1"/>
          </w:pPr>
          <w:r w:rsidRPr="00B322EF">
            <w:t>Contents</w:t>
          </w:r>
          <w:bookmarkEnd w:id="11"/>
        </w:p>
        <w:p w14:paraId="0E424991" w14:textId="4562CA63" w:rsidR="009B1C42" w:rsidRDefault="007D0012">
          <w:pPr>
            <w:pStyle w:val="TOC1"/>
            <w:rPr>
              <w:rFonts w:eastAsiaTheme="minorEastAsia"/>
              <w:b w:val="0"/>
              <w:color w:val="auto"/>
              <w:sz w:val="22"/>
              <w:u w:val="none"/>
              <w:lang w:eastAsia="en-AU"/>
            </w:rPr>
          </w:pPr>
          <w:r w:rsidRPr="00B322EF">
            <w:fldChar w:fldCharType="begin"/>
          </w:r>
          <w:r w:rsidRPr="00B322EF">
            <w:instrText xml:space="preserve"> TOC \o "1-3" \h \z \u </w:instrText>
          </w:r>
          <w:r w:rsidRPr="00B322EF">
            <w:fldChar w:fldCharType="separate"/>
          </w:r>
          <w:hyperlink w:anchor="_Toc163052085" w:history="1">
            <w:r w:rsidR="009B1C42" w:rsidRPr="00E8484C">
              <w:rPr>
                <w:rStyle w:val="Hyperlink"/>
              </w:rPr>
              <w:t>Introduction</w:t>
            </w:r>
            <w:r w:rsidR="009B1C42">
              <w:rPr>
                <w:webHidden/>
              </w:rPr>
              <w:tab/>
            </w:r>
            <w:r w:rsidR="009B1C42">
              <w:rPr>
                <w:webHidden/>
              </w:rPr>
              <w:fldChar w:fldCharType="begin"/>
            </w:r>
            <w:r w:rsidR="009B1C42">
              <w:rPr>
                <w:webHidden/>
              </w:rPr>
              <w:instrText xml:space="preserve"> PAGEREF _Toc163052085 \h </w:instrText>
            </w:r>
            <w:r w:rsidR="009B1C42">
              <w:rPr>
                <w:webHidden/>
              </w:rPr>
            </w:r>
            <w:r w:rsidR="009B1C42">
              <w:rPr>
                <w:webHidden/>
              </w:rPr>
              <w:fldChar w:fldCharType="separate"/>
            </w:r>
            <w:r w:rsidR="009B1C42">
              <w:rPr>
                <w:webHidden/>
              </w:rPr>
              <w:t>1</w:t>
            </w:r>
            <w:r w:rsidR="009B1C42">
              <w:rPr>
                <w:webHidden/>
              </w:rPr>
              <w:fldChar w:fldCharType="end"/>
            </w:r>
          </w:hyperlink>
        </w:p>
        <w:p w14:paraId="200CF21B" w14:textId="6EC77CC2" w:rsidR="009B1C42" w:rsidRDefault="00F87F5F">
          <w:pPr>
            <w:pStyle w:val="TOC1"/>
            <w:rPr>
              <w:rFonts w:eastAsiaTheme="minorEastAsia"/>
              <w:b w:val="0"/>
              <w:color w:val="auto"/>
              <w:sz w:val="22"/>
              <w:u w:val="none"/>
              <w:lang w:eastAsia="en-AU"/>
            </w:rPr>
          </w:pPr>
          <w:hyperlink w:anchor="_Toc163052086" w:history="1">
            <w:r w:rsidR="009B1C42" w:rsidRPr="00E8484C">
              <w:rPr>
                <w:rStyle w:val="Hyperlink"/>
              </w:rPr>
              <w:t>Background</w:t>
            </w:r>
            <w:r w:rsidR="009B1C42">
              <w:rPr>
                <w:webHidden/>
              </w:rPr>
              <w:tab/>
            </w:r>
            <w:r w:rsidR="009B1C42">
              <w:rPr>
                <w:webHidden/>
              </w:rPr>
              <w:fldChar w:fldCharType="begin"/>
            </w:r>
            <w:r w:rsidR="009B1C42">
              <w:rPr>
                <w:webHidden/>
              </w:rPr>
              <w:instrText xml:space="preserve"> PAGEREF _Toc163052086 \h </w:instrText>
            </w:r>
            <w:r w:rsidR="009B1C42">
              <w:rPr>
                <w:webHidden/>
              </w:rPr>
            </w:r>
            <w:r w:rsidR="009B1C42">
              <w:rPr>
                <w:webHidden/>
              </w:rPr>
              <w:fldChar w:fldCharType="separate"/>
            </w:r>
            <w:r w:rsidR="009B1C42">
              <w:rPr>
                <w:webHidden/>
              </w:rPr>
              <w:t>3</w:t>
            </w:r>
            <w:r w:rsidR="009B1C42">
              <w:rPr>
                <w:webHidden/>
              </w:rPr>
              <w:fldChar w:fldCharType="end"/>
            </w:r>
          </w:hyperlink>
        </w:p>
        <w:p w14:paraId="2BB0B2A7" w14:textId="188C07FB" w:rsidR="009B1C42" w:rsidRDefault="00F87F5F">
          <w:pPr>
            <w:pStyle w:val="TOC2"/>
            <w:rPr>
              <w:rFonts w:eastAsiaTheme="minorEastAsia"/>
              <w:noProof/>
              <w:color w:val="auto"/>
              <w:lang w:eastAsia="en-AU"/>
            </w:rPr>
          </w:pPr>
          <w:hyperlink w:anchor="_Toc163052087" w:history="1">
            <w:r w:rsidR="009B1C42" w:rsidRPr="00E8484C">
              <w:rPr>
                <w:rStyle w:val="Hyperlink"/>
                <w:noProof/>
              </w:rPr>
              <w:t>Current telecommunications levies</w:t>
            </w:r>
            <w:r w:rsidR="009B1C42">
              <w:rPr>
                <w:noProof/>
                <w:webHidden/>
              </w:rPr>
              <w:tab/>
            </w:r>
            <w:r w:rsidR="009B1C42">
              <w:rPr>
                <w:noProof/>
                <w:webHidden/>
              </w:rPr>
              <w:fldChar w:fldCharType="begin"/>
            </w:r>
            <w:r w:rsidR="009B1C42">
              <w:rPr>
                <w:noProof/>
                <w:webHidden/>
              </w:rPr>
              <w:instrText xml:space="preserve"> PAGEREF _Toc163052087 \h </w:instrText>
            </w:r>
            <w:r w:rsidR="009B1C42">
              <w:rPr>
                <w:noProof/>
                <w:webHidden/>
              </w:rPr>
            </w:r>
            <w:r w:rsidR="009B1C42">
              <w:rPr>
                <w:noProof/>
                <w:webHidden/>
              </w:rPr>
              <w:fldChar w:fldCharType="separate"/>
            </w:r>
            <w:r w:rsidR="009B1C42">
              <w:rPr>
                <w:noProof/>
                <w:webHidden/>
              </w:rPr>
              <w:t>3</w:t>
            </w:r>
            <w:r w:rsidR="009B1C42">
              <w:rPr>
                <w:noProof/>
                <w:webHidden/>
              </w:rPr>
              <w:fldChar w:fldCharType="end"/>
            </w:r>
          </w:hyperlink>
        </w:p>
        <w:p w14:paraId="34C27707" w14:textId="11841196" w:rsidR="009B1C42" w:rsidRDefault="00F87F5F">
          <w:pPr>
            <w:pStyle w:val="TOC2"/>
            <w:rPr>
              <w:rFonts w:eastAsiaTheme="minorEastAsia"/>
              <w:noProof/>
              <w:color w:val="auto"/>
              <w:lang w:eastAsia="en-AU"/>
            </w:rPr>
          </w:pPr>
          <w:hyperlink w:anchor="_Toc163052088" w:history="1">
            <w:r w:rsidR="009B1C42" w:rsidRPr="00E8484C">
              <w:rPr>
                <w:rStyle w:val="Hyperlink"/>
                <w:noProof/>
              </w:rPr>
              <w:t>Telecommunications levies and universal services funding across the world</w:t>
            </w:r>
            <w:r w:rsidR="009B1C42">
              <w:rPr>
                <w:noProof/>
                <w:webHidden/>
              </w:rPr>
              <w:tab/>
            </w:r>
            <w:r w:rsidR="009B1C42">
              <w:rPr>
                <w:noProof/>
                <w:webHidden/>
              </w:rPr>
              <w:fldChar w:fldCharType="begin"/>
            </w:r>
            <w:r w:rsidR="009B1C42">
              <w:rPr>
                <w:noProof/>
                <w:webHidden/>
              </w:rPr>
              <w:instrText xml:space="preserve"> PAGEREF _Toc163052088 \h </w:instrText>
            </w:r>
            <w:r w:rsidR="009B1C42">
              <w:rPr>
                <w:noProof/>
                <w:webHidden/>
              </w:rPr>
            </w:r>
            <w:r w:rsidR="009B1C42">
              <w:rPr>
                <w:noProof/>
                <w:webHidden/>
              </w:rPr>
              <w:fldChar w:fldCharType="separate"/>
            </w:r>
            <w:r w:rsidR="009B1C42">
              <w:rPr>
                <w:noProof/>
                <w:webHidden/>
              </w:rPr>
              <w:t>8</w:t>
            </w:r>
            <w:r w:rsidR="009B1C42">
              <w:rPr>
                <w:noProof/>
                <w:webHidden/>
              </w:rPr>
              <w:fldChar w:fldCharType="end"/>
            </w:r>
          </w:hyperlink>
        </w:p>
        <w:p w14:paraId="235D1086" w14:textId="6D6557AB" w:rsidR="009B1C42" w:rsidRDefault="00F87F5F">
          <w:pPr>
            <w:pStyle w:val="TOC2"/>
            <w:rPr>
              <w:rFonts w:eastAsiaTheme="minorEastAsia"/>
              <w:noProof/>
              <w:color w:val="auto"/>
              <w:lang w:eastAsia="en-AU"/>
            </w:rPr>
          </w:pPr>
          <w:hyperlink w:anchor="_Toc163052089" w:history="1">
            <w:r w:rsidR="009B1C42" w:rsidRPr="00E8484C">
              <w:rPr>
                <w:rStyle w:val="Hyperlink"/>
                <w:noProof/>
              </w:rPr>
              <w:t>Regional Broadband Scheme review background</w:t>
            </w:r>
            <w:r w:rsidR="009B1C42">
              <w:rPr>
                <w:noProof/>
                <w:webHidden/>
              </w:rPr>
              <w:tab/>
            </w:r>
            <w:r w:rsidR="009B1C42">
              <w:rPr>
                <w:noProof/>
                <w:webHidden/>
              </w:rPr>
              <w:fldChar w:fldCharType="begin"/>
            </w:r>
            <w:r w:rsidR="009B1C42">
              <w:rPr>
                <w:noProof/>
                <w:webHidden/>
              </w:rPr>
              <w:instrText xml:space="preserve"> PAGEREF _Toc163052089 \h </w:instrText>
            </w:r>
            <w:r w:rsidR="009B1C42">
              <w:rPr>
                <w:noProof/>
                <w:webHidden/>
              </w:rPr>
            </w:r>
            <w:r w:rsidR="009B1C42">
              <w:rPr>
                <w:noProof/>
                <w:webHidden/>
              </w:rPr>
              <w:fldChar w:fldCharType="separate"/>
            </w:r>
            <w:r w:rsidR="009B1C42">
              <w:rPr>
                <w:noProof/>
                <w:webHidden/>
              </w:rPr>
              <w:t>9</w:t>
            </w:r>
            <w:r w:rsidR="009B1C42">
              <w:rPr>
                <w:noProof/>
                <w:webHidden/>
              </w:rPr>
              <w:fldChar w:fldCharType="end"/>
            </w:r>
          </w:hyperlink>
        </w:p>
        <w:p w14:paraId="444FBB5F" w14:textId="735820E8" w:rsidR="009B1C42" w:rsidRDefault="00F87F5F">
          <w:pPr>
            <w:pStyle w:val="TOC1"/>
            <w:rPr>
              <w:rFonts w:eastAsiaTheme="minorEastAsia"/>
              <w:b w:val="0"/>
              <w:color w:val="auto"/>
              <w:sz w:val="22"/>
              <w:u w:val="none"/>
              <w:lang w:eastAsia="en-AU"/>
            </w:rPr>
          </w:pPr>
          <w:hyperlink w:anchor="_Toc163052090" w:history="1">
            <w:r w:rsidR="009B1C42" w:rsidRPr="00E8484C">
              <w:rPr>
                <w:rStyle w:val="Hyperlink"/>
              </w:rPr>
              <w:t>Opportunity to consider long-term funding arrangements more broadly</w:t>
            </w:r>
            <w:r w:rsidR="009B1C42">
              <w:rPr>
                <w:webHidden/>
              </w:rPr>
              <w:tab/>
            </w:r>
            <w:r w:rsidR="009B1C42">
              <w:rPr>
                <w:webHidden/>
              </w:rPr>
              <w:fldChar w:fldCharType="begin"/>
            </w:r>
            <w:r w:rsidR="009B1C42">
              <w:rPr>
                <w:webHidden/>
              </w:rPr>
              <w:instrText xml:space="preserve"> PAGEREF _Toc163052090 \h </w:instrText>
            </w:r>
            <w:r w:rsidR="009B1C42">
              <w:rPr>
                <w:webHidden/>
              </w:rPr>
            </w:r>
            <w:r w:rsidR="009B1C42">
              <w:rPr>
                <w:webHidden/>
              </w:rPr>
              <w:fldChar w:fldCharType="separate"/>
            </w:r>
            <w:r w:rsidR="009B1C42">
              <w:rPr>
                <w:webHidden/>
              </w:rPr>
              <w:t>10</w:t>
            </w:r>
            <w:r w:rsidR="009B1C42">
              <w:rPr>
                <w:webHidden/>
              </w:rPr>
              <w:fldChar w:fldCharType="end"/>
            </w:r>
          </w:hyperlink>
        </w:p>
        <w:p w14:paraId="41D40B6C" w14:textId="678355BC" w:rsidR="009B1C42" w:rsidRDefault="00F87F5F">
          <w:pPr>
            <w:pStyle w:val="TOC2"/>
            <w:rPr>
              <w:rFonts w:eastAsiaTheme="minorEastAsia"/>
              <w:noProof/>
              <w:color w:val="auto"/>
              <w:lang w:eastAsia="en-AU"/>
            </w:rPr>
          </w:pPr>
          <w:hyperlink w:anchor="_Toc163052091" w:history="1">
            <w:r w:rsidR="009B1C42" w:rsidRPr="00E8484C">
              <w:rPr>
                <w:rStyle w:val="Hyperlink"/>
                <w:noProof/>
              </w:rPr>
              <w:t>With technology changing service delivery, should overall funding arrangements change too?</w:t>
            </w:r>
            <w:r w:rsidR="009B1C42">
              <w:rPr>
                <w:noProof/>
                <w:webHidden/>
              </w:rPr>
              <w:tab/>
            </w:r>
            <w:r w:rsidR="009B1C42">
              <w:rPr>
                <w:noProof/>
                <w:webHidden/>
              </w:rPr>
              <w:fldChar w:fldCharType="begin"/>
            </w:r>
            <w:r w:rsidR="009B1C42">
              <w:rPr>
                <w:noProof/>
                <w:webHidden/>
              </w:rPr>
              <w:instrText xml:space="preserve"> PAGEREF _Toc163052091 \h </w:instrText>
            </w:r>
            <w:r w:rsidR="009B1C42">
              <w:rPr>
                <w:noProof/>
                <w:webHidden/>
              </w:rPr>
            </w:r>
            <w:r w:rsidR="009B1C42">
              <w:rPr>
                <w:noProof/>
                <w:webHidden/>
              </w:rPr>
              <w:fldChar w:fldCharType="separate"/>
            </w:r>
            <w:r w:rsidR="009B1C42">
              <w:rPr>
                <w:noProof/>
                <w:webHidden/>
              </w:rPr>
              <w:t>10</w:t>
            </w:r>
            <w:r w:rsidR="009B1C42">
              <w:rPr>
                <w:noProof/>
                <w:webHidden/>
              </w:rPr>
              <w:fldChar w:fldCharType="end"/>
            </w:r>
          </w:hyperlink>
        </w:p>
        <w:p w14:paraId="7EC6F4E3" w14:textId="4FEBC77D" w:rsidR="009B1C42" w:rsidRDefault="00F87F5F">
          <w:pPr>
            <w:pStyle w:val="TOC1"/>
            <w:rPr>
              <w:rFonts w:eastAsiaTheme="minorEastAsia"/>
              <w:b w:val="0"/>
              <w:color w:val="auto"/>
              <w:sz w:val="22"/>
              <w:u w:val="none"/>
              <w:lang w:eastAsia="en-AU"/>
            </w:rPr>
          </w:pPr>
          <w:hyperlink w:anchor="_Toc163052092" w:history="1">
            <w:r w:rsidR="009B1C42" w:rsidRPr="00E8484C">
              <w:rPr>
                <w:rStyle w:val="Hyperlink"/>
              </w:rPr>
              <w:t>Key principles and characteristics of a sustainable long</w:t>
            </w:r>
            <w:r w:rsidR="009B1C42" w:rsidRPr="00E8484C">
              <w:rPr>
                <w:rStyle w:val="Hyperlink"/>
              </w:rPr>
              <w:noBreakHyphen/>
              <w:t>term funding model</w:t>
            </w:r>
            <w:r w:rsidR="009B1C42">
              <w:rPr>
                <w:webHidden/>
              </w:rPr>
              <w:tab/>
            </w:r>
            <w:r w:rsidR="009B1C42">
              <w:rPr>
                <w:webHidden/>
              </w:rPr>
              <w:fldChar w:fldCharType="begin"/>
            </w:r>
            <w:r w:rsidR="009B1C42">
              <w:rPr>
                <w:webHidden/>
              </w:rPr>
              <w:instrText xml:space="preserve"> PAGEREF _Toc163052092 \h </w:instrText>
            </w:r>
            <w:r w:rsidR="009B1C42">
              <w:rPr>
                <w:webHidden/>
              </w:rPr>
            </w:r>
            <w:r w:rsidR="009B1C42">
              <w:rPr>
                <w:webHidden/>
              </w:rPr>
              <w:fldChar w:fldCharType="separate"/>
            </w:r>
            <w:r w:rsidR="009B1C42">
              <w:rPr>
                <w:webHidden/>
              </w:rPr>
              <w:t>10</w:t>
            </w:r>
            <w:r w:rsidR="009B1C42">
              <w:rPr>
                <w:webHidden/>
              </w:rPr>
              <w:fldChar w:fldCharType="end"/>
            </w:r>
          </w:hyperlink>
        </w:p>
        <w:p w14:paraId="31ADB3AF" w14:textId="4D0034A9" w:rsidR="009B1C42" w:rsidRDefault="00F87F5F">
          <w:pPr>
            <w:pStyle w:val="TOC2"/>
            <w:rPr>
              <w:rFonts w:eastAsiaTheme="minorEastAsia"/>
              <w:noProof/>
              <w:color w:val="auto"/>
              <w:lang w:eastAsia="en-AU"/>
            </w:rPr>
          </w:pPr>
          <w:hyperlink w:anchor="_Toc163052093" w:history="1">
            <w:r w:rsidR="009B1C42" w:rsidRPr="00E8484C">
              <w:rPr>
                <w:rStyle w:val="Hyperlink"/>
                <w:noProof/>
              </w:rPr>
              <w:t>Sustainability</w:t>
            </w:r>
            <w:r w:rsidR="009B1C42">
              <w:rPr>
                <w:noProof/>
                <w:webHidden/>
              </w:rPr>
              <w:tab/>
            </w:r>
            <w:r w:rsidR="009B1C42">
              <w:rPr>
                <w:noProof/>
                <w:webHidden/>
              </w:rPr>
              <w:fldChar w:fldCharType="begin"/>
            </w:r>
            <w:r w:rsidR="009B1C42">
              <w:rPr>
                <w:noProof/>
                <w:webHidden/>
              </w:rPr>
              <w:instrText xml:space="preserve"> PAGEREF _Toc163052093 \h </w:instrText>
            </w:r>
            <w:r w:rsidR="009B1C42">
              <w:rPr>
                <w:noProof/>
                <w:webHidden/>
              </w:rPr>
            </w:r>
            <w:r w:rsidR="009B1C42">
              <w:rPr>
                <w:noProof/>
                <w:webHidden/>
              </w:rPr>
              <w:fldChar w:fldCharType="separate"/>
            </w:r>
            <w:r w:rsidR="009B1C42">
              <w:rPr>
                <w:noProof/>
                <w:webHidden/>
              </w:rPr>
              <w:t>10</w:t>
            </w:r>
            <w:r w:rsidR="009B1C42">
              <w:rPr>
                <w:noProof/>
                <w:webHidden/>
              </w:rPr>
              <w:fldChar w:fldCharType="end"/>
            </w:r>
          </w:hyperlink>
        </w:p>
        <w:p w14:paraId="6FD306EE" w14:textId="288F074C" w:rsidR="009B1C42" w:rsidRDefault="00F87F5F">
          <w:pPr>
            <w:pStyle w:val="TOC2"/>
            <w:rPr>
              <w:rFonts w:eastAsiaTheme="minorEastAsia"/>
              <w:noProof/>
              <w:color w:val="auto"/>
              <w:lang w:eastAsia="en-AU"/>
            </w:rPr>
          </w:pPr>
          <w:hyperlink w:anchor="_Toc163052094" w:history="1">
            <w:r w:rsidR="009B1C42" w:rsidRPr="00E8484C">
              <w:rPr>
                <w:rStyle w:val="Hyperlink"/>
                <w:noProof/>
              </w:rPr>
              <w:t>Transparency</w:t>
            </w:r>
            <w:r w:rsidR="009B1C42">
              <w:rPr>
                <w:noProof/>
                <w:webHidden/>
              </w:rPr>
              <w:tab/>
            </w:r>
            <w:r w:rsidR="009B1C42">
              <w:rPr>
                <w:noProof/>
                <w:webHidden/>
              </w:rPr>
              <w:fldChar w:fldCharType="begin"/>
            </w:r>
            <w:r w:rsidR="009B1C42">
              <w:rPr>
                <w:noProof/>
                <w:webHidden/>
              </w:rPr>
              <w:instrText xml:space="preserve"> PAGEREF _Toc163052094 \h </w:instrText>
            </w:r>
            <w:r w:rsidR="009B1C42">
              <w:rPr>
                <w:noProof/>
                <w:webHidden/>
              </w:rPr>
            </w:r>
            <w:r w:rsidR="009B1C42">
              <w:rPr>
                <w:noProof/>
                <w:webHidden/>
              </w:rPr>
              <w:fldChar w:fldCharType="separate"/>
            </w:r>
            <w:r w:rsidR="009B1C42">
              <w:rPr>
                <w:noProof/>
                <w:webHidden/>
              </w:rPr>
              <w:t>11</w:t>
            </w:r>
            <w:r w:rsidR="009B1C42">
              <w:rPr>
                <w:noProof/>
                <w:webHidden/>
              </w:rPr>
              <w:fldChar w:fldCharType="end"/>
            </w:r>
          </w:hyperlink>
        </w:p>
        <w:p w14:paraId="0DBDC7CF" w14:textId="36B59556" w:rsidR="009B1C42" w:rsidRDefault="00F87F5F">
          <w:pPr>
            <w:pStyle w:val="TOC2"/>
            <w:rPr>
              <w:rFonts w:eastAsiaTheme="minorEastAsia"/>
              <w:noProof/>
              <w:color w:val="auto"/>
              <w:lang w:eastAsia="en-AU"/>
            </w:rPr>
          </w:pPr>
          <w:hyperlink w:anchor="_Toc163052095" w:history="1">
            <w:r w:rsidR="009B1C42" w:rsidRPr="00E8484C">
              <w:rPr>
                <w:rStyle w:val="Hyperlink"/>
                <w:noProof/>
              </w:rPr>
              <w:t>Certainty</w:t>
            </w:r>
            <w:r w:rsidR="009B1C42">
              <w:rPr>
                <w:noProof/>
                <w:webHidden/>
              </w:rPr>
              <w:tab/>
            </w:r>
            <w:r w:rsidR="009B1C42">
              <w:rPr>
                <w:noProof/>
                <w:webHidden/>
              </w:rPr>
              <w:fldChar w:fldCharType="begin"/>
            </w:r>
            <w:r w:rsidR="009B1C42">
              <w:rPr>
                <w:noProof/>
                <w:webHidden/>
              </w:rPr>
              <w:instrText xml:space="preserve"> PAGEREF _Toc163052095 \h </w:instrText>
            </w:r>
            <w:r w:rsidR="009B1C42">
              <w:rPr>
                <w:noProof/>
                <w:webHidden/>
              </w:rPr>
            </w:r>
            <w:r w:rsidR="009B1C42">
              <w:rPr>
                <w:noProof/>
                <w:webHidden/>
              </w:rPr>
              <w:fldChar w:fldCharType="separate"/>
            </w:r>
            <w:r w:rsidR="009B1C42">
              <w:rPr>
                <w:noProof/>
                <w:webHidden/>
              </w:rPr>
              <w:t>11</w:t>
            </w:r>
            <w:r w:rsidR="009B1C42">
              <w:rPr>
                <w:noProof/>
                <w:webHidden/>
              </w:rPr>
              <w:fldChar w:fldCharType="end"/>
            </w:r>
          </w:hyperlink>
        </w:p>
        <w:p w14:paraId="44A700AE" w14:textId="7ABF50F1" w:rsidR="009B1C42" w:rsidRDefault="00F87F5F">
          <w:pPr>
            <w:pStyle w:val="TOC2"/>
            <w:rPr>
              <w:rFonts w:eastAsiaTheme="minorEastAsia"/>
              <w:noProof/>
              <w:color w:val="auto"/>
              <w:lang w:eastAsia="en-AU"/>
            </w:rPr>
          </w:pPr>
          <w:hyperlink w:anchor="_Toc163052096" w:history="1">
            <w:r w:rsidR="009B1C42" w:rsidRPr="00E8484C">
              <w:rPr>
                <w:rStyle w:val="Hyperlink"/>
                <w:noProof/>
              </w:rPr>
              <w:t>Flexibility</w:t>
            </w:r>
            <w:r w:rsidR="009B1C42">
              <w:rPr>
                <w:noProof/>
                <w:webHidden/>
              </w:rPr>
              <w:tab/>
            </w:r>
            <w:r w:rsidR="009B1C42">
              <w:rPr>
                <w:noProof/>
                <w:webHidden/>
              </w:rPr>
              <w:fldChar w:fldCharType="begin"/>
            </w:r>
            <w:r w:rsidR="009B1C42">
              <w:rPr>
                <w:noProof/>
                <w:webHidden/>
              </w:rPr>
              <w:instrText xml:space="preserve"> PAGEREF _Toc163052096 \h </w:instrText>
            </w:r>
            <w:r w:rsidR="009B1C42">
              <w:rPr>
                <w:noProof/>
                <w:webHidden/>
              </w:rPr>
            </w:r>
            <w:r w:rsidR="009B1C42">
              <w:rPr>
                <w:noProof/>
                <w:webHidden/>
              </w:rPr>
              <w:fldChar w:fldCharType="separate"/>
            </w:r>
            <w:r w:rsidR="009B1C42">
              <w:rPr>
                <w:noProof/>
                <w:webHidden/>
              </w:rPr>
              <w:t>11</w:t>
            </w:r>
            <w:r w:rsidR="009B1C42">
              <w:rPr>
                <w:noProof/>
                <w:webHidden/>
              </w:rPr>
              <w:fldChar w:fldCharType="end"/>
            </w:r>
          </w:hyperlink>
        </w:p>
        <w:p w14:paraId="55D1DAB1" w14:textId="588FB866" w:rsidR="009B1C42" w:rsidRDefault="00F87F5F">
          <w:pPr>
            <w:pStyle w:val="TOC2"/>
            <w:rPr>
              <w:rFonts w:eastAsiaTheme="minorEastAsia"/>
              <w:noProof/>
              <w:color w:val="auto"/>
              <w:lang w:eastAsia="en-AU"/>
            </w:rPr>
          </w:pPr>
          <w:hyperlink w:anchor="_Toc163052097" w:history="1">
            <w:r w:rsidR="009B1C42" w:rsidRPr="00E8484C">
              <w:rPr>
                <w:rStyle w:val="Hyperlink"/>
                <w:noProof/>
              </w:rPr>
              <w:t>Services that should be subsidised</w:t>
            </w:r>
            <w:r w:rsidR="009B1C42">
              <w:rPr>
                <w:noProof/>
                <w:webHidden/>
              </w:rPr>
              <w:tab/>
            </w:r>
            <w:r w:rsidR="009B1C42">
              <w:rPr>
                <w:noProof/>
                <w:webHidden/>
              </w:rPr>
              <w:fldChar w:fldCharType="begin"/>
            </w:r>
            <w:r w:rsidR="009B1C42">
              <w:rPr>
                <w:noProof/>
                <w:webHidden/>
              </w:rPr>
              <w:instrText xml:space="preserve"> PAGEREF _Toc163052097 \h </w:instrText>
            </w:r>
            <w:r w:rsidR="009B1C42">
              <w:rPr>
                <w:noProof/>
                <w:webHidden/>
              </w:rPr>
            </w:r>
            <w:r w:rsidR="009B1C42">
              <w:rPr>
                <w:noProof/>
                <w:webHidden/>
              </w:rPr>
              <w:fldChar w:fldCharType="separate"/>
            </w:r>
            <w:r w:rsidR="009B1C42">
              <w:rPr>
                <w:noProof/>
                <w:webHidden/>
              </w:rPr>
              <w:t>12</w:t>
            </w:r>
            <w:r w:rsidR="009B1C42">
              <w:rPr>
                <w:noProof/>
                <w:webHidden/>
              </w:rPr>
              <w:fldChar w:fldCharType="end"/>
            </w:r>
          </w:hyperlink>
        </w:p>
        <w:p w14:paraId="6EBF9D14" w14:textId="4EF4CA41" w:rsidR="009B1C42" w:rsidRDefault="00F87F5F">
          <w:pPr>
            <w:pStyle w:val="TOC2"/>
            <w:rPr>
              <w:rFonts w:eastAsiaTheme="minorEastAsia"/>
              <w:noProof/>
              <w:color w:val="auto"/>
              <w:lang w:eastAsia="en-AU"/>
            </w:rPr>
          </w:pPr>
          <w:hyperlink w:anchor="_Toc163052098" w:history="1">
            <w:r w:rsidR="009B1C42" w:rsidRPr="00E8484C">
              <w:rPr>
                <w:rStyle w:val="Hyperlink"/>
                <w:noProof/>
              </w:rPr>
              <w:t>Consumers</w:t>
            </w:r>
            <w:r w:rsidR="009B1C42">
              <w:rPr>
                <w:noProof/>
                <w:webHidden/>
              </w:rPr>
              <w:tab/>
            </w:r>
            <w:r w:rsidR="009B1C42">
              <w:rPr>
                <w:noProof/>
                <w:webHidden/>
              </w:rPr>
              <w:fldChar w:fldCharType="begin"/>
            </w:r>
            <w:r w:rsidR="009B1C42">
              <w:rPr>
                <w:noProof/>
                <w:webHidden/>
              </w:rPr>
              <w:instrText xml:space="preserve"> PAGEREF _Toc163052098 \h </w:instrText>
            </w:r>
            <w:r w:rsidR="009B1C42">
              <w:rPr>
                <w:noProof/>
                <w:webHidden/>
              </w:rPr>
            </w:r>
            <w:r w:rsidR="009B1C42">
              <w:rPr>
                <w:noProof/>
                <w:webHidden/>
              </w:rPr>
              <w:fldChar w:fldCharType="separate"/>
            </w:r>
            <w:r w:rsidR="009B1C42">
              <w:rPr>
                <w:noProof/>
                <w:webHidden/>
              </w:rPr>
              <w:t>13</w:t>
            </w:r>
            <w:r w:rsidR="009B1C42">
              <w:rPr>
                <w:noProof/>
                <w:webHidden/>
              </w:rPr>
              <w:fldChar w:fldCharType="end"/>
            </w:r>
          </w:hyperlink>
        </w:p>
        <w:p w14:paraId="47F9EDDE" w14:textId="4E344CA8" w:rsidR="009B1C42" w:rsidRDefault="00F87F5F">
          <w:pPr>
            <w:pStyle w:val="TOC2"/>
            <w:rPr>
              <w:rFonts w:eastAsiaTheme="minorEastAsia"/>
              <w:noProof/>
              <w:color w:val="auto"/>
              <w:lang w:eastAsia="en-AU"/>
            </w:rPr>
          </w:pPr>
          <w:hyperlink w:anchor="_Toc163052099" w:history="1">
            <w:r w:rsidR="009B1C42" w:rsidRPr="00E8484C">
              <w:rPr>
                <w:rStyle w:val="Hyperlink"/>
                <w:noProof/>
              </w:rPr>
              <w:t>Contributors to funding</w:t>
            </w:r>
            <w:r w:rsidR="009B1C42">
              <w:rPr>
                <w:noProof/>
                <w:webHidden/>
              </w:rPr>
              <w:tab/>
            </w:r>
            <w:r w:rsidR="009B1C42">
              <w:rPr>
                <w:noProof/>
                <w:webHidden/>
              </w:rPr>
              <w:fldChar w:fldCharType="begin"/>
            </w:r>
            <w:r w:rsidR="009B1C42">
              <w:rPr>
                <w:noProof/>
                <w:webHidden/>
              </w:rPr>
              <w:instrText xml:space="preserve"> PAGEREF _Toc163052099 \h </w:instrText>
            </w:r>
            <w:r w:rsidR="009B1C42">
              <w:rPr>
                <w:noProof/>
                <w:webHidden/>
              </w:rPr>
            </w:r>
            <w:r w:rsidR="009B1C42">
              <w:rPr>
                <w:noProof/>
                <w:webHidden/>
              </w:rPr>
              <w:fldChar w:fldCharType="separate"/>
            </w:r>
            <w:r w:rsidR="009B1C42">
              <w:rPr>
                <w:noProof/>
                <w:webHidden/>
              </w:rPr>
              <w:t>13</w:t>
            </w:r>
            <w:r w:rsidR="009B1C42">
              <w:rPr>
                <w:noProof/>
                <w:webHidden/>
              </w:rPr>
              <w:fldChar w:fldCharType="end"/>
            </w:r>
          </w:hyperlink>
        </w:p>
        <w:p w14:paraId="5A27432D" w14:textId="380D248D" w:rsidR="009B1C42" w:rsidRDefault="00F87F5F">
          <w:pPr>
            <w:pStyle w:val="TOC2"/>
            <w:rPr>
              <w:rFonts w:eastAsiaTheme="minorEastAsia"/>
              <w:noProof/>
              <w:color w:val="auto"/>
              <w:lang w:eastAsia="en-AU"/>
            </w:rPr>
          </w:pPr>
          <w:hyperlink w:anchor="_Toc163052100" w:history="1">
            <w:r w:rsidR="009B1C42" w:rsidRPr="00E8484C">
              <w:rPr>
                <w:rStyle w:val="Hyperlink"/>
                <w:noProof/>
              </w:rPr>
              <w:t>Defining the charge base</w:t>
            </w:r>
            <w:r w:rsidR="009B1C42">
              <w:rPr>
                <w:noProof/>
                <w:webHidden/>
              </w:rPr>
              <w:tab/>
            </w:r>
            <w:r w:rsidR="009B1C42">
              <w:rPr>
                <w:noProof/>
                <w:webHidden/>
              </w:rPr>
              <w:fldChar w:fldCharType="begin"/>
            </w:r>
            <w:r w:rsidR="009B1C42">
              <w:rPr>
                <w:noProof/>
                <w:webHidden/>
              </w:rPr>
              <w:instrText xml:space="preserve"> PAGEREF _Toc163052100 \h </w:instrText>
            </w:r>
            <w:r w:rsidR="009B1C42">
              <w:rPr>
                <w:noProof/>
                <w:webHidden/>
              </w:rPr>
            </w:r>
            <w:r w:rsidR="009B1C42">
              <w:rPr>
                <w:noProof/>
                <w:webHidden/>
              </w:rPr>
              <w:fldChar w:fldCharType="separate"/>
            </w:r>
            <w:r w:rsidR="009B1C42">
              <w:rPr>
                <w:noProof/>
                <w:webHidden/>
              </w:rPr>
              <w:t>13</w:t>
            </w:r>
            <w:r w:rsidR="009B1C42">
              <w:rPr>
                <w:noProof/>
                <w:webHidden/>
              </w:rPr>
              <w:fldChar w:fldCharType="end"/>
            </w:r>
          </w:hyperlink>
        </w:p>
        <w:p w14:paraId="2F48F3E9" w14:textId="79B793D2" w:rsidR="009B1C42" w:rsidRDefault="00F87F5F">
          <w:pPr>
            <w:pStyle w:val="TOC2"/>
            <w:rPr>
              <w:rFonts w:eastAsiaTheme="minorEastAsia"/>
              <w:noProof/>
              <w:color w:val="auto"/>
              <w:lang w:eastAsia="en-AU"/>
            </w:rPr>
          </w:pPr>
          <w:hyperlink w:anchor="_Toc163052101" w:history="1">
            <w:r w:rsidR="009B1C42" w:rsidRPr="00E8484C">
              <w:rPr>
                <w:rStyle w:val="Hyperlink"/>
                <w:noProof/>
              </w:rPr>
              <w:t>No double recovery</w:t>
            </w:r>
            <w:r w:rsidR="009B1C42">
              <w:rPr>
                <w:noProof/>
                <w:webHidden/>
              </w:rPr>
              <w:tab/>
            </w:r>
            <w:r w:rsidR="009B1C42">
              <w:rPr>
                <w:noProof/>
                <w:webHidden/>
              </w:rPr>
              <w:fldChar w:fldCharType="begin"/>
            </w:r>
            <w:r w:rsidR="009B1C42">
              <w:rPr>
                <w:noProof/>
                <w:webHidden/>
              </w:rPr>
              <w:instrText xml:space="preserve"> PAGEREF _Toc163052101 \h </w:instrText>
            </w:r>
            <w:r w:rsidR="009B1C42">
              <w:rPr>
                <w:noProof/>
                <w:webHidden/>
              </w:rPr>
            </w:r>
            <w:r w:rsidR="009B1C42">
              <w:rPr>
                <w:noProof/>
                <w:webHidden/>
              </w:rPr>
              <w:fldChar w:fldCharType="separate"/>
            </w:r>
            <w:r w:rsidR="009B1C42">
              <w:rPr>
                <w:noProof/>
                <w:webHidden/>
              </w:rPr>
              <w:t>14</w:t>
            </w:r>
            <w:r w:rsidR="009B1C42">
              <w:rPr>
                <w:noProof/>
                <w:webHidden/>
              </w:rPr>
              <w:fldChar w:fldCharType="end"/>
            </w:r>
          </w:hyperlink>
        </w:p>
        <w:p w14:paraId="1CC1EDF7" w14:textId="24E81EB4" w:rsidR="009B1C42" w:rsidRDefault="00F87F5F">
          <w:pPr>
            <w:pStyle w:val="TOC2"/>
            <w:rPr>
              <w:rFonts w:eastAsiaTheme="minorEastAsia"/>
              <w:noProof/>
              <w:color w:val="auto"/>
              <w:lang w:eastAsia="en-AU"/>
            </w:rPr>
          </w:pPr>
          <w:hyperlink w:anchor="_Toc163052102" w:history="1">
            <w:r w:rsidR="009B1C42" w:rsidRPr="00E8484C">
              <w:rPr>
                <w:rStyle w:val="Hyperlink"/>
                <w:noProof/>
              </w:rPr>
              <w:t>Competition issues</w:t>
            </w:r>
            <w:r w:rsidR="009B1C42">
              <w:rPr>
                <w:noProof/>
                <w:webHidden/>
              </w:rPr>
              <w:tab/>
            </w:r>
            <w:r w:rsidR="009B1C42">
              <w:rPr>
                <w:noProof/>
                <w:webHidden/>
              </w:rPr>
              <w:fldChar w:fldCharType="begin"/>
            </w:r>
            <w:r w:rsidR="009B1C42">
              <w:rPr>
                <w:noProof/>
                <w:webHidden/>
              </w:rPr>
              <w:instrText xml:space="preserve"> PAGEREF _Toc163052102 \h </w:instrText>
            </w:r>
            <w:r w:rsidR="009B1C42">
              <w:rPr>
                <w:noProof/>
                <w:webHidden/>
              </w:rPr>
            </w:r>
            <w:r w:rsidR="009B1C42">
              <w:rPr>
                <w:noProof/>
                <w:webHidden/>
              </w:rPr>
              <w:fldChar w:fldCharType="separate"/>
            </w:r>
            <w:r w:rsidR="009B1C42">
              <w:rPr>
                <w:noProof/>
                <w:webHidden/>
              </w:rPr>
              <w:t>14</w:t>
            </w:r>
            <w:r w:rsidR="009B1C42">
              <w:rPr>
                <w:noProof/>
                <w:webHidden/>
              </w:rPr>
              <w:fldChar w:fldCharType="end"/>
            </w:r>
          </w:hyperlink>
        </w:p>
        <w:p w14:paraId="56D2D8AC" w14:textId="50AD388F" w:rsidR="009B1C42" w:rsidRDefault="00F87F5F">
          <w:pPr>
            <w:pStyle w:val="TOC2"/>
            <w:rPr>
              <w:rFonts w:eastAsiaTheme="minorEastAsia"/>
              <w:noProof/>
              <w:color w:val="auto"/>
              <w:lang w:eastAsia="en-AU"/>
            </w:rPr>
          </w:pPr>
          <w:hyperlink w:anchor="_Toc163052103" w:history="1">
            <w:r w:rsidR="009B1C42" w:rsidRPr="00E8484C">
              <w:rPr>
                <w:rStyle w:val="Hyperlink"/>
                <w:noProof/>
              </w:rPr>
              <w:t>Thresholds</w:t>
            </w:r>
            <w:r w:rsidR="009B1C42">
              <w:rPr>
                <w:noProof/>
                <w:webHidden/>
              </w:rPr>
              <w:tab/>
            </w:r>
            <w:r w:rsidR="009B1C42">
              <w:rPr>
                <w:noProof/>
                <w:webHidden/>
              </w:rPr>
              <w:fldChar w:fldCharType="begin"/>
            </w:r>
            <w:r w:rsidR="009B1C42">
              <w:rPr>
                <w:noProof/>
                <w:webHidden/>
              </w:rPr>
              <w:instrText xml:space="preserve"> PAGEREF _Toc163052103 \h </w:instrText>
            </w:r>
            <w:r w:rsidR="009B1C42">
              <w:rPr>
                <w:noProof/>
                <w:webHidden/>
              </w:rPr>
            </w:r>
            <w:r w:rsidR="009B1C42">
              <w:rPr>
                <w:noProof/>
                <w:webHidden/>
              </w:rPr>
              <w:fldChar w:fldCharType="separate"/>
            </w:r>
            <w:r w:rsidR="009B1C42">
              <w:rPr>
                <w:noProof/>
                <w:webHidden/>
              </w:rPr>
              <w:t>14</w:t>
            </w:r>
            <w:r w:rsidR="009B1C42">
              <w:rPr>
                <w:noProof/>
                <w:webHidden/>
              </w:rPr>
              <w:fldChar w:fldCharType="end"/>
            </w:r>
          </w:hyperlink>
        </w:p>
        <w:p w14:paraId="71CF244F" w14:textId="4C10C025" w:rsidR="009B1C42" w:rsidRDefault="00F87F5F">
          <w:pPr>
            <w:pStyle w:val="TOC2"/>
            <w:rPr>
              <w:rFonts w:eastAsiaTheme="minorEastAsia"/>
              <w:noProof/>
              <w:color w:val="auto"/>
              <w:lang w:eastAsia="en-AU"/>
            </w:rPr>
          </w:pPr>
          <w:hyperlink w:anchor="_Toc163052104" w:history="1">
            <w:r w:rsidR="009B1C42" w:rsidRPr="00E8484C">
              <w:rPr>
                <w:rStyle w:val="Hyperlink"/>
                <w:noProof/>
              </w:rPr>
              <w:t>Administrative characteristics of funding arrangements</w:t>
            </w:r>
            <w:r w:rsidR="009B1C42">
              <w:rPr>
                <w:noProof/>
                <w:webHidden/>
              </w:rPr>
              <w:tab/>
            </w:r>
            <w:r w:rsidR="009B1C42">
              <w:rPr>
                <w:noProof/>
                <w:webHidden/>
              </w:rPr>
              <w:fldChar w:fldCharType="begin"/>
            </w:r>
            <w:r w:rsidR="009B1C42">
              <w:rPr>
                <w:noProof/>
                <w:webHidden/>
              </w:rPr>
              <w:instrText xml:space="preserve"> PAGEREF _Toc163052104 \h </w:instrText>
            </w:r>
            <w:r w:rsidR="009B1C42">
              <w:rPr>
                <w:noProof/>
                <w:webHidden/>
              </w:rPr>
            </w:r>
            <w:r w:rsidR="009B1C42">
              <w:rPr>
                <w:noProof/>
                <w:webHidden/>
              </w:rPr>
              <w:fldChar w:fldCharType="separate"/>
            </w:r>
            <w:r w:rsidR="009B1C42">
              <w:rPr>
                <w:noProof/>
                <w:webHidden/>
              </w:rPr>
              <w:t>14</w:t>
            </w:r>
            <w:r w:rsidR="009B1C42">
              <w:rPr>
                <w:noProof/>
                <w:webHidden/>
              </w:rPr>
              <w:fldChar w:fldCharType="end"/>
            </w:r>
          </w:hyperlink>
        </w:p>
        <w:p w14:paraId="32B0E522" w14:textId="29A0CD75" w:rsidR="009B1C42" w:rsidRDefault="00F87F5F">
          <w:pPr>
            <w:pStyle w:val="TOC2"/>
            <w:rPr>
              <w:rFonts w:eastAsiaTheme="minorEastAsia"/>
              <w:noProof/>
              <w:color w:val="auto"/>
              <w:lang w:eastAsia="en-AU"/>
            </w:rPr>
          </w:pPr>
          <w:hyperlink w:anchor="_Toc163052105" w:history="1">
            <w:r w:rsidR="009B1C42" w:rsidRPr="00E8484C">
              <w:rPr>
                <w:rStyle w:val="Hyperlink"/>
                <w:noProof/>
              </w:rPr>
              <w:t>General questions on key principles and characteristics</w:t>
            </w:r>
            <w:r w:rsidR="009B1C42">
              <w:rPr>
                <w:noProof/>
                <w:webHidden/>
              </w:rPr>
              <w:tab/>
            </w:r>
            <w:r w:rsidR="009B1C42">
              <w:rPr>
                <w:noProof/>
                <w:webHidden/>
              </w:rPr>
              <w:fldChar w:fldCharType="begin"/>
            </w:r>
            <w:r w:rsidR="009B1C42">
              <w:rPr>
                <w:noProof/>
                <w:webHidden/>
              </w:rPr>
              <w:instrText xml:space="preserve"> PAGEREF _Toc163052105 \h </w:instrText>
            </w:r>
            <w:r w:rsidR="009B1C42">
              <w:rPr>
                <w:noProof/>
                <w:webHidden/>
              </w:rPr>
            </w:r>
            <w:r w:rsidR="009B1C42">
              <w:rPr>
                <w:noProof/>
                <w:webHidden/>
              </w:rPr>
              <w:fldChar w:fldCharType="separate"/>
            </w:r>
            <w:r w:rsidR="009B1C42">
              <w:rPr>
                <w:noProof/>
                <w:webHidden/>
              </w:rPr>
              <w:t>15</w:t>
            </w:r>
            <w:r w:rsidR="009B1C42">
              <w:rPr>
                <w:noProof/>
                <w:webHidden/>
              </w:rPr>
              <w:fldChar w:fldCharType="end"/>
            </w:r>
          </w:hyperlink>
        </w:p>
        <w:p w14:paraId="47531BB3" w14:textId="0AA6ABE9" w:rsidR="009B1C42" w:rsidRDefault="00F87F5F">
          <w:pPr>
            <w:pStyle w:val="TOC1"/>
            <w:rPr>
              <w:rFonts w:eastAsiaTheme="minorEastAsia"/>
              <w:b w:val="0"/>
              <w:color w:val="auto"/>
              <w:sz w:val="22"/>
              <w:u w:val="none"/>
              <w:lang w:eastAsia="en-AU"/>
            </w:rPr>
          </w:pPr>
          <w:hyperlink w:anchor="_Toc163052106" w:history="1">
            <w:r w:rsidR="009B1C42" w:rsidRPr="00E8484C">
              <w:rPr>
                <w:rStyle w:val="Hyperlink"/>
              </w:rPr>
              <w:t>Regional Broadband Scheme review questions</w:t>
            </w:r>
            <w:r w:rsidR="009B1C42">
              <w:rPr>
                <w:webHidden/>
              </w:rPr>
              <w:tab/>
            </w:r>
            <w:r w:rsidR="009B1C42">
              <w:rPr>
                <w:webHidden/>
              </w:rPr>
              <w:fldChar w:fldCharType="begin"/>
            </w:r>
            <w:r w:rsidR="009B1C42">
              <w:rPr>
                <w:webHidden/>
              </w:rPr>
              <w:instrText xml:space="preserve"> PAGEREF _Toc163052106 \h </w:instrText>
            </w:r>
            <w:r w:rsidR="009B1C42">
              <w:rPr>
                <w:webHidden/>
              </w:rPr>
            </w:r>
            <w:r w:rsidR="009B1C42">
              <w:rPr>
                <w:webHidden/>
              </w:rPr>
              <w:fldChar w:fldCharType="separate"/>
            </w:r>
            <w:r w:rsidR="009B1C42">
              <w:rPr>
                <w:webHidden/>
              </w:rPr>
              <w:t>15</w:t>
            </w:r>
            <w:r w:rsidR="009B1C42">
              <w:rPr>
                <w:webHidden/>
              </w:rPr>
              <w:fldChar w:fldCharType="end"/>
            </w:r>
          </w:hyperlink>
        </w:p>
        <w:p w14:paraId="5A5A6D67" w14:textId="150F0124" w:rsidR="009B1C42" w:rsidRDefault="00F87F5F">
          <w:pPr>
            <w:pStyle w:val="TOC2"/>
            <w:rPr>
              <w:rFonts w:eastAsiaTheme="minorEastAsia"/>
              <w:noProof/>
              <w:color w:val="auto"/>
              <w:lang w:eastAsia="en-AU"/>
            </w:rPr>
          </w:pPr>
          <w:hyperlink w:anchor="_Toc163052107" w:history="1">
            <w:r w:rsidR="009B1C42" w:rsidRPr="00E8484C">
              <w:rPr>
                <w:rStyle w:val="Hyperlink"/>
                <w:noProof/>
              </w:rPr>
              <w:t>Substitutability (charge base)</w:t>
            </w:r>
            <w:r w:rsidR="009B1C42">
              <w:rPr>
                <w:noProof/>
                <w:webHidden/>
              </w:rPr>
              <w:tab/>
            </w:r>
            <w:r w:rsidR="009B1C42">
              <w:rPr>
                <w:noProof/>
                <w:webHidden/>
              </w:rPr>
              <w:fldChar w:fldCharType="begin"/>
            </w:r>
            <w:r w:rsidR="009B1C42">
              <w:rPr>
                <w:noProof/>
                <w:webHidden/>
              </w:rPr>
              <w:instrText xml:space="preserve"> PAGEREF _Toc163052107 \h </w:instrText>
            </w:r>
            <w:r w:rsidR="009B1C42">
              <w:rPr>
                <w:noProof/>
                <w:webHidden/>
              </w:rPr>
            </w:r>
            <w:r w:rsidR="009B1C42">
              <w:rPr>
                <w:noProof/>
                <w:webHidden/>
              </w:rPr>
              <w:fldChar w:fldCharType="separate"/>
            </w:r>
            <w:r w:rsidR="009B1C42">
              <w:rPr>
                <w:noProof/>
                <w:webHidden/>
              </w:rPr>
              <w:t>15</w:t>
            </w:r>
            <w:r w:rsidR="009B1C42">
              <w:rPr>
                <w:noProof/>
                <w:webHidden/>
              </w:rPr>
              <w:fldChar w:fldCharType="end"/>
            </w:r>
          </w:hyperlink>
        </w:p>
        <w:p w14:paraId="5A23FE47" w14:textId="75249E16" w:rsidR="009B1C42" w:rsidRDefault="00F87F5F">
          <w:pPr>
            <w:pStyle w:val="TOC2"/>
            <w:rPr>
              <w:rFonts w:eastAsiaTheme="minorEastAsia"/>
              <w:noProof/>
              <w:color w:val="auto"/>
              <w:lang w:eastAsia="en-AU"/>
            </w:rPr>
          </w:pPr>
          <w:hyperlink w:anchor="_Toc163052108" w:history="1">
            <w:r w:rsidR="009B1C42" w:rsidRPr="00E8484C">
              <w:rPr>
                <w:rStyle w:val="Hyperlink"/>
                <w:noProof/>
              </w:rPr>
              <w:t>Charge base unit</w:t>
            </w:r>
            <w:r w:rsidR="009B1C42">
              <w:rPr>
                <w:noProof/>
                <w:webHidden/>
              </w:rPr>
              <w:tab/>
            </w:r>
            <w:r w:rsidR="009B1C42">
              <w:rPr>
                <w:noProof/>
                <w:webHidden/>
              </w:rPr>
              <w:fldChar w:fldCharType="begin"/>
            </w:r>
            <w:r w:rsidR="009B1C42">
              <w:rPr>
                <w:noProof/>
                <w:webHidden/>
              </w:rPr>
              <w:instrText xml:space="preserve"> PAGEREF _Toc163052108 \h </w:instrText>
            </w:r>
            <w:r w:rsidR="009B1C42">
              <w:rPr>
                <w:noProof/>
                <w:webHidden/>
              </w:rPr>
            </w:r>
            <w:r w:rsidR="009B1C42">
              <w:rPr>
                <w:noProof/>
                <w:webHidden/>
              </w:rPr>
              <w:fldChar w:fldCharType="separate"/>
            </w:r>
            <w:r w:rsidR="009B1C42">
              <w:rPr>
                <w:noProof/>
                <w:webHidden/>
              </w:rPr>
              <w:t>15</w:t>
            </w:r>
            <w:r w:rsidR="009B1C42">
              <w:rPr>
                <w:noProof/>
                <w:webHidden/>
              </w:rPr>
              <w:fldChar w:fldCharType="end"/>
            </w:r>
          </w:hyperlink>
        </w:p>
        <w:p w14:paraId="31DEDF48" w14:textId="1615F49E" w:rsidR="009B1C42" w:rsidRDefault="00F87F5F">
          <w:pPr>
            <w:pStyle w:val="TOC2"/>
            <w:rPr>
              <w:rFonts w:eastAsiaTheme="minorEastAsia"/>
              <w:noProof/>
              <w:color w:val="auto"/>
              <w:lang w:eastAsia="en-AU"/>
            </w:rPr>
          </w:pPr>
          <w:hyperlink w:anchor="_Toc163052109" w:history="1">
            <w:r w:rsidR="009B1C42" w:rsidRPr="00E8484C">
              <w:rPr>
                <w:rStyle w:val="Hyperlink"/>
                <w:noProof/>
              </w:rPr>
              <w:t>Exemptions</w:t>
            </w:r>
            <w:r w:rsidR="009B1C42">
              <w:rPr>
                <w:noProof/>
                <w:webHidden/>
              </w:rPr>
              <w:tab/>
            </w:r>
            <w:r w:rsidR="009B1C42">
              <w:rPr>
                <w:noProof/>
                <w:webHidden/>
              </w:rPr>
              <w:fldChar w:fldCharType="begin"/>
            </w:r>
            <w:r w:rsidR="009B1C42">
              <w:rPr>
                <w:noProof/>
                <w:webHidden/>
              </w:rPr>
              <w:instrText xml:space="preserve"> PAGEREF _Toc163052109 \h </w:instrText>
            </w:r>
            <w:r w:rsidR="009B1C42">
              <w:rPr>
                <w:noProof/>
                <w:webHidden/>
              </w:rPr>
            </w:r>
            <w:r w:rsidR="009B1C42">
              <w:rPr>
                <w:noProof/>
                <w:webHidden/>
              </w:rPr>
              <w:fldChar w:fldCharType="separate"/>
            </w:r>
            <w:r w:rsidR="009B1C42">
              <w:rPr>
                <w:noProof/>
                <w:webHidden/>
              </w:rPr>
              <w:t>16</w:t>
            </w:r>
            <w:r w:rsidR="009B1C42">
              <w:rPr>
                <w:noProof/>
                <w:webHidden/>
              </w:rPr>
              <w:fldChar w:fldCharType="end"/>
            </w:r>
          </w:hyperlink>
        </w:p>
        <w:p w14:paraId="4E289FCD" w14:textId="5F9B3A79" w:rsidR="009B1C42" w:rsidRDefault="00F87F5F">
          <w:pPr>
            <w:pStyle w:val="TOC2"/>
            <w:rPr>
              <w:rFonts w:eastAsiaTheme="minorEastAsia"/>
              <w:noProof/>
              <w:color w:val="auto"/>
              <w:lang w:eastAsia="en-AU"/>
            </w:rPr>
          </w:pPr>
          <w:hyperlink w:anchor="_Toc163052110" w:history="1">
            <w:r w:rsidR="009B1C42" w:rsidRPr="00E8484C">
              <w:rPr>
                <w:rStyle w:val="Hyperlink"/>
                <w:noProof/>
              </w:rPr>
              <w:t>Transparency and administration</w:t>
            </w:r>
            <w:r w:rsidR="009B1C42">
              <w:rPr>
                <w:noProof/>
                <w:webHidden/>
              </w:rPr>
              <w:tab/>
            </w:r>
            <w:r w:rsidR="009B1C42">
              <w:rPr>
                <w:noProof/>
                <w:webHidden/>
              </w:rPr>
              <w:fldChar w:fldCharType="begin"/>
            </w:r>
            <w:r w:rsidR="009B1C42">
              <w:rPr>
                <w:noProof/>
                <w:webHidden/>
              </w:rPr>
              <w:instrText xml:space="preserve"> PAGEREF _Toc163052110 \h </w:instrText>
            </w:r>
            <w:r w:rsidR="009B1C42">
              <w:rPr>
                <w:noProof/>
                <w:webHidden/>
              </w:rPr>
            </w:r>
            <w:r w:rsidR="009B1C42">
              <w:rPr>
                <w:noProof/>
                <w:webHidden/>
              </w:rPr>
              <w:fldChar w:fldCharType="separate"/>
            </w:r>
            <w:r w:rsidR="009B1C42">
              <w:rPr>
                <w:noProof/>
                <w:webHidden/>
              </w:rPr>
              <w:t>16</w:t>
            </w:r>
            <w:r w:rsidR="009B1C42">
              <w:rPr>
                <w:noProof/>
                <w:webHidden/>
              </w:rPr>
              <w:fldChar w:fldCharType="end"/>
            </w:r>
          </w:hyperlink>
        </w:p>
        <w:p w14:paraId="078762BA" w14:textId="6C567DA4" w:rsidR="009B1C42" w:rsidRDefault="00F87F5F">
          <w:pPr>
            <w:pStyle w:val="TOC2"/>
            <w:rPr>
              <w:rFonts w:eastAsiaTheme="minorEastAsia"/>
              <w:noProof/>
              <w:color w:val="auto"/>
              <w:lang w:eastAsia="en-AU"/>
            </w:rPr>
          </w:pPr>
          <w:hyperlink w:anchor="_Toc163052111" w:history="1">
            <w:r w:rsidR="009B1C42" w:rsidRPr="00E8484C">
              <w:rPr>
                <w:rStyle w:val="Hyperlink"/>
                <w:noProof/>
              </w:rPr>
              <w:t>General request for input</w:t>
            </w:r>
            <w:r w:rsidR="009B1C42">
              <w:rPr>
                <w:noProof/>
                <w:webHidden/>
              </w:rPr>
              <w:tab/>
            </w:r>
            <w:r w:rsidR="009B1C42">
              <w:rPr>
                <w:noProof/>
                <w:webHidden/>
              </w:rPr>
              <w:fldChar w:fldCharType="begin"/>
            </w:r>
            <w:r w:rsidR="009B1C42">
              <w:rPr>
                <w:noProof/>
                <w:webHidden/>
              </w:rPr>
              <w:instrText xml:space="preserve"> PAGEREF _Toc163052111 \h </w:instrText>
            </w:r>
            <w:r w:rsidR="009B1C42">
              <w:rPr>
                <w:noProof/>
                <w:webHidden/>
              </w:rPr>
            </w:r>
            <w:r w:rsidR="009B1C42">
              <w:rPr>
                <w:noProof/>
                <w:webHidden/>
              </w:rPr>
              <w:fldChar w:fldCharType="separate"/>
            </w:r>
            <w:r w:rsidR="009B1C42">
              <w:rPr>
                <w:noProof/>
                <w:webHidden/>
              </w:rPr>
              <w:t>16</w:t>
            </w:r>
            <w:r w:rsidR="009B1C42">
              <w:rPr>
                <w:noProof/>
                <w:webHidden/>
              </w:rPr>
              <w:fldChar w:fldCharType="end"/>
            </w:r>
          </w:hyperlink>
        </w:p>
        <w:p w14:paraId="6FE33895" w14:textId="207252FE" w:rsidR="009B1C42" w:rsidRDefault="00F87F5F">
          <w:pPr>
            <w:pStyle w:val="TOC1"/>
            <w:rPr>
              <w:rFonts w:eastAsiaTheme="minorEastAsia"/>
              <w:b w:val="0"/>
              <w:color w:val="auto"/>
              <w:sz w:val="22"/>
              <w:u w:val="none"/>
              <w:lang w:eastAsia="en-AU"/>
            </w:rPr>
          </w:pPr>
          <w:hyperlink w:anchor="_Toc163052112" w:history="1">
            <w:r w:rsidR="009B1C42" w:rsidRPr="00E8484C">
              <w:rPr>
                <w:rStyle w:val="Hyperlink"/>
              </w:rPr>
              <w:t>Insights from the Telecommunications Infrastructure Levy</w:t>
            </w:r>
            <w:r w:rsidR="009B1C42">
              <w:rPr>
                <w:webHidden/>
              </w:rPr>
              <w:tab/>
            </w:r>
            <w:r w:rsidR="009B1C42">
              <w:rPr>
                <w:webHidden/>
              </w:rPr>
              <w:fldChar w:fldCharType="begin"/>
            </w:r>
            <w:r w:rsidR="009B1C42">
              <w:rPr>
                <w:webHidden/>
              </w:rPr>
              <w:instrText xml:space="preserve"> PAGEREF _Toc163052112 \h </w:instrText>
            </w:r>
            <w:r w:rsidR="009B1C42">
              <w:rPr>
                <w:webHidden/>
              </w:rPr>
            </w:r>
            <w:r w:rsidR="009B1C42">
              <w:rPr>
                <w:webHidden/>
              </w:rPr>
              <w:fldChar w:fldCharType="separate"/>
            </w:r>
            <w:r w:rsidR="009B1C42">
              <w:rPr>
                <w:webHidden/>
              </w:rPr>
              <w:t>17</w:t>
            </w:r>
            <w:r w:rsidR="009B1C42">
              <w:rPr>
                <w:webHidden/>
              </w:rPr>
              <w:fldChar w:fldCharType="end"/>
            </w:r>
          </w:hyperlink>
        </w:p>
        <w:p w14:paraId="7AFEA31D" w14:textId="0E0F6D96" w:rsidR="009B1C42" w:rsidRDefault="00F87F5F">
          <w:pPr>
            <w:pStyle w:val="TOC2"/>
            <w:rPr>
              <w:rFonts w:eastAsiaTheme="minorEastAsia"/>
              <w:noProof/>
              <w:color w:val="auto"/>
              <w:lang w:eastAsia="en-AU"/>
            </w:rPr>
          </w:pPr>
          <w:hyperlink w:anchor="_Toc163052113" w:history="1">
            <w:r w:rsidR="009B1C42" w:rsidRPr="00E8484C">
              <w:rPr>
                <w:rStyle w:val="Hyperlink"/>
                <w:noProof/>
              </w:rPr>
              <w:t>Operation and administration of the TIL</w:t>
            </w:r>
            <w:r w:rsidR="009B1C42">
              <w:rPr>
                <w:noProof/>
                <w:webHidden/>
              </w:rPr>
              <w:tab/>
            </w:r>
            <w:r w:rsidR="009B1C42">
              <w:rPr>
                <w:noProof/>
                <w:webHidden/>
              </w:rPr>
              <w:fldChar w:fldCharType="begin"/>
            </w:r>
            <w:r w:rsidR="009B1C42">
              <w:rPr>
                <w:noProof/>
                <w:webHidden/>
              </w:rPr>
              <w:instrText xml:space="preserve"> PAGEREF _Toc163052113 \h </w:instrText>
            </w:r>
            <w:r w:rsidR="009B1C42">
              <w:rPr>
                <w:noProof/>
                <w:webHidden/>
              </w:rPr>
            </w:r>
            <w:r w:rsidR="009B1C42">
              <w:rPr>
                <w:noProof/>
                <w:webHidden/>
              </w:rPr>
              <w:fldChar w:fldCharType="separate"/>
            </w:r>
            <w:r w:rsidR="009B1C42">
              <w:rPr>
                <w:noProof/>
                <w:webHidden/>
              </w:rPr>
              <w:t>17</w:t>
            </w:r>
            <w:r w:rsidR="009B1C42">
              <w:rPr>
                <w:noProof/>
                <w:webHidden/>
              </w:rPr>
              <w:fldChar w:fldCharType="end"/>
            </w:r>
          </w:hyperlink>
        </w:p>
        <w:p w14:paraId="15C47A76" w14:textId="4A1CF335" w:rsidR="009B1C42" w:rsidRDefault="00F87F5F">
          <w:pPr>
            <w:pStyle w:val="TOC1"/>
            <w:rPr>
              <w:rFonts w:eastAsiaTheme="minorEastAsia"/>
              <w:b w:val="0"/>
              <w:color w:val="auto"/>
              <w:sz w:val="22"/>
              <w:u w:val="none"/>
              <w:lang w:eastAsia="en-AU"/>
            </w:rPr>
          </w:pPr>
          <w:hyperlink w:anchor="_Toc163052114" w:history="1">
            <w:r w:rsidR="009B1C42" w:rsidRPr="00E8484C">
              <w:rPr>
                <w:rStyle w:val="Hyperlink"/>
                <w:lang w:val="en-US"/>
              </w:rPr>
              <w:t>Role of this consultation in relation to delivery of baseline universal telecommunications services</w:t>
            </w:r>
            <w:r w:rsidR="009B1C42">
              <w:rPr>
                <w:webHidden/>
              </w:rPr>
              <w:tab/>
            </w:r>
            <w:r w:rsidR="009B1C42">
              <w:rPr>
                <w:webHidden/>
              </w:rPr>
              <w:fldChar w:fldCharType="begin"/>
            </w:r>
            <w:r w:rsidR="009B1C42">
              <w:rPr>
                <w:webHidden/>
              </w:rPr>
              <w:instrText xml:space="preserve"> PAGEREF _Toc163052114 \h </w:instrText>
            </w:r>
            <w:r w:rsidR="009B1C42">
              <w:rPr>
                <w:webHidden/>
              </w:rPr>
            </w:r>
            <w:r w:rsidR="009B1C42">
              <w:rPr>
                <w:webHidden/>
              </w:rPr>
              <w:fldChar w:fldCharType="separate"/>
            </w:r>
            <w:r w:rsidR="009B1C42">
              <w:rPr>
                <w:webHidden/>
              </w:rPr>
              <w:t>17</w:t>
            </w:r>
            <w:r w:rsidR="009B1C42">
              <w:rPr>
                <w:webHidden/>
              </w:rPr>
              <w:fldChar w:fldCharType="end"/>
            </w:r>
          </w:hyperlink>
        </w:p>
        <w:p w14:paraId="2D9ABC23" w14:textId="6E1B7C1F" w:rsidR="009B1C42" w:rsidRDefault="00F87F5F">
          <w:pPr>
            <w:pStyle w:val="TOC2"/>
            <w:rPr>
              <w:rFonts w:eastAsiaTheme="minorEastAsia"/>
              <w:noProof/>
              <w:color w:val="auto"/>
              <w:lang w:eastAsia="en-AU"/>
            </w:rPr>
          </w:pPr>
          <w:hyperlink w:anchor="_Toc163052115" w:history="1">
            <w:r w:rsidR="009B1C42" w:rsidRPr="00E8484C">
              <w:rPr>
                <w:rStyle w:val="Hyperlink"/>
                <w:noProof/>
                <w:lang w:val="en-US"/>
              </w:rPr>
              <w:t>Next steps</w:t>
            </w:r>
            <w:r w:rsidR="009B1C42">
              <w:rPr>
                <w:noProof/>
                <w:webHidden/>
              </w:rPr>
              <w:tab/>
            </w:r>
            <w:r w:rsidR="009B1C42">
              <w:rPr>
                <w:noProof/>
                <w:webHidden/>
              </w:rPr>
              <w:fldChar w:fldCharType="begin"/>
            </w:r>
            <w:r w:rsidR="009B1C42">
              <w:rPr>
                <w:noProof/>
                <w:webHidden/>
              </w:rPr>
              <w:instrText xml:space="preserve"> PAGEREF _Toc163052115 \h </w:instrText>
            </w:r>
            <w:r w:rsidR="009B1C42">
              <w:rPr>
                <w:noProof/>
                <w:webHidden/>
              </w:rPr>
            </w:r>
            <w:r w:rsidR="009B1C42">
              <w:rPr>
                <w:noProof/>
                <w:webHidden/>
              </w:rPr>
              <w:fldChar w:fldCharType="separate"/>
            </w:r>
            <w:r w:rsidR="009B1C42">
              <w:rPr>
                <w:noProof/>
                <w:webHidden/>
              </w:rPr>
              <w:t>17</w:t>
            </w:r>
            <w:r w:rsidR="009B1C42">
              <w:rPr>
                <w:noProof/>
                <w:webHidden/>
              </w:rPr>
              <w:fldChar w:fldCharType="end"/>
            </w:r>
          </w:hyperlink>
        </w:p>
        <w:p w14:paraId="24305831" w14:textId="55FA4467" w:rsidR="009B1C42" w:rsidRDefault="00F87F5F">
          <w:pPr>
            <w:pStyle w:val="TOC1"/>
            <w:rPr>
              <w:rFonts w:eastAsiaTheme="minorEastAsia"/>
              <w:b w:val="0"/>
              <w:color w:val="auto"/>
              <w:sz w:val="22"/>
              <w:u w:val="none"/>
              <w:lang w:eastAsia="en-AU"/>
            </w:rPr>
          </w:pPr>
          <w:hyperlink w:anchor="_Toc163052116" w:history="1">
            <w:r w:rsidR="009B1C42" w:rsidRPr="00E8484C">
              <w:rPr>
                <w:rStyle w:val="Hyperlink"/>
              </w:rPr>
              <w:t>Appendix A: Section 102ZFA, Part 3 of the TCPSS Act: Review of this Part</w:t>
            </w:r>
            <w:r w:rsidR="009B1C42">
              <w:rPr>
                <w:webHidden/>
              </w:rPr>
              <w:tab/>
            </w:r>
            <w:r w:rsidR="009B1C42">
              <w:rPr>
                <w:webHidden/>
              </w:rPr>
              <w:fldChar w:fldCharType="begin"/>
            </w:r>
            <w:r w:rsidR="009B1C42">
              <w:rPr>
                <w:webHidden/>
              </w:rPr>
              <w:instrText xml:space="preserve"> PAGEREF _Toc163052116 \h </w:instrText>
            </w:r>
            <w:r w:rsidR="009B1C42">
              <w:rPr>
                <w:webHidden/>
              </w:rPr>
            </w:r>
            <w:r w:rsidR="009B1C42">
              <w:rPr>
                <w:webHidden/>
              </w:rPr>
              <w:fldChar w:fldCharType="separate"/>
            </w:r>
            <w:r w:rsidR="009B1C42">
              <w:rPr>
                <w:webHidden/>
              </w:rPr>
              <w:t>18</w:t>
            </w:r>
            <w:r w:rsidR="009B1C42">
              <w:rPr>
                <w:webHidden/>
              </w:rPr>
              <w:fldChar w:fldCharType="end"/>
            </w:r>
          </w:hyperlink>
        </w:p>
        <w:p w14:paraId="6DB42298" w14:textId="44C95AEF" w:rsidR="009B1C42" w:rsidRDefault="00F87F5F">
          <w:pPr>
            <w:pStyle w:val="TOC1"/>
            <w:rPr>
              <w:rFonts w:eastAsiaTheme="minorEastAsia"/>
              <w:b w:val="0"/>
              <w:color w:val="auto"/>
              <w:sz w:val="22"/>
              <w:u w:val="none"/>
              <w:lang w:eastAsia="en-AU"/>
            </w:rPr>
          </w:pPr>
          <w:hyperlink w:anchor="_Toc163052117" w:history="1">
            <w:r w:rsidR="009B1C42" w:rsidRPr="00E8484C">
              <w:rPr>
                <w:rStyle w:val="Hyperlink"/>
              </w:rPr>
              <w:t>Appendix B: International broadband subsidies and levies</w:t>
            </w:r>
            <w:r w:rsidR="009B1C42">
              <w:rPr>
                <w:webHidden/>
              </w:rPr>
              <w:tab/>
            </w:r>
            <w:r w:rsidR="009B1C42">
              <w:rPr>
                <w:webHidden/>
              </w:rPr>
              <w:fldChar w:fldCharType="begin"/>
            </w:r>
            <w:r w:rsidR="009B1C42">
              <w:rPr>
                <w:webHidden/>
              </w:rPr>
              <w:instrText xml:space="preserve"> PAGEREF _Toc163052117 \h </w:instrText>
            </w:r>
            <w:r w:rsidR="009B1C42">
              <w:rPr>
                <w:webHidden/>
              </w:rPr>
            </w:r>
            <w:r w:rsidR="009B1C42">
              <w:rPr>
                <w:webHidden/>
              </w:rPr>
              <w:fldChar w:fldCharType="separate"/>
            </w:r>
            <w:r w:rsidR="009B1C42">
              <w:rPr>
                <w:webHidden/>
              </w:rPr>
              <w:t>1</w:t>
            </w:r>
            <w:r w:rsidR="009B1C42">
              <w:rPr>
                <w:webHidden/>
              </w:rPr>
              <w:fldChar w:fldCharType="end"/>
            </w:r>
          </w:hyperlink>
        </w:p>
        <w:p w14:paraId="00898E55" w14:textId="47858066" w:rsidR="00EA72A4" w:rsidRPr="009C60A5" w:rsidRDefault="007D0012" w:rsidP="009F01CA">
          <w:pPr>
            <w:rPr>
              <w:b/>
              <w:bCs/>
              <w:noProof/>
            </w:rPr>
          </w:pPr>
          <w:r w:rsidRPr="00B322EF">
            <w:rPr>
              <w:b/>
              <w:bCs/>
              <w:noProof/>
            </w:rPr>
            <w:fldChar w:fldCharType="end"/>
          </w:r>
        </w:p>
      </w:sdtContent>
    </w:sdt>
    <w:p w14:paraId="3825F259" w14:textId="77777777" w:rsidR="00E3303A" w:rsidRPr="009C60A5" w:rsidRDefault="00E3303A" w:rsidP="009F01CA">
      <w:pPr>
        <w:suppressAutoHyphens w:val="0"/>
        <w:rPr>
          <w:b/>
        </w:rPr>
        <w:sectPr w:rsidR="00E3303A" w:rsidRPr="009C60A5" w:rsidSect="00E62FE6">
          <w:headerReference w:type="even" r:id="rId18"/>
          <w:headerReference w:type="default" r:id="rId19"/>
          <w:footerReference w:type="even" r:id="rId20"/>
          <w:footerReference w:type="default" r:id="rId21"/>
          <w:footerReference w:type="first" r:id="rId22"/>
          <w:type w:val="continuous"/>
          <w:pgSz w:w="11906" w:h="16838" w:code="9"/>
          <w:pgMar w:top="1021" w:right="1021" w:bottom="1021" w:left="1021" w:header="510" w:footer="567" w:gutter="0"/>
          <w:pgNumType w:fmt="lowerRoman" w:start="1"/>
          <w:cols w:space="708"/>
          <w:titlePg/>
          <w:docGrid w:linePitch="360"/>
        </w:sectPr>
      </w:pPr>
    </w:p>
    <w:p w14:paraId="22CF2544" w14:textId="77777777" w:rsidR="005F794B" w:rsidRPr="009C60A5" w:rsidRDefault="007A0640" w:rsidP="009C60A5">
      <w:pPr>
        <w:pStyle w:val="Heading1"/>
      </w:pPr>
      <w:bookmarkStart w:id="12" w:name="_Toc163052085"/>
      <w:r w:rsidRPr="009C60A5">
        <w:t>Introduction</w:t>
      </w:r>
      <w:bookmarkEnd w:id="12"/>
    </w:p>
    <w:p w14:paraId="7FD553FA" w14:textId="022FF0BE" w:rsidR="00E11658" w:rsidRPr="009C60A5" w:rsidRDefault="00E11658" w:rsidP="009F01CA">
      <w:pPr>
        <w:pStyle w:val="Introduction"/>
        <w:spacing w:before="160" w:after="160"/>
        <w:rPr>
          <w:szCs w:val="26"/>
          <w:lang w:val="en-US"/>
        </w:rPr>
      </w:pPr>
      <w:r w:rsidRPr="009C60A5">
        <w:rPr>
          <w:szCs w:val="26"/>
          <w:lang w:val="en-US"/>
        </w:rPr>
        <w:t xml:space="preserve">The </w:t>
      </w:r>
      <w:r w:rsidR="00201D25" w:rsidRPr="009C60A5">
        <w:rPr>
          <w:szCs w:val="26"/>
          <w:lang w:val="en-US"/>
        </w:rPr>
        <w:t>Government</w:t>
      </w:r>
      <w:r w:rsidRPr="009C60A5">
        <w:rPr>
          <w:szCs w:val="26"/>
          <w:lang w:val="en-US"/>
        </w:rPr>
        <w:t xml:space="preserve"> is seeking </w:t>
      </w:r>
      <w:r w:rsidR="002C028B">
        <w:rPr>
          <w:szCs w:val="26"/>
          <w:lang w:val="en-US"/>
        </w:rPr>
        <w:t xml:space="preserve">stakeholder input </w:t>
      </w:r>
      <w:r w:rsidR="00B219DC">
        <w:rPr>
          <w:szCs w:val="26"/>
          <w:lang w:val="en-US"/>
        </w:rPr>
        <w:t xml:space="preserve">on </w:t>
      </w:r>
      <w:r w:rsidR="00AF282D">
        <w:rPr>
          <w:szCs w:val="26"/>
          <w:lang w:val="en-US"/>
        </w:rPr>
        <w:t>future arrangements for funding non</w:t>
      </w:r>
      <w:r w:rsidR="00FD630A">
        <w:rPr>
          <w:szCs w:val="26"/>
          <w:lang w:val="en-US"/>
        </w:rPr>
        <w:noBreakHyphen/>
      </w:r>
      <w:r w:rsidR="00AF282D">
        <w:rPr>
          <w:szCs w:val="26"/>
          <w:lang w:val="en-US"/>
        </w:rPr>
        <w:t>commercial telecommunications services</w:t>
      </w:r>
      <w:r w:rsidR="00BD2D8E">
        <w:rPr>
          <w:szCs w:val="26"/>
          <w:lang w:val="en-US"/>
        </w:rPr>
        <w:t>.</w:t>
      </w:r>
    </w:p>
    <w:p w14:paraId="36039974" w14:textId="0F53B427" w:rsidR="00D7745B" w:rsidRDefault="00E11658" w:rsidP="009F01CA">
      <w:pPr>
        <w:rPr>
          <w:color w:val="auto"/>
          <w:lang w:val="en-US"/>
        </w:rPr>
      </w:pPr>
      <w:r w:rsidRPr="00A9158A">
        <w:rPr>
          <w:color w:val="auto"/>
          <w:lang w:val="en-US"/>
        </w:rPr>
        <w:t>On 27 October 2023, the Minister for Communications, the Hon Michelle Rowland MP</w:t>
      </w:r>
      <w:r w:rsidR="00D34670">
        <w:rPr>
          <w:color w:val="auto"/>
          <w:lang w:val="en-US"/>
        </w:rPr>
        <w:t>,</w:t>
      </w:r>
      <w:r w:rsidR="002C028B" w:rsidRPr="00A9158A">
        <w:rPr>
          <w:color w:val="auto"/>
          <w:lang w:val="en-US"/>
        </w:rPr>
        <w:t xml:space="preserve"> announced a consultation process to consider</w:t>
      </w:r>
      <w:r w:rsidR="007C79AA" w:rsidRPr="00A9158A">
        <w:rPr>
          <w:color w:val="auto"/>
          <w:lang w:val="en-US"/>
        </w:rPr>
        <w:t xml:space="preserve"> </w:t>
      </w:r>
      <w:r w:rsidR="00DB03BF" w:rsidRPr="00A9158A">
        <w:rPr>
          <w:color w:val="auto"/>
          <w:lang w:val="en-US"/>
        </w:rPr>
        <w:t xml:space="preserve">options for </w:t>
      </w:r>
      <w:r w:rsidR="00373558" w:rsidRPr="008903B5">
        <w:rPr>
          <w:i/>
          <w:color w:val="auto"/>
          <w:lang w:val="en-US"/>
        </w:rPr>
        <w:t>B</w:t>
      </w:r>
      <w:r w:rsidR="00DB03BF" w:rsidRPr="008903B5">
        <w:rPr>
          <w:i/>
          <w:color w:val="auto"/>
          <w:lang w:val="en-US"/>
        </w:rPr>
        <w:t xml:space="preserve">etter delivery of </w:t>
      </w:r>
      <w:r w:rsidR="00FD6134" w:rsidRPr="008903B5">
        <w:rPr>
          <w:i/>
          <w:color w:val="auto"/>
          <w:lang w:val="en-US"/>
        </w:rPr>
        <w:t>universal service</w:t>
      </w:r>
      <w:r w:rsidR="00373558">
        <w:rPr>
          <w:i/>
          <w:color w:val="auto"/>
          <w:lang w:val="en-US"/>
        </w:rPr>
        <w:t>s</w:t>
      </w:r>
      <w:r w:rsidR="00845FD9">
        <w:rPr>
          <w:color w:val="auto"/>
          <w:lang w:val="en-US"/>
        </w:rPr>
        <w:t xml:space="preserve">. </w:t>
      </w:r>
      <w:r w:rsidR="00AF282D">
        <w:rPr>
          <w:color w:val="auto"/>
          <w:lang w:val="en-US"/>
        </w:rPr>
        <w:t>As part of this</w:t>
      </w:r>
      <w:r w:rsidR="008A6B36">
        <w:rPr>
          <w:color w:val="auto"/>
          <w:lang w:val="en-US"/>
        </w:rPr>
        <w:t>,</w:t>
      </w:r>
      <w:r w:rsidR="00AF282D">
        <w:rPr>
          <w:color w:val="auto"/>
          <w:lang w:val="en-US"/>
        </w:rPr>
        <w:t xml:space="preserve"> the Minister also </w:t>
      </w:r>
      <w:r w:rsidR="00F17DC4">
        <w:rPr>
          <w:color w:val="auto"/>
          <w:lang w:val="en-US"/>
        </w:rPr>
        <w:t xml:space="preserve">indicated that the </w:t>
      </w:r>
      <w:r w:rsidR="00AF282D">
        <w:rPr>
          <w:color w:val="auto"/>
          <w:lang w:val="en-US"/>
        </w:rPr>
        <w:t>Government would consider and seek stakeholder views on deliver</w:t>
      </w:r>
      <w:r w:rsidR="008A6B36">
        <w:rPr>
          <w:color w:val="auto"/>
          <w:lang w:val="en-US"/>
        </w:rPr>
        <w:t>ing</w:t>
      </w:r>
      <w:r w:rsidR="00AF282D">
        <w:rPr>
          <w:color w:val="auto"/>
          <w:lang w:val="en-US"/>
        </w:rPr>
        <w:t xml:space="preserve"> sustainable long-term funding of</w:t>
      </w:r>
      <w:r w:rsidR="005E1B09">
        <w:rPr>
          <w:color w:val="auto"/>
          <w:lang w:val="en-US"/>
        </w:rPr>
        <w:t xml:space="preserve"> non-commercial</w:t>
      </w:r>
      <w:r w:rsidR="00AF282D">
        <w:rPr>
          <w:color w:val="auto"/>
          <w:lang w:val="en-US"/>
        </w:rPr>
        <w:t xml:space="preserve"> </w:t>
      </w:r>
      <w:r w:rsidR="006D699D">
        <w:rPr>
          <w:color w:val="auto"/>
          <w:lang w:val="en-US"/>
        </w:rPr>
        <w:t xml:space="preserve">telecommunications </w:t>
      </w:r>
      <w:r w:rsidR="00AF282D">
        <w:rPr>
          <w:color w:val="auto"/>
          <w:lang w:val="en-US"/>
        </w:rPr>
        <w:t>services</w:t>
      </w:r>
      <w:r w:rsidR="005E1B09">
        <w:rPr>
          <w:color w:val="auto"/>
          <w:lang w:val="en-US"/>
        </w:rPr>
        <w:t>, particularly</w:t>
      </w:r>
      <w:r w:rsidR="00AF282D">
        <w:rPr>
          <w:color w:val="auto"/>
          <w:lang w:val="en-US"/>
        </w:rPr>
        <w:t xml:space="preserve"> in </w:t>
      </w:r>
      <w:r w:rsidR="00845FD9">
        <w:rPr>
          <w:color w:val="auto"/>
          <w:lang w:val="en-US"/>
        </w:rPr>
        <w:t xml:space="preserve">regional </w:t>
      </w:r>
      <w:r w:rsidR="00AF282D">
        <w:rPr>
          <w:color w:val="auto"/>
          <w:lang w:val="en-US"/>
        </w:rPr>
        <w:t>and remote areas.</w:t>
      </w:r>
    </w:p>
    <w:p w14:paraId="24C9F995" w14:textId="1932F784" w:rsidR="005E46F9" w:rsidRDefault="005E46F9" w:rsidP="005E46F9">
      <w:pPr>
        <w:spacing w:before="80"/>
      </w:pPr>
      <w:r>
        <w:t>The existing funding mechanisms for telecommunications services are designed to ensure that non</w:t>
      </w:r>
      <w:r>
        <w:noBreakHyphen/>
        <w:t xml:space="preserve">commercial baseline telecommunications services are available to people in Australia and that public interest services that would not otherwise be provided by commercial carriers </w:t>
      </w:r>
      <w:r w:rsidR="00F17DC4">
        <w:t>(</w:t>
      </w:r>
      <w:r>
        <w:t>such as the National Relay Service and emergency calls</w:t>
      </w:r>
      <w:r w:rsidR="00F17DC4">
        <w:t>)</w:t>
      </w:r>
      <w:r>
        <w:t xml:space="preserve"> are supported on an ongoing basis. Similar to </w:t>
      </w:r>
      <w:r w:rsidR="00015DED">
        <w:t>the consideration of</w:t>
      </w:r>
      <w:r>
        <w:t xml:space="preserve"> </w:t>
      </w:r>
      <w:r w:rsidR="00647FE3">
        <w:t xml:space="preserve">future </w:t>
      </w:r>
      <w:r>
        <w:t>universal service</w:t>
      </w:r>
      <w:r w:rsidR="00015DED">
        <w:t xml:space="preserve"> delivery</w:t>
      </w:r>
      <w:r>
        <w:t xml:space="preserve">, any </w:t>
      </w:r>
      <w:r w:rsidR="00F17DC4">
        <w:t>future</w:t>
      </w:r>
      <w:r>
        <w:t xml:space="preserve"> funding arrangements </w:t>
      </w:r>
      <w:r w:rsidR="0033578E">
        <w:t>would be intended to</w:t>
      </w:r>
      <w:r w:rsidR="00015DED">
        <w:t xml:space="preserve"> ensure</w:t>
      </w:r>
      <w:r>
        <w:t xml:space="preserve"> ongoing financial support of the required quality of service for all people in Australia that would not otherwise be provided on a commercial basis.</w:t>
      </w:r>
    </w:p>
    <w:p w14:paraId="77D835DF" w14:textId="1E90032D" w:rsidR="005E46F9" w:rsidRPr="0073574E" w:rsidRDefault="005E46F9" w:rsidP="0073574E">
      <w:pPr>
        <w:spacing w:before="80"/>
      </w:pPr>
      <w:r>
        <w:t xml:space="preserve">The </w:t>
      </w:r>
      <w:r w:rsidR="00494D9E">
        <w:t xml:space="preserve">starting position </w:t>
      </w:r>
      <w:r w:rsidR="00DE12A5">
        <w:t xml:space="preserve">for consultation </w:t>
      </w:r>
      <w:r w:rsidR="00494D9E">
        <w:t>is the continued operation of</w:t>
      </w:r>
      <w:r>
        <w:t xml:space="preserve"> current arrangements</w:t>
      </w:r>
      <w:r w:rsidR="00494D9E">
        <w:t xml:space="preserve"> where the Government and the telecommunications industry provide</w:t>
      </w:r>
      <w:r>
        <w:t xml:space="preserve"> ongoing </w:t>
      </w:r>
      <w:r w:rsidR="00F17DC4">
        <w:t xml:space="preserve">contributions to </w:t>
      </w:r>
      <w:r>
        <w:t>non</w:t>
      </w:r>
      <w:r>
        <w:noBreakHyphen/>
        <w:t xml:space="preserve">commercial </w:t>
      </w:r>
      <w:r w:rsidR="00494D9E">
        <w:t xml:space="preserve">and public interest </w:t>
      </w:r>
      <w:r>
        <w:t>telecommunications services.</w:t>
      </w:r>
      <w:r w:rsidR="005F440B">
        <w:t xml:space="preserve"> However, given changes to technology and the telecommunications market in recent years, </w:t>
      </w:r>
      <w:r w:rsidR="0033578E">
        <w:t>there may be</w:t>
      </w:r>
      <w:r w:rsidR="005F440B">
        <w:t xml:space="preserve"> opportunities to </w:t>
      </w:r>
      <w:r w:rsidR="007B6094">
        <w:t>adjust current arrangements</w:t>
      </w:r>
      <w:r w:rsidR="00560807">
        <w:t>.</w:t>
      </w:r>
      <w:r w:rsidR="0073574E">
        <w:t xml:space="preserve"> </w:t>
      </w:r>
      <w:r>
        <w:t>This discussion paper is designed to seek views on who should be providing support, how support for non</w:t>
      </w:r>
      <w:r w:rsidR="00FD630A">
        <w:noBreakHyphen/>
      </w:r>
      <w:r>
        <w:t xml:space="preserve">commercial services and public interest services should best be approached, as well as </w:t>
      </w:r>
      <w:r>
        <w:rPr>
          <w:color w:val="auto"/>
        </w:rPr>
        <w:t>test</w:t>
      </w:r>
      <w:r w:rsidR="00494D9E">
        <w:rPr>
          <w:color w:val="auto"/>
        </w:rPr>
        <w:t>ing</w:t>
      </w:r>
      <w:r>
        <w:rPr>
          <w:color w:val="auto"/>
        </w:rPr>
        <w:t xml:space="preserve"> whether key assumptions underpinning the design and operation of existing mechanisms remain appropriate.</w:t>
      </w:r>
    </w:p>
    <w:p w14:paraId="5896FC68" w14:textId="7ACE3862" w:rsidR="0087125A" w:rsidRPr="00F0694A" w:rsidRDefault="0087125A" w:rsidP="009F01CA">
      <w:pPr>
        <w:rPr>
          <w:i/>
          <w:color w:val="auto"/>
        </w:rPr>
      </w:pPr>
      <w:r w:rsidRPr="00F0694A">
        <w:rPr>
          <w:i/>
          <w:color w:val="auto"/>
        </w:rPr>
        <w:t>Regional Broadband Scheme Review</w:t>
      </w:r>
    </w:p>
    <w:p w14:paraId="32CE1730" w14:textId="2A668699" w:rsidR="0087125A" w:rsidRDefault="00E20BC5" w:rsidP="009F01CA">
      <w:pPr>
        <w:rPr>
          <w:color w:val="auto"/>
        </w:rPr>
      </w:pPr>
      <w:r w:rsidRPr="00EC7981">
        <w:rPr>
          <w:color w:val="auto"/>
        </w:rPr>
        <w:t xml:space="preserve">The </w:t>
      </w:r>
      <w:r w:rsidR="00D82095" w:rsidRPr="00EC7981">
        <w:rPr>
          <w:color w:val="auto"/>
        </w:rPr>
        <w:t>National Broadband Network</w:t>
      </w:r>
      <w:r w:rsidR="00373558">
        <w:rPr>
          <w:color w:val="auto"/>
        </w:rPr>
        <w:t xml:space="preserve"> (NBN)</w:t>
      </w:r>
      <w:r w:rsidR="00D82095" w:rsidRPr="00EC7981">
        <w:rPr>
          <w:color w:val="auto"/>
        </w:rPr>
        <w:t xml:space="preserve"> was designed to provide high speed bro</w:t>
      </w:r>
      <w:r w:rsidR="00033661">
        <w:rPr>
          <w:color w:val="auto"/>
        </w:rPr>
        <w:t>a</w:t>
      </w:r>
      <w:r w:rsidR="00D82095" w:rsidRPr="00EC7981">
        <w:rPr>
          <w:color w:val="auto"/>
        </w:rPr>
        <w:t xml:space="preserve">dband to premises </w:t>
      </w:r>
      <w:r w:rsidR="00FD6134">
        <w:rPr>
          <w:color w:val="auto"/>
        </w:rPr>
        <w:t>across</w:t>
      </w:r>
      <w:r w:rsidR="00D82095" w:rsidRPr="00EC7981">
        <w:rPr>
          <w:color w:val="auto"/>
        </w:rPr>
        <w:t xml:space="preserve"> Australia. Providing affordable broadband services to all parts of Australia is expensive. NBN Co</w:t>
      </w:r>
      <w:r w:rsidR="00A039DE">
        <w:rPr>
          <w:color w:val="auto"/>
        </w:rPr>
        <w:t xml:space="preserve"> Limited (NBN Co)</w:t>
      </w:r>
      <w:r w:rsidR="00D82095" w:rsidRPr="00EC7981">
        <w:rPr>
          <w:color w:val="auto"/>
        </w:rPr>
        <w:t xml:space="preserve">, which is required to offer services across Australia, </w:t>
      </w:r>
      <w:r w:rsidR="006C2B8E">
        <w:rPr>
          <w:color w:val="auto"/>
        </w:rPr>
        <w:t xml:space="preserve">has to date </w:t>
      </w:r>
      <w:r w:rsidR="00D82095" w:rsidRPr="00EC7981">
        <w:rPr>
          <w:color w:val="auto"/>
        </w:rPr>
        <w:t>deliver</w:t>
      </w:r>
      <w:r w:rsidR="006C2B8E">
        <w:rPr>
          <w:color w:val="auto"/>
        </w:rPr>
        <w:t xml:space="preserve">ed around </w:t>
      </w:r>
      <w:r w:rsidR="005F440B">
        <w:rPr>
          <w:color w:val="auto"/>
        </w:rPr>
        <w:t>8</w:t>
      </w:r>
      <w:r w:rsidR="006C2B8E">
        <w:rPr>
          <w:color w:val="auto"/>
        </w:rPr>
        <w:t xml:space="preserve"> per cent of</w:t>
      </w:r>
      <w:r w:rsidR="00D82095" w:rsidRPr="00EC7981">
        <w:rPr>
          <w:color w:val="auto"/>
        </w:rPr>
        <w:t xml:space="preserve"> these services via fixed wireless and </w:t>
      </w:r>
      <w:r w:rsidR="006C2B8E">
        <w:rPr>
          <w:color w:val="auto"/>
        </w:rPr>
        <w:t xml:space="preserve">geostationary </w:t>
      </w:r>
      <w:r w:rsidR="00D82095" w:rsidRPr="00EC7981">
        <w:rPr>
          <w:color w:val="auto"/>
        </w:rPr>
        <w:t>satellite networks that are net loss making in the long-term.</w:t>
      </w:r>
    </w:p>
    <w:p w14:paraId="6E7803E3" w14:textId="217DA8C4" w:rsidR="008A6B36" w:rsidRDefault="00D82095" w:rsidP="009F01CA">
      <w:pPr>
        <w:rPr>
          <w:color w:val="auto"/>
        </w:rPr>
      </w:pPr>
      <w:r w:rsidRPr="00EC7981">
        <w:rPr>
          <w:color w:val="auto"/>
        </w:rPr>
        <w:t xml:space="preserve">The </w:t>
      </w:r>
      <w:r w:rsidR="00E20BC5" w:rsidRPr="00EC7981">
        <w:rPr>
          <w:color w:val="auto"/>
        </w:rPr>
        <w:t>RBS was</w:t>
      </w:r>
      <w:r w:rsidR="0087125A">
        <w:rPr>
          <w:color w:val="auto"/>
        </w:rPr>
        <w:t xml:space="preserve"> set up by the </w:t>
      </w:r>
      <w:r w:rsidR="0087125A" w:rsidRPr="00F0694A">
        <w:rPr>
          <w:i/>
          <w:color w:val="auto"/>
        </w:rPr>
        <w:t>Telecommunications (Regional Broadband Scheme) Charge Act 2020</w:t>
      </w:r>
      <w:r w:rsidR="0087125A">
        <w:rPr>
          <w:color w:val="auto"/>
        </w:rPr>
        <w:t xml:space="preserve"> (Charge Act). The arrangements for administration of the RBS </w:t>
      </w:r>
      <w:r w:rsidR="005C126F">
        <w:rPr>
          <w:color w:val="auto"/>
        </w:rPr>
        <w:t>are</w:t>
      </w:r>
      <w:r w:rsidR="0087125A">
        <w:rPr>
          <w:color w:val="auto"/>
        </w:rPr>
        <w:t xml:space="preserve"> under Part 3 of the </w:t>
      </w:r>
      <w:r w:rsidR="0087125A" w:rsidRPr="00EC7981">
        <w:rPr>
          <w:i/>
          <w:color w:val="auto"/>
        </w:rPr>
        <w:t>Telecommunications (Consumer Protection and Service Standards) Act 1999</w:t>
      </w:r>
      <w:r w:rsidR="0087125A">
        <w:rPr>
          <w:i/>
          <w:color w:val="auto"/>
        </w:rPr>
        <w:t xml:space="preserve"> </w:t>
      </w:r>
      <w:r w:rsidR="0087125A" w:rsidRPr="00F25A1C">
        <w:rPr>
          <w:color w:val="auto"/>
        </w:rPr>
        <w:t>(TCPSS</w:t>
      </w:r>
      <w:r w:rsidR="0087125A">
        <w:rPr>
          <w:color w:val="auto"/>
        </w:rPr>
        <w:t> </w:t>
      </w:r>
      <w:r w:rsidR="0087125A" w:rsidRPr="00F25A1C">
        <w:rPr>
          <w:color w:val="auto"/>
        </w:rPr>
        <w:t>Act)</w:t>
      </w:r>
      <w:r w:rsidR="0087125A">
        <w:rPr>
          <w:color w:val="auto"/>
        </w:rPr>
        <w:t>. The RBS supports</w:t>
      </w:r>
      <w:r w:rsidRPr="00EC7981">
        <w:rPr>
          <w:color w:val="auto"/>
        </w:rPr>
        <w:t xml:space="preserve"> the </w:t>
      </w:r>
      <w:r w:rsidR="006C2B8E">
        <w:rPr>
          <w:color w:val="auto"/>
        </w:rPr>
        <w:t xml:space="preserve">anticipated </w:t>
      </w:r>
      <w:r w:rsidRPr="00EC7981">
        <w:rPr>
          <w:color w:val="auto"/>
        </w:rPr>
        <w:t>long-term net losses of NBN</w:t>
      </w:r>
      <w:r w:rsidR="002A2FDE">
        <w:rPr>
          <w:color w:val="auto"/>
        </w:rPr>
        <w:t> </w:t>
      </w:r>
      <w:r w:rsidRPr="00EC7981">
        <w:rPr>
          <w:color w:val="auto"/>
        </w:rPr>
        <w:t>Co’s non</w:t>
      </w:r>
      <w:r w:rsidRPr="00EC7981">
        <w:rPr>
          <w:color w:val="auto"/>
        </w:rPr>
        <w:noBreakHyphen/>
        <w:t>commercial fixed wireless and satellite networks. These net losses were initially to be funded through an internal cross subsidy from profitable fixed-line NBN services to the loss</w:t>
      </w:r>
      <w:r w:rsidR="00033661">
        <w:rPr>
          <w:color w:val="auto"/>
        </w:rPr>
        <w:noBreakHyphen/>
      </w:r>
      <w:r w:rsidRPr="00EC7981">
        <w:rPr>
          <w:color w:val="auto"/>
        </w:rPr>
        <w:t>making fixed wireless and satellite networks. The RBS was designed to make this subsidy transparent and spread it across all NBN</w:t>
      </w:r>
      <w:r w:rsidR="002A2FDE">
        <w:rPr>
          <w:color w:val="auto"/>
        </w:rPr>
        <w:noBreakHyphen/>
      </w:r>
      <w:r w:rsidRPr="00EC7981">
        <w:rPr>
          <w:color w:val="auto"/>
        </w:rPr>
        <w:t>comparable</w:t>
      </w:r>
      <w:r w:rsidR="00373558">
        <w:rPr>
          <w:color w:val="auto"/>
        </w:rPr>
        <w:t xml:space="preserve"> fixed-line</w:t>
      </w:r>
      <w:r w:rsidRPr="00EC7981">
        <w:rPr>
          <w:color w:val="auto"/>
        </w:rPr>
        <w:t xml:space="preserve"> networks.</w:t>
      </w:r>
    </w:p>
    <w:p w14:paraId="45889FCD" w14:textId="0DB6A6C7" w:rsidR="0087125A" w:rsidRDefault="0087125A" w:rsidP="009F01CA">
      <w:pPr>
        <w:rPr>
          <w:color w:val="auto"/>
          <w:lang w:val="en-US"/>
        </w:rPr>
      </w:pPr>
      <w:r>
        <w:rPr>
          <w:color w:val="auto"/>
          <w:lang w:val="en-US"/>
        </w:rPr>
        <w:t>Under section 102ZFA of Part 3 of the TCPSS Act</w:t>
      </w:r>
      <w:r w:rsidR="00CF6629">
        <w:rPr>
          <w:color w:val="auto"/>
          <w:lang w:val="en-US"/>
        </w:rPr>
        <w:t>,</w:t>
      </w:r>
      <w:r>
        <w:rPr>
          <w:color w:val="auto"/>
          <w:lang w:val="en-US"/>
        </w:rPr>
        <w:t xml:space="preserve"> the </w:t>
      </w:r>
      <w:r w:rsidRPr="00B56FE9">
        <w:rPr>
          <w:color w:val="auto"/>
          <w:lang w:val="en-US"/>
        </w:rPr>
        <w:t>Minister must cause to be conducted a review of the operation of the RBS legislation (and related matters) in the first</w:t>
      </w:r>
      <w:r>
        <w:rPr>
          <w:color w:val="auto"/>
          <w:lang w:val="en-US"/>
        </w:rPr>
        <w:t xml:space="preserve"> four years of operation (i.e. by 2</w:t>
      </w:r>
      <w:r w:rsidR="00CF6629">
        <w:rPr>
          <w:color w:val="auto"/>
          <w:lang w:val="en-US"/>
        </w:rPr>
        <w:t>6</w:t>
      </w:r>
      <w:r>
        <w:rPr>
          <w:color w:val="auto"/>
          <w:lang w:val="en-US"/>
        </w:rPr>
        <w:t xml:space="preserve"> May 2024) or as soon as practicable thereafter. The review will be conducted by the Department, which will prepare a draft report for consideration by the Minister for Communications. The final report will be tabled in Parliament.</w:t>
      </w:r>
    </w:p>
    <w:p w14:paraId="292C0C84" w14:textId="0F85D55E" w:rsidR="0087125A" w:rsidRDefault="0087125A" w:rsidP="009F01CA">
      <w:pPr>
        <w:rPr>
          <w:color w:val="auto"/>
          <w:lang w:val="en-US"/>
        </w:rPr>
      </w:pPr>
      <w:r>
        <w:rPr>
          <w:color w:val="auto"/>
          <w:lang w:val="en-US"/>
        </w:rPr>
        <w:t xml:space="preserve">This discussion paper </w:t>
      </w:r>
      <w:r w:rsidR="00CF6629">
        <w:rPr>
          <w:color w:val="auto"/>
          <w:lang w:val="en-US"/>
        </w:rPr>
        <w:t xml:space="preserve">addresses the requirement for </w:t>
      </w:r>
      <w:r>
        <w:rPr>
          <w:color w:val="auto"/>
          <w:lang w:val="en-US"/>
        </w:rPr>
        <w:t xml:space="preserve">public consultation </w:t>
      </w:r>
      <w:r w:rsidR="00BB25BA">
        <w:rPr>
          <w:color w:val="auto"/>
          <w:lang w:val="en-US"/>
        </w:rPr>
        <w:t xml:space="preserve">as part of </w:t>
      </w:r>
      <w:r>
        <w:rPr>
          <w:color w:val="auto"/>
          <w:lang w:val="en-US"/>
        </w:rPr>
        <w:t>the policy review of the operation of the RBS legislation (as required by section 102</w:t>
      </w:r>
      <w:r w:rsidR="00781036">
        <w:rPr>
          <w:color w:val="auto"/>
          <w:lang w:val="en-US"/>
        </w:rPr>
        <w:t>ZFA (</w:t>
      </w:r>
      <w:r>
        <w:rPr>
          <w:color w:val="auto"/>
          <w:lang w:val="en-US"/>
        </w:rPr>
        <w:t>2) of the TCPSS Act</w:t>
      </w:r>
      <w:r w:rsidR="003369DC">
        <w:rPr>
          <w:color w:val="auto"/>
          <w:lang w:val="en-US"/>
        </w:rPr>
        <w:t>)</w:t>
      </w:r>
      <w:r w:rsidR="00845FD9">
        <w:rPr>
          <w:color w:val="auto"/>
          <w:lang w:val="en-US"/>
        </w:rPr>
        <w:t xml:space="preserve">, whilst also canvassing </w:t>
      </w:r>
      <w:r w:rsidR="00494D9E">
        <w:rPr>
          <w:color w:val="auto"/>
          <w:lang w:val="en-US"/>
        </w:rPr>
        <w:t xml:space="preserve">the effectiveness of funding arrangements more </w:t>
      </w:r>
      <w:r w:rsidR="00845FD9">
        <w:rPr>
          <w:color w:val="auto"/>
          <w:lang w:val="en-US"/>
        </w:rPr>
        <w:t>broad</w:t>
      </w:r>
      <w:r w:rsidR="00494D9E">
        <w:rPr>
          <w:color w:val="auto"/>
          <w:lang w:val="en-US"/>
        </w:rPr>
        <w:t>ly</w:t>
      </w:r>
      <w:r>
        <w:rPr>
          <w:color w:val="auto"/>
          <w:lang w:val="en-US"/>
        </w:rPr>
        <w:t>.</w:t>
      </w:r>
      <w:r w:rsidR="003369DC">
        <w:rPr>
          <w:color w:val="auto"/>
          <w:lang w:val="en-US"/>
        </w:rPr>
        <w:t xml:space="preserve"> The </w:t>
      </w:r>
      <w:r w:rsidR="00BB25BA">
        <w:rPr>
          <w:color w:val="auto"/>
          <w:lang w:val="en-US"/>
        </w:rPr>
        <w:t xml:space="preserve">complete </w:t>
      </w:r>
      <w:r w:rsidR="003369DC">
        <w:rPr>
          <w:color w:val="auto"/>
          <w:lang w:val="en-US"/>
        </w:rPr>
        <w:t xml:space="preserve">requirements for the policy review are set out in </w:t>
      </w:r>
      <w:r w:rsidR="003369DC" w:rsidRPr="00B847F1">
        <w:rPr>
          <w:b/>
          <w:color w:val="auto"/>
          <w:lang w:val="en-US"/>
        </w:rPr>
        <w:t>Appendix A</w:t>
      </w:r>
      <w:r w:rsidR="003369DC">
        <w:rPr>
          <w:color w:val="auto"/>
          <w:lang w:val="en-US"/>
        </w:rPr>
        <w:t>.</w:t>
      </w:r>
    </w:p>
    <w:p w14:paraId="5DD217DB" w14:textId="7E39A938" w:rsidR="003369DC" w:rsidRPr="00F0694A" w:rsidRDefault="005E46F9" w:rsidP="004205C5">
      <w:pPr>
        <w:keepNext/>
        <w:rPr>
          <w:i/>
          <w:color w:val="auto"/>
          <w:lang w:val="en-US"/>
        </w:rPr>
      </w:pPr>
      <w:r>
        <w:rPr>
          <w:i/>
          <w:color w:val="auto"/>
          <w:lang w:val="en-US"/>
        </w:rPr>
        <w:t>A future approach to funding non-commercial universal telecommunications services</w:t>
      </w:r>
    </w:p>
    <w:p w14:paraId="04ADBB09" w14:textId="7F39081F" w:rsidR="005E46F9" w:rsidRDefault="00845FD9" w:rsidP="009F01CA">
      <w:pPr>
        <w:rPr>
          <w:color w:val="auto"/>
        </w:rPr>
      </w:pPr>
      <w:r>
        <w:t>The Government is currently considering options to modernise delivery of</w:t>
      </w:r>
      <w:r w:rsidR="003369DC">
        <w:t xml:space="preserve"> universal telecommunications services</w:t>
      </w:r>
      <w:r>
        <w:t xml:space="preserve">. A range of funding mechanisms currently contribute to the funding of these services, including </w:t>
      </w:r>
      <w:r w:rsidR="00DA14DD">
        <w:t xml:space="preserve">an </w:t>
      </w:r>
      <w:r w:rsidR="00F30FBE">
        <w:t>$100 million annual contribution from Government</w:t>
      </w:r>
      <w:r>
        <w:t xml:space="preserve">, the RBS (broadband) and the </w:t>
      </w:r>
      <w:r w:rsidR="00E20BC5" w:rsidRPr="00EC7981">
        <w:rPr>
          <w:color w:val="auto"/>
        </w:rPr>
        <w:t>Telecommunications Industry Levy (TIL)</w:t>
      </w:r>
      <w:r w:rsidR="00F30FBE">
        <w:rPr>
          <w:color w:val="auto"/>
        </w:rPr>
        <w:t>, which supports voice service provision and other public interest telecommunications services such as payphones, 000 and the National Relay Service</w:t>
      </w:r>
      <w:r>
        <w:rPr>
          <w:color w:val="auto"/>
        </w:rPr>
        <w:t xml:space="preserve">. </w:t>
      </w:r>
    </w:p>
    <w:p w14:paraId="6F22AD42" w14:textId="283890D0" w:rsidR="005E46F9" w:rsidRDefault="00FD6134" w:rsidP="009D39F0">
      <w:pPr>
        <w:spacing w:before="80"/>
      </w:pPr>
      <w:r>
        <w:t xml:space="preserve">A number of issues have been raised by stakeholders regarding the operation of the RBS and the TIL, including </w:t>
      </w:r>
      <w:r w:rsidR="00373558">
        <w:t xml:space="preserve">the </w:t>
      </w:r>
      <w:r>
        <w:t>operati</w:t>
      </w:r>
      <w:r w:rsidR="00373558">
        <w:t>on</w:t>
      </w:r>
      <w:r>
        <w:t xml:space="preserve"> </w:t>
      </w:r>
      <w:r w:rsidR="00373558">
        <w:t xml:space="preserve">of </w:t>
      </w:r>
      <w:r>
        <w:t>two</w:t>
      </w:r>
      <w:r w:rsidR="005E46F9">
        <w:t>,</w:t>
      </w:r>
      <w:r>
        <w:t xml:space="preserve"> different </w:t>
      </w:r>
      <w:r w:rsidR="00373558">
        <w:t xml:space="preserve">but related </w:t>
      </w:r>
      <w:r w:rsidR="00585341">
        <w:t xml:space="preserve">industry-based </w:t>
      </w:r>
      <w:r w:rsidR="00373558">
        <w:t>telecommunications</w:t>
      </w:r>
      <w:r w:rsidR="00131F30">
        <w:t xml:space="preserve"> funding</w:t>
      </w:r>
      <w:r>
        <w:t xml:space="preserve"> mechanisms. The </w:t>
      </w:r>
      <w:r w:rsidR="005E46F9">
        <w:t>current review</w:t>
      </w:r>
      <w:r>
        <w:t xml:space="preserve"> therefore provides an opportunity to consider </w:t>
      </w:r>
      <w:r w:rsidR="00494D9E">
        <w:t xml:space="preserve">the effectiveness of </w:t>
      </w:r>
      <w:r>
        <w:t xml:space="preserve">funding </w:t>
      </w:r>
      <w:r w:rsidR="00494D9E">
        <w:t>arrangements</w:t>
      </w:r>
      <w:r>
        <w:t xml:space="preserve"> more broadly</w:t>
      </w:r>
      <w:r w:rsidR="008A6B36">
        <w:t>, in</w:t>
      </w:r>
      <w:r w:rsidR="00C07215">
        <w:t>cluding</w:t>
      </w:r>
      <w:r w:rsidR="008A6B36">
        <w:t xml:space="preserve"> the merits of maintaining two different funding mechanisms.</w:t>
      </w:r>
    </w:p>
    <w:p w14:paraId="26C36241" w14:textId="7939D29C" w:rsidR="008A6B36" w:rsidRDefault="005E46F9" w:rsidP="009D39F0">
      <w:pPr>
        <w:spacing w:before="80"/>
      </w:pPr>
      <w:r>
        <w:t xml:space="preserve">Historically, </w:t>
      </w:r>
      <w:r w:rsidR="00A64DB6">
        <w:t xml:space="preserve">certain </w:t>
      </w:r>
      <w:r>
        <w:t xml:space="preserve">telecommunications </w:t>
      </w:r>
      <w:r w:rsidR="00A64DB6">
        <w:t xml:space="preserve">services have received support based on the expectation that they would not be commercial. In the case of the NBN for example, the NBN fixed wireless and geostationary satellite networks were anticipated to be net loss making as a whole over the long- term. With </w:t>
      </w:r>
      <w:r w:rsidR="00AF6AAF">
        <w:t>current and potential future changes to the technologies being used to deliver services outside the NBN fixed-line footprint,</w:t>
      </w:r>
      <w:r w:rsidR="005F1D96">
        <w:t xml:space="preserve"> all or parts of the networks</w:t>
      </w:r>
      <w:r w:rsidR="00CF6629">
        <w:t xml:space="preserve"> </w:t>
      </w:r>
      <w:r w:rsidR="005F1D96">
        <w:t xml:space="preserve">offering services in these locations </w:t>
      </w:r>
      <w:r w:rsidR="00CF6629">
        <w:t xml:space="preserve">may now be </w:t>
      </w:r>
      <w:r w:rsidR="005F1D96">
        <w:t xml:space="preserve">or become </w:t>
      </w:r>
      <w:r w:rsidR="00CF6629">
        <w:t>commercial</w:t>
      </w:r>
      <w:r w:rsidR="005F1D96">
        <w:t>. This discussion paper provides an opportunity for stakeholders to provide views on how commerciality can best be assessed</w:t>
      </w:r>
      <w:r w:rsidR="00AF6AAF">
        <w:t>.</w:t>
      </w:r>
    </w:p>
    <w:p w14:paraId="29BEED1F" w14:textId="0FF2F9D2" w:rsidR="007433D9" w:rsidRPr="00F0694A" w:rsidRDefault="007433D9" w:rsidP="009D39F0">
      <w:pPr>
        <w:spacing w:before="80"/>
        <w:rPr>
          <w:i/>
        </w:rPr>
      </w:pPr>
      <w:r w:rsidRPr="00F0694A">
        <w:rPr>
          <w:i/>
        </w:rPr>
        <w:t>Consultation process</w:t>
      </w:r>
    </w:p>
    <w:p w14:paraId="09889433" w14:textId="2F1D1917" w:rsidR="00C04A37" w:rsidRDefault="00811276" w:rsidP="00FF228F">
      <w:pPr>
        <w:spacing w:after="160"/>
        <w:rPr>
          <w:color w:val="auto"/>
          <w:lang w:val="en-US"/>
        </w:rPr>
      </w:pPr>
      <w:r>
        <w:rPr>
          <w:color w:val="auto"/>
          <w:lang w:val="en-US"/>
        </w:rPr>
        <w:t>Similar to</w:t>
      </w:r>
      <w:r w:rsidR="00E36AAE">
        <w:rPr>
          <w:color w:val="auto"/>
          <w:lang w:val="en-US"/>
        </w:rPr>
        <w:t xml:space="preserve"> the consultation paper on </w:t>
      </w:r>
      <w:r w:rsidR="00373558" w:rsidRPr="008903B5">
        <w:rPr>
          <w:i/>
          <w:color w:val="auto"/>
          <w:lang w:val="en-US"/>
        </w:rPr>
        <w:t xml:space="preserve">Better delivery of </w:t>
      </w:r>
      <w:r w:rsidR="00E36AAE" w:rsidRPr="008903B5">
        <w:rPr>
          <w:i/>
          <w:color w:val="auto"/>
          <w:lang w:val="en-US"/>
        </w:rPr>
        <w:t>universal services</w:t>
      </w:r>
      <w:r w:rsidR="00E36AAE">
        <w:rPr>
          <w:color w:val="auto"/>
          <w:lang w:val="en-US"/>
        </w:rPr>
        <w:t>, Table 1 sets out the key steps in the process</w:t>
      </w:r>
      <w:r w:rsidR="00275814">
        <w:rPr>
          <w:color w:val="auto"/>
          <w:lang w:val="en-US"/>
        </w:rPr>
        <w:t xml:space="preserve"> of considering a modern universal service framework</w:t>
      </w:r>
      <w:r>
        <w:rPr>
          <w:color w:val="auto"/>
          <w:lang w:val="en-US"/>
        </w:rPr>
        <w:t xml:space="preserve"> with expected timeframes</w:t>
      </w:r>
      <w:r w:rsidR="00E36AAE">
        <w:rPr>
          <w:color w:val="auto"/>
          <w:lang w:val="en-US"/>
        </w:rPr>
        <w:t>. T</w:t>
      </w:r>
      <w:r w:rsidR="00275814">
        <w:rPr>
          <w:color w:val="auto"/>
          <w:lang w:val="en-US"/>
        </w:rPr>
        <w:t>he current</w:t>
      </w:r>
      <w:r w:rsidR="00E36AAE">
        <w:rPr>
          <w:color w:val="auto"/>
          <w:lang w:val="en-US"/>
        </w:rPr>
        <w:t xml:space="preserve"> </w:t>
      </w:r>
      <w:r w:rsidR="00D84773">
        <w:rPr>
          <w:color w:val="auto"/>
          <w:lang w:val="en-US"/>
        </w:rPr>
        <w:t>discussion</w:t>
      </w:r>
      <w:r w:rsidR="00E36AAE">
        <w:rPr>
          <w:color w:val="auto"/>
          <w:lang w:val="en-US"/>
        </w:rPr>
        <w:t xml:space="preserve"> paper is highlighted in red.</w:t>
      </w:r>
    </w:p>
    <w:p w14:paraId="42DB1BA1" w14:textId="1D32481A" w:rsidR="0064754D" w:rsidRPr="00A90889" w:rsidRDefault="0095670F" w:rsidP="00DC681C">
      <w:pPr>
        <w:keepNext/>
        <w:spacing w:after="160"/>
        <w:rPr>
          <w:b/>
        </w:rPr>
      </w:pPr>
      <w:r>
        <w:rPr>
          <w:b/>
        </w:rPr>
        <w:t xml:space="preserve">Table 1: Key steps </w:t>
      </w:r>
      <w:r w:rsidR="007433D9">
        <w:rPr>
          <w:b/>
        </w:rPr>
        <w:t>in considering a modern universal service framework</w:t>
      </w:r>
    </w:p>
    <w:tbl>
      <w:tblPr>
        <w:tblStyle w:val="DefaultTable1"/>
        <w:tblW w:w="9980" w:type="dxa"/>
        <w:tblLook w:val="04A0" w:firstRow="1" w:lastRow="0" w:firstColumn="1" w:lastColumn="0" w:noHBand="0" w:noVBand="1"/>
      </w:tblPr>
      <w:tblGrid>
        <w:gridCol w:w="3935"/>
        <w:gridCol w:w="2368"/>
        <w:gridCol w:w="3677"/>
      </w:tblGrid>
      <w:tr w:rsidR="00BC3B7B" w14:paraId="1E00EB90" w14:textId="77777777" w:rsidTr="001F2C0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noWrap/>
            <w:hideMark/>
          </w:tcPr>
          <w:p w14:paraId="435D2E29" w14:textId="77777777" w:rsidR="00FD2151" w:rsidRPr="00955D77" w:rsidRDefault="00FD2151">
            <w:pPr>
              <w:suppressAutoHyphens w:val="0"/>
              <w:spacing w:before="0" w:after="0"/>
              <w:rPr>
                <w:rFonts w:ascii="Calibri" w:eastAsia="Times New Roman" w:hAnsi="Calibri" w:cs="Calibri"/>
                <w:b w:val="0"/>
                <w:bCs/>
                <w:lang w:eastAsia="en-AU"/>
              </w:rPr>
            </w:pPr>
            <w:bookmarkStart w:id="13" w:name="_Hlk147909863"/>
            <w:r w:rsidRPr="00955D77">
              <w:rPr>
                <w:rFonts w:ascii="Calibri" w:eastAsia="Times New Roman" w:hAnsi="Calibri" w:cs="Calibri"/>
                <w:bCs/>
                <w:lang w:eastAsia="en-AU"/>
              </w:rPr>
              <w:t xml:space="preserve">Key </w:t>
            </w:r>
            <w:r w:rsidR="008A7EC6">
              <w:rPr>
                <w:rFonts w:ascii="Calibri" w:eastAsia="Times New Roman" w:hAnsi="Calibri" w:cs="Calibri"/>
                <w:bCs/>
                <w:lang w:eastAsia="en-AU"/>
              </w:rPr>
              <w:t>s</w:t>
            </w:r>
            <w:r w:rsidRPr="00955D77">
              <w:rPr>
                <w:rFonts w:ascii="Calibri" w:eastAsia="Times New Roman" w:hAnsi="Calibri" w:cs="Calibri"/>
                <w:bCs/>
                <w:lang w:eastAsia="en-AU"/>
              </w:rPr>
              <w:t>tep</w:t>
            </w:r>
          </w:p>
        </w:tc>
        <w:tc>
          <w:tcPr>
            <w:tcW w:w="0" w:type="dxa"/>
            <w:tcBorders>
              <w:left w:val="nil"/>
              <w:right w:val="nil"/>
            </w:tcBorders>
            <w:noWrap/>
            <w:hideMark/>
          </w:tcPr>
          <w:p w14:paraId="68C0AE83" w14:textId="77777777" w:rsidR="00FD2151" w:rsidRPr="00955D77" w:rsidRDefault="00FD2151">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AU"/>
              </w:rPr>
            </w:pPr>
            <w:r w:rsidRPr="00955D77">
              <w:rPr>
                <w:rFonts w:ascii="Calibri" w:eastAsia="Times New Roman" w:hAnsi="Calibri" w:cs="Calibri"/>
                <w:lang w:eastAsia="en-AU"/>
              </w:rPr>
              <w:t>Timeframe</w:t>
            </w:r>
          </w:p>
        </w:tc>
        <w:tc>
          <w:tcPr>
            <w:tcW w:w="0" w:type="dxa"/>
            <w:tcBorders>
              <w:left w:val="nil"/>
              <w:right w:val="nil"/>
            </w:tcBorders>
            <w:hideMark/>
          </w:tcPr>
          <w:p w14:paraId="42F3CCB4" w14:textId="77777777" w:rsidR="00FD2151" w:rsidRPr="00955D77" w:rsidRDefault="00FD2151">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AU"/>
              </w:rPr>
            </w:pPr>
            <w:r w:rsidRPr="00955D77">
              <w:rPr>
                <w:rFonts w:ascii="Calibri" w:eastAsia="Times New Roman" w:hAnsi="Calibri" w:cs="Calibri"/>
                <w:lang w:eastAsia="en-AU"/>
              </w:rPr>
              <w:t xml:space="preserve">Lead/responsibility </w:t>
            </w:r>
          </w:p>
        </w:tc>
      </w:tr>
      <w:tr w:rsidR="00BC3B7B" w14:paraId="476F21C9" w14:textId="77777777" w:rsidTr="001F2C01">
        <w:trPr>
          <w:trHeight w:val="79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8089" w:themeColor="accent2"/>
              <w:left w:val="nil"/>
              <w:bottom w:val="single" w:sz="4" w:space="0" w:color="008089" w:themeColor="accent2"/>
              <w:right w:val="nil"/>
            </w:tcBorders>
            <w:noWrap/>
            <w:hideMark/>
          </w:tcPr>
          <w:p w14:paraId="2459A272" w14:textId="79749051" w:rsidR="00FD2151" w:rsidRDefault="00FD2151" w:rsidP="007E51C8">
            <w:pPr>
              <w:suppressAutoHyphens w:val="0"/>
              <w:spacing w:before="40" w:after="40"/>
              <w:rPr>
                <w:rFonts w:ascii="Calibri" w:eastAsia="Times New Roman" w:hAnsi="Calibri" w:cs="Calibri"/>
                <w:color w:val="000000"/>
                <w:lang w:eastAsia="en-AU"/>
              </w:rPr>
            </w:pPr>
            <w:r>
              <w:rPr>
                <w:rFonts w:ascii="Calibri" w:eastAsia="Times New Roman" w:hAnsi="Calibri" w:cs="Calibri"/>
                <w:color w:val="000000"/>
                <w:lang w:eastAsia="en-AU"/>
              </w:rPr>
              <w:t xml:space="preserve">Initial consultation on </w:t>
            </w:r>
            <w:r w:rsidR="00224E12">
              <w:rPr>
                <w:rFonts w:ascii="Calibri" w:eastAsia="Times New Roman" w:hAnsi="Calibri" w:cs="Calibri"/>
                <w:color w:val="000000"/>
                <w:lang w:eastAsia="en-AU"/>
              </w:rPr>
              <w:t xml:space="preserve">key </w:t>
            </w:r>
            <w:r>
              <w:rPr>
                <w:rFonts w:ascii="Calibri" w:eastAsia="Times New Roman" w:hAnsi="Calibri" w:cs="Calibri"/>
                <w:color w:val="000000"/>
                <w:lang w:eastAsia="en-AU"/>
              </w:rPr>
              <w:t>elements of a modern</w:t>
            </w:r>
            <w:r w:rsidR="00BA4E7D">
              <w:rPr>
                <w:rFonts w:ascii="Calibri" w:eastAsia="Times New Roman" w:hAnsi="Calibri" w:cs="Calibri"/>
                <w:color w:val="000000"/>
                <w:lang w:eastAsia="en-AU"/>
              </w:rPr>
              <w:t xml:space="preserve"> universal service</w:t>
            </w:r>
            <w:r w:rsidR="00E41DB0">
              <w:rPr>
                <w:rFonts w:ascii="Calibri" w:eastAsia="Times New Roman" w:hAnsi="Calibri" w:cs="Calibri"/>
                <w:color w:val="000000"/>
                <w:lang w:eastAsia="en-AU"/>
              </w:rPr>
              <w:t xml:space="preserve"> framework</w:t>
            </w:r>
          </w:p>
        </w:tc>
        <w:tc>
          <w:tcPr>
            <w:tcW w:w="0" w:type="dxa"/>
            <w:tcBorders>
              <w:top w:val="single" w:sz="4" w:space="0" w:color="008089" w:themeColor="accent2"/>
              <w:left w:val="nil"/>
              <w:bottom w:val="single" w:sz="4" w:space="0" w:color="008089" w:themeColor="accent2"/>
              <w:right w:val="nil"/>
            </w:tcBorders>
            <w:noWrap/>
            <w:hideMark/>
          </w:tcPr>
          <w:p w14:paraId="1DB9AC8F" w14:textId="77777777" w:rsidR="00FD2151" w:rsidRDefault="00FD2151">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October 2023</w:t>
            </w:r>
            <w:r w:rsidR="002006BA">
              <w:rPr>
                <w:rFonts w:ascii="Calibri" w:eastAsia="Times New Roman" w:hAnsi="Calibri" w:cs="Calibri"/>
                <w:color w:val="000000"/>
                <w:lang w:eastAsia="en-AU"/>
              </w:rPr>
              <w:t xml:space="preserve"> </w:t>
            </w:r>
            <w:r>
              <w:rPr>
                <w:rFonts w:ascii="Calibri" w:eastAsia="Times New Roman" w:hAnsi="Calibri" w:cs="Calibri"/>
                <w:color w:val="000000"/>
                <w:lang w:eastAsia="en-AU"/>
              </w:rPr>
              <w:t>-</w:t>
            </w:r>
            <w:r w:rsidR="002006BA">
              <w:rPr>
                <w:rFonts w:ascii="Calibri" w:eastAsia="Times New Roman" w:hAnsi="Calibri" w:cs="Calibri"/>
                <w:color w:val="000000"/>
                <w:lang w:eastAsia="en-AU"/>
              </w:rPr>
              <w:t xml:space="preserve"> </w:t>
            </w:r>
            <w:r>
              <w:rPr>
                <w:rFonts w:ascii="Calibri" w:eastAsia="Times New Roman" w:hAnsi="Calibri" w:cs="Calibri"/>
                <w:color w:val="000000"/>
                <w:lang w:eastAsia="en-AU"/>
              </w:rPr>
              <w:t>March 2024</w:t>
            </w:r>
          </w:p>
        </w:tc>
        <w:tc>
          <w:tcPr>
            <w:tcW w:w="0" w:type="dxa"/>
            <w:tcBorders>
              <w:top w:val="single" w:sz="4" w:space="0" w:color="008089" w:themeColor="accent2"/>
              <w:left w:val="nil"/>
              <w:bottom w:val="single" w:sz="4" w:space="0" w:color="008089" w:themeColor="accent2"/>
              <w:right w:val="nil"/>
            </w:tcBorders>
            <w:hideMark/>
          </w:tcPr>
          <w:p w14:paraId="771DA5D0" w14:textId="2AF2BB81" w:rsidR="00FD2151" w:rsidRDefault="00ED275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Department of Infrastructure, Transport, Regional Development, Communications and the Arts (</w:t>
            </w:r>
            <w:r w:rsidR="00FD2151">
              <w:rPr>
                <w:rFonts w:ascii="Calibri" w:eastAsia="Times New Roman" w:hAnsi="Calibri" w:cs="Calibri"/>
                <w:color w:val="000000"/>
                <w:lang w:eastAsia="en-AU"/>
              </w:rPr>
              <w:t>DITRDCA</w:t>
            </w:r>
            <w:r>
              <w:rPr>
                <w:rFonts w:ascii="Calibri" w:eastAsia="Times New Roman" w:hAnsi="Calibri" w:cs="Calibri"/>
                <w:color w:val="000000"/>
                <w:lang w:eastAsia="en-AU"/>
              </w:rPr>
              <w:t>)</w:t>
            </w:r>
          </w:p>
        </w:tc>
      </w:tr>
      <w:tr w:rsidR="00BC3B7B" w14:paraId="43CEA4D7" w14:textId="77777777" w:rsidTr="001F2C01">
        <w:trPr>
          <w:cnfStyle w:val="000000010000" w:firstRow="0" w:lastRow="0" w:firstColumn="0" w:lastColumn="0" w:oddVBand="0" w:evenVBand="0" w:oddHBand="0" w:evenHBand="1"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8089" w:themeColor="accent2"/>
              <w:left w:val="nil"/>
              <w:bottom w:val="single" w:sz="4" w:space="0" w:color="008089" w:themeColor="accent2"/>
              <w:right w:val="nil"/>
            </w:tcBorders>
            <w:noWrap/>
          </w:tcPr>
          <w:p w14:paraId="0D6FF45D" w14:textId="45952F2A" w:rsidR="00FD2151" w:rsidRPr="007E51C8" w:rsidRDefault="00FD2151" w:rsidP="007E51C8">
            <w:pPr>
              <w:suppressAutoHyphens w:val="0"/>
              <w:spacing w:before="40" w:after="40"/>
              <w:rPr>
                <w:rFonts w:ascii="Calibri" w:eastAsia="Times New Roman" w:hAnsi="Calibri" w:cs="Calibri"/>
                <w:b w:val="0"/>
                <w:color w:val="000000"/>
                <w:lang w:eastAsia="en-AU"/>
              </w:rPr>
            </w:pPr>
            <w:r>
              <w:rPr>
                <w:rFonts w:ascii="Calibri" w:eastAsia="Times New Roman" w:hAnsi="Calibri" w:cs="Calibri"/>
                <w:color w:val="000000"/>
                <w:lang w:eastAsia="en-AU"/>
              </w:rPr>
              <w:t>Regional Telecommunications Review (RTR)</w:t>
            </w:r>
            <w:r w:rsidR="007E51C8">
              <w:rPr>
                <w:rFonts w:ascii="Calibri" w:eastAsia="Times New Roman" w:hAnsi="Calibri" w:cs="Calibri"/>
                <w:color w:val="000000"/>
                <w:lang w:eastAsia="en-AU"/>
              </w:rPr>
              <w:t xml:space="preserve"> – p</w:t>
            </w:r>
            <w:r>
              <w:rPr>
                <w:rFonts w:ascii="Calibri" w:eastAsia="Times New Roman" w:hAnsi="Calibri" w:cs="Calibri"/>
                <w:color w:val="000000"/>
                <w:lang w:eastAsia="en-AU"/>
              </w:rPr>
              <w:t>rovide advice and input to support Government consideration</w:t>
            </w:r>
            <w:r w:rsidR="00BA4E7D">
              <w:rPr>
                <w:rFonts w:ascii="Calibri" w:eastAsia="Times New Roman" w:hAnsi="Calibri" w:cs="Calibri"/>
                <w:color w:val="000000"/>
                <w:lang w:eastAsia="en-AU"/>
              </w:rPr>
              <w:t xml:space="preserve"> of universal services</w:t>
            </w:r>
          </w:p>
        </w:tc>
        <w:tc>
          <w:tcPr>
            <w:tcW w:w="0" w:type="dxa"/>
            <w:tcBorders>
              <w:top w:val="single" w:sz="4" w:space="0" w:color="008089" w:themeColor="accent2"/>
              <w:left w:val="nil"/>
              <w:bottom w:val="single" w:sz="4" w:space="0" w:color="008089" w:themeColor="accent2"/>
              <w:right w:val="nil"/>
            </w:tcBorders>
            <w:noWrap/>
            <w:hideMark/>
          </w:tcPr>
          <w:p w14:paraId="1AFE4D2F" w14:textId="77777777" w:rsidR="00FD2151" w:rsidRDefault="00FD2151">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Throughout 2024</w:t>
            </w:r>
          </w:p>
        </w:tc>
        <w:tc>
          <w:tcPr>
            <w:tcW w:w="0" w:type="dxa"/>
            <w:tcBorders>
              <w:top w:val="single" w:sz="4" w:space="0" w:color="008089" w:themeColor="accent2"/>
              <w:left w:val="nil"/>
              <w:bottom w:val="single" w:sz="4" w:space="0" w:color="008089" w:themeColor="accent2"/>
              <w:right w:val="nil"/>
            </w:tcBorders>
            <w:hideMark/>
          </w:tcPr>
          <w:p w14:paraId="28E3BCCC" w14:textId="77777777" w:rsidR="00FD2151" w:rsidRDefault="00FD2151">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Independent Committee established by the Government</w:t>
            </w:r>
          </w:p>
        </w:tc>
      </w:tr>
      <w:tr w:rsidR="00BC3B7B" w:rsidRPr="00E36AAE" w14:paraId="4DC4B9FD" w14:textId="77777777" w:rsidTr="001F2C01">
        <w:trPr>
          <w:trHeight w:val="52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8089" w:themeColor="accent2"/>
              <w:left w:val="nil"/>
              <w:bottom w:val="single" w:sz="4" w:space="0" w:color="008089" w:themeColor="accent2"/>
              <w:right w:val="nil"/>
            </w:tcBorders>
            <w:hideMark/>
          </w:tcPr>
          <w:p w14:paraId="6996B7ED" w14:textId="073F2658" w:rsidR="00FD2151" w:rsidRPr="00E36AAE" w:rsidRDefault="00FD2151" w:rsidP="007E51C8">
            <w:pPr>
              <w:suppressAutoHyphens w:val="0"/>
              <w:spacing w:before="40" w:after="40"/>
              <w:rPr>
                <w:rFonts w:ascii="Calibri" w:eastAsia="Times New Roman" w:hAnsi="Calibri" w:cs="Calibri"/>
                <w:color w:val="FF0000"/>
                <w:lang w:eastAsia="en-AU"/>
              </w:rPr>
            </w:pPr>
            <w:r w:rsidRPr="00E36AAE">
              <w:rPr>
                <w:rFonts w:ascii="Calibri" w:eastAsia="Times New Roman" w:hAnsi="Calibri" w:cs="Calibri"/>
                <w:color w:val="FF0000"/>
                <w:lang w:eastAsia="en-AU"/>
              </w:rPr>
              <w:t xml:space="preserve">Consultation on funding arrangements that underpin </w:t>
            </w:r>
            <w:r w:rsidR="00E41DB0" w:rsidRPr="00E36AAE">
              <w:rPr>
                <w:rFonts w:ascii="Calibri" w:eastAsia="Times New Roman" w:hAnsi="Calibri" w:cs="Calibri"/>
                <w:color w:val="FF0000"/>
                <w:lang w:eastAsia="en-AU"/>
              </w:rPr>
              <w:t xml:space="preserve">delivery of </w:t>
            </w:r>
            <w:r w:rsidRPr="00E36AAE">
              <w:rPr>
                <w:rFonts w:ascii="Calibri" w:eastAsia="Times New Roman" w:hAnsi="Calibri" w:cs="Calibri"/>
                <w:color w:val="FF0000"/>
                <w:lang w:eastAsia="en-AU"/>
              </w:rPr>
              <w:t>universal service</w:t>
            </w:r>
            <w:r w:rsidR="00E41DB0" w:rsidRPr="00E36AAE">
              <w:rPr>
                <w:rFonts w:ascii="Calibri" w:eastAsia="Times New Roman" w:hAnsi="Calibri" w:cs="Calibri"/>
                <w:color w:val="FF0000"/>
                <w:lang w:eastAsia="en-AU"/>
              </w:rPr>
              <w:t>s</w:t>
            </w:r>
            <w:r w:rsidRPr="00E36AAE">
              <w:rPr>
                <w:rFonts w:ascii="Calibri" w:eastAsia="Times New Roman" w:hAnsi="Calibri" w:cs="Calibri"/>
                <w:color w:val="FF0000"/>
                <w:lang w:eastAsia="en-AU"/>
              </w:rPr>
              <w:t xml:space="preserve">, </w:t>
            </w:r>
            <w:r w:rsidR="00663EAE" w:rsidRPr="00E36AAE">
              <w:rPr>
                <w:rFonts w:ascii="Calibri" w:eastAsia="Times New Roman" w:hAnsi="Calibri" w:cs="Calibri"/>
                <w:color w:val="FF0000"/>
                <w:lang w:eastAsia="en-AU"/>
              </w:rPr>
              <w:t xml:space="preserve">incorporating </w:t>
            </w:r>
            <w:r w:rsidRPr="00E36AAE">
              <w:rPr>
                <w:rFonts w:ascii="Calibri" w:eastAsia="Times New Roman" w:hAnsi="Calibri" w:cs="Calibri"/>
                <w:color w:val="FF0000"/>
                <w:lang w:eastAsia="en-AU"/>
              </w:rPr>
              <w:t>the statutory review of the Regional Broadband Scheme</w:t>
            </w:r>
          </w:p>
        </w:tc>
        <w:tc>
          <w:tcPr>
            <w:tcW w:w="0" w:type="dxa"/>
            <w:tcBorders>
              <w:top w:val="single" w:sz="4" w:space="0" w:color="008089" w:themeColor="accent2"/>
              <w:left w:val="nil"/>
              <w:bottom w:val="single" w:sz="4" w:space="0" w:color="008089" w:themeColor="accent2"/>
              <w:right w:val="nil"/>
            </w:tcBorders>
            <w:hideMark/>
          </w:tcPr>
          <w:p w14:paraId="561AE78C" w14:textId="4940A5B6" w:rsidR="00FD2151" w:rsidRPr="00E36AAE" w:rsidRDefault="004205C5">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eastAsia="en-AU"/>
              </w:rPr>
            </w:pPr>
            <w:r>
              <w:rPr>
                <w:rFonts w:ascii="Calibri" w:eastAsia="Times New Roman" w:hAnsi="Calibri" w:cs="Calibri"/>
                <w:color w:val="FF0000"/>
                <w:lang w:eastAsia="en-AU"/>
              </w:rPr>
              <w:t>April-May</w:t>
            </w:r>
            <w:r w:rsidR="00FD2151" w:rsidRPr="00E36AAE">
              <w:rPr>
                <w:rFonts w:ascii="Calibri" w:eastAsia="Times New Roman" w:hAnsi="Calibri" w:cs="Calibri"/>
                <w:color w:val="FF0000"/>
                <w:lang w:eastAsia="en-AU"/>
              </w:rPr>
              <w:t xml:space="preserve"> 2024</w:t>
            </w:r>
          </w:p>
        </w:tc>
        <w:tc>
          <w:tcPr>
            <w:tcW w:w="0" w:type="dxa"/>
            <w:tcBorders>
              <w:top w:val="single" w:sz="4" w:space="0" w:color="008089" w:themeColor="accent2"/>
              <w:left w:val="nil"/>
              <w:bottom w:val="single" w:sz="4" w:space="0" w:color="008089" w:themeColor="accent2"/>
              <w:right w:val="nil"/>
            </w:tcBorders>
            <w:hideMark/>
          </w:tcPr>
          <w:p w14:paraId="6131C7A4" w14:textId="77777777" w:rsidR="00FD2151" w:rsidRPr="00E36AAE" w:rsidRDefault="00FD2151">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eastAsia="en-AU"/>
              </w:rPr>
            </w:pPr>
            <w:r w:rsidRPr="00E36AAE">
              <w:rPr>
                <w:rFonts w:ascii="Calibri" w:eastAsia="Times New Roman" w:hAnsi="Calibri" w:cs="Calibri"/>
                <w:color w:val="FF0000"/>
                <w:lang w:eastAsia="en-AU"/>
              </w:rPr>
              <w:t>DITRDCA</w:t>
            </w:r>
          </w:p>
        </w:tc>
      </w:tr>
      <w:tr w:rsidR="00BC3B7B" w14:paraId="1A3395CE" w14:textId="77777777" w:rsidTr="001F2C01">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8089" w:themeColor="accent2"/>
              <w:left w:val="nil"/>
              <w:bottom w:val="single" w:sz="4" w:space="0" w:color="008089" w:themeColor="accent2"/>
              <w:right w:val="nil"/>
            </w:tcBorders>
            <w:noWrap/>
            <w:hideMark/>
          </w:tcPr>
          <w:p w14:paraId="0F200FD5" w14:textId="77777777" w:rsidR="00FD2151" w:rsidRDefault="00FD2151" w:rsidP="007E51C8">
            <w:pPr>
              <w:suppressAutoHyphens w:val="0"/>
              <w:spacing w:before="40" w:after="40"/>
              <w:rPr>
                <w:rFonts w:ascii="Calibri" w:eastAsia="Times New Roman" w:hAnsi="Calibri" w:cs="Calibri"/>
                <w:color w:val="000000"/>
                <w:lang w:eastAsia="en-AU"/>
              </w:rPr>
            </w:pPr>
            <w:r>
              <w:rPr>
                <w:rFonts w:ascii="Calibri" w:eastAsia="Times New Roman" w:hAnsi="Calibri" w:cs="Calibri"/>
                <w:color w:val="000000"/>
                <w:lang w:eastAsia="en-AU"/>
              </w:rPr>
              <w:t>Technical trials of alternative technologies</w:t>
            </w:r>
          </w:p>
        </w:tc>
        <w:tc>
          <w:tcPr>
            <w:tcW w:w="0" w:type="dxa"/>
            <w:tcBorders>
              <w:top w:val="single" w:sz="4" w:space="0" w:color="008089" w:themeColor="accent2"/>
              <w:left w:val="nil"/>
              <w:bottom w:val="single" w:sz="4" w:space="0" w:color="008089" w:themeColor="accent2"/>
              <w:right w:val="nil"/>
            </w:tcBorders>
            <w:noWrap/>
            <w:hideMark/>
          </w:tcPr>
          <w:p w14:paraId="5C0C0797" w14:textId="502210CE" w:rsidR="00FD2151" w:rsidRDefault="004205C5">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During</w:t>
            </w:r>
            <w:r w:rsidR="002C67B3">
              <w:rPr>
                <w:rFonts w:ascii="Calibri" w:eastAsia="Times New Roman" w:hAnsi="Calibri" w:cs="Calibri"/>
                <w:color w:val="000000"/>
                <w:lang w:eastAsia="en-AU"/>
              </w:rPr>
              <w:t xml:space="preserve"> </w:t>
            </w:r>
            <w:r w:rsidR="00FD2151">
              <w:rPr>
                <w:rFonts w:ascii="Calibri" w:eastAsia="Times New Roman" w:hAnsi="Calibri" w:cs="Calibri"/>
                <w:color w:val="000000"/>
                <w:lang w:eastAsia="en-AU"/>
              </w:rPr>
              <w:t>2024</w:t>
            </w:r>
          </w:p>
        </w:tc>
        <w:tc>
          <w:tcPr>
            <w:tcW w:w="0" w:type="dxa"/>
            <w:tcBorders>
              <w:top w:val="single" w:sz="4" w:space="0" w:color="008089" w:themeColor="accent2"/>
              <w:left w:val="nil"/>
              <w:bottom w:val="single" w:sz="4" w:space="0" w:color="008089" w:themeColor="accent2"/>
              <w:right w:val="nil"/>
            </w:tcBorders>
            <w:hideMark/>
          </w:tcPr>
          <w:p w14:paraId="548C01F2" w14:textId="77777777" w:rsidR="00FD2151" w:rsidRDefault="00FD2151">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DITRDCA</w:t>
            </w:r>
          </w:p>
        </w:tc>
      </w:tr>
      <w:tr w:rsidR="00BC3B7B" w14:paraId="642EE178" w14:textId="77777777" w:rsidTr="001F2C01">
        <w:trPr>
          <w:trHeight w:val="7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8089" w:themeColor="accent2"/>
              <w:left w:val="nil"/>
              <w:bottom w:val="single" w:sz="4" w:space="0" w:color="008089" w:themeColor="accent2"/>
              <w:right w:val="nil"/>
            </w:tcBorders>
            <w:noWrap/>
            <w:hideMark/>
          </w:tcPr>
          <w:p w14:paraId="4806C119" w14:textId="17BFCBEC" w:rsidR="00FD2151" w:rsidRDefault="00FD2151" w:rsidP="007E51C8">
            <w:pPr>
              <w:suppressAutoHyphens w:val="0"/>
              <w:spacing w:before="40" w:after="40"/>
              <w:rPr>
                <w:rFonts w:ascii="Calibri" w:eastAsia="Times New Roman" w:hAnsi="Calibri" w:cs="Calibri"/>
                <w:color w:val="000000"/>
                <w:lang w:eastAsia="en-AU"/>
              </w:rPr>
            </w:pPr>
            <w:r>
              <w:rPr>
                <w:rFonts w:ascii="Calibri" w:eastAsia="Times New Roman" w:hAnsi="Calibri" w:cs="Calibri"/>
                <w:color w:val="000000"/>
                <w:lang w:eastAsia="en-AU"/>
              </w:rPr>
              <w:t xml:space="preserve">Summary report on </w:t>
            </w:r>
            <w:r w:rsidR="002006BA">
              <w:rPr>
                <w:rFonts w:ascii="Calibri" w:eastAsia="Times New Roman" w:hAnsi="Calibri" w:cs="Calibri"/>
                <w:color w:val="000000"/>
                <w:lang w:eastAsia="en-AU"/>
              </w:rPr>
              <w:t xml:space="preserve">stakeholder feedback </w:t>
            </w:r>
            <w:r w:rsidR="007433D9">
              <w:rPr>
                <w:rFonts w:ascii="Calibri" w:eastAsia="Times New Roman" w:hAnsi="Calibri" w:cs="Calibri"/>
                <w:color w:val="000000"/>
                <w:lang w:eastAsia="en-AU"/>
              </w:rPr>
              <w:t>from two consultations</w:t>
            </w:r>
          </w:p>
        </w:tc>
        <w:tc>
          <w:tcPr>
            <w:tcW w:w="0" w:type="dxa"/>
            <w:tcBorders>
              <w:top w:val="single" w:sz="4" w:space="0" w:color="008089" w:themeColor="accent2"/>
              <w:left w:val="nil"/>
              <w:bottom w:val="single" w:sz="4" w:space="0" w:color="008089" w:themeColor="accent2"/>
              <w:right w:val="nil"/>
            </w:tcBorders>
            <w:noWrap/>
            <w:hideMark/>
          </w:tcPr>
          <w:p w14:paraId="462ABDF0" w14:textId="77777777" w:rsidR="00FD2151" w:rsidRDefault="00FD2151">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July 2024</w:t>
            </w:r>
          </w:p>
        </w:tc>
        <w:tc>
          <w:tcPr>
            <w:tcW w:w="0" w:type="dxa"/>
            <w:tcBorders>
              <w:top w:val="single" w:sz="4" w:space="0" w:color="008089" w:themeColor="accent2"/>
              <w:left w:val="nil"/>
              <w:bottom w:val="single" w:sz="4" w:space="0" w:color="008089" w:themeColor="accent2"/>
              <w:right w:val="nil"/>
            </w:tcBorders>
            <w:hideMark/>
          </w:tcPr>
          <w:p w14:paraId="70C58291" w14:textId="77777777" w:rsidR="00FD2151" w:rsidRDefault="00FD2151">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DITRDCA</w:t>
            </w:r>
          </w:p>
        </w:tc>
      </w:tr>
    </w:tbl>
    <w:bookmarkEnd w:id="13"/>
    <w:p w14:paraId="758CAEE7" w14:textId="01C759DB" w:rsidR="00B74107" w:rsidRDefault="0064705C" w:rsidP="009F01CA">
      <w:pPr>
        <w:rPr>
          <w:rStyle w:val="Hyperlink"/>
          <w:color w:val="auto"/>
          <w:u w:val="none"/>
          <w:lang w:val="en-US"/>
        </w:rPr>
      </w:pPr>
      <w:r>
        <w:rPr>
          <w:lang w:val="en-US"/>
        </w:rPr>
        <w:t>S</w:t>
      </w:r>
      <w:r w:rsidR="008A1E60">
        <w:rPr>
          <w:lang w:val="en-US"/>
        </w:rPr>
        <w:t xml:space="preserve">pecific input </w:t>
      </w:r>
      <w:r w:rsidR="009732A0">
        <w:rPr>
          <w:lang w:val="en-US"/>
        </w:rPr>
        <w:t xml:space="preserve">on the issues raised in this </w:t>
      </w:r>
      <w:r w:rsidR="009732A0" w:rsidRPr="000478E4">
        <w:rPr>
          <w:lang w:val="en-US"/>
        </w:rPr>
        <w:t xml:space="preserve">paper </w:t>
      </w:r>
      <w:r w:rsidR="00FD2151" w:rsidRPr="000478E4">
        <w:rPr>
          <w:lang w:val="en-US"/>
        </w:rPr>
        <w:t xml:space="preserve">is </w:t>
      </w:r>
      <w:r w:rsidR="00E11658" w:rsidRPr="000478E4">
        <w:rPr>
          <w:lang w:val="en-US"/>
        </w:rPr>
        <w:t xml:space="preserve">sought by </w:t>
      </w:r>
      <w:r w:rsidR="00CD3A49">
        <w:rPr>
          <w:lang w:val="en-US"/>
        </w:rPr>
        <w:t>5pm</w:t>
      </w:r>
      <w:r w:rsidR="00CD3A49" w:rsidRPr="0073574E">
        <w:rPr>
          <w:lang w:val="en-US"/>
        </w:rPr>
        <w:t>,</w:t>
      </w:r>
      <w:r w:rsidR="003F1684" w:rsidRPr="0073574E">
        <w:rPr>
          <w:lang w:val="en-US"/>
        </w:rPr>
        <w:t xml:space="preserve"> </w:t>
      </w:r>
      <w:r w:rsidR="00560807" w:rsidRPr="0073574E">
        <w:rPr>
          <w:b/>
          <w:lang w:val="en-US"/>
        </w:rPr>
        <w:t xml:space="preserve">Tuesday </w:t>
      </w:r>
      <w:r w:rsidR="004205C5">
        <w:rPr>
          <w:b/>
          <w:lang w:val="en-US"/>
        </w:rPr>
        <w:t>14 May</w:t>
      </w:r>
      <w:r w:rsidR="00976714" w:rsidRPr="006A5BB7">
        <w:rPr>
          <w:b/>
          <w:color w:val="auto"/>
          <w:lang w:val="en-US"/>
        </w:rPr>
        <w:t xml:space="preserve"> </w:t>
      </w:r>
      <w:r w:rsidR="00E11658" w:rsidRPr="006A5BB7">
        <w:rPr>
          <w:b/>
          <w:color w:val="auto"/>
          <w:lang w:val="en-US"/>
        </w:rPr>
        <w:t>202</w:t>
      </w:r>
      <w:r w:rsidR="00720BCF" w:rsidRPr="006A5BB7">
        <w:rPr>
          <w:b/>
          <w:color w:val="auto"/>
          <w:lang w:val="en-US"/>
        </w:rPr>
        <w:t>4</w:t>
      </w:r>
      <w:r w:rsidR="00B219DC" w:rsidRPr="002767D4">
        <w:rPr>
          <w:lang w:val="en-US"/>
        </w:rPr>
        <w:t>.</w:t>
      </w:r>
      <w:r w:rsidR="00B219DC" w:rsidRPr="000478E4">
        <w:rPr>
          <w:lang w:val="en-US"/>
        </w:rPr>
        <w:t xml:space="preserve"> </w:t>
      </w:r>
      <w:r w:rsidR="006422DC" w:rsidRPr="000478E4">
        <w:rPr>
          <w:lang w:val="en-US"/>
        </w:rPr>
        <w:t>T</w:t>
      </w:r>
      <w:r w:rsidR="008A1E60" w:rsidRPr="000478E4">
        <w:rPr>
          <w:lang w:val="en-US"/>
        </w:rPr>
        <w:t>he</w:t>
      </w:r>
      <w:r w:rsidR="008A1E60">
        <w:rPr>
          <w:lang w:val="en-US"/>
        </w:rPr>
        <w:t xml:space="preserve"> </w:t>
      </w:r>
      <w:r w:rsidR="00B219DC">
        <w:rPr>
          <w:lang w:val="en-US"/>
        </w:rPr>
        <w:t xml:space="preserve">Department </w:t>
      </w:r>
      <w:r w:rsidR="000E09B4">
        <w:rPr>
          <w:lang w:val="en-US"/>
        </w:rPr>
        <w:t>is also interested in</w:t>
      </w:r>
      <w:r w:rsidR="00B219DC">
        <w:rPr>
          <w:lang w:val="en-US"/>
        </w:rPr>
        <w:t xml:space="preserve"> meet</w:t>
      </w:r>
      <w:r w:rsidR="000E09B4">
        <w:rPr>
          <w:lang w:val="en-US"/>
        </w:rPr>
        <w:t>ing</w:t>
      </w:r>
      <w:r w:rsidR="00B219DC">
        <w:rPr>
          <w:lang w:val="en-US"/>
        </w:rPr>
        <w:t xml:space="preserve"> stakeholders throughout the process to better understand</w:t>
      </w:r>
      <w:r w:rsidR="000E09B4">
        <w:rPr>
          <w:lang w:val="en-US"/>
        </w:rPr>
        <w:t xml:space="preserve"> their </w:t>
      </w:r>
      <w:r w:rsidR="00B219DC">
        <w:rPr>
          <w:lang w:val="en-US"/>
        </w:rPr>
        <w:t>views.</w:t>
      </w:r>
      <w:r w:rsidR="004A479C">
        <w:rPr>
          <w:lang w:val="en-US"/>
        </w:rPr>
        <w:t xml:space="preserve"> Please reach out if you would like to </w:t>
      </w:r>
      <w:r w:rsidR="00BD166D">
        <w:rPr>
          <w:lang w:val="en-US"/>
        </w:rPr>
        <w:t xml:space="preserve">arrange </w:t>
      </w:r>
      <w:r w:rsidR="004A479C">
        <w:rPr>
          <w:lang w:val="en-US"/>
        </w:rPr>
        <w:t>a time to talk to the Department about the process, or provide your views.</w:t>
      </w:r>
      <w:r w:rsidR="009732A0">
        <w:rPr>
          <w:lang w:val="en-US"/>
        </w:rPr>
        <w:t xml:space="preserve"> Submissions or requests to meet with the department</w:t>
      </w:r>
      <w:r w:rsidR="009732A0" w:rsidRPr="009C60A5">
        <w:rPr>
          <w:lang w:val="en-US"/>
        </w:rPr>
        <w:t xml:space="preserve"> can be emailed to</w:t>
      </w:r>
      <w:r w:rsidR="00275814">
        <w:rPr>
          <w:lang w:val="en-US"/>
        </w:rPr>
        <w:t xml:space="preserve"> </w:t>
      </w:r>
      <w:hyperlink r:id="rId23" w:history="1">
        <w:r w:rsidR="003F1684" w:rsidRPr="00A72964">
          <w:rPr>
            <w:rStyle w:val="Hyperlink"/>
            <w:lang w:val="en-US"/>
          </w:rPr>
          <w:t>usb@infrastructure.gov.au</w:t>
        </w:r>
      </w:hyperlink>
      <w:r w:rsidR="007C3FE0">
        <w:rPr>
          <w:rStyle w:val="Hyperlink"/>
          <w:color w:val="FF0000"/>
          <w:u w:val="none"/>
          <w:lang w:val="en-US"/>
        </w:rPr>
        <w:t>.</w:t>
      </w:r>
    </w:p>
    <w:p w14:paraId="05A5A7A2" w14:textId="77777777" w:rsidR="0094177D" w:rsidRPr="009C60A5" w:rsidRDefault="0094177D" w:rsidP="004D2802">
      <w:pPr>
        <w:pStyle w:val="Heading1"/>
        <w:spacing w:before="160"/>
        <w:contextualSpacing w:val="0"/>
      </w:pPr>
      <w:bookmarkStart w:id="14" w:name="_Toc163052086"/>
      <w:r w:rsidRPr="009C60A5">
        <w:t>Background</w:t>
      </w:r>
      <w:bookmarkEnd w:id="14"/>
    </w:p>
    <w:p w14:paraId="3F1C9C90" w14:textId="1C6422AE" w:rsidR="00BA1530" w:rsidRPr="00BA1530" w:rsidRDefault="00150E3D" w:rsidP="004D2802">
      <w:pPr>
        <w:pStyle w:val="Heading2"/>
        <w:spacing w:before="80" w:after="80"/>
      </w:pPr>
      <w:bookmarkStart w:id="15" w:name="_Toc163052087"/>
      <w:bookmarkStart w:id="16" w:name="_Hlk146011068"/>
      <w:bookmarkStart w:id="17" w:name="_Toc143754960"/>
      <w:r>
        <w:t xml:space="preserve">Current </w:t>
      </w:r>
      <w:r w:rsidR="006C1FAE">
        <w:t xml:space="preserve">telecommunications </w:t>
      </w:r>
      <w:r>
        <w:t>levies</w:t>
      </w:r>
      <w:bookmarkEnd w:id="15"/>
    </w:p>
    <w:p w14:paraId="6F2C9181" w14:textId="05C314C1" w:rsidR="00D12862" w:rsidRPr="009C60A5" w:rsidRDefault="00D12862" w:rsidP="00D12862">
      <w:pPr>
        <w:spacing w:before="80"/>
        <w:rPr>
          <w:b/>
          <w:sz w:val="24"/>
          <w:szCs w:val="24"/>
        </w:rPr>
      </w:pPr>
      <w:r>
        <w:rPr>
          <w:b/>
          <w:sz w:val="24"/>
          <w:szCs w:val="24"/>
        </w:rPr>
        <w:t>Telecommunications Industry Levy</w:t>
      </w:r>
      <w:r w:rsidR="002A2FDE">
        <w:rPr>
          <w:b/>
          <w:sz w:val="24"/>
          <w:szCs w:val="24"/>
        </w:rPr>
        <w:t xml:space="preserve"> (TIL)</w:t>
      </w:r>
    </w:p>
    <w:p w14:paraId="42BE1D6A" w14:textId="7DC89369" w:rsidR="00E75FB4" w:rsidRPr="00DC681C" w:rsidRDefault="00E75FB4" w:rsidP="00173A7B">
      <w:pPr>
        <w:keepNext/>
        <w:rPr>
          <w:lang w:val="en-US"/>
        </w:rPr>
      </w:pPr>
      <w:r w:rsidRPr="00DC681C">
        <w:t>Australia has had arrangements in place to fund universal telecommunications services for a number of decades. The Universal Service Obligation</w:t>
      </w:r>
      <w:r w:rsidR="00373558">
        <w:t xml:space="preserve"> (USO)</w:t>
      </w:r>
      <w:r w:rsidRPr="00DC681C">
        <w:t xml:space="preserve"> levy, introduced in 1991 was part of these arrangements but was then combined with the National Relay Service levy in 2012 to create the </w:t>
      </w:r>
      <w:hyperlink r:id="rId24" w:history="1">
        <w:r w:rsidR="00997668" w:rsidRPr="00DC681C">
          <w:rPr>
            <w:rStyle w:val="Hyperlink"/>
          </w:rPr>
          <w:t>Telecommunications Industry Levy</w:t>
        </w:r>
      </w:hyperlink>
      <w:r w:rsidRPr="00DC681C">
        <w:t xml:space="preserve">. </w:t>
      </w:r>
      <w:r w:rsidRPr="00DC681C">
        <w:rPr>
          <w:lang w:val="en-US"/>
        </w:rPr>
        <w:t>The TIL supports public interest telecommunications services and currently funds USO payments (alongside some direct Budget funding from Government</w:t>
      </w:r>
      <w:r w:rsidR="00997668" w:rsidRPr="00DC681C">
        <w:rPr>
          <w:lang w:val="en-US"/>
        </w:rPr>
        <w:t>)</w:t>
      </w:r>
      <w:r w:rsidRPr="00DC681C">
        <w:rPr>
          <w:lang w:val="en-US"/>
        </w:rPr>
        <w:t xml:space="preserve">, the National Relay Service and </w:t>
      </w:r>
      <w:r w:rsidR="00953CE5">
        <w:rPr>
          <w:lang w:val="en-US"/>
        </w:rPr>
        <w:t>the E</w:t>
      </w:r>
      <w:r w:rsidRPr="00DC681C">
        <w:rPr>
          <w:lang w:val="en-US"/>
        </w:rPr>
        <w:t xml:space="preserve">mergency </w:t>
      </w:r>
      <w:r w:rsidR="00953CE5">
        <w:rPr>
          <w:lang w:val="en-US"/>
        </w:rPr>
        <w:t>C</w:t>
      </w:r>
      <w:r w:rsidRPr="00DC681C">
        <w:rPr>
          <w:lang w:val="en-US"/>
        </w:rPr>
        <w:t>all</w:t>
      </w:r>
      <w:r w:rsidR="00953CE5">
        <w:rPr>
          <w:lang w:val="en-US"/>
        </w:rPr>
        <w:t xml:space="preserve"> Service</w:t>
      </w:r>
      <w:r w:rsidRPr="00DC681C">
        <w:rPr>
          <w:lang w:val="en-US"/>
        </w:rPr>
        <w:t>. This funding mechanism also has the ability to support other public policy telecommunications outcomes.</w:t>
      </w:r>
    </w:p>
    <w:p w14:paraId="5F1399FE" w14:textId="12836F58" w:rsidR="00173A7B" w:rsidRPr="00DC681C" w:rsidRDefault="00173A7B" w:rsidP="00173A7B">
      <w:pPr>
        <w:keepNext/>
      </w:pPr>
      <w:r w:rsidRPr="00DC681C">
        <w:t>The USO ensures that fixed standard telephone services (STS) and payphones are accessible to all people in Australia regardless of where they reside or carry on business. The fundamental USO requirement is set out in the TCPSS Act. Telstra is the designated universal service provider and has a statutory obligation to provide access to STS and payphones on reasonable request nationally on an equitable basis. These regulated retail obligations are supported by a contract between Telstra and the Commonwealth, the Telstra Universal Service Obligation Performance Agreement (TUSOPA), that commenced on 1 July 2012</w:t>
      </w:r>
      <w:bookmarkStart w:id="18" w:name="_GoBack"/>
      <w:r w:rsidRPr="00DC681C">
        <w:rPr>
          <w:rStyle w:val="FootnoteReference"/>
        </w:rPr>
        <w:footnoteReference w:id="2"/>
      </w:r>
      <w:bookmarkEnd w:id="18"/>
      <w:r w:rsidRPr="00DC681C">
        <w:t xml:space="preserve"> and expires on 30 June 2032. Under the TUSOPA, Telstra is paid $230 million per annum for the supply of STS</w:t>
      </w:r>
      <w:r w:rsidR="00953CE5">
        <w:t>,</w:t>
      </w:r>
      <w:r w:rsidRPr="00DC681C" w:rsidDel="00953CE5">
        <w:t xml:space="preserve"> </w:t>
      </w:r>
      <w:r w:rsidRPr="00DC681C">
        <w:t>$40 million per annum for the supply of payphone services</w:t>
      </w:r>
      <w:r w:rsidR="00953CE5">
        <w:t xml:space="preserve"> and $20 million per annum for the delivery of the Emergency Call Service</w:t>
      </w:r>
      <w:r w:rsidRPr="00DC681C">
        <w:t>. The contract also contains the copper continuity obligation, which requires Telstra to maintain copper services to supply voice services outside the fixed</w:t>
      </w:r>
      <w:r w:rsidR="00DC42E2">
        <w:t>-</w:t>
      </w:r>
      <w:r w:rsidRPr="00DC681C">
        <w:t>line footprint of the NBN that were in operation on 1</w:t>
      </w:r>
      <w:r w:rsidR="005C126F">
        <w:t> </w:t>
      </w:r>
      <w:r w:rsidRPr="00DC681C">
        <w:t>July</w:t>
      </w:r>
      <w:r w:rsidR="005C126F">
        <w:t> </w:t>
      </w:r>
      <w:r w:rsidRPr="00DC681C">
        <w:t xml:space="preserve">2012. </w:t>
      </w:r>
    </w:p>
    <w:p w14:paraId="0E078689" w14:textId="622DF401" w:rsidR="00173A7B" w:rsidRDefault="00997668" w:rsidP="00173A7B">
      <w:r w:rsidRPr="00DC681C">
        <w:t>The TIL arrangements</w:t>
      </w:r>
      <w:r w:rsidR="00173A7B" w:rsidRPr="00DC681C">
        <w:t xml:space="preserve"> require carriers</w:t>
      </w:r>
      <w:r w:rsidR="00993E7C">
        <w:t xml:space="preserve"> with </w:t>
      </w:r>
      <w:r w:rsidR="00446B1A">
        <w:t xml:space="preserve">annual </w:t>
      </w:r>
      <w:r w:rsidR="00993E7C">
        <w:t>eligible revenue of at least $25 million</w:t>
      </w:r>
      <w:r w:rsidR="00173A7B" w:rsidRPr="00DC681C">
        <w:t xml:space="preserve"> to contribute towards the cost of the USO and other contracts and grants</w:t>
      </w:r>
      <w:r w:rsidR="00173A7B" w:rsidRPr="00DC681C">
        <w:rPr>
          <w:rStyle w:val="FootnoteReference"/>
        </w:rPr>
        <w:footnoteReference w:id="3"/>
      </w:r>
      <w:r w:rsidR="00173A7B" w:rsidRPr="00DC681C">
        <w:t xml:space="preserve"> entered into under the TCPSS Act. Each year, the Department determines the Overall Levy Target Amount (OLTA) that needs to be collected from </w:t>
      </w:r>
      <w:r w:rsidR="00993E7C">
        <w:t xml:space="preserve">such </w:t>
      </w:r>
      <w:r w:rsidR="00173A7B" w:rsidRPr="00DC681C">
        <w:t xml:space="preserve">carriers. This is based on the </w:t>
      </w:r>
      <w:r w:rsidR="00446B1A">
        <w:t xml:space="preserve">actual </w:t>
      </w:r>
      <w:r w:rsidR="00173A7B" w:rsidRPr="00DC681C">
        <w:t xml:space="preserve">expenditure on public interest telecommunications services delivered by contracts and grants in the previous financial year, plus associated administrative costs, less an annual Government appropriation of $100 million. Contributions of individual carriers </w:t>
      </w:r>
      <w:r w:rsidR="00993E7C">
        <w:t xml:space="preserve">with eligible revenue of at least $25 million </w:t>
      </w:r>
      <w:r w:rsidR="00446B1A">
        <w:t>is</w:t>
      </w:r>
      <w:r w:rsidR="00173A7B" w:rsidRPr="00DC681C">
        <w:t xml:space="preserve"> then determined by the Australian Communications and Media Authority (ACMA), based on an assessment of their relative </w:t>
      </w:r>
      <w:r w:rsidR="00446B1A">
        <w:t>share of</w:t>
      </w:r>
      <w:r w:rsidR="00173A7B" w:rsidRPr="00DC681C">
        <w:t xml:space="preserve"> overall industry eligible revenue for the previous financial year. </w:t>
      </w:r>
      <w:r w:rsidR="00446B1A">
        <w:t xml:space="preserve">For example, this means </w:t>
      </w:r>
      <w:r w:rsidR="00173A7B" w:rsidRPr="00DC681C">
        <w:t>Telstra currently contributes around 50</w:t>
      </w:r>
      <w:r w:rsidR="00993E7C">
        <w:t xml:space="preserve"> per cent</w:t>
      </w:r>
      <w:r w:rsidR="00173A7B" w:rsidRPr="00DC681C">
        <w:t xml:space="preserve"> of TIL funds.</w:t>
      </w:r>
    </w:p>
    <w:p w14:paraId="6B3B922C" w14:textId="062586D1" w:rsidR="003E2DCD" w:rsidRDefault="00CF19A8" w:rsidP="00173A7B">
      <w:r>
        <w:t xml:space="preserve">Issues raised regarding </w:t>
      </w:r>
      <w:r w:rsidR="003E2DCD">
        <w:t>the operation of the TIL include</w:t>
      </w:r>
      <w:r w:rsidR="00547A45">
        <w:t xml:space="preserve"> concerns from stakeholders</w:t>
      </w:r>
      <w:r w:rsidR="003E2DCD">
        <w:t xml:space="preserve"> that there is inadequate transparency and accountability in </w:t>
      </w:r>
      <w:r w:rsidR="00547A45">
        <w:t>expenditure</w:t>
      </w:r>
      <w:r w:rsidR="003E2DCD">
        <w:t xml:space="preserve"> of funding</w:t>
      </w:r>
      <w:r w:rsidR="00446B1A">
        <w:t xml:space="preserve"> received by contract and grant recipients</w:t>
      </w:r>
      <w:r w:rsidR="00161F58">
        <w:t>. Specific issues have also been raised about who should and should not be required to contribute (</w:t>
      </w:r>
      <w:r w:rsidR="00033661">
        <w:t>i.e.</w:t>
      </w:r>
      <w:r w:rsidR="00161F58">
        <w:t xml:space="preserve"> which entities meet the definition of a carrier</w:t>
      </w:r>
      <w:r w:rsidR="005C126F">
        <w:t xml:space="preserve"> with eligible revenue</w:t>
      </w:r>
      <w:r w:rsidR="00161F58">
        <w:t>) and what revenue streams should</w:t>
      </w:r>
      <w:r w:rsidR="00547A45">
        <w:t xml:space="preserve"> </w:t>
      </w:r>
      <w:r w:rsidR="00F0694A">
        <w:t xml:space="preserve">be </w:t>
      </w:r>
      <w:r w:rsidR="00547A45">
        <w:t xml:space="preserve">included in </w:t>
      </w:r>
      <w:r w:rsidR="00161F58">
        <w:t>eligible revenue.</w:t>
      </w:r>
    </w:p>
    <w:p w14:paraId="41B97319" w14:textId="1F4FC23E" w:rsidR="00161F58" w:rsidRPr="00DC681C" w:rsidRDefault="00161F58" w:rsidP="00173A7B">
      <w:r>
        <w:t xml:space="preserve">The Government would like to leverage feedback and learnings from the operation of the TIL in considering </w:t>
      </w:r>
      <w:r w:rsidR="00A039DE">
        <w:t>the effectiveness of</w:t>
      </w:r>
      <w:r>
        <w:t xml:space="preserve"> funding </w:t>
      </w:r>
      <w:r w:rsidR="00A039DE">
        <w:t>arrangements</w:t>
      </w:r>
      <w:r>
        <w:t xml:space="preserve"> for regional telecommunications services.</w:t>
      </w:r>
    </w:p>
    <w:p w14:paraId="700C2484" w14:textId="4CFE2E71" w:rsidR="00D12862" w:rsidRPr="00D12862" w:rsidRDefault="00D12862" w:rsidP="00D12862">
      <w:pPr>
        <w:spacing w:before="80"/>
        <w:rPr>
          <w:b/>
          <w:sz w:val="24"/>
          <w:szCs w:val="24"/>
        </w:rPr>
      </w:pPr>
      <w:r w:rsidRPr="00D12862">
        <w:rPr>
          <w:b/>
          <w:sz w:val="24"/>
          <w:szCs w:val="24"/>
        </w:rPr>
        <w:t>Regional Broadband Scheme</w:t>
      </w:r>
      <w:r w:rsidR="002A2FDE">
        <w:rPr>
          <w:b/>
          <w:sz w:val="24"/>
          <w:szCs w:val="24"/>
        </w:rPr>
        <w:t xml:space="preserve"> (RBS)</w:t>
      </w:r>
    </w:p>
    <w:p w14:paraId="62E16382" w14:textId="27B8C4B7" w:rsidR="004E5521" w:rsidRDefault="002767D4" w:rsidP="005B1688">
      <w:pPr>
        <w:spacing w:before="80"/>
        <w:rPr>
          <w:lang w:val="en-US"/>
        </w:rPr>
      </w:pPr>
      <w:r>
        <w:t xml:space="preserve">The National Broadband Network rollout </w:t>
      </w:r>
      <w:r w:rsidR="00FD630A">
        <w:t xml:space="preserve">was </w:t>
      </w:r>
      <w:r>
        <w:t xml:space="preserve">initially </w:t>
      </w:r>
      <w:r w:rsidR="00FD630A">
        <w:t xml:space="preserve">designed to </w:t>
      </w:r>
      <w:r>
        <w:t>fund construction of the non</w:t>
      </w:r>
      <w:r w:rsidR="00FD630A">
        <w:noBreakHyphen/>
      </w:r>
      <w:r>
        <w:t xml:space="preserve">commercial fixed wireless and </w:t>
      </w:r>
      <w:r w:rsidR="006C2B8E">
        <w:t xml:space="preserve">geostationary </w:t>
      </w:r>
      <w:r>
        <w:t xml:space="preserve">satellite network through </w:t>
      </w:r>
      <w:r w:rsidR="00880D27">
        <w:t>a</w:t>
      </w:r>
      <w:r w:rsidR="00547A45">
        <w:t>n internal</w:t>
      </w:r>
      <w:r w:rsidR="00993E7C">
        <w:t xml:space="preserve"> </w:t>
      </w:r>
      <w:r w:rsidR="002F36DF" w:rsidRPr="00DC681C">
        <w:t>cross</w:t>
      </w:r>
      <w:r w:rsidR="00B3407D">
        <w:noBreakHyphen/>
      </w:r>
      <w:r w:rsidR="002F36DF" w:rsidRPr="00DC681C">
        <w:t>subsidy</w:t>
      </w:r>
      <w:r w:rsidR="00880D27">
        <w:t xml:space="preserve">. The Bureau of Communications, Arts and Regional Research </w:t>
      </w:r>
      <w:r w:rsidR="00DD0461">
        <w:t xml:space="preserve">(BCARR) </w:t>
      </w:r>
      <w:r w:rsidR="00880D27">
        <w:t>undertook a study to consider options for funding of NBN Co’s non</w:t>
      </w:r>
      <w:r w:rsidR="00880D27">
        <w:noBreakHyphen/>
        <w:t>commercial services.</w:t>
      </w:r>
      <w:r w:rsidR="00880D27">
        <w:rPr>
          <w:rStyle w:val="FootnoteReference"/>
        </w:rPr>
        <w:footnoteReference w:id="4"/>
      </w:r>
      <w:r w:rsidR="002F36DF" w:rsidRPr="00DC681C">
        <w:t xml:space="preserve"> </w:t>
      </w:r>
      <w:r w:rsidR="00880D27">
        <w:t>The R</w:t>
      </w:r>
      <w:r w:rsidR="002A2FDE">
        <w:t>BS</w:t>
      </w:r>
      <w:r w:rsidR="00880D27">
        <w:t xml:space="preserve"> was developed based on BCARR’s report with the aim of making funding for these non</w:t>
      </w:r>
      <w:r w:rsidR="006C2B8E">
        <w:noBreakHyphen/>
      </w:r>
      <w:r w:rsidR="00880D27">
        <w:t xml:space="preserve">commercial services </w:t>
      </w:r>
      <w:r w:rsidR="00880D27" w:rsidRPr="00DC681C">
        <w:t>transparent and sustainable</w:t>
      </w:r>
      <w:r w:rsidR="00780CF6">
        <w:t>.</w:t>
      </w:r>
    </w:p>
    <w:p w14:paraId="75B29E9B" w14:textId="29BAB5D7" w:rsidR="00D11CCD" w:rsidRDefault="000C7875" w:rsidP="005B1688">
      <w:pPr>
        <w:spacing w:before="80"/>
      </w:pPr>
      <w:r w:rsidRPr="00DC681C">
        <w:rPr>
          <w:lang w:val="en-US"/>
        </w:rPr>
        <w:t xml:space="preserve">The legislation establishing the </w:t>
      </w:r>
      <w:r w:rsidR="002A2FDE">
        <w:rPr>
          <w:lang w:val="en-US"/>
        </w:rPr>
        <w:t>RBS</w:t>
      </w:r>
      <w:r w:rsidRPr="00DC681C">
        <w:rPr>
          <w:lang w:val="en-US"/>
        </w:rPr>
        <w:t xml:space="preserve"> was passed by Parliament in May 2020 and the scheme commenced on 1</w:t>
      </w:r>
      <w:r w:rsidR="00993E7C">
        <w:rPr>
          <w:lang w:val="en-US"/>
        </w:rPr>
        <w:t> </w:t>
      </w:r>
      <w:r w:rsidRPr="00DC681C">
        <w:rPr>
          <w:lang w:val="en-US"/>
        </w:rPr>
        <w:t xml:space="preserve">January 2021. </w:t>
      </w:r>
      <w:r w:rsidRPr="00DC681C">
        <w:t xml:space="preserve">Under the RBS, carriers (including NBN Co) that have active local access lines that provide a high-speed superfast broadband service </w:t>
      </w:r>
      <w:r w:rsidR="00A039DE">
        <w:t>(of at least 25</w:t>
      </w:r>
      <w:r w:rsidR="00FD630A">
        <w:t>/</w:t>
      </w:r>
      <w:r w:rsidR="00A039DE">
        <w:t xml:space="preserve">5 megabit per second (Mbps)) </w:t>
      </w:r>
      <w:r w:rsidRPr="00DC681C">
        <w:t>are required to pay a monthly charge for each premises connected to their telecommunications network. There are some transitional concessions under the scheme during the first five years of the scheme, as well as exemptions for small networks. There is also an offset arrangement for NBN Co’s charge liability. In effect, this means NBN</w:t>
      </w:r>
      <w:r w:rsidR="00A039DE">
        <w:t> </w:t>
      </w:r>
      <w:r w:rsidRPr="00DC681C">
        <w:t>Co’s fixed</w:t>
      </w:r>
      <w:r w:rsidR="00DC42E2">
        <w:t>-</w:t>
      </w:r>
      <w:r w:rsidRPr="00DC681C">
        <w:t>line network and other relevant high-speed fixed</w:t>
      </w:r>
      <w:r w:rsidR="00DC42E2">
        <w:t>-</w:t>
      </w:r>
      <w:r w:rsidRPr="00DC681C">
        <w:t>line broadband services provided by other carriers, contribute financially towards meeting the costs of providing NBN Co’s fixed wireless and satellite services</w:t>
      </w:r>
      <w:r w:rsidR="006E4A38">
        <w:t>, with NBN Co contributing around 95</w:t>
      </w:r>
      <w:r w:rsidR="00993E7C">
        <w:t xml:space="preserve"> per cent</w:t>
      </w:r>
      <w:r w:rsidR="006E4A38">
        <w:t xml:space="preserve"> of RBS funds.</w:t>
      </w:r>
      <w:r w:rsidR="00993E7C">
        <w:t xml:space="preserve"> The ACCC has an ongoing role in assessing the amount of </w:t>
      </w:r>
      <w:r w:rsidR="00131F30">
        <w:t>charge</w:t>
      </w:r>
      <w:r w:rsidR="00993E7C">
        <w:t xml:space="preserve"> required to cover NBN Co’s net losses.</w:t>
      </w:r>
    </w:p>
    <w:p w14:paraId="69D05115" w14:textId="12CC2779" w:rsidR="006C72DF" w:rsidRPr="00DC681C" w:rsidRDefault="006C72DF" w:rsidP="006C72DF">
      <w:pPr>
        <w:spacing w:before="80"/>
      </w:pPr>
      <w:r w:rsidRPr="00DC681C">
        <w:rPr>
          <w:lang w:val="en-US"/>
        </w:rPr>
        <w:t xml:space="preserve">The RBS supports NBN Co’s role as the default Statutory Infrastructure Provider </w:t>
      </w:r>
      <w:r w:rsidR="00993E7C">
        <w:rPr>
          <w:lang w:val="en-US"/>
        </w:rPr>
        <w:t xml:space="preserve">(SIP) </w:t>
      </w:r>
      <w:r w:rsidRPr="00DC681C">
        <w:rPr>
          <w:lang w:val="en-US"/>
        </w:rPr>
        <w:t xml:space="preserve">as part of the </w:t>
      </w:r>
      <w:hyperlink r:id="rId25" w:history="1">
        <w:r w:rsidRPr="00DC681C">
          <w:rPr>
            <w:rStyle w:val="Hyperlink"/>
          </w:rPr>
          <w:t>SIP regime</w:t>
        </w:r>
      </w:hyperlink>
      <w:r w:rsidR="00D12862" w:rsidRPr="00DC681C">
        <w:rPr>
          <w:rStyle w:val="Hyperlink"/>
        </w:rPr>
        <w:t>,</w:t>
      </w:r>
      <w:r w:rsidRPr="00DC681C">
        <w:t xml:space="preserve"> set out in the </w:t>
      </w:r>
      <w:r w:rsidRPr="00DC681C">
        <w:rPr>
          <w:i/>
        </w:rPr>
        <w:t>Telecommunications Act 1997</w:t>
      </w:r>
      <w:r w:rsidR="003939B0">
        <w:rPr>
          <w:i/>
        </w:rPr>
        <w:t xml:space="preserve"> </w:t>
      </w:r>
      <w:r w:rsidR="003939B0" w:rsidRPr="00F0694A">
        <w:t>(Tel Act)</w:t>
      </w:r>
      <w:r w:rsidRPr="00DC681C">
        <w:rPr>
          <w:i/>
        </w:rPr>
        <w:t xml:space="preserve">. </w:t>
      </w:r>
      <w:r w:rsidRPr="00DC681C">
        <w:t>NBN Co is the default SIP nationally and provides broadband infrastructure to premises across Australia using a combination of fixed</w:t>
      </w:r>
      <w:r w:rsidR="00DC42E2">
        <w:t>-</w:t>
      </w:r>
      <w:r w:rsidRPr="00DC681C">
        <w:t xml:space="preserve">line, fixed wireless and satellite technology. Other carriers </w:t>
      </w:r>
      <w:r w:rsidR="00547A45">
        <w:t xml:space="preserve">can </w:t>
      </w:r>
      <w:r w:rsidRPr="00DC681C">
        <w:t>become SIPs</w:t>
      </w:r>
      <w:r w:rsidR="00547A45">
        <w:t xml:space="preserve"> in specific areas,</w:t>
      </w:r>
      <w:r w:rsidRPr="00DC681C">
        <w:t xml:space="preserve"> generally </w:t>
      </w:r>
      <w:r w:rsidR="00547A45">
        <w:t xml:space="preserve">either through </w:t>
      </w:r>
      <w:r w:rsidRPr="00DC681C">
        <w:t>contrac</w:t>
      </w:r>
      <w:r w:rsidR="00547A45">
        <w:t>ting</w:t>
      </w:r>
      <w:r w:rsidRPr="00DC681C">
        <w:t xml:space="preserve"> to service an area such as a new development or</w:t>
      </w:r>
      <w:r w:rsidR="00547A45">
        <w:t xml:space="preserve"> an area being redeveloped, or</w:t>
      </w:r>
      <w:r w:rsidRPr="00DC681C">
        <w:t xml:space="preserve"> through Ministerial designation. </w:t>
      </w:r>
    </w:p>
    <w:p w14:paraId="77C38BC9" w14:textId="77777777" w:rsidR="006C72DF" w:rsidRPr="00DC681C" w:rsidRDefault="006C72DF" w:rsidP="006C72DF">
      <w:pPr>
        <w:spacing w:before="80"/>
      </w:pPr>
      <w:r w:rsidRPr="00DC681C">
        <w:t xml:space="preserve">All SIPs have obligations to connect premises to their networks and supply wholesale services that allow retail providers to provide broadband services with peak download and upload speeds of at least 25/5 Mbps. </w:t>
      </w:r>
    </w:p>
    <w:p w14:paraId="26B172DA" w14:textId="77777777" w:rsidR="00342645" w:rsidRDefault="006C72DF" w:rsidP="006C72DF">
      <w:pPr>
        <w:spacing w:before="80"/>
      </w:pPr>
      <w:r w:rsidRPr="00DC681C">
        <w:t>On fixed</w:t>
      </w:r>
      <w:r w:rsidR="00DC42E2">
        <w:t>-</w:t>
      </w:r>
      <w:r w:rsidRPr="00DC681C">
        <w:t>line and fixed wireless networks, wholesale services supplied by SIPs must be able to support retail voice services. This reflects that these technologies are able to support baseline voice services such as those delivered under the USO</w:t>
      </w:r>
      <w:r w:rsidR="00201771">
        <w:t>, although USO voice services are not currently offered over NBN fixed wireless</w:t>
      </w:r>
      <w:r w:rsidRPr="00DC681C">
        <w:t xml:space="preserve">. </w:t>
      </w:r>
      <w:r w:rsidR="00AF6AAF">
        <w:t xml:space="preserve">USO voice services are not currently available over NBN fixed wireless technology due to the service standards offered via NBN Co’s contractual arrangements with retailers not meeting USO requirements. NBN Co is currently delivering voice services over its fixed wireless service and these services perform well. </w:t>
      </w:r>
    </w:p>
    <w:p w14:paraId="23D69336" w14:textId="0491FAD9" w:rsidR="006C72DF" w:rsidRPr="00DC681C" w:rsidRDefault="006C72DF" w:rsidP="006C72DF">
      <w:pPr>
        <w:spacing w:before="80"/>
      </w:pPr>
      <w:r w:rsidRPr="00DC681C">
        <w:t xml:space="preserve">The requirement </w:t>
      </w:r>
      <w:r w:rsidR="000C4312">
        <w:t xml:space="preserve">to provide USO services </w:t>
      </w:r>
      <w:r w:rsidRPr="00DC681C">
        <w:t xml:space="preserve">does not apply to satellite broadband services supplied by SIPs. While it is the case that NBN Co’s Sky Muster satellites, and other geostationary satellites available in Australia, can support voice calling, and may be used for this purpose by some customers, they have broadly not been seen as a suitable primary platform for USO voice services. This has reflected that there are inherent technical limitations, such as higher latency (delay), for services supported over geostationary satellites, which can impact the quality and customer experience of voice calls. Future delivery of voice services and the requirements of a modern universal services framework are being considered through the consultation on </w:t>
      </w:r>
      <w:r w:rsidRPr="005C126F">
        <w:rPr>
          <w:i/>
        </w:rPr>
        <w:t>Better delivery of universal services</w:t>
      </w:r>
      <w:r w:rsidRPr="00DC681C">
        <w:t>.</w:t>
      </w:r>
    </w:p>
    <w:p w14:paraId="2471E6E2" w14:textId="7A6385DD" w:rsidR="006E0081" w:rsidRDefault="00035D6C" w:rsidP="005B1688">
      <w:pPr>
        <w:spacing w:before="80"/>
      </w:pPr>
      <w:r w:rsidRPr="00DC681C">
        <w:rPr>
          <w:lang w:val="en-US"/>
        </w:rPr>
        <w:t xml:space="preserve">The </w:t>
      </w:r>
      <w:r w:rsidR="00547A45">
        <w:rPr>
          <w:lang w:val="en-US"/>
        </w:rPr>
        <w:t>RBS charge</w:t>
      </w:r>
      <w:r w:rsidRPr="00DC681C">
        <w:rPr>
          <w:lang w:val="en-US"/>
        </w:rPr>
        <w:t xml:space="preserve"> amounts for the first </w:t>
      </w:r>
      <w:r w:rsidR="00B24BDA" w:rsidRPr="00DC681C">
        <w:rPr>
          <w:lang w:val="en-US"/>
        </w:rPr>
        <w:t>eligible financial ye</w:t>
      </w:r>
      <w:r w:rsidRPr="00DC681C">
        <w:rPr>
          <w:lang w:val="en-US"/>
        </w:rPr>
        <w:t xml:space="preserve">ar were set out in the legislation at $7.09 for the base component (an amount designed to cover NBN Co’s long-term net losses) with variable amounts of </w:t>
      </w:r>
      <w:r w:rsidR="00B24BDA" w:rsidRPr="00DC681C">
        <w:rPr>
          <w:lang w:val="en-US"/>
        </w:rPr>
        <w:t>$0.01 or less s</w:t>
      </w:r>
      <w:r w:rsidRPr="00DC681C">
        <w:rPr>
          <w:lang w:val="en-US"/>
        </w:rPr>
        <w:t>et for the administrative c</w:t>
      </w:r>
      <w:r w:rsidR="00474567">
        <w:rPr>
          <w:lang w:val="en-US"/>
        </w:rPr>
        <w:t>ost</w:t>
      </w:r>
      <w:r w:rsidRPr="00DC681C">
        <w:rPr>
          <w:lang w:val="en-US"/>
        </w:rPr>
        <w:t xml:space="preserve"> component during the first five years of the scheme. The administrative c</w:t>
      </w:r>
      <w:r w:rsidR="00474567">
        <w:rPr>
          <w:lang w:val="en-US"/>
        </w:rPr>
        <w:t>ost</w:t>
      </w:r>
      <w:r w:rsidRPr="00DC681C">
        <w:rPr>
          <w:lang w:val="en-US"/>
        </w:rPr>
        <w:t xml:space="preserve"> component is designed to cover the cost incurred </w:t>
      </w:r>
      <w:r w:rsidR="0042659B" w:rsidRPr="00DC681C">
        <w:rPr>
          <w:lang w:val="en-US"/>
        </w:rPr>
        <w:t>in</w:t>
      </w:r>
      <w:r w:rsidRPr="00DC681C">
        <w:rPr>
          <w:lang w:val="en-US"/>
        </w:rPr>
        <w:t xml:space="preserve"> administering the scheme. The </w:t>
      </w:r>
      <w:r w:rsidR="00547A45">
        <w:rPr>
          <w:lang w:val="en-US"/>
        </w:rPr>
        <w:t>charge</w:t>
      </w:r>
      <w:r w:rsidRPr="00DC681C">
        <w:rPr>
          <w:lang w:val="en-US"/>
        </w:rPr>
        <w:t xml:space="preserve"> is CPI indexed with the </w:t>
      </w:r>
      <w:r w:rsidR="00B24BDA" w:rsidRPr="00DC681C">
        <w:rPr>
          <w:lang w:val="en-US"/>
        </w:rPr>
        <w:t xml:space="preserve">2022-23 base component </w:t>
      </w:r>
      <w:r w:rsidR="0042659B" w:rsidRPr="00DC681C">
        <w:rPr>
          <w:lang w:val="en-US"/>
        </w:rPr>
        <w:t xml:space="preserve">determined </w:t>
      </w:r>
      <w:r w:rsidR="00B24BDA" w:rsidRPr="00DC681C">
        <w:rPr>
          <w:lang w:val="en-US"/>
        </w:rPr>
        <w:t>at</w:t>
      </w:r>
      <w:r w:rsidR="00D11CCD" w:rsidRPr="00DC681C">
        <w:rPr>
          <w:lang w:val="en-US"/>
        </w:rPr>
        <w:t xml:space="preserve"> </w:t>
      </w:r>
      <w:r w:rsidR="00D11CCD" w:rsidRPr="00DC681C">
        <w:t>$7.97320</w:t>
      </w:r>
      <w:r w:rsidR="008A7440" w:rsidRPr="00DC681C">
        <w:t xml:space="preserve"> per </w:t>
      </w:r>
      <w:r w:rsidR="00B24BDA" w:rsidRPr="00DC681C">
        <w:t xml:space="preserve">premises with an active </w:t>
      </w:r>
      <w:r w:rsidR="0042659B" w:rsidRPr="00DC681C">
        <w:t xml:space="preserve">superfast fixed-line </w:t>
      </w:r>
      <w:r w:rsidR="00B24BDA" w:rsidRPr="00DC681C">
        <w:t>service each month</w:t>
      </w:r>
      <w:r w:rsidR="0042659B" w:rsidRPr="00DC681C">
        <w:t xml:space="preserve">. Carriers are required to report the number of chargeable premises for the previous financial year to the ACMA by 31 October of each year, with the ACMA then providing assessments to carriers by </w:t>
      </w:r>
      <w:r w:rsidR="00A41FC0" w:rsidRPr="00DC681C">
        <w:t xml:space="preserve">31 December </w:t>
      </w:r>
      <w:r w:rsidR="0042659B" w:rsidRPr="00DC681C">
        <w:t xml:space="preserve">and funds </w:t>
      </w:r>
      <w:r w:rsidR="00CC1F8C">
        <w:t xml:space="preserve">are </w:t>
      </w:r>
      <w:r w:rsidR="0042659B" w:rsidRPr="00DC681C">
        <w:t xml:space="preserve">due </w:t>
      </w:r>
      <w:r w:rsidR="00CC1F8C">
        <w:t xml:space="preserve">to the ACMA </w:t>
      </w:r>
      <w:r w:rsidR="0042659B" w:rsidRPr="00DC681C">
        <w:t xml:space="preserve">by 28 February the following year. </w:t>
      </w:r>
      <w:r w:rsidR="0048077A">
        <w:t>Funds</w:t>
      </w:r>
      <w:r w:rsidR="00CC1F8C">
        <w:t xml:space="preserve"> paid by carriers</w:t>
      </w:r>
      <w:r w:rsidR="0048077A">
        <w:t xml:space="preserve"> </w:t>
      </w:r>
      <w:r w:rsidR="00CC1F8C">
        <w:t xml:space="preserve">are then transferred </w:t>
      </w:r>
      <w:r w:rsidR="0048077A">
        <w:t>to the RBS Special Account administered by the Department.</w:t>
      </w:r>
    </w:p>
    <w:p w14:paraId="7053C542" w14:textId="487BA240" w:rsidR="00D11CCD" w:rsidRPr="00DC681C" w:rsidRDefault="0048077A" w:rsidP="005B1688">
      <w:pPr>
        <w:spacing w:before="80"/>
      </w:pPr>
      <w:r>
        <w:t>Under section 80 of the TCPSS Act</w:t>
      </w:r>
      <w:r w:rsidR="00714239">
        <w:t>,</w:t>
      </w:r>
      <w:r>
        <w:t xml:space="preserve"> the Secretary of the Department is able to disburse base component funds from the RBS Special Account to eligible funding recipients through a contract or grant. </w:t>
      </w:r>
      <w:r w:rsidR="0042659B" w:rsidRPr="00DC681C">
        <w:t xml:space="preserve">The Department </w:t>
      </w:r>
      <w:r>
        <w:t xml:space="preserve">currently pays </w:t>
      </w:r>
      <w:r w:rsidR="0042659B" w:rsidRPr="00DC681C">
        <w:t>funds to</w:t>
      </w:r>
      <w:r>
        <w:t xml:space="preserve"> NBN Co as the only</w:t>
      </w:r>
      <w:r w:rsidR="0042659B" w:rsidRPr="00DC681C">
        <w:t xml:space="preserve"> eligible funding recipient</w:t>
      </w:r>
      <w:r>
        <w:t xml:space="preserve"> through a contract.</w:t>
      </w:r>
      <w:r w:rsidR="0042659B" w:rsidRPr="00DC681C">
        <w:t xml:space="preserve"> </w:t>
      </w:r>
      <w:r>
        <w:t>E</w:t>
      </w:r>
      <w:r w:rsidR="0042659B" w:rsidRPr="00DC681C">
        <w:t xml:space="preserve">ligible funding recipients are able to offset their RBS contributions against RBS funding entitlement for the year. </w:t>
      </w:r>
      <w:r w:rsidR="003621F8" w:rsidRPr="00DC681C">
        <w:t xml:space="preserve">The Minister for Communications is able, via legislative instrument, to determine one or more other (non NBN Co) carriers as eligible funding recipients. </w:t>
      </w:r>
      <w:r>
        <w:t xml:space="preserve">The Secretary of the Department also has certain powers and functions in relation to </w:t>
      </w:r>
      <w:r w:rsidR="00CC1F8C">
        <w:t>contracts or grants to RBS eligible funding recipients in relation to fixed wireless broadband and satellite broadband.</w:t>
      </w:r>
    </w:p>
    <w:p w14:paraId="3505526C" w14:textId="70A7CF58" w:rsidR="003621F8" w:rsidRPr="00DC681C" w:rsidRDefault="003621F8" w:rsidP="005B1688">
      <w:pPr>
        <w:spacing w:before="80"/>
      </w:pPr>
      <w:r w:rsidRPr="00DC681C">
        <w:t>The ACCC is responsible for providing advice to the Minister at least once every five years on the base component of the RBS</w:t>
      </w:r>
      <w:r w:rsidR="00CF6629">
        <w:t>. This includes advice on</w:t>
      </w:r>
      <w:r w:rsidRPr="00DC681C">
        <w:t xml:space="preserve"> the monthly per line charge for active services such that the amounts collected by the Commonwealth can cover the net losses of NBN Co’s fixed wireless and satellite broadband services. The ACCC is required to also provide advice on the appropriate administrative cost component at the same time.</w:t>
      </w:r>
      <w:r w:rsidR="00F23FC2">
        <w:t xml:space="preserve"> Within the legislation creating the RBS, the ACCC was required to provide a </w:t>
      </w:r>
      <w:r w:rsidR="007430E6">
        <w:t>one</w:t>
      </w:r>
      <w:r w:rsidR="007430E6">
        <w:noBreakHyphen/>
        <w:t xml:space="preserve">off </w:t>
      </w:r>
      <w:r w:rsidR="00F23FC2">
        <w:t>report to update costings in relation to the amount required to cover NBN Co’s net losses in operating its fixed wireless and satellite networks</w:t>
      </w:r>
      <w:r w:rsidR="007430E6">
        <w:t>. For this costing, the ACCC was required to use</w:t>
      </w:r>
      <w:r w:rsidR="00F23FC2">
        <w:t xml:space="preserve"> the same model and methodology used by BCARR</w:t>
      </w:r>
      <w:r w:rsidR="007430E6">
        <w:t xml:space="preserve"> in its 2016 report</w:t>
      </w:r>
      <w:r w:rsidR="00F23FC2">
        <w:t>. Th</w:t>
      </w:r>
      <w:r w:rsidR="007430E6">
        <w:t>e ACCC’s</w:t>
      </w:r>
      <w:r w:rsidR="00F23FC2">
        <w:t xml:space="preserve"> report was published in October 2020.</w:t>
      </w:r>
      <w:r w:rsidR="00F23FC2">
        <w:rPr>
          <w:rStyle w:val="FootnoteReference"/>
        </w:rPr>
        <w:footnoteReference w:id="5"/>
      </w:r>
    </w:p>
    <w:p w14:paraId="3887BDCE" w14:textId="08E2905D" w:rsidR="0053176A" w:rsidRDefault="0053176A" w:rsidP="0053176A">
      <w:r>
        <w:t xml:space="preserve">Issues raised regarding the operation of the RBS include whether the charge based needs to be broadened from its current focus on </w:t>
      </w:r>
      <w:r w:rsidR="00131F30">
        <w:t>charging</w:t>
      </w:r>
      <w:r>
        <w:t xml:space="preserve"> fixed-line services given changes in the telecommunications market in recent years. </w:t>
      </w:r>
    </w:p>
    <w:p w14:paraId="4A895A55" w14:textId="674D7D61" w:rsidR="0053176A" w:rsidRPr="00495EAE" w:rsidRDefault="0053176A" w:rsidP="0053176A">
      <w:r>
        <w:t>The Government would like to leverage feedback and learnings from the operation of the RBS both as part of the RBS review but also in considering</w:t>
      </w:r>
      <w:r w:rsidR="00714239">
        <w:t xml:space="preserve"> the effectiveness of</w:t>
      </w:r>
      <w:r>
        <w:t xml:space="preserve"> long</w:t>
      </w:r>
      <w:r>
        <w:noBreakHyphen/>
        <w:t>term funding mechanisms for regional telecommunications services more broadly.</w:t>
      </w:r>
    </w:p>
    <w:p w14:paraId="2183E232" w14:textId="6B6C3419" w:rsidR="00FC6845" w:rsidRPr="009C60A5" w:rsidRDefault="00FC6845" w:rsidP="00FC6845">
      <w:pPr>
        <w:spacing w:before="80"/>
        <w:rPr>
          <w:b/>
          <w:sz w:val="24"/>
          <w:szCs w:val="24"/>
        </w:rPr>
      </w:pPr>
      <w:bookmarkStart w:id="19" w:name="_Hlk156385354"/>
      <w:bookmarkStart w:id="20" w:name="_Hlk149132811"/>
      <w:bookmarkStart w:id="21" w:name="_Hlk149132799"/>
      <w:r>
        <w:rPr>
          <w:b/>
          <w:sz w:val="24"/>
          <w:szCs w:val="24"/>
        </w:rPr>
        <w:t>Other telecommunications funding</w:t>
      </w:r>
    </w:p>
    <w:p w14:paraId="6399B989" w14:textId="65A223C1" w:rsidR="00AF4B4C" w:rsidRDefault="00AF4B4C" w:rsidP="002A0921">
      <w:pPr>
        <w:spacing w:before="80"/>
      </w:pPr>
      <w:r>
        <w:t>Besides the two telecommunications levies, there are other significant investment</w:t>
      </w:r>
      <w:r w:rsidR="00CA1339">
        <w:t>s</w:t>
      </w:r>
      <w:r>
        <w:t xml:space="preserve"> and other funding flows in the telecommunications space.</w:t>
      </w:r>
    </w:p>
    <w:p w14:paraId="09C9AF14" w14:textId="70CA518F" w:rsidR="00AF4B4C" w:rsidRDefault="00AF4B4C" w:rsidP="002A0921">
      <w:pPr>
        <w:spacing w:before="80"/>
      </w:pPr>
      <w:r>
        <w:t xml:space="preserve">The </w:t>
      </w:r>
      <w:r w:rsidR="00DE12A5">
        <w:t>G</w:t>
      </w:r>
      <w:r>
        <w:t xml:space="preserve">overnment has invested </w:t>
      </w:r>
      <w:r w:rsidR="00A1775E">
        <w:t>over $</w:t>
      </w:r>
      <w:r w:rsidR="00CA1339">
        <w:t>30</w:t>
      </w:r>
      <w:r w:rsidR="00A1775E">
        <w:t xml:space="preserve"> billion in NBN Co</w:t>
      </w:r>
      <w:r w:rsidR="009949FC">
        <w:t xml:space="preserve"> to fund the initial rollout and some upgrades. And the Government also</w:t>
      </w:r>
      <w:r w:rsidR="00A1775E">
        <w:t xml:space="preserve"> loaned the company</w:t>
      </w:r>
      <w:r w:rsidR="009949FC">
        <w:t xml:space="preserve"> $19.5 billion</w:t>
      </w:r>
      <w:r w:rsidR="00A1775E">
        <w:t xml:space="preserve"> to </w:t>
      </w:r>
      <w:r w:rsidR="009949FC">
        <w:t>complete the initial rollout</w:t>
      </w:r>
      <w:r w:rsidR="00A1775E">
        <w:t xml:space="preserve"> with the current loan value sitting at $5.5 billion.</w:t>
      </w:r>
    </w:p>
    <w:p w14:paraId="06C8043A" w14:textId="22083CB5" w:rsidR="002A0921" w:rsidRDefault="00CA1339" w:rsidP="002A0921">
      <w:pPr>
        <w:spacing w:before="80"/>
      </w:pPr>
      <w:r>
        <w:t xml:space="preserve">Budget funding is also provided to support and improve telecommunications services. This includes a </w:t>
      </w:r>
      <w:r w:rsidR="003843A4">
        <w:t>$100</w:t>
      </w:r>
      <w:r>
        <w:t> </w:t>
      </w:r>
      <w:r w:rsidR="003843A4">
        <w:t xml:space="preserve">million </w:t>
      </w:r>
      <w:r>
        <w:t xml:space="preserve">annual contribution towards USO/public interest services </w:t>
      </w:r>
      <w:r w:rsidR="00BE485F">
        <w:t>and p</w:t>
      </w:r>
      <w:r w:rsidR="00FD6134">
        <w:t xml:space="preserve">rograms </w:t>
      </w:r>
      <w:r>
        <w:t xml:space="preserve">currently underway </w:t>
      </w:r>
      <w:r w:rsidR="00FD6134">
        <w:t>such as the</w:t>
      </w:r>
      <w:r w:rsidR="002A0921">
        <w:t xml:space="preserve"> </w:t>
      </w:r>
      <w:hyperlink r:id="rId26" w:history="1">
        <w:r w:rsidR="002A0921" w:rsidRPr="00E84E04">
          <w:rPr>
            <w:rStyle w:val="Hyperlink"/>
          </w:rPr>
          <w:t>Better Connectivity Plan for Regional and Rural Australia (Better Connectivity Plan)</w:t>
        </w:r>
      </w:hyperlink>
      <w:r w:rsidR="00F30F6F">
        <w:rPr>
          <w:rStyle w:val="Hyperlink"/>
        </w:rPr>
        <w:t xml:space="preserve"> </w:t>
      </w:r>
      <w:r w:rsidRPr="00F0694A">
        <w:t xml:space="preserve">providing $656 million </w:t>
      </w:r>
      <w:r w:rsidR="00F30F6F" w:rsidRPr="00F0694A">
        <w:t>aimed at improving mobile and broadband connectivity and resilience in rural and regional Australia</w:t>
      </w:r>
      <w:r w:rsidRPr="00F0694A">
        <w:t xml:space="preserve"> and $480 million to improve NBN fixed wireless and satellite services. </w:t>
      </w:r>
      <w:r w:rsidR="000C4312">
        <w:t xml:space="preserve">Two rounds of </w:t>
      </w:r>
      <w:r w:rsidR="00992694">
        <w:t xml:space="preserve">grants for </w:t>
      </w:r>
      <w:r w:rsidR="000C4312">
        <w:t xml:space="preserve">the Mobile Black Spot Program and Round 3 of the Regional Connectivity Program </w:t>
      </w:r>
      <w:r w:rsidR="00992694">
        <w:t xml:space="preserve">have </w:t>
      </w:r>
      <w:r w:rsidR="005C126F">
        <w:t xml:space="preserve">very recently </w:t>
      </w:r>
      <w:r w:rsidR="00992694">
        <w:t>been completed, with the On Farm Connectivity Program currently underway.</w:t>
      </w:r>
      <w:r w:rsidR="000C4312">
        <w:t xml:space="preserve"> </w:t>
      </w:r>
      <w:r w:rsidR="00941B83" w:rsidRPr="00F0694A">
        <w:t>Other current programs include</w:t>
      </w:r>
      <w:r w:rsidR="00F30F6F" w:rsidRPr="00F0694A">
        <w:t xml:space="preserve"> </w:t>
      </w:r>
      <w:r w:rsidR="00992694">
        <w:t xml:space="preserve">funding aimed at improving telecommunications resilience and </w:t>
      </w:r>
      <w:r w:rsidR="00F30F6F" w:rsidRPr="00F0694A">
        <w:t xml:space="preserve">direct funding of </w:t>
      </w:r>
      <w:r w:rsidR="00C93388" w:rsidRPr="00F0694A">
        <w:t xml:space="preserve">telecommunications </w:t>
      </w:r>
      <w:r w:rsidR="00F30F6F" w:rsidRPr="00F0694A">
        <w:t>service provision in remote</w:t>
      </w:r>
      <w:r w:rsidR="00D247E0" w:rsidRPr="00F0694A">
        <w:t xml:space="preserve"> First Nations </w:t>
      </w:r>
      <w:r w:rsidR="00F30F6F" w:rsidRPr="00F0694A">
        <w:t>communities by the N</w:t>
      </w:r>
      <w:r w:rsidR="005231C6" w:rsidRPr="00F0694A">
        <w:t>ational Indigenous Australian Agency</w:t>
      </w:r>
      <w:r w:rsidR="00F23FC2">
        <w:t>, the Department of Social Services and the Department of Infrastructure, Transport, Regional Development, Communications and the Arts</w:t>
      </w:r>
      <w:r w:rsidR="005231C6" w:rsidRPr="00F0694A">
        <w:t>.</w:t>
      </w:r>
      <w:r w:rsidR="009E4245">
        <w:rPr>
          <w:rStyle w:val="FootnoteReference"/>
          <w:rFonts w:cstheme="minorHAnsi"/>
          <w:color w:val="212529"/>
          <w:shd w:val="clear" w:color="auto" w:fill="FFFFFF"/>
        </w:rPr>
        <w:footnoteReference w:id="6"/>
      </w:r>
      <w:r w:rsidR="002A0921">
        <w:t xml:space="preserve"> </w:t>
      </w:r>
      <w:r w:rsidR="00941B83">
        <w:t>Government budget funded programs in the recent past have provided over $600 million to programs such as rounds 1</w:t>
      </w:r>
      <w:r w:rsidR="00941B83">
        <w:noBreakHyphen/>
      </w:r>
      <w:r w:rsidR="000C4312">
        <w:t>5</w:t>
      </w:r>
      <w:r w:rsidR="00941B83">
        <w:t> of the Mobile Black Spot Program, rounds 1 and 2 of the Regional Connectivity Program and the Peri</w:t>
      </w:r>
      <w:r w:rsidR="00941B83">
        <w:noBreakHyphen/>
        <w:t>urban Mobile Program among others.</w:t>
      </w:r>
    </w:p>
    <w:p w14:paraId="39F34327" w14:textId="65847DFE" w:rsidR="00F31F7E" w:rsidRDefault="00C5397B" w:rsidP="00F31F7E">
      <w:pPr>
        <w:spacing w:before="80"/>
        <w:rPr>
          <w:b/>
          <w:sz w:val="24"/>
          <w:szCs w:val="24"/>
        </w:rPr>
      </w:pPr>
      <w:r>
        <w:t>Industry also contributes to</w:t>
      </w:r>
      <w:r w:rsidR="00DA646C">
        <w:t xml:space="preserve"> telecommunications </w:t>
      </w:r>
      <w:r>
        <w:t>delivery through</w:t>
      </w:r>
      <w:r w:rsidR="00DA646C">
        <w:t xml:space="preserve"> </w:t>
      </w:r>
      <w:r w:rsidR="00941B83">
        <w:t xml:space="preserve">payments that support efficient use of public resources such as spectrum access charges and Australian phone numbers (Annual Numbering Charge) and charges related to cost recovery for administration of telecommunications regulation including the </w:t>
      </w:r>
      <w:r w:rsidR="00DA646C">
        <w:t xml:space="preserve">annual carrier licence charge (ACLC) on each carrier licence </w:t>
      </w:r>
      <w:r w:rsidR="004C7901">
        <w:t>and fees for specific services charged by the ACMA.</w:t>
      </w:r>
    </w:p>
    <w:p w14:paraId="1C4DC1B0" w14:textId="393B29A0" w:rsidR="00A445DE" w:rsidRDefault="00A445DE" w:rsidP="00F31F7E">
      <w:pPr>
        <w:spacing w:before="80"/>
      </w:pPr>
      <w:r w:rsidRPr="00A445DE">
        <w:t xml:space="preserve">The diagram </w:t>
      </w:r>
      <w:r w:rsidR="0044069F">
        <w:t xml:space="preserve">on the next page </w:t>
      </w:r>
      <w:r w:rsidR="005E46F9">
        <w:t xml:space="preserve">demonstrates the extensive funding </w:t>
      </w:r>
      <w:r w:rsidR="004F277C">
        <w:t>supporting delivery of telecommunications services on a universal basis,</w:t>
      </w:r>
      <w:r w:rsidR="005E46F9">
        <w:t xml:space="preserve"> and the complexity of </w:t>
      </w:r>
      <w:r w:rsidR="004F277C">
        <w:t xml:space="preserve">current </w:t>
      </w:r>
      <w:r w:rsidR="005E46F9">
        <w:t>funding flows from and to industry to ensure delivery of non-commercial services</w:t>
      </w:r>
      <w:r w:rsidRPr="00A445DE">
        <w:t>.</w:t>
      </w:r>
      <w:r w:rsidR="00E96E7F">
        <w:t xml:space="preserve"> While the RBS and TIL collectively collected around </w:t>
      </w:r>
      <w:r w:rsidR="00E96E7F" w:rsidRPr="00E14B44">
        <w:t>$</w:t>
      </w:r>
      <w:r w:rsidR="00756BF6" w:rsidRPr="0073574E">
        <w:t>957.1 million</w:t>
      </w:r>
      <w:r w:rsidR="00E96E7F" w:rsidRPr="00E14B44">
        <w:t xml:space="preserve"> from industry</w:t>
      </w:r>
      <w:r w:rsidR="00E14B44" w:rsidRPr="0073574E">
        <w:t xml:space="preserve"> in 2021-22</w:t>
      </w:r>
      <w:r w:rsidR="00E96E7F">
        <w:t>, the majority of these funds are contributed by NBN Co and Telstra who in turn receive funding to support their delivery of baseline broadband and voice</w:t>
      </w:r>
      <w:r w:rsidR="004F277C">
        <w:t>/public interest telecommunications</w:t>
      </w:r>
      <w:r w:rsidR="00E96E7F">
        <w:t xml:space="preserve"> services</w:t>
      </w:r>
      <w:r w:rsidR="004F277C">
        <w:t xml:space="preserve"> respectively</w:t>
      </w:r>
      <w:r w:rsidR="00E96E7F">
        <w:t>. While figures relating to levies, charges and cost recovery arrangements may vary from year to year, net c</w:t>
      </w:r>
      <w:r w:rsidR="00014D78">
        <w:t xml:space="preserve">ontributions provided by carriers not otherwise receiving funding </w:t>
      </w:r>
      <w:r w:rsidR="00E93191">
        <w:t>under</w:t>
      </w:r>
      <w:r w:rsidR="00014D78">
        <w:t xml:space="preserve"> the RBS and TIL </w:t>
      </w:r>
      <w:r w:rsidR="00644608">
        <w:t>for 20</w:t>
      </w:r>
      <w:r w:rsidR="0044069F">
        <w:t>2</w:t>
      </w:r>
      <w:r w:rsidR="00644608">
        <w:t>1-22 wa</w:t>
      </w:r>
      <w:r w:rsidR="00014D78">
        <w:t>s $</w:t>
      </w:r>
      <w:r w:rsidR="0042779D">
        <w:t>133 million</w:t>
      </w:r>
      <w:r w:rsidR="00014D78">
        <w:t xml:space="preserve"> (</w:t>
      </w:r>
      <w:r w:rsidR="008C1A81">
        <w:t>$2</w:t>
      </w:r>
      <w:r w:rsidR="00644608">
        <w:t>3</w:t>
      </w:r>
      <w:r w:rsidR="00014D78">
        <w:t xml:space="preserve"> million for the RBS</w:t>
      </w:r>
      <w:r w:rsidR="008C1A81">
        <w:t xml:space="preserve"> </w:t>
      </w:r>
      <w:r w:rsidR="00014D78">
        <w:t xml:space="preserve">and </w:t>
      </w:r>
      <w:r w:rsidR="00644608">
        <w:t>$1</w:t>
      </w:r>
      <w:r w:rsidR="0042779D">
        <w:t>10</w:t>
      </w:r>
      <w:r w:rsidR="00644608">
        <w:t> </w:t>
      </w:r>
      <w:r w:rsidR="00014D78">
        <w:t>million for the TIL).</w:t>
      </w:r>
      <w:r w:rsidR="009949FC">
        <w:t xml:space="preserve"> </w:t>
      </w:r>
    </w:p>
    <w:p w14:paraId="19A946F7" w14:textId="77777777" w:rsidR="0044069F" w:rsidRDefault="0044069F">
      <w:pPr>
        <w:suppressAutoHyphens w:val="0"/>
        <w:sectPr w:rsidR="0044069F" w:rsidSect="00E3303A">
          <w:pgSz w:w="11906" w:h="16838" w:code="9"/>
          <w:pgMar w:top="1021" w:right="1021" w:bottom="1021" w:left="1021" w:header="510" w:footer="567" w:gutter="0"/>
          <w:pgNumType w:start="1"/>
          <w:cols w:space="708"/>
          <w:titlePg/>
          <w:docGrid w:linePitch="360"/>
        </w:sectPr>
      </w:pPr>
    </w:p>
    <w:p w14:paraId="78C5B771" w14:textId="60FFD3CF" w:rsidR="0044069F" w:rsidRPr="0073574E" w:rsidRDefault="00342645">
      <w:pPr>
        <w:suppressAutoHyphens w:val="0"/>
        <w:rPr>
          <w:b/>
        </w:rPr>
      </w:pPr>
      <w:r w:rsidRPr="0073574E">
        <w:rPr>
          <w:b/>
        </w:rPr>
        <w:t xml:space="preserve">Figure 1: </w:t>
      </w:r>
      <w:r w:rsidR="00F30FBE">
        <w:rPr>
          <w:b/>
        </w:rPr>
        <w:t xml:space="preserve">Telecommunications </w:t>
      </w:r>
      <w:r w:rsidRPr="0073574E">
        <w:rPr>
          <w:b/>
        </w:rPr>
        <w:t xml:space="preserve">Funding </w:t>
      </w:r>
      <w:r w:rsidR="00F30FBE">
        <w:rPr>
          <w:b/>
        </w:rPr>
        <w:t>Landscape</w:t>
      </w:r>
    </w:p>
    <w:p w14:paraId="7405AD93" w14:textId="73456BEC" w:rsidR="005F4A8F" w:rsidRDefault="00924B76" w:rsidP="00F31F7E">
      <w:pPr>
        <w:spacing w:before="80"/>
      </w:pPr>
      <w:r w:rsidRPr="00924B76">
        <w:rPr>
          <w:noProof/>
        </w:rPr>
        <w:drawing>
          <wp:inline distT="0" distB="0" distL="0" distR="0" wp14:anchorId="494A32E5" wp14:editId="17C82576">
            <wp:extent cx="8365066" cy="4705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422553" cy="4737687"/>
                    </a:xfrm>
                    <a:prstGeom prst="rect">
                      <a:avLst/>
                    </a:prstGeom>
                  </pic:spPr>
                </pic:pic>
              </a:graphicData>
            </a:graphic>
          </wp:inline>
        </w:drawing>
      </w:r>
    </w:p>
    <w:p w14:paraId="728498A1" w14:textId="387A33F2" w:rsidR="00924B76" w:rsidRPr="00924B76" w:rsidRDefault="00924B76" w:rsidP="002A0921">
      <w:pPr>
        <w:spacing w:before="80"/>
        <w:rPr>
          <w:sz w:val="20"/>
          <w:szCs w:val="20"/>
        </w:rPr>
      </w:pPr>
      <w:r w:rsidRPr="00924B76">
        <w:rPr>
          <w:sz w:val="20"/>
          <w:szCs w:val="20"/>
        </w:rPr>
        <w:t xml:space="preserve">*The Government’s equity investment and loan were not provided for ongoing service delivery but were required to cover build costs and support for service delivery </w:t>
      </w:r>
      <w:r w:rsidR="002F78F5">
        <w:rPr>
          <w:sz w:val="20"/>
          <w:szCs w:val="20"/>
        </w:rPr>
        <w:t xml:space="preserve">(operational costs) </w:t>
      </w:r>
      <w:r w:rsidRPr="00924B76">
        <w:rPr>
          <w:sz w:val="20"/>
          <w:szCs w:val="20"/>
        </w:rPr>
        <w:t>ahead of NBN</w:t>
      </w:r>
      <w:r w:rsidR="002F78F5">
        <w:rPr>
          <w:sz w:val="20"/>
          <w:szCs w:val="20"/>
        </w:rPr>
        <w:t> </w:t>
      </w:r>
      <w:r w:rsidRPr="00924B76">
        <w:rPr>
          <w:sz w:val="20"/>
          <w:szCs w:val="20"/>
        </w:rPr>
        <w:t xml:space="preserve">Co becoming </w:t>
      </w:r>
      <w:r w:rsidR="002F78F5">
        <w:rPr>
          <w:sz w:val="20"/>
          <w:szCs w:val="20"/>
        </w:rPr>
        <w:t>cash flow positive</w:t>
      </w:r>
      <w:r w:rsidRPr="00924B76">
        <w:rPr>
          <w:sz w:val="20"/>
          <w:szCs w:val="20"/>
        </w:rPr>
        <w:t xml:space="preserve"> and so were needed to support provision of services for a period.</w:t>
      </w:r>
    </w:p>
    <w:p w14:paraId="04DD97C2" w14:textId="765D409C" w:rsidR="009949FC" w:rsidRPr="00924B76" w:rsidRDefault="009949FC" w:rsidP="002A0921">
      <w:pPr>
        <w:spacing w:before="80"/>
        <w:rPr>
          <w:sz w:val="20"/>
          <w:szCs w:val="20"/>
        </w:rPr>
      </w:pPr>
      <w:r w:rsidRPr="00924B76">
        <w:rPr>
          <w:sz w:val="20"/>
          <w:szCs w:val="20"/>
        </w:rPr>
        <w:t>*</w:t>
      </w:r>
      <w:r w:rsidR="00924B76" w:rsidRPr="00924B76">
        <w:rPr>
          <w:sz w:val="20"/>
          <w:szCs w:val="20"/>
        </w:rPr>
        <w:t>*</w:t>
      </w:r>
      <w:r w:rsidR="007250B1" w:rsidRPr="00924B76">
        <w:rPr>
          <w:sz w:val="20"/>
          <w:szCs w:val="20"/>
        </w:rPr>
        <w:t xml:space="preserve">Later rounds of MBSP have allowed applicants to seek </w:t>
      </w:r>
      <w:r w:rsidR="00DE0096" w:rsidRPr="00924B76">
        <w:rPr>
          <w:sz w:val="20"/>
          <w:szCs w:val="20"/>
        </w:rPr>
        <w:t>operational costs related to delivering ongoing services.</w:t>
      </w:r>
    </w:p>
    <w:p w14:paraId="7F557466" w14:textId="48528B80" w:rsidR="009949FC" w:rsidRPr="002D322E" w:rsidRDefault="009949FC" w:rsidP="002A0921">
      <w:pPr>
        <w:spacing w:before="80"/>
      </w:pPr>
      <w:r w:rsidRPr="00924B76">
        <w:rPr>
          <w:sz w:val="20"/>
          <w:szCs w:val="20"/>
        </w:rPr>
        <w:t xml:space="preserve">Source: ACMA Annual Report 2022-2023 and DITRDCA PBS 2023-2024. </w:t>
      </w:r>
    </w:p>
    <w:p w14:paraId="66F8EC53" w14:textId="77777777" w:rsidR="0044069F" w:rsidRDefault="0044069F" w:rsidP="002A0921">
      <w:pPr>
        <w:spacing w:before="80"/>
        <w:sectPr w:rsidR="0044069F" w:rsidSect="002D322E">
          <w:pgSz w:w="16838" w:h="11906" w:orient="landscape" w:code="9"/>
          <w:pgMar w:top="1021" w:right="1021" w:bottom="1021" w:left="1021" w:header="510" w:footer="567" w:gutter="0"/>
          <w:cols w:space="708"/>
          <w:titlePg/>
          <w:docGrid w:linePitch="360"/>
        </w:sectPr>
      </w:pPr>
    </w:p>
    <w:p w14:paraId="2840D6A4" w14:textId="5CAACC2F" w:rsidR="00993ECE" w:rsidRPr="00BA1530" w:rsidRDefault="00993ECE" w:rsidP="00993ECE">
      <w:pPr>
        <w:pStyle w:val="Heading2"/>
        <w:spacing w:before="80" w:after="80"/>
      </w:pPr>
      <w:bookmarkStart w:id="22" w:name="_Toc163052088"/>
      <w:bookmarkEnd w:id="19"/>
      <w:r>
        <w:t xml:space="preserve">Telecommunications levies </w:t>
      </w:r>
      <w:r w:rsidR="009F0B93">
        <w:t xml:space="preserve">and universal services funding </w:t>
      </w:r>
      <w:r>
        <w:t>across the world</w:t>
      </w:r>
      <w:bookmarkEnd w:id="22"/>
    </w:p>
    <w:p w14:paraId="5F49E187" w14:textId="43B3DBC2" w:rsidR="004A7DCB" w:rsidRDefault="00683B1D" w:rsidP="002A0921">
      <w:pPr>
        <w:spacing w:before="80"/>
      </w:pPr>
      <w:r>
        <w:t xml:space="preserve">Over 100 countries </w:t>
      </w:r>
      <w:r w:rsidR="00B6285A">
        <w:t xml:space="preserve">have had </w:t>
      </w:r>
      <w:r w:rsidR="000F7ADD">
        <w:t>telecommunications levies in place that are designed to support the universal provision of particular telecommunications services within that country.</w:t>
      </w:r>
      <w:r w:rsidR="00B6285A">
        <w:rPr>
          <w:rStyle w:val="FootnoteReference"/>
        </w:rPr>
        <w:footnoteReference w:id="7"/>
      </w:r>
      <w:r w:rsidR="000F7ADD">
        <w:t xml:space="preserve"> They are often referred to as </w:t>
      </w:r>
      <w:r w:rsidR="00B6285A">
        <w:t xml:space="preserve">a </w:t>
      </w:r>
      <w:r w:rsidR="000F7ADD">
        <w:t>Universal Service Fund</w:t>
      </w:r>
      <w:r w:rsidR="00B6285A">
        <w:t xml:space="preserve"> (USF)</w:t>
      </w:r>
      <w:r w:rsidR="000F7ADD">
        <w:t xml:space="preserve"> or Universal Access and Service Fund</w:t>
      </w:r>
      <w:r w:rsidR="00B6285A">
        <w:t xml:space="preserve"> (USAF)</w:t>
      </w:r>
      <w:r w:rsidR="000F7ADD">
        <w:t xml:space="preserve">. </w:t>
      </w:r>
      <w:r w:rsidR="004A7DCB">
        <w:t>While most of these funds are aimed at providing services in all locations, particularly ensuring coverage in rural and regional areas, some also focus on inclusion including for low-income individuals, those with a disability etc.</w:t>
      </w:r>
      <w:r w:rsidR="004A7DCB">
        <w:rPr>
          <w:rStyle w:val="FootnoteReference"/>
        </w:rPr>
        <w:footnoteReference w:id="8"/>
      </w:r>
      <w:r w:rsidR="00201771">
        <w:t xml:space="preserve"> Features of a selection of Universal Services Funds from around the world are set out in </w:t>
      </w:r>
      <w:r w:rsidR="00201771" w:rsidRPr="006A5BB7">
        <w:rPr>
          <w:b/>
        </w:rPr>
        <w:t xml:space="preserve">Appendix </w:t>
      </w:r>
      <w:r w:rsidR="0050113E">
        <w:rPr>
          <w:b/>
        </w:rPr>
        <w:t>B</w:t>
      </w:r>
      <w:r w:rsidR="00201771">
        <w:t>.</w:t>
      </w:r>
    </w:p>
    <w:p w14:paraId="66026E47" w14:textId="78BE2217" w:rsidR="00601577" w:rsidRDefault="00601577" w:rsidP="002A0921">
      <w:pPr>
        <w:spacing w:before="80"/>
      </w:pPr>
      <w:r>
        <w:t xml:space="preserve">Other approaches to </w:t>
      </w:r>
      <w:r w:rsidR="004655DE">
        <w:t xml:space="preserve">funding universal services including charging an overall regulatory fee, contributions from international financial mechanisms such as the World Bank and licensing fees. In some cases, contributions are made directly from the government budget. There can also be a mix of funding approaches used such as </w:t>
      </w:r>
      <w:r w:rsidR="00293F71">
        <w:t xml:space="preserve">both </w:t>
      </w:r>
      <w:r w:rsidR="004655DE">
        <w:t>a levy and direct government budget funding.</w:t>
      </w:r>
      <w:r w:rsidR="004655DE">
        <w:rPr>
          <w:rStyle w:val="FootnoteReference"/>
        </w:rPr>
        <w:footnoteReference w:id="9"/>
      </w:r>
      <w:r w:rsidR="006C23E2">
        <w:rPr>
          <w:rStyle w:val="FootnoteReference"/>
        </w:rPr>
        <w:footnoteReference w:id="10"/>
      </w:r>
    </w:p>
    <w:p w14:paraId="0E81CD9E" w14:textId="1CA7DF0D" w:rsidR="004A7DCB" w:rsidRDefault="004A7DCB" w:rsidP="004A7DCB">
      <w:pPr>
        <w:spacing w:before="80"/>
      </w:pPr>
      <w:r>
        <w:t>Where levies are used the most commonly used contribution mechanisms involve either a percentage of the telecom operators’ gross or net annual revenue</w:t>
      </w:r>
      <w:r w:rsidR="0045046A">
        <w:t xml:space="preserve">, </w:t>
      </w:r>
      <w:r>
        <w:t>gross profits</w:t>
      </w:r>
      <w:r w:rsidR="0045046A">
        <w:t xml:space="preserve"> or taxable income</w:t>
      </w:r>
      <w:r>
        <w:t>.</w:t>
      </w:r>
      <w:r w:rsidR="00293F71">
        <w:t xml:space="preserve"> The telecom operators required to contribute </w:t>
      </w:r>
      <w:r w:rsidR="00E33AD6">
        <w:t>may</w:t>
      </w:r>
      <w:r w:rsidR="00293F71">
        <w:t xml:space="preserve"> include only certain types of operators (such as fixed-line) or all operators</w:t>
      </w:r>
      <w:r w:rsidR="00E63C28">
        <w:t xml:space="preserve"> and occasionally other elements of the telecommunications industry</w:t>
      </w:r>
      <w:r w:rsidR="00293F71">
        <w:t xml:space="preserve">. Other mechanisms for collecting levy contributions have included payments based on the level of telecommunications activity </w:t>
      </w:r>
      <w:r w:rsidR="00E33AD6">
        <w:t xml:space="preserve">such as traffic volume or call minutes </w:t>
      </w:r>
      <w:r w:rsidR="00293F71">
        <w:t>(that is, a transaction</w:t>
      </w:r>
      <w:r w:rsidR="00E33AD6">
        <w:t>-</w:t>
      </w:r>
      <w:r w:rsidR="00293F71">
        <w:t>based levy)</w:t>
      </w:r>
      <w:r w:rsidR="00E63C28">
        <w:t xml:space="preserve"> and ‘pay or play’ mechanisms where operators either respond to tenders to provide specified universal services or pay a percentage contribution instead.</w:t>
      </w:r>
      <w:r w:rsidR="0086281A">
        <w:rPr>
          <w:rStyle w:val="FootnoteReference"/>
        </w:rPr>
        <w:footnoteReference w:id="11"/>
      </w:r>
      <w:r w:rsidR="0086281A">
        <w:rPr>
          <w:rStyle w:val="FootnoteReference"/>
        </w:rPr>
        <w:footnoteReference w:id="12"/>
      </w:r>
      <w:r w:rsidR="002C5A1E">
        <w:rPr>
          <w:rStyle w:val="FootnoteReference"/>
        </w:rPr>
        <w:footnoteReference w:id="13"/>
      </w:r>
      <w:r w:rsidR="0086281A">
        <w:t xml:space="preserve"> A d</w:t>
      </w:r>
      <w:r w:rsidR="00E63C28">
        <w:t>irect consumer charge</w:t>
      </w:r>
      <w:r w:rsidR="0086281A">
        <w:t xml:space="preserve"> to support the rollout of broadband was proposed in the UK but never implemented.</w:t>
      </w:r>
      <w:r w:rsidR="0086281A" w:rsidRPr="0086281A">
        <w:rPr>
          <w:rStyle w:val="FootnoteReference"/>
        </w:rPr>
        <w:t xml:space="preserve"> </w:t>
      </w:r>
    </w:p>
    <w:p w14:paraId="73823784" w14:textId="2CCEE2FC" w:rsidR="00F31F7E" w:rsidRDefault="000F7ADD" w:rsidP="002A0921">
      <w:pPr>
        <w:spacing w:before="80"/>
      </w:pPr>
      <w:r>
        <w:t>Past studies have found that the operation of these levies has not always been effective in improving the reach of telecommunications services</w:t>
      </w:r>
      <w:r w:rsidR="004A7DCB">
        <w:t>.</w:t>
      </w:r>
      <w:r w:rsidR="00DE6DE0">
        <w:rPr>
          <w:rStyle w:val="FootnoteReference"/>
        </w:rPr>
        <w:footnoteReference w:id="14"/>
      </w:r>
      <w:r>
        <w:rPr>
          <w:rStyle w:val="FootnoteReference"/>
        </w:rPr>
        <w:footnoteReference w:id="15"/>
      </w:r>
      <w:r>
        <w:rPr>
          <w:rStyle w:val="FootnoteReference"/>
        </w:rPr>
        <w:footnoteReference w:id="16"/>
      </w:r>
      <w:r w:rsidR="004A7DCB">
        <w:t xml:space="preserve"> </w:t>
      </w:r>
      <w:r w:rsidR="00763EC2">
        <w:t xml:space="preserve">Design issues with </w:t>
      </w:r>
      <w:r w:rsidR="009F0B93">
        <w:t xml:space="preserve">some </w:t>
      </w:r>
      <w:r w:rsidR="00763EC2">
        <w:t>USFs include slow disbursement of funds and misalignment between funds objectives and implementation.</w:t>
      </w:r>
      <w:r w:rsidR="00B6285A">
        <w:rPr>
          <w:rStyle w:val="FootnoteReference"/>
        </w:rPr>
        <w:footnoteReference w:id="17"/>
      </w:r>
      <w:r w:rsidR="00763EC2">
        <w:rPr>
          <w:rStyle w:val="FootnoteReference"/>
        </w:rPr>
        <w:footnoteReference w:id="18"/>
      </w:r>
      <w:r w:rsidR="00F85EC0">
        <w:rPr>
          <w:rStyle w:val="FootnoteReference"/>
        </w:rPr>
        <w:footnoteReference w:id="19"/>
      </w:r>
      <w:r w:rsidR="00723371">
        <w:rPr>
          <w:rStyle w:val="FootnoteReference"/>
        </w:rPr>
        <w:footnoteReference w:id="20"/>
      </w:r>
      <w:r w:rsidR="00763EC2">
        <w:t xml:space="preserve"> </w:t>
      </w:r>
      <w:r w:rsidR="004900E9">
        <w:t>India and Brazil are notable examples where government has been unable to facilitate use of a substantial proportion of funds raised</w:t>
      </w:r>
      <w:r w:rsidR="009F0B93">
        <w:t>,</w:t>
      </w:r>
      <w:r w:rsidR="00231DAB">
        <w:t xml:space="preserve"> with Indian telecommunications operators re</w:t>
      </w:r>
      <w:r w:rsidR="009F0B93">
        <w:t>peatedly re</w:t>
      </w:r>
      <w:r w:rsidR="00231DAB">
        <w:t>questing a reduction in the levy due to poor utilisation of funds</w:t>
      </w:r>
      <w:r w:rsidR="004900E9">
        <w:t>.</w:t>
      </w:r>
      <w:r w:rsidR="00231DAB">
        <w:rPr>
          <w:rStyle w:val="FootnoteReference"/>
        </w:rPr>
        <w:footnoteReference w:id="21"/>
      </w:r>
      <w:r w:rsidR="005D568B">
        <w:rPr>
          <w:rStyle w:val="FootnoteReference"/>
        </w:rPr>
        <w:footnoteReference w:id="22"/>
      </w:r>
      <w:r w:rsidR="005D568B">
        <w:rPr>
          <w:rStyle w:val="FootnoteReference"/>
        </w:rPr>
        <w:footnoteReference w:id="23"/>
      </w:r>
      <w:r w:rsidR="004900E9">
        <w:t xml:space="preserve"> </w:t>
      </w:r>
      <w:r w:rsidR="00763EC2">
        <w:t>Other issues have included affordability of services to local populations once infrastructure has been rolled out and whether the funding mechanism dictates the type of technology to be used or whether providers are given flexibility to use the most appropriate technology available.</w:t>
      </w:r>
      <w:r w:rsidR="00763EC2">
        <w:rPr>
          <w:rStyle w:val="FootnoteReference"/>
        </w:rPr>
        <w:footnoteReference w:id="24"/>
      </w:r>
    </w:p>
    <w:p w14:paraId="427F274B" w14:textId="74CF53FE" w:rsidR="003130AA" w:rsidRDefault="003130AA" w:rsidP="002A0921">
      <w:pPr>
        <w:spacing w:before="80"/>
      </w:pPr>
      <w:r>
        <w:t xml:space="preserve">Funds that have been highlighted as successful </w:t>
      </w:r>
      <w:r w:rsidR="00F66A5E">
        <w:t xml:space="preserve">in achieving universal services goals (in particular expanding the reach of broadband) </w:t>
      </w:r>
      <w:r>
        <w:t>are those that are most transparent and efficient</w:t>
      </w:r>
      <w:r w:rsidR="00566C12">
        <w:t xml:space="preserve"> and that link specific deliverables to the amount of funds raised through USF levies</w:t>
      </w:r>
      <w:r w:rsidR="00D61E6D">
        <w:t>, with the United States, Canada and Pakistan highlighted as success stories.</w:t>
      </w:r>
      <w:r w:rsidR="00D61E6D">
        <w:rPr>
          <w:rStyle w:val="FootnoteReference"/>
        </w:rPr>
        <w:footnoteReference w:id="25"/>
      </w:r>
      <w:r>
        <w:rPr>
          <w:rStyle w:val="FootnoteReference"/>
        </w:rPr>
        <w:footnoteReference w:id="26"/>
      </w:r>
      <w:r w:rsidR="002F3C8F">
        <w:rPr>
          <w:rStyle w:val="FootnoteReference"/>
        </w:rPr>
        <w:footnoteReference w:id="27"/>
      </w:r>
      <w:r w:rsidR="00332F5C">
        <w:t xml:space="preserve"> </w:t>
      </w:r>
      <w:r w:rsidR="00FE537D">
        <w:t>L</w:t>
      </w:r>
      <w:r w:rsidR="00332F5C">
        <w:t>egal and regulatory frameworks also need to be clear and flexible to enable adjustments to rapidly changing technology.</w:t>
      </w:r>
      <w:r w:rsidR="00332F5C">
        <w:rPr>
          <w:rStyle w:val="FootnoteReference"/>
        </w:rPr>
        <w:footnoteReference w:id="28"/>
      </w:r>
    </w:p>
    <w:p w14:paraId="169FA5CC" w14:textId="610AD6E2" w:rsidR="005E60DC" w:rsidRDefault="005E60DC" w:rsidP="002A0921">
      <w:pPr>
        <w:spacing w:before="80"/>
      </w:pPr>
      <w:r>
        <w:t xml:space="preserve">Australia’s practice of using levies to support provision of services in regional and remote areas is therefore </w:t>
      </w:r>
      <w:r w:rsidR="009949FC">
        <w:t xml:space="preserve">broadly </w:t>
      </w:r>
      <w:r>
        <w:t>consistent with approaches taken elsewhere although there are lessons from the implementation of levies across the world that are useful for consideration of</w:t>
      </w:r>
      <w:r w:rsidR="009949FC">
        <w:t xml:space="preserve"> </w:t>
      </w:r>
      <w:r>
        <w:t xml:space="preserve">funding </w:t>
      </w:r>
      <w:r w:rsidR="006D637C">
        <w:t>arrangements</w:t>
      </w:r>
      <w:r>
        <w:t xml:space="preserve"> here.</w:t>
      </w:r>
    </w:p>
    <w:p w14:paraId="19BFEE73" w14:textId="77777777" w:rsidR="008A17C7" w:rsidRPr="009C60A5" w:rsidRDefault="008A17C7" w:rsidP="00615FCA">
      <w:pPr>
        <w:pStyle w:val="Heading2"/>
        <w:spacing w:before="80" w:after="80"/>
      </w:pPr>
      <w:bookmarkStart w:id="23" w:name="_Toc163052089"/>
      <w:bookmarkStart w:id="24" w:name="_Hlk147243918"/>
      <w:bookmarkStart w:id="25" w:name="_Hlk143762018"/>
      <w:bookmarkEnd w:id="16"/>
      <w:bookmarkEnd w:id="17"/>
      <w:bookmarkEnd w:id="20"/>
      <w:bookmarkEnd w:id="21"/>
      <w:r>
        <w:t>Regional Broadband Scheme review background</w:t>
      </w:r>
      <w:bookmarkEnd w:id="23"/>
    </w:p>
    <w:p w14:paraId="732B750F" w14:textId="77777777" w:rsidR="008A17C7" w:rsidRPr="009C60A5" w:rsidRDefault="008A17C7" w:rsidP="00615FCA">
      <w:pPr>
        <w:keepNext/>
        <w:spacing w:before="80"/>
        <w:rPr>
          <w:b/>
          <w:sz w:val="24"/>
          <w:szCs w:val="24"/>
        </w:rPr>
      </w:pPr>
      <w:r w:rsidRPr="009C60A5">
        <w:rPr>
          <w:b/>
          <w:sz w:val="24"/>
          <w:szCs w:val="24"/>
        </w:rPr>
        <w:t>Policy context</w:t>
      </w:r>
    </w:p>
    <w:bookmarkEnd w:id="24"/>
    <w:p w14:paraId="013050EB" w14:textId="23ED9605" w:rsidR="008A17C7" w:rsidRDefault="008A17C7" w:rsidP="008A17C7">
      <w:pPr>
        <w:spacing w:before="80"/>
      </w:pPr>
      <w:r w:rsidRPr="00882B5B">
        <w:t xml:space="preserve">The </w:t>
      </w:r>
      <w:r w:rsidR="00CC1F8C">
        <w:t>Charge Act imposes</w:t>
      </w:r>
      <w:r w:rsidRPr="00882B5B">
        <w:t xml:space="preserve"> a charge on active superfast broadband services provided over a local access line. Work by the Bureau of Communication Research (now Bureau of Communication, Arts and Regional Research) in 2015-16 </w:t>
      </w:r>
      <w:r>
        <w:t xml:space="preserve">argued that </w:t>
      </w:r>
      <w:r w:rsidRPr="00882B5B">
        <w:t xml:space="preserve">NBN-equivalent services at that time were fixed-line </w:t>
      </w:r>
      <w:r>
        <w:t xml:space="preserve">superfast </w:t>
      </w:r>
      <w:r w:rsidRPr="00882B5B">
        <w:t>broadband services</w:t>
      </w:r>
      <w:r>
        <w:t xml:space="preserve"> and that the RBS charges should be levied on NBN-equivalent services</w:t>
      </w:r>
      <w:r w:rsidRPr="00882B5B">
        <w:t>. However</w:t>
      </w:r>
      <w:r>
        <w:t>,</w:t>
      </w:r>
      <w:r w:rsidRPr="00882B5B">
        <w:t xml:space="preserve"> BCARR’s report noted that over time market trends related to the introduction of 4G and 5G fixed wireless services could change substitutability of services and that this should be reviewed and reassessed. </w:t>
      </w:r>
      <w:r>
        <w:t>Stakeholders also argued for regular review of the policy basis for the charge base during consultation on the legislation. A</w:t>
      </w:r>
      <w:r w:rsidRPr="00882B5B">
        <w:t xml:space="preserve"> policy review of the RBS was accordingly included in the legislation. </w:t>
      </w:r>
    </w:p>
    <w:p w14:paraId="0D69F4F3" w14:textId="14333217" w:rsidR="00CC1F8C" w:rsidRDefault="00CC1F8C" w:rsidP="008A17C7">
      <w:pPr>
        <w:spacing w:before="80"/>
      </w:pPr>
      <w:r>
        <w:t>The Charge Act also provides for the ACCC to have a regular review responsibility associated with the amounts charged under the RBS, by requiring the ACCC to provide advice to the Minister on the RBS base and administrative cost components</w:t>
      </w:r>
      <w:r w:rsidR="005D34B4">
        <w:t xml:space="preserve"> at least every 5 years.</w:t>
      </w:r>
    </w:p>
    <w:p w14:paraId="3A3759A4" w14:textId="1D49F298" w:rsidR="00CC1F8C" w:rsidRDefault="00CC1F8C" w:rsidP="00CC1F8C">
      <w:pPr>
        <w:spacing w:before="80"/>
      </w:pPr>
      <w:r>
        <w:t>The Charge Act operates in tandem with Part 3 of the TCPSS Act. Part 3 of the TCPSS Act outlines the operational aspects of the RBS, and covers, among other things:</w:t>
      </w:r>
    </w:p>
    <w:p w14:paraId="7876B5E7" w14:textId="77777777" w:rsidR="00CC1F8C" w:rsidRDefault="00CC1F8C" w:rsidP="00CC1F8C">
      <w:pPr>
        <w:pStyle w:val="ListParagraph"/>
        <w:numPr>
          <w:ilvl w:val="0"/>
          <w:numId w:val="61"/>
        </w:numPr>
        <w:spacing w:before="80"/>
      </w:pPr>
      <w:r>
        <w:t xml:space="preserve">the types of premises caught by the </w:t>
      </w:r>
      <w:bookmarkStart w:id="26" w:name="_Hlk158721949"/>
      <w:r>
        <w:t xml:space="preserve">RBS </w:t>
      </w:r>
      <w:bookmarkEnd w:id="26"/>
      <w:r>
        <w:t>charge</w:t>
      </w:r>
    </w:p>
    <w:p w14:paraId="7D2D4A23" w14:textId="77777777" w:rsidR="00CC1F8C" w:rsidRDefault="00CC1F8C" w:rsidP="00CC1F8C">
      <w:pPr>
        <w:pStyle w:val="ListParagraph"/>
        <w:numPr>
          <w:ilvl w:val="0"/>
          <w:numId w:val="61"/>
        </w:numPr>
        <w:spacing w:before="80"/>
      </w:pPr>
      <w:r>
        <w:t>the types of premises exempt from the RBS charge</w:t>
      </w:r>
    </w:p>
    <w:p w14:paraId="4D821E38" w14:textId="77777777" w:rsidR="00CC1F8C" w:rsidRDefault="00CC1F8C" w:rsidP="00CC1F8C">
      <w:pPr>
        <w:pStyle w:val="ListParagraph"/>
        <w:numPr>
          <w:ilvl w:val="0"/>
          <w:numId w:val="61"/>
        </w:numPr>
        <w:spacing w:before="80"/>
      </w:pPr>
      <w:r>
        <w:t xml:space="preserve">the administrative arrangements for assessing and paying the charge, including yearly </w:t>
      </w:r>
    </w:p>
    <w:p w14:paraId="13CE2DC7" w14:textId="77777777" w:rsidR="00CC1F8C" w:rsidRDefault="00CC1F8C" w:rsidP="0073574E">
      <w:pPr>
        <w:pStyle w:val="ListParagraph"/>
        <w:numPr>
          <w:ilvl w:val="0"/>
          <w:numId w:val="0"/>
        </w:numPr>
        <w:spacing w:before="80"/>
        <w:ind w:left="720"/>
      </w:pPr>
      <w:r>
        <w:t>reporting requirements for carriers</w:t>
      </w:r>
    </w:p>
    <w:p w14:paraId="67BEE031" w14:textId="77777777" w:rsidR="00CC1F8C" w:rsidRDefault="00CC1F8C" w:rsidP="00CC1F8C">
      <w:pPr>
        <w:pStyle w:val="ListParagraph"/>
        <w:numPr>
          <w:ilvl w:val="0"/>
          <w:numId w:val="60"/>
        </w:numPr>
        <w:spacing w:before="80"/>
      </w:pPr>
      <w:r>
        <w:t>penalties for avoiding the RBS charge (and anti-avoidance measures)</w:t>
      </w:r>
    </w:p>
    <w:p w14:paraId="20AB9AC9" w14:textId="0B155395" w:rsidR="00CC1F8C" w:rsidRDefault="00CC1F8C" w:rsidP="00CC1F8C">
      <w:pPr>
        <w:pStyle w:val="ListParagraph"/>
        <w:numPr>
          <w:ilvl w:val="0"/>
          <w:numId w:val="60"/>
        </w:numPr>
        <w:spacing w:before="80"/>
      </w:pPr>
      <w:r>
        <w:t xml:space="preserve">the Special Account into which funds from the RBS charge </w:t>
      </w:r>
      <w:r w:rsidR="00C92B9C">
        <w:t>are</w:t>
      </w:r>
      <w:r>
        <w:t xml:space="preserve"> credited and debited</w:t>
      </w:r>
    </w:p>
    <w:p w14:paraId="725DC278" w14:textId="77777777" w:rsidR="00CC1F8C" w:rsidRDefault="00CC1F8C" w:rsidP="00CC1F8C">
      <w:pPr>
        <w:pStyle w:val="ListParagraph"/>
        <w:numPr>
          <w:ilvl w:val="0"/>
          <w:numId w:val="60"/>
        </w:numPr>
        <w:spacing w:before="80"/>
      </w:pPr>
      <w:r>
        <w:t>the arrangements for paying NBN Co (and other eligible funding recipients) for its fixed wireless and satellite networks through contract or grant</w:t>
      </w:r>
    </w:p>
    <w:p w14:paraId="11FA714E" w14:textId="77777777" w:rsidR="00CC1F8C" w:rsidRDefault="00CC1F8C" w:rsidP="00CC1F8C">
      <w:pPr>
        <w:pStyle w:val="ListParagraph"/>
        <w:numPr>
          <w:ilvl w:val="0"/>
          <w:numId w:val="60"/>
        </w:numPr>
        <w:spacing w:before="80"/>
      </w:pPr>
      <w:r>
        <w:t>an offset mechanism to allow eligible funding recipients to offset their charge liability against money owed to them under the Scheme</w:t>
      </w:r>
    </w:p>
    <w:p w14:paraId="4FD96C9D" w14:textId="77777777" w:rsidR="00CC1F8C" w:rsidRDefault="00CC1F8C" w:rsidP="00CC1F8C">
      <w:pPr>
        <w:pStyle w:val="ListParagraph"/>
        <w:numPr>
          <w:ilvl w:val="0"/>
          <w:numId w:val="60"/>
        </w:numPr>
        <w:spacing w:before="80"/>
      </w:pPr>
      <w:r>
        <w:t>information gathering and disclosure powers for the ACCC and the ACMA</w:t>
      </w:r>
    </w:p>
    <w:p w14:paraId="6328B47A" w14:textId="77777777" w:rsidR="00CC1F8C" w:rsidRDefault="00CC1F8C" w:rsidP="00CC1F8C">
      <w:pPr>
        <w:pStyle w:val="ListParagraph"/>
        <w:numPr>
          <w:ilvl w:val="0"/>
          <w:numId w:val="60"/>
        </w:numPr>
        <w:spacing w:before="80"/>
      </w:pPr>
      <w:r>
        <w:t>information reporting obligations for carriers, the ACMA and the Secretary</w:t>
      </w:r>
    </w:p>
    <w:p w14:paraId="19D8C3EF" w14:textId="1B2C36FB" w:rsidR="00CC1F8C" w:rsidRDefault="00CC1F8C" w:rsidP="008A17C7">
      <w:pPr>
        <w:spacing w:before="80"/>
      </w:pPr>
      <w:r>
        <w:t>Part 3 of the TCPSS Act also contains the requirement for a policy review of the RBS legislation.</w:t>
      </w:r>
    </w:p>
    <w:p w14:paraId="359CF886" w14:textId="6CA0F782" w:rsidR="008A17C7" w:rsidRPr="00882B5B" w:rsidRDefault="008A17C7" w:rsidP="008A17C7">
      <w:pPr>
        <w:spacing w:before="80"/>
      </w:pPr>
      <w:r w:rsidRPr="00882B5B">
        <w:t xml:space="preserve">The requirements of the review are set out in </w:t>
      </w:r>
      <w:bookmarkStart w:id="27" w:name="_Hlk155797874"/>
      <w:r w:rsidRPr="00882B5B">
        <w:t>section 102ZFA in Part 3 of the TCPSS Act</w:t>
      </w:r>
      <w:bookmarkEnd w:id="27"/>
      <w:r w:rsidR="00201771">
        <w:t xml:space="preserve"> which is reproduced in </w:t>
      </w:r>
      <w:r w:rsidR="00201771" w:rsidRPr="006A5BB7">
        <w:rPr>
          <w:b/>
        </w:rPr>
        <w:t xml:space="preserve">Appendix </w:t>
      </w:r>
      <w:r w:rsidR="0050113E">
        <w:rPr>
          <w:b/>
        </w:rPr>
        <w:t>A</w:t>
      </w:r>
      <w:r w:rsidRPr="00882B5B">
        <w:t>.</w:t>
      </w:r>
      <w:r w:rsidR="00201771">
        <w:t xml:space="preserve"> In summary the review must consider the operation of the RBS legislation and whether the RBS legislation should be amended. The review must include public consultation and the Minister is able to seek specific information from the ACMA and ACCC to facilitate the review. A review report must be prepared and the completed report must be tabled in Parliament.</w:t>
      </w:r>
    </w:p>
    <w:p w14:paraId="1F21E634" w14:textId="77777777" w:rsidR="008A17C7" w:rsidRDefault="008A17C7" w:rsidP="008A17C7">
      <w:pPr>
        <w:spacing w:before="80"/>
        <w:rPr>
          <w:highlight w:val="yellow"/>
        </w:rPr>
      </w:pPr>
      <w:r w:rsidRPr="00AE1653">
        <w:t>The Explanatory Memorand</w:t>
      </w:r>
      <w:r>
        <w:t>um</w:t>
      </w:r>
      <w:r w:rsidRPr="00AE1653">
        <w:t xml:space="preserve"> to the Bills establishing the RBS</w:t>
      </w:r>
      <w:r>
        <w:rPr>
          <w:rStyle w:val="FootnoteReference"/>
        </w:rPr>
        <w:footnoteReference w:id="29"/>
      </w:r>
      <w:r w:rsidRPr="00AE1653">
        <w:t xml:space="preserve"> noted that one of the objectives of the policy review would be to consider if the charge base of the Scheme is still applicable in the telecommunications</w:t>
      </w:r>
      <w:r w:rsidRPr="00067353">
        <w:t xml:space="preserve"> market in Australia</w:t>
      </w:r>
      <w:r>
        <w:t xml:space="preserve"> at the time the review occurs.</w:t>
      </w:r>
    </w:p>
    <w:p w14:paraId="6E464C43" w14:textId="5EDE7797" w:rsidR="00D120BF" w:rsidRDefault="00FC6845" w:rsidP="009F01CA">
      <w:pPr>
        <w:pStyle w:val="Heading1"/>
        <w:spacing w:before="160" w:after="80"/>
        <w:contextualSpacing w:val="0"/>
      </w:pPr>
      <w:bookmarkStart w:id="28" w:name="_Toc163052090"/>
      <w:bookmarkEnd w:id="25"/>
      <w:r>
        <w:t xml:space="preserve">Opportunity to consider long-term funding </w:t>
      </w:r>
      <w:r w:rsidR="00714239">
        <w:t xml:space="preserve">arrangements </w:t>
      </w:r>
      <w:r>
        <w:t>more broadly</w:t>
      </w:r>
      <w:bookmarkEnd w:id="28"/>
    </w:p>
    <w:p w14:paraId="19E8A98B" w14:textId="4838CBBD" w:rsidR="007D66EC" w:rsidRPr="00F5578D" w:rsidRDefault="00FC6845" w:rsidP="009732A0">
      <w:pPr>
        <w:pStyle w:val="Heading2"/>
        <w:spacing w:before="160"/>
      </w:pPr>
      <w:bookmarkStart w:id="29" w:name="_Toc163052091"/>
      <w:r>
        <w:t>With technology changing service delivery, should overall funding arrangements change too?</w:t>
      </w:r>
      <w:bookmarkEnd w:id="29"/>
    </w:p>
    <w:p w14:paraId="40E997A3" w14:textId="622E0963" w:rsidR="00330D71" w:rsidRDefault="00FC6845" w:rsidP="009F01CA">
      <w:pPr>
        <w:spacing w:before="80"/>
      </w:pPr>
      <w:r>
        <w:t xml:space="preserve">The consultation on </w:t>
      </w:r>
      <w:r w:rsidR="00B72962" w:rsidRPr="00B72962">
        <w:rPr>
          <w:i/>
        </w:rPr>
        <w:t>B</w:t>
      </w:r>
      <w:r w:rsidRPr="00B72962">
        <w:rPr>
          <w:i/>
        </w:rPr>
        <w:t>etter delivery of universal services</w:t>
      </w:r>
      <w:r>
        <w:t xml:space="preserve"> </w:t>
      </w:r>
      <w:r w:rsidR="00B72962">
        <w:t>sought</w:t>
      </w:r>
      <w:r w:rsidR="00DC71F1">
        <w:t xml:space="preserve"> stakeholder views on characteristics for a modern universal service framework, noting that consumer preferences are changing and </w:t>
      </w:r>
      <w:r>
        <w:t>new technologies could be</w:t>
      </w:r>
      <w:r w:rsidR="00330D71">
        <w:t xml:space="preserve"> used</w:t>
      </w:r>
      <w:r w:rsidR="00DC71F1">
        <w:t xml:space="preserve"> to support delivery of services</w:t>
      </w:r>
      <w:r w:rsidR="00330D71">
        <w:t>.</w:t>
      </w:r>
      <w:r w:rsidR="009F0C8E">
        <w:t xml:space="preserve"> The ongoing rapid development of technologies provides the opportunity to consider alternative </w:t>
      </w:r>
      <w:r w:rsidR="00993E7C">
        <w:t>delivery systems</w:t>
      </w:r>
      <w:r w:rsidR="009F0C8E">
        <w:t xml:space="preserve"> for providing universal services both now and in the future.</w:t>
      </w:r>
    </w:p>
    <w:p w14:paraId="2D2A66A2" w14:textId="48CA4499" w:rsidR="00330D71" w:rsidRDefault="00C5397B" w:rsidP="009F01CA">
      <w:pPr>
        <w:spacing w:before="80"/>
      </w:pPr>
      <w:r>
        <w:t>In parallel, t</w:t>
      </w:r>
      <w:r w:rsidR="009F0C8E">
        <w:t xml:space="preserve">he Government is seeking input from stakeholders on </w:t>
      </w:r>
      <w:r w:rsidR="007B6094">
        <w:t xml:space="preserve">the </w:t>
      </w:r>
      <w:r w:rsidR="009A7446">
        <w:t xml:space="preserve">effectiveness of </w:t>
      </w:r>
      <w:r w:rsidR="007B6094">
        <w:t xml:space="preserve">current </w:t>
      </w:r>
      <w:r w:rsidR="00B72962">
        <w:t xml:space="preserve">funding </w:t>
      </w:r>
      <w:r w:rsidR="007B6094">
        <w:t xml:space="preserve">arrangements </w:t>
      </w:r>
      <w:r w:rsidR="009A7446">
        <w:t>that</w:t>
      </w:r>
      <w:r w:rsidR="002D36BA">
        <w:t xml:space="preserve"> support</w:t>
      </w:r>
      <w:r w:rsidR="007B6094">
        <w:t xml:space="preserve"> </w:t>
      </w:r>
      <w:r>
        <w:t xml:space="preserve">delivery of </w:t>
      </w:r>
      <w:r w:rsidR="007B6094">
        <w:t xml:space="preserve">these </w:t>
      </w:r>
      <w:r w:rsidR="002D36BA">
        <w:t>non-commercial universal telecommunications services and other public interest telecommunications services.</w:t>
      </w:r>
      <w:r w:rsidR="00AE1653">
        <w:t xml:space="preserve"> </w:t>
      </w:r>
    </w:p>
    <w:p w14:paraId="3A9AAF24" w14:textId="14A0E601" w:rsidR="00253103" w:rsidRPr="009C60A5" w:rsidRDefault="008A6C69" w:rsidP="009F01CA">
      <w:pPr>
        <w:pStyle w:val="Heading1"/>
        <w:spacing w:before="160"/>
        <w:contextualSpacing w:val="0"/>
      </w:pPr>
      <w:bookmarkStart w:id="30" w:name="_Toc163052092"/>
      <w:r>
        <w:t>K</w:t>
      </w:r>
      <w:r w:rsidR="00F83C0D">
        <w:t xml:space="preserve">ey principles </w:t>
      </w:r>
      <w:r w:rsidR="008928FC">
        <w:t>and characteristics of</w:t>
      </w:r>
      <w:r w:rsidR="00F83C0D">
        <w:t xml:space="preserve"> a sustainable long</w:t>
      </w:r>
      <w:r w:rsidR="00F83C0D">
        <w:noBreakHyphen/>
        <w:t>term funding model</w:t>
      </w:r>
      <w:bookmarkEnd w:id="30"/>
    </w:p>
    <w:p w14:paraId="6AF91514" w14:textId="6E52B8FE" w:rsidR="005A7E80" w:rsidRPr="00F83C0D" w:rsidRDefault="00F93808" w:rsidP="005A7E80">
      <w:r w:rsidRPr="009C60A5">
        <w:t xml:space="preserve">As a starting point for </w:t>
      </w:r>
      <w:r w:rsidR="00FE0DAD">
        <w:t xml:space="preserve">considering the suitability of </w:t>
      </w:r>
      <w:r w:rsidR="00F83C0D">
        <w:t xml:space="preserve">any </w:t>
      </w:r>
      <w:r w:rsidR="00A845D4">
        <w:t>revised</w:t>
      </w:r>
      <w:r w:rsidR="00F83C0D">
        <w:t xml:space="preserve"> funding </w:t>
      </w:r>
      <w:r w:rsidR="00A845D4">
        <w:t>arrangements</w:t>
      </w:r>
      <w:r w:rsidRPr="009C60A5">
        <w:t xml:space="preserve">, it is important to </w:t>
      </w:r>
      <w:r w:rsidR="005F440B">
        <w:t xml:space="preserve">be clear about the </w:t>
      </w:r>
      <w:r w:rsidR="00F83C0D">
        <w:t>principles that should guide the design of th</w:t>
      </w:r>
      <w:r w:rsidR="00A845D4">
        <w:t>os</w:t>
      </w:r>
      <w:r w:rsidR="00F83C0D">
        <w:t xml:space="preserve">e </w:t>
      </w:r>
      <w:r w:rsidR="00A845D4">
        <w:t>arrangements</w:t>
      </w:r>
      <w:r w:rsidRPr="009C60A5">
        <w:t xml:space="preserve">. </w:t>
      </w:r>
    </w:p>
    <w:p w14:paraId="7CEE2B99" w14:textId="5ED347E2" w:rsidR="00BA0BFA" w:rsidRDefault="00DE12A5" w:rsidP="00BA0BFA">
      <w:bookmarkStart w:id="31" w:name="_Toc143754969"/>
      <w:r>
        <w:t xml:space="preserve">Potential </w:t>
      </w:r>
      <w:r w:rsidR="00964C3A">
        <w:t xml:space="preserve">key principles and characteristics </w:t>
      </w:r>
      <w:r w:rsidR="00542BF3">
        <w:t xml:space="preserve">critical to </w:t>
      </w:r>
      <w:r w:rsidR="00A845D4">
        <w:t>underpin</w:t>
      </w:r>
      <w:r>
        <w:t xml:space="preserve">ning </w:t>
      </w:r>
      <w:r w:rsidR="00542BF3">
        <w:t xml:space="preserve">future arrangements </w:t>
      </w:r>
      <w:r w:rsidR="00964C3A">
        <w:t>are set out below with specific questions on particular issues within some sections and a set of overall questions at the end.</w:t>
      </w:r>
    </w:p>
    <w:p w14:paraId="580B87EA" w14:textId="20679E06" w:rsidR="00F93808" w:rsidRPr="009C60A5" w:rsidRDefault="00C43941" w:rsidP="004D2802">
      <w:pPr>
        <w:pStyle w:val="Heading2"/>
        <w:spacing w:before="160" w:after="60"/>
      </w:pPr>
      <w:bookmarkStart w:id="32" w:name="_Toc163052093"/>
      <w:r>
        <w:t>Sustainab</w:t>
      </w:r>
      <w:r w:rsidR="008A6C69">
        <w:t>ility</w:t>
      </w:r>
      <w:bookmarkEnd w:id="31"/>
      <w:bookmarkEnd w:id="32"/>
    </w:p>
    <w:p w14:paraId="74F25889" w14:textId="2A5001C7" w:rsidR="00BA676B" w:rsidRPr="009C60A5" w:rsidRDefault="00F93808" w:rsidP="003A6EB7">
      <w:pPr>
        <w:spacing w:before="0"/>
        <w:rPr>
          <w:i/>
        </w:rPr>
      </w:pPr>
      <w:r w:rsidRPr="009C60A5">
        <w:t>T</w:t>
      </w:r>
      <w:r w:rsidR="00C43941">
        <w:t>elecommunications services have been recognised as a key enabling technology for Australia’s economy</w:t>
      </w:r>
      <w:r w:rsidR="00B75728">
        <w:t xml:space="preserve">, to support business activities, as well as </w:t>
      </w:r>
      <w:r w:rsidR="00641646">
        <w:t>facilitating</w:t>
      </w:r>
      <w:r w:rsidR="00B75728">
        <w:t xml:space="preserve"> social connectivity and entertainment</w:t>
      </w:r>
      <w:r w:rsidR="00C43941">
        <w:t xml:space="preserve">. Australia’s </w:t>
      </w:r>
      <w:r w:rsidR="00B75728">
        <w:t xml:space="preserve">significant landmass, with </w:t>
      </w:r>
      <w:r w:rsidR="00992694">
        <w:t xml:space="preserve">its concentrated populations in </w:t>
      </w:r>
      <w:r w:rsidR="00A2652B">
        <w:t>cities and bigger towns</w:t>
      </w:r>
      <w:r w:rsidR="00992694">
        <w:t xml:space="preserve"> </w:t>
      </w:r>
      <w:r w:rsidR="00A2652B">
        <w:t xml:space="preserve">but also large </w:t>
      </w:r>
      <w:r w:rsidR="00B75728">
        <w:t xml:space="preserve">areas of low </w:t>
      </w:r>
      <w:r w:rsidR="004D0A4D">
        <w:t>population density,</w:t>
      </w:r>
      <w:r w:rsidR="00C43941">
        <w:t xml:space="preserve"> </w:t>
      </w:r>
      <w:r w:rsidR="00A2652B">
        <w:t>mean that the delivery of services has been profitable in more built up areas, but not profitable in other locations. T</w:t>
      </w:r>
      <w:r w:rsidR="00C43941">
        <w:t>he</w:t>
      </w:r>
      <w:r w:rsidR="00641646">
        <w:t xml:space="preserve"> high per capita</w:t>
      </w:r>
      <w:r w:rsidR="00C43941">
        <w:t xml:space="preserve"> cost of telecommunications deployment</w:t>
      </w:r>
      <w:r w:rsidR="00A2652B">
        <w:t xml:space="preserve"> outside large urban areas</w:t>
      </w:r>
      <w:r w:rsidR="00C43941">
        <w:t xml:space="preserve"> ha</w:t>
      </w:r>
      <w:r w:rsidR="00A2652B">
        <w:t>s</w:t>
      </w:r>
      <w:r w:rsidR="00C43941">
        <w:t xml:space="preserve"> required financial support to ensure that Telstra and NBN Co can provide voice and broadband services on an ongoing basis</w:t>
      </w:r>
      <w:r w:rsidR="00EC20E2">
        <w:t xml:space="preserve"> to areas </w:t>
      </w:r>
      <w:r w:rsidR="00C36FD0">
        <w:t>where this would</w:t>
      </w:r>
      <w:r w:rsidR="00EC20E2">
        <w:t xml:space="preserve"> otherwise not </w:t>
      </w:r>
      <w:r w:rsidR="00B72962">
        <w:t xml:space="preserve">have </w:t>
      </w:r>
      <w:r w:rsidR="00C36FD0">
        <w:t>be</w:t>
      </w:r>
      <w:r w:rsidR="00B72962">
        <w:t>en</w:t>
      </w:r>
      <w:r w:rsidR="00C36FD0">
        <w:t xml:space="preserve"> </w:t>
      </w:r>
      <w:r w:rsidR="00EC20E2">
        <w:t>commercial</w:t>
      </w:r>
      <w:r w:rsidR="00C36FD0">
        <w:t>ly viable</w:t>
      </w:r>
      <w:r w:rsidR="00C43941">
        <w:t xml:space="preserve">. </w:t>
      </w:r>
      <w:r w:rsidR="003A6EB7">
        <w:t xml:space="preserve">Any funding </w:t>
      </w:r>
      <w:r w:rsidR="00CE20BB">
        <w:t>arrangement</w:t>
      </w:r>
      <w:r w:rsidR="003A6EB7">
        <w:t xml:space="preserve"> will need to be tied to a charge base that is able to provide the necessary funding over time and will not be </w:t>
      </w:r>
      <w:r w:rsidR="0022533F">
        <w:t xml:space="preserve">rapidly </w:t>
      </w:r>
      <w:r w:rsidR="003A6EB7">
        <w:t>eroded by changing consumer preferences and the emergence of new technologies</w:t>
      </w:r>
      <w:r w:rsidR="00641646">
        <w:t>. A sustainable funding model would also ensure ongoing value for money for the contributions being made</w:t>
      </w:r>
      <w:r w:rsidR="003A6EB7">
        <w:t>.</w:t>
      </w:r>
      <w:r w:rsidR="001F5B03" w:rsidRPr="009C60A5">
        <w:t xml:space="preserve"> </w:t>
      </w:r>
    </w:p>
    <w:p w14:paraId="103B7A21" w14:textId="0DC7E171" w:rsidR="00F93808" w:rsidRPr="009C60A5" w:rsidRDefault="003A6EB7" w:rsidP="004D2802">
      <w:pPr>
        <w:pStyle w:val="Heading2"/>
        <w:spacing w:before="160" w:after="60"/>
      </w:pPr>
      <w:bookmarkStart w:id="33" w:name="_Toc143754970"/>
      <w:bookmarkStart w:id="34" w:name="_Toc163052094"/>
      <w:r>
        <w:t>Transparen</w:t>
      </w:r>
      <w:r w:rsidR="008A6C69">
        <w:t>cy</w:t>
      </w:r>
      <w:bookmarkEnd w:id="33"/>
      <w:bookmarkEnd w:id="34"/>
    </w:p>
    <w:p w14:paraId="10E26233" w14:textId="4E1C3D36" w:rsidR="003A6EB7" w:rsidRDefault="003A6EB7" w:rsidP="004D2802">
      <w:pPr>
        <w:spacing w:before="0"/>
      </w:pPr>
      <w:r>
        <w:t xml:space="preserve">Any funding </w:t>
      </w:r>
      <w:r w:rsidR="00CE20BB">
        <w:t>arrangements</w:t>
      </w:r>
      <w:r>
        <w:t xml:space="preserve"> </w:t>
      </w:r>
      <w:r w:rsidR="00E36D35">
        <w:t xml:space="preserve">should </w:t>
      </w:r>
      <w:r>
        <w:t xml:space="preserve">provide </w:t>
      </w:r>
      <w:r w:rsidR="00E36D35">
        <w:t xml:space="preserve">an appropriate level of </w:t>
      </w:r>
      <w:r>
        <w:t>transparency with respect to what net losses or costs are being</w:t>
      </w:r>
      <w:r w:rsidR="000F3852">
        <w:t xml:space="preserve"> funded</w:t>
      </w:r>
      <w:r>
        <w:t>, with clarity around both the type of services that will receive support and verification of actual net losses/costs. With respect to actual net losses/costs, these would preferably be independently verified</w:t>
      </w:r>
      <w:r w:rsidR="0088043B">
        <w:t>,</w:t>
      </w:r>
      <w:r>
        <w:t xml:space="preserve"> </w:t>
      </w:r>
      <w:r w:rsidR="008928FC">
        <w:t xml:space="preserve">including that the methodology used to calculate net losses is accurate and can be relied on. The processes around provision of funding and </w:t>
      </w:r>
      <w:r w:rsidR="00C44E66">
        <w:t xml:space="preserve">the use </w:t>
      </w:r>
      <w:r w:rsidR="00E36D35">
        <w:t xml:space="preserve">of that funding </w:t>
      </w:r>
      <w:r w:rsidR="00C44E66">
        <w:t xml:space="preserve">should include appropriate </w:t>
      </w:r>
      <w:r w:rsidR="00E36D35">
        <w:t xml:space="preserve">mechanisms for </w:t>
      </w:r>
      <w:r w:rsidR="008928FC">
        <w:t>verification that funds have been used for the intended purpose</w:t>
      </w:r>
      <w:r>
        <w:t xml:space="preserve">. </w:t>
      </w:r>
      <w:r w:rsidR="00DE75A8">
        <w:t xml:space="preserve">Similarly, there should ideally be a high degree of transparency </w:t>
      </w:r>
      <w:r w:rsidR="00C36FD0">
        <w:t xml:space="preserve">of </w:t>
      </w:r>
      <w:r w:rsidR="00DE75A8">
        <w:t>how the overall net losses/costs are distributed between individual contributors.</w:t>
      </w:r>
    </w:p>
    <w:p w14:paraId="36923D8A" w14:textId="26DD5249" w:rsidR="00F93808" w:rsidRPr="009C60A5" w:rsidRDefault="0034167F" w:rsidP="004D2802">
      <w:pPr>
        <w:pStyle w:val="Heading2"/>
        <w:spacing w:before="160" w:after="60"/>
      </w:pPr>
      <w:bookmarkStart w:id="35" w:name="_Toc143754971"/>
      <w:bookmarkStart w:id="36" w:name="_Toc163052095"/>
      <w:r>
        <w:t>Certainty</w:t>
      </w:r>
      <w:bookmarkEnd w:id="35"/>
      <w:bookmarkEnd w:id="36"/>
    </w:p>
    <w:p w14:paraId="4A0D8E6C" w14:textId="6DEC9568" w:rsidR="00F93808" w:rsidRPr="009C60A5" w:rsidRDefault="008928FC" w:rsidP="009F01CA">
      <w:r>
        <w:t>E</w:t>
      </w:r>
      <w:r w:rsidR="00D3099B">
        <w:t xml:space="preserve">ven with </w:t>
      </w:r>
      <w:r w:rsidR="000B0F73">
        <w:t xml:space="preserve">improved </w:t>
      </w:r>
      <w:r w:rsidR="00D3099B">
        <w:t>efficiencies in deployment of infrastructure, there are likely to be relative</w:t>
      </w:r>
      <w:r w:rsidR="00F76447">
        <w:t>ly</w:t>
      </w:r>
      <w:r w:rsidR="00D3099B">
        <w:t xml:space="preserve"> high costs of providing equipment to remote or otherwise difficult to access premises</w:t>
      </w:r>
      <w:r w:rsidR="00641646">
        <w:t xml:space="preserve"> over the long</w:t>
      </w:r>
      <w:r w:rsidR="00641646">
        <w:noBreakHyphen/>
        <w:t>term</w:t>
      </w:r>
      <w:r w:rsidR="00D3099B">
        <w:t>, and similarly, potentially higher costs of attend</w:t>
      </w:r>
      <w:r w:rsidR="00E36D35">
        <w:t>ing</w:t>
      </w:r>
      <w:r w:rsidR="00D3099B">
        <w:t xml:space="preserve"> premises to undertake any necessary repairs or troubleshooting.</w:t>
      </w:r>
      <w:r>
        <w:t xml:space="preserve"> </w:t>
      </w:r>
      <w:r w:rsidR="00671E77">
        <w:t xml:space="preserve">Carriers providing services in these locations must have adequate certainty about funding in order to invest in and maintain </w:t>
      </w:r>
      <w:r w:rsidR="009949FC">
        <w:t xml:space="preserve">baseline </w:t>
      </w:r>
      <w:r w:rsidR="00671E77">
        <w:t>services with the required</w:t>
      </w:r>
      <w:r w:rsidR="00796200">
        <w:t xml:space="preserve"> </w:t>
      </w:r>
      <w:r w:rsidR="00671E77">
        <w:t>characteristics and quality.</w:t>
      </w:r>
    </w:p>
    <w:p w14:paraId="206F221C" w14:textId="73EABFB1" w:rsidR="006A4EB3" w:rsidRDefault="006A4EB3" w:rsidP="0073574E">
      <w:pPr>
        <w:keepNext/>
        <w:shd w:val="clear" w:color="auto" w:fill="D7E5FA" w:themeFill="accent1" w:themeFillTint="1A"/>
      </w:pPr>
      <w:r>
        <w:t>Question</w:t>
      </w:r>
      <w:r w:rsidR="003444FF">
        <w:t>s</w:t>
      </w:r>
      <w:r>
        <w:t>:</w:t>
      </w:r>
    </w:p>
    <w:p w14:paraId="27A9860C" w14:textId="2C652134" w:rsidR="006A4EB3" w:rsidRDefault="006A4EB3" w:rsidP="0073574E">
      <w:pPr>
        <w:pStyle w:val="ListParagraph"/>
        <w:numPr>
          <w:ilvl w:val="0"/>
          <w:numId w:val="68"/>
        </w:numPr>
        <w:shd w:val="clear" w:color="auto" w:fill="D7E5FA" w:themeFill="accent1" w:themeFillTint="1A"/>
      </w:pPr>
      <w:r>
        <w:t xml:space="preserve">What characteristics </w:t>
      </w:r>
      <w:r w:rsidR="007B6094">
        <w:t xml:space="preserve">would ensure </w:t>
      </w:r>
      <w:r>
        <w:t>adequate certainty to providers delivering funded services?</w:t>
      </w:r>
    </w:p>
    <w:p w14:paraId="7749E1BE" w14:textId="3EB78089" w:rsidR="006A4EB3" w:rsidRPr="009C60A5" w:rsidRDefault="006A4EB3" w:rsidP="0073574E">
      <w:pPr>
        <w:pStyle w:val="ListParagraph"/>
        <w:numPr>
          <w:ilvl w:val="0"/>
          <w:numId w:val="68"/>
        </w:numPr>
        <w:shd w:val="clear" w:color="auto" w:fill="D7E5FA" w:themeFill="accent1" w:themeFillTint="1A"/>
      </w:pPr>
      <w:r>
        <w:t>What characteristic</w:t>
      </w:r>
      <w:r w:rsidR="005C126F">
        <w:t>s</w:t>
      </w:r>
      <w:r>
        <w:t xml:space="preserve"> would provide adequate certainty to those parties from whom funds would be collected?</w:t>
      </w:r>
    </w:p>
    <w:p w14:paraId="051D93FD" w14:textId="029B2DA3" w:rsidR="00F93808" w:rsidRPr="009C60A5" w:rsidRDefault="0034167F" w:rsidP="004D2802">
      <w:pPr>
        <w:pStyle w:val="Heading2"/>
        <w:spacing w:before="160" w:after="60"/>
      </w:pPr>
      <w:bookmarkStart w:id="37" w:name="_Toc143754972"/>
      <w:bookmarkStart w:id="38" w:name="_Toc163052096"/>
      <w:r>
        <w:t>Flexibility</w:t>
      </w:r>
      <w:bookmarkEnd w:id="37"/>
      <w:bookmarkEnd w:id="38"/>
    </w:p>
    <w:p w14:paraId="7091B30A" w14:textId="20CAEDE6" w:rsidR="0034167F" w:rsidRDefault="0034167F" w:rsidP="004D2802">
      <w:pPr>
        <w:pStyle w:val="ListNumbered1"/>
        <w:numPr>
          <w:ilvl w:val="0"/>
          <w:numId w:val="0"/>
        </w:numPr>
        <w:spacing w:before="0" w:after="160"/>
        <w:rPr>
          <w:rFonts w:cs="Times New Roman"/>
          <w:lang w:val="en-US"/>
        </w:rPr>
      </w:pPr>
      <w:r>
        <w:rPr>
          <w:rFonts w:cs="Times New Roman"/>
          <w:lang w:val="en-US"/>
        </w:rPr>
        <w:t xml:space="preserve">Given the advent of new technologies, any funding </w:t>
      </w:r>
      <w:r w:rsidR="00645EDD">
        <w:rPr>
          <w:rFonts w:cs="Times New Roman"/>
          <w:lang w:val="en-US"/>
        </w:rPr>
        <w:t>arrangements</w:t>
      </w:r>
      <w:r>
        <w:rPr>
          <w:rFonts w:cs="Times New Roman"/>
          <w:lang w:val="en-US"/>
        </w:rPr>
        <w:t xml:space="preserve"> should be able to adapt to changes in </w:t>
      </w:r>
      <w:r w:rsidR="00E36D35">
        <w:rPr>
          <w:rFonts w:cs="Times New Roman"/>
          <w:lang w:val="en-US"/>
        </w:rPr>
        <w:t xml:space="preserve">both the location and type of </w:t>
      </w:r>
      <w:r>
        <w:rPr>
          <w:rFonts w:cs="Times New Roman"/>
          <w:lang w:val="en-US"/>
        </w:rPr>
        <w:t xml:space="preserve">services requiring support. </w:t>
      </w:r>
      <w:r w:rsidR="00671E77">
        <w:rPr>
          <w:rFonts w:cs="Times New Roman"/>
          <w:lang w:val="en-US"/>
        </w:rPr>
        <w:t>There is no set border for where commerciality begins or ends. At present fo</w:t>
      </w:r>
      <w:r>
        <w:rPr>
          <w:rFonts w:cs="Times New Roman"/>
          <w:lang w:val="en-US"/>
        </w:rPr>
        <w:t>r example</w:t>
      </w:r>
      <w:r w:rsidR="00671E77">
        <w:rPr>
          <w:rFonts w:cs="Times New Roman"/>
          <w:lang w:val="en-US"/>
        </w:rPr>
        <w:t>,</w:t>
      </w:r>
      <w:r>
        <w:rPr>
          <w:rFonts w:cs="Times New Roman"/>
          <w:lang w:val="en-US"/>
        </w:rPr>
        <w:t xml:space="preserve"> on an urban fringe where a city is expanding and services have previously been provided by NBN fixed wireless or satellite services, the creation of a broadscale new suburban development is expected to enable premises in the area to then access fixed</w:t>
      </w:r>
      <w:r w:rsidR="00DC42E2">
        <w:rPr>
          <w:rFonts w:cs="Times New Roman"/>
          <w:lang w:val="en-US"/>
        </w:rPr>
        <w:t>-</w:t>
      </w:r>
      <w:r>
        <w:rPr>
          <w:rFonts w:cs="Times New Roman"/>
          <w:lang w:val="en-US"/>
        </w:rPr>
        <w:t xml:space="preserve">line services. </w:t>
      </w:r>
      <w:r w:rsidR="00515F44">
        <w:rPr>
          <w:rFonts w:cs="Times New Roman"/>
          <w:lang w:val="en-US"/>
        </w:rPr>
        <w:t>Under the current RBS arrangements, s</w:t>
      </w:r>
      <w:r>
        <w:rPr>
          <w:rFonts w:cs="Times New Roman"/>
          <w:lang w:val="en-US"/>
        </w:rPr>
        <w:t>uch a development would change the area from one receiving funding support for services (via the RBS) to one contributing towards non-commercial services</w:t>
      </w:r>
      <w:r w:rsidRPr="00F27C84">
        <w:rPr>
          <w:rFonts w:cs="Times New Roman"/>
          <w:lang w:val="en-US"/>
        </w:rPr>
        <w:t>.</w:t>
      </w:r>
      <w:r>
        <w:rPr>
          <w:rFonts w:cs="Times New Roman"/>
          <w:lang w:val="en-US"/>
        </w:rPr>
        <w:t xml:space="preserve"> </w:t>
      </w:r>
    </w:p>
    <w:p w14:paraId="050B84AB" w14:textId="3DEA2EAE" w:rsidR="001A4B0B" w:rsidRDefault="001A4B0B" w:rsidP="004D2802">
      <w:pPr>
        <w:pStyle w:val="ListNumbered1"/>
        <w:numPr>
          <w:ilvl w:val="0"/>
          <w:numId w:val="0"/>
        </w:numPr>
        <w:spacing w:before="0" w:after="160"/>
        <w:rPr>
          <w:rFonts w:cs="Times New Roman"/>
          <w:lang w:val="en-US"/>
        </w:rPr>
      </w:pPr>
      <w:r>
        <w:rPr>
          <w:rFonts w:cs="Times New Roman"/>
          <w:lang w:val="en-US"/>
        </w:rPr>
        <w:t>With the technology in telecommunications continuing to develop, flexibility in a funding model would also need to encompass technology neutrality with respect to collection of funds but also the types of technology that can be subsidised in order to meet service quality requirements.</w:t>
      </w:r>
      <w:r w:rsidR="00641646">
        <w:rPr>
          <w:rFonts w:cs="Times New Roman"/>
          <w:lang w:val="en-US"/>
        </w:rPr>
        <w:t xml:space="preserve"> It is </w:t>
      </w:r>
      <w:r w:rsidR="00002B50">
        <w:rPr>
          <w:rFonts w:cs="Times New Roman"/>
          <w:lang w:val="en-US"/>
        </w:rPr>
        <w:t>recogni</w:t>
      </w:r>
      <w:r w:rsidR="005C126F">
        <w:rPr>
          <w:rFonts w:cs="Times New Roman"/>
          <w:lang w:val="en-US"/>
        </w:rPr>
        <w:t>s</w:t>
      </w:r>
      <w:r w:rsidR="00002B50">
        <w:rPr>
          <w:rFonts w:cs="Times New Roman"/>
          <w:lang w:val="en-US"/>
        </w:rPr>
        <w:t>ed</w:t>
      </w:r>
      <w:r w:rsidR="00641646">
        <w:rPr>
          <w:rFonts w:cs="Times New Roman"/>
          <w:lang w:val="en-US"/>
        </w:rPr>
        <w:t xml:space="preserve"> that there is a potential tension between the objective of enabling flexibility to reflect the availability of more efficient technologies and the certainty required for providers to commit to investing in the infrastructure required to deliver services in otherwise non-commercial areas.</w:t>
      </w:r>
    </w:p>
    <w:p w14:paraId="60736C3F" w14:textId="2395C974" w:rsidR="00182F9A" w:rsidRDefault="00182F9A" w:rsidP="004D2802">
      <w:pPr>
        <w:pStyle w:val="ListNumbered1"/>
        <w:numPr>
          <w:ilvl w:val="0"/>
          <w:numId w:val="0"/>
        </w:numPr>
        <w:spacing w:before="0" w:after="160"/>
        <w:rPr>
          <w:rFonts w:cs="Times New Roman"/>
          <w:lang w:val="en-US"/>
        </w:rPr>
      </w:pPr>
      <w:r>
        <w:rPr>
          <w:rFonts w:cs="Times New Roman"/>
          <w:lang w:val="en-US"/>
        </w:rPr>
        <w:t>In addition, the need to closely tie funding to be collected ahead of knowing what costs will be can make collection mechanisms and administration</w:t>
      </w:r>
      <w:r w:rsidR="00616D08">
        <w:rPr>
          <w:rFonts w:cs="Times New Roman"/>
          <w:lang w:val="en-US"/>
        </w:rPr>
        <w:t xml:space="preserve"> of funds</w:t>
      </w:r>
      <w:r>
        <w:rPr>
          <w:rFonts w:cs="Times New Roman"/>
          <w:lang w:val="en-US"/>
        </w:rPr>
        <w:t xml:space="preserve"> unwieldy.</w:t>
      </w:r>
    </w:p>
    <w:p w14:paraId="23908687" w14:textId="391C3C49" w:rsidR="00B52907" w:rsidRDefault="00B52907" w:rsidP="0073574E">
      <w:pPr>
        <w:pStyle w:val="ListNumbered1"/>
        <w:keepNext/>
        <w:numPr>
          <w:ilvl w:val="0"/>
          <w:numId w:val="0"/>
        </w:numPr>
        <w:shd w:val="clear" w:color="auto" w:fill="D7E5FA" w:themeFill="accent1" w:themeFillTint="1A"/>
        <w:spacing w:before="0" w:after="160"/>
        <w:rPr>
          <w:rFonts w:cs="Times New Roman"/>
          <w:lang w:val="en-US"/>
        </w:rPr>
      </w:pPr>
      <w:r>
        <w:rPr>
          <w:rFonts w:cs="Times New Roman"/>
          <w:lang w:val="en-US"/>
        </w:rPr>
        <w:t>Question:</w:t>
      </w:r>
    </w:p>
    <w:p w14:paraId="0B4197DC" w14:textId="622FB26D" w:rsidR="00B52907" w:rsidRDefault="00E1342A" w:rsidP="0073574E">
      <w:pPr>
        <w:pStyle w:val="ListNumbered1"/>
        <w:numPr>
          <w:ilvl w:val="0"/>
          <w:numId w:val="68"/>
        </w:numPr>
        <w:shd w:val="clear" w:color="auto" w:fill="D7E5FA" w:themeFill="accent1" w:themeFillTint="1A"/>
        <w:spacing w:before="0" w:after="160"/>
        <w:rPr>
          <w:rFonts w:cs="Times New Roman"/>
          <w:lang w:val="en-US"/>
        </w:rPr>
      </w:pPr>
      <w:r>
        <w:rPr>
          <w:rFonts w:cs="Times New Roman"/>
          <w:lang w:val="en-US"/>
        </w:rPr>
        <w:t>How can</w:t>
      </w:r>
      <w:r w:rsidR="00964C3A">
        <w:rPr>
          <w:rFonts w:cs="Times New Roman"/>
          <w:lang w:val="en-US"/>
        </w:rPr>
        <w:t xml:space="preserve"> </w:t>
      </w:r>
      <w:r w:rsidR="007B6094">
        <w:rPr>
          <w:rFonts w:cs="Times New Roman"/>
          <w:lang w:val="en-US"/>
        </w:rPr>
        <w:t xml:space="preserve">the funding arrangements </w:t>
      </w:r>
      <w:r>
        <w:rPr>
          <w:rFonts w:cs="Times New Roman"/>
          <w:lang w:val="en-US"/>
        </w:rPr>
        <w:t xml:space="preserve">best support provision of non-commercial services but also support flexibility in adapting to </w:t>
      </w:r>
      <w:r w:rsidR="006A4EB3">
        <w:rPr>
          <w:rFonts w:cs="Times New Roman"/>
          <w:lang w:val="en-US"/>
        </w:rPr>
        <w:t xml:space="preserve">market changes and </w:t>
      </w:r>
      <w:r>
        <w:rPr>
          <w:rFonts w:cs="Times New Roman"/>
          <w:lang w:val="en-US"/>
        </w:rPr>
        <w:t>the types of services supported?</w:t>
      </w:r>
    </w:p>
    <w:p w14:paraId="73EA56EC" w14:textId="6E51BB8C" w:rsidR="00C44E66" w:rsidRDefault="00CA6DDB" w:rsidP="004D2802">
      <w:pPr>
        <w:pStyle w:val="Heading2"/>
        <w:spacing w:before="160" w:after="60"/>
      </w:pPr>
      <w:bookmarkStart w:id="39" w:name="_Toc163052097"/>
      <w:bookmarkStart w:id="40" w:name="_Toc143754974"/>
      <w:r>
        <w:t xml:space="preserve">Services that should be </w:t>
      </w:r>
      <w:r w:rsidR="00C44E66">
        <w:t>subsidised</w:t>
      </w:r>
      <w:bookmarkEnd w:id="39"/>
    </w:p>
    <w:p w14:paraId="1A083B86" w14:textId="1D7CA5E9" w:rsidR="00260FA9" w:rsidRPr="008141DA" w:rsidRDefault="00384C18" w:rsidP="003650ED">
      <w:pPr>
        <w:pStyle w:val="ListNumbered1"/>
        <w:numPr>
          <w:ilvl w:val="0"/>
          <w:numId w:val="0"/>
        </w:numPr>
        <w:spacing w:before="0" w:after="160"/>
        <w:rPr>
          <w:lang w:val="en-AU"/>
        </w:rPr>
      </w:pPr>
      <w:r w:rsidRPr="008141DA">
        <w:rPr>
          <w:lang w:val="en-AU"/>
        </w:rPr>
        <w:t xml:space="preserve">At present RBS funding is directed towards supporting NBN Co’s fixed wireless and satellite networks that </w:t>
      </w:r>
      <w:r w:rsidR="00A2652B">
        <w:rPr>
          <w:lang w:val="en-AU"/>
        </w:rPr>
        <w:t>we</w:t>
      </w:r>
      <w:r w:rsidRPr="008141DA">
        <w:rPr>
          <w:lang w:val="en-AU"/>
        </w:rPr>
        <w:t xml:space="preserve">re </w:t>
      </w:r>
      <w:r w:rsidR="00A2652B">
        <w:rPr>
          <w:lang w:val="en-AU"/>
        </w:rPr>
        <w:t xml:space="preserve">anticipated to be </w:t>
      </w:r>
      <w:r w:rsidRPr="008141DA">
        <w:rPr>
          <w:lang w:val="en-AU"/>
        </w:rPr>
        <w:t>net loss making overall. The decision to roll out</w:t>
      </w:r>
      <w:r w:rsidR="003B1A19" w:rsidRPr="008141DA">
        <w:rPr>
          <w:lang w:val="en-AU"/>
        </w:rPr>
        <w:t xml:space="preserve"> fixed wireless or satellite </w:t>
      </w:r>
      <w:r w:rsidRPr="008141DA">
        <w:rPr>
          <w:lang w:val="en-AU"/>
        </w:rPr>
        <w:t xml:space="preserve">technology for the NBN was dependent on decision making by NBN Co </w:t>
      </w:r>
      <w:r w:rsidR="003B1A19" w:rsidRPr="008141DA">
        <w:rPr>
          <w:lang w:val="en-AU"/>
        </w:rPr>
        <w:t xml:space="preserve">for </w:t>
      </w:r>
      <w:r w:rsidR="00260FA9" w:rsidRPr="008141DA">
        <w:rPr>
          <w:lang w:val="en-AU"/>
        </w:rPr>
        <w:t xml:space="preserve">the technology suitable for </w:t>
      </w:r>
      <w:r w:rsidR="003B1A19" w:rsidRPr="008141DA">
        <w:rPr>
          <w:lang w:val="en-AU"/>
        </w:rPr>
        <w:t xml:space="preserve">each location in Australia </w:t>
      </w:r>
      <w:r w:rsidRPr="008141DA">
        <w:rPr>
          <w:lang w:val="en-AU"/>
        </w:rPr>
        <w:t xml:space="preserve">at the time the rollout occurred. </w:t>
      </w:r>
      <w:r w:rsidR="003B1A19" w:rsidRPr="008141DA">
        <w:rPr>
          <w:lang w:val="en-AU"/>
        </w:rPr>
        <w:t>Due to changes in technology</w:t>
      </w:r>
      <w:r w:rsidR="002E0A72" w:rsidRPr="008141DA">
        <w:rPr>
          <w:lang w:val="en-AU"/>
        </w:rPr>
        <w:t xml:space="preserve"> over the past decade</w:t>
      </w:r>
      <w:r w:rsidR="003B1A19" w:rsidRPr="008141DA">
        <w:rPr>
          <w:lang w:val="en-AU"/>
        </w:rPr>
        <w:t xml:space="preserve">, </w:t>
      </w:r>
      <w:r w:rsidRPr="008141DA">
        <w:rPr>
          <w:lang w:val="en-AU"/>
        </w:rPr>
        <w:t xml:space="preserve">a rollout that commenced now would likely </w:t>
      </w:r>
      <w:r w:rsidR="003B1A19" w:rsidRPr="008141DA">
        <w:rPr>
          <w:lang w:val="en-AU"/>
        </w:rPr>
        <w:t>have a different fixed wireless and satellite footprint than the one initially rolled out by NBN Co.</w:t>
      </w:r>
      <w:r w:rsidR="00260FA9" w:rsidRPr="008141DA">
        <w:rPr>
          <w:lang w:val="en-AU"/>
        </w:rPr>
        <w:t xml:space="preserve"> Therefore, the ‘boundary’ between commercial and non-commercial </w:t>
      </w:r>
      <w:r w:rsidR="002E0A72" w:rsidRPr="008141DA">
        <w:rPr>
          <w:lang w:val="en-AU"/>
        </w:rPr>
        <w:t xml:space="preserve">broadband </w:t>
      </w:r>
      <w:r w:rsidR="00260FA9" w:rsidRPr="008141DA">
        <w:rPr>
          <w:lang w:val="en-AU"/>
        </w:rPr>
        <w:t>services will</w:t>
      </w:r>
      <w:r w:rsidR="00641646">
        <w:rPr>
          <w:lang w:val="en-AU"/>
        </w:rPr>
        <w:t xml:space="preserve"> continue to</w:t>
      </w:r>
      <w:r w:rsidR="00260FA9" w:rsidRPr="008141DA">
        <w:rPr>
          <w:lang w:val="en-AU"/>
        </w:rPr>
        <w:t xml:space="preserve"> chang</w:t>
      </w:r>
      <w:r w:rsidR="00641646">
        <w:rPr>
          <w:lang w:val="en-AU"/>
        </w:rPr>
        <w:t>e</w:t>
      </w:r>
      <w:r w:rsidR="00260FA9" w:rsidRPr="008141DA">
        <w:rPr>
          <w:lang w:val="en-AU"/>
        </w:rPr>
        <w:t xml:space="preserve"> over time.</w:t>
      </w:r>
      <w:r w:rsidR="002E0A72" w:rsidRPr="008141DA">
        <w:rPr>
          <w:lang w:val="en-AU"/>
        </w:rPr>
        <w:t xml:space="preserve"> </w:t>
      </w:r>
    </w:p>
    <w:p w14:paraId="71E0CF90" w14:textId="106A121E" w:rsidR="00260FA9" w:rsidRPr="008141DA" w:rsidRDefault="00260FA9" w:rsidP="003650ED">
      <w:pPr>
        <w:pStyle w:val="ListNumbered1"/>
        <w:numPr>
          <w:ilvl w:val="0"/>
          <w:numId w:val="0"/>
        </w:numPr>
        <w:spacing w:before="0" w:after="160"/>
        <w:rPr>
          <w:lang w:val="en-AU"/>
        </w:rPr>
      </w:pPr>
      <w:r w:rsidRPr="008141DA">
        <w:rPr>
          <w:lang w:val="en-AU"/>
        </w:rPr>
        <w:t xml:space="preserve">This is most clearly illustrated by the take-up of </w:t>
      </w:r>
      <w:r w:rsidR="005C126F">
        <w:rPr>
          <w:lang w:val="en-AU"/>
        </w:rPr>
        <w:t>Low Earth Orbit satellite (</w:t>
      </w:r>
      <w:r w:rsidR="00560807">
        <w:rPr>
          <w:lang w:val="en-AU"/>
        </w:rPr>
        <w:t>LEOSat</w:t>
      </w:r>
      <w:r w:rsidR="005C126F">
        <w:rPr>
          <w:lang w:val="en-AU"/>
        </w:rPr>
        <w:t>)</w:t>
      </w:r>
      <w:r w:rsidR="00560807">
        <w:rPr>
          <w:lang w:val="en-AU"/>
        </w:rPr>
        <w:t xml:space="preserve"> services </w:t>
      </w:r>
      <w:r w:rsidRPr="008141DA">
        <w:rPr>
          <w:lang w:val="en-AU"/>
        </w:rPr>
        <w:t xml:space="preserve">by consumers and businesses. </w:t>
      </w:r>
      <w:r w:rsidR="005C126F">
        <w:rPr>
          <w:lang w:val="en-AU"/>
        </w:rPr>
        <w:t xml:space="preserve">Starlink, a LEOSat </w:t>
      </w:r>
      <w:r w:rsidR="00641646">
        <w:rPr>
          <w:lang w:val="en-AU"/>
        </w:rPr>
        <w:t>network</w:t>
      </w:r>
      <w:r w:rsidR="00595DDB" w:rsidRPr="008141DA">
        <w:rPr>
          <w:lang w:val="en-AU"/>
        </w:rPr>
        <w:t xml:space="preserve"> </w:t>
      </w:r>
      <w:r w:rsidR="005C126F">
        <w:rPr>
          <w:lang w:val="en-AU"/>
        </w:rPr>
        <w:t xml:space="preserve">currently available in Australia, </w:t>
      </w:r>
      <w:r w:rsidR="00595DDB" w:rsidRPr="008141DA">
        <w:rPr>
          <w:lang w:val="en-AU"/>
        </w:rPr>
        <w:t>is provided commercially</w:t>
      </w:r>
      <w:r w:rsidR="002E0A72" w:rsidRPr="008141DA">
        <w:rPr>
          <w:lang w:val="en-AU"/>
        </w:rPr>
        <w:t>,</w:t>
      </w:r>
      <w:r w:rsidR="00595DDB" w:rsidRPr="008141DA">
        <w:rPr>
          <w:lang w:val="en-AU"/>
        </w:rPr>
        <w:t xml:space="preserve"> and while its service characteristics and </w:t>
      </w:r>
      <w:r w:rsidR="00641646">
        <w:rPr>
          <w:lang w:val="en-AU"/>
        </w:rPr>
        <w:t xml:space="preserve">the </w:t>
      </w:r>
      <w:r w:rsidR="00595DDB" w:rsidRPr="008141DA">
        <w:rPr>
          <w:lang w:val="en-AU"/>
        </w:rPr>
        <w:t xml:space="preserve">support provided </w:t>
      </w:r>
      <w:r w:rsidR="00641646">
        <w:rPr>
          <w:lang w:val="en-AU"/>
        </w:rPr>
        <w:t>are</w:t>
      </w:r>
      <w:r w:rsidR="00595DDB" w:rsidRPr="008141DA">
        <w:rPr>
          <w:lang w:val="en-AU"/>
        </w:rPr>
        <w:t xml:space="preserve"> different from </w:t>
      </w:r>
      <w:r w:rsidR="009B6B99">
        <w:rPr>
          <w:lang w:val="en-AU"/>
        </w:rPr>
        <w:t>the</w:t>
      </w:r>
      <w:r w:rsidR="00595DDB" w:rsidRPr="008141DA">
        <w:rPr>
          <w:lang w:val="en-AU"/>
        </w:rPr>
        <w:t xml:space="preserve"> NBN satellite service, </w:t>
      </w:r>
      <w:r w:rsidR="00641646">
        <w:rPr>
          <w:lang w:val="en-AU"/>
        </w:rPr>
        <w:t>many</w:t>
      </w:r>
      <w:r w:rsidR="00785117">
        <w:rPr>
          <w:lang w:val="en-AU"/>
        </w:rPr>
        <w:t xml:space="preserve"> </w:t>
      </w:r>
      <w:r w:rsidR="00595DDB" w:rsidRPr="008141DA">
        <w:rPr>
          <w:lang w:val="en-AU"/>
        </w:rPr>
        <w:t>consumers and businesses have shown themselves</w:t>
      </w:r>
      <w:r w:rsidR="00B80B70" w:rsidRPr="008141DA">
        <w:rPr>
          <w:lang w:val="en-AU"/>
        </w:rPr>
        <w:t xml:space="preserve"> willing to pay </w:t>
      </w:r>
      <w:r w:rsidR="002E0A72" w:rsidRPr="008141DA">
        <w:rPr>
          <w:lang w:val="en-AU"/>
        </w:rPr>
        <w:t>the higher monthly cost of service</w:t>
      </w:r>
      <w:r w:rsidR="00560807">
        <w:rPr>
          <w:lang w:val="en-AU"/>
        </w:rPr>
        <w:t>s currently av</w:t>
      </w:r>
      <w:r w:rsidR="0073574E">
        <w:rPr>
          <w:lang w:val="en-AU"/>
        </w:rPr>
        <w:t>a</w:t>
      </w:r>
      <w:r w:rsidR="00560807">
        <w:rPr>
          <w:lang w:val="en-AU"/>
        </w:rPr>
        <w:t>ilable</w:t>
      </w:r>
      <w:r w:rsidR="002E0A72" w:rsidRPr="008141DA">
        <w:rPr>
          <w:lang w:val="en-AU"/>
        </w:rPr>
        <w:t xml:space="preserve"> because</w:t>
      </w:r>
      <w:r w:rsidR="00D247E0">
        <w:rPr>
          <w:lang w:val="en-AU"/>
        </w:rPr>
        <w:t xml:space="preserve"> it</w:t>
      </w:r>
      <w:r w:rsidR="002E0A72" w:rsidRPr="008141DA">
        <w:rPr>
          <w:lang w:val="en-AU"/>
        </w:rPr>
        <w:t xml:space="preserve"> serves their needs. Many of the premises that have taken up unsubsidised Starlink services will be in areas </w:t>
      </w:r>
      <w:r w:rsidR="009513A9">
        <w:rPr>
          <w:lang w:val="en-AU"/>
        </w:rPr>
        <w:t>served by NBN</w:t>
      </w:r>
      <w:r w:rsidR="00D247E0">
        <w:rPr>
          <w:lang w:val="en-AU"/>
        </w:rPr>
        <w:t> </w:t>
      </w:r>
      <w:r w:rsidR="009513A9">
        <w:rPr>
          <w:lang w:val="en-AU"/>
        </w:rPr>
        <w:t>Co’s non</w:t>
      </w:r>
      <w:r w:rsidR="009513A9">
        <w:rPr>
          <w:lang w:val="en-AU"/>
        </w:rPr>
        <w:noBreakHyphen/>
        <w:t xml:space="preserve">commercial </w:t>
      </w:r>
      <w:r w:rsidR="002E0A72" w:rsidRPr="008141DA">
        <w:rPr>
          <w:lang w:val="en-AU"/>
        </w:rPr>
        <w:t xml:space="preserve">fixed wireless </w:t>
      </w:r>
      <w:r w:rsidR="009513A9">
        <w:rPr>
          <w:lang w:val="en-AU"/>
        </w:rPr>
        <w:t xml:space="preserve">and satellite </w:t>
      </w:r>
      <w:r w:rsidR="002E0A72" w:rsidRPr="008141DA">
        <w:rPr>
          <w:lang w:val="en-AU"/>
        </w:rPr>
        <w:t>service</w:t>
      </w:r>
      <w:r w:rsidR="009513A9">
        <w:rPr>
          <w:lang w:val="en-AU"/>
        </w:rPr>
        <w:t xml:space="preserve"> where the networks are funded by the RBS in order to offer affordable services and coverage all over Australia</w:t>
      </w:r>
      <w:r w:rsidR="002E0A72" w:rsidRPr="008141DA">
        <w:rPr>
          <w:lang w:val="en-AU"/>
        </w:rPr>
        <w:t>.</w:t>
      </w:r>
      <w:r w:rsidR="00D247E0">
        <w:rPr>
          <w:lang w:val="en-AU"/>
        </w:rPr>
        <w:t xml:space="preserve"> </w:t>
      </w:r>
      <w:r w:rsidR="00560807">
        <w:rPr>
          <w:lang w:val="en-AU"/>
        </w:rPr>
        <w:t>However,</w:t>
      </w:r>
      <w:r w:rsidR="005C126F">
        <w:rPr>
          <w:lang w:val="en-AU"/>
        </w:rPr>
        <w:t xml:space="preserve"> Starlink</w:t>
      </w:r>
      <w:r w:rsidR="00560807">
        <w:rPr>
          <w:lang w:val="en-AU"/>
        </w:rPr>
        <w:t xml:space="preserve"> services currently offered </w:t>
      </w:r>
      <w:r w:rsidR="005C126F">
        <w:rPr>
          <w:lang w:val="en-AU"/>
        </w:rPr>
        <w:t xml:space="preserve">in Australia </w:t>
      </w:r>
      <w:r w:rsidR="00560807">
        <w:rPr>
          <w:lang w:val="en-AU"/>
        </w:rPr>
        <w:t>are not subject to the same wholesale or retail service standards NBN</w:t>
      </w:r>
      <w:r w:rsidR="005C126F">
        <w:rPr>
          <w:lang w:val="en-AU"/>
        </w:rPr>
        <w:t> </w:t>
      </w:r>
      <w:r w:rsidR="00560807">
        <w:rPr>
          <w:lang w:val="en-AU"/>
        </w:rPr>
        <w:t>Co and Telstra are required to provide when providing universal voice or broadband services.</w:t>
      </w:r>
    </w:p>
    <w:p w14:paraId="6D6B0073" w14:textId="12DCBEB7" w:rsidR="003B1A19" w:rsidRDefault="003B1A19" w:rsidP="003650ED">
      <w:pPr>
        <w:pStyle w:val="ListNumbered1"/>
        <w:numPr>
          <w:ilvl w:val="0"/>
          <w:numId w:val="0"/>
        </w:numPr>
        <w:spacing w:before="0" w:after="160"/>
        <w:rPr>
          <w:lang w:val="en-AU"/>
        </w:rPr>
      </w:pPr>
      <w:r w:rsidRPr="008141DA">
        <w:rPr>
          <w:lang w:val="en-AU"/>
        </w:rPr>
        <w:t xml:space="preserve">Further to this, </w:t>
      </w:r>
      <w:r w:rsidR="00D247E0">
        <w:rPr>
          <w:lang w:val="en-AU"/>
        </w:rPr>
        <w:t>Commonwealth</w:t>
      </w:r>
      <w:r w:rsidRPr="008141DA">
        <w:rPr>
          <w:lang w:val="en-AU"/>
        </w:rPr>
        <w:t xml:space="preserve">, </w:t>
      </w:r>
      <w:r w:rsidR="00D247E0">
        <w:rPr>
          <w:lang w:val="en-AU"/>
        </w:rPr>
        <w:t>s</w:t>
      </w:r>
      <w:r w:rsidRPr="008141DA">
        <w:rPr>
          <w:lang w:val="en-AU"/>
        </w:rPr>
        <w:t xml:space="preserve">tate, </w:t>
      </w:r>
      <w:r w:rsidR="00D247E0">
        <w:rPr>
          <w:lang w:val="en-AU"/>
        </w:rPr>
        <w:t>t</w:t>
      </w:r>
      <w:r w:rsidRPr="008141DA">
        <w:rPr>
          <w:lang w:val="en-AU"/>
        </w:rPr>
        <w:t>erritory and local government funding programs and co</w:t>
      </w:r>
      <w:r w:rsidR="008141DA" w:rsidRPr="008141DA">
        <w:rPr>
          <w:lang w:val="en-AU"/>
        </w:rPr>
        <w:noBreakHyphen/>
      </w:r>
      <w:r w:rsidRPr="008141DA">
        <w:rPr>
          <w:lang w:val="en-AU"/>
        </w:rPr>
        <w:t>investment are moving some premises that were initially in the NBN fixed wireless or satellite footprint</w:t>
      </w:r>
      <w:r w:rsidR="00D247E0">
        <w:rPr>
          <w:lang w:val="en-AU"/>
        </w:rPr>
        <w:t xml:space="preserve"> in</w:t>
      </w:r>
      <w:r w:rsidRPr="008141DA">
        <w:rPr>
          <w:lang w:val="en-AU"/>
        </w:rPr>
        <w:t>to fixed-line</w:t>
      </w:r>
      <w:r w:rsidR="00D247E0">
        <w:rPr>
          <w:lang w:val="en-AU"/>
        </w:rPr>
        <w:t xml:space="preserve"> areas</w:t>
      </w:r>
      <w:r w:rsidRPr="008141DA">
        <w:rPr>
          <w:lang w:val="en-AU"/>
        </w:rPr>
        <w:t xml:space="preserve"> that </w:t>
      </w:r>
      <w:r w:rsidR="00D247E0">
        <w:rPr>
          <w:lang w:val="en-AU"/>
        </w:rPr>
        <w:t>then</w:t>
      </w:r>
      <w:r w:rsidRPr="008141DA">
        <w:rPr>
          <w:lang w:val="en-AU"/>
        </w:rPr>
        <w:t xml:space="preserve"> be</w:t>
      </w:r>
      <w:r w:rsidR="009B6B99">
        <w:rPr>
          <w:lang w:val="en-AU"/>
        </w:rPr>
        <w:t>come</w:t>
      </w:r>
      <w:r w:rsidRPr="008141DA">
        <w:rPr>
          <w:lang w:val="en-AU"/>
        </w:rPr>
        <w:t xml:space="preserve"> part of the chargeable premises funding base for the RBS (</w:t>
      </w:r>
      <w:r w:rsidR="008141DA" w:rsidRPr="008141DA">
        <w:rPr>
          <w:lang w:val="en-AU"/>
        </w:rPr>
        <w:t>for premises with active services</w:t>
      </w:r>
      <w:r w:rsidRPr="008141DA">
        <w:rPr>
          <w:lang w:val="en-AU"/>
        </w:rPr>
        <w:t xml:space="preserve">). </w:t>
      </w:r>
      <w:r w:rsidR="00F1187C">
        <w:rPr>
          <w:lang w:val="en-AU"/>
        </w:rPr>
        <w:t xml:space="preserve">Investments have also been made in remote </w:t>
      </w:r>
      <w:r w:rsidR="00D247E0">
        <w:rPr>
          <w:lang w:val="en-AU"/>
        </w:rPr>
        <w:t>First Nations</w:t>
      </w:r>
      <w:r w:rsidR="00F1187C">
        <w:rPr>
          <w:lang w:val="en-AU"/>
        </w:rPr>
        <w:t xml:space="preserve"> communities providing</w:t>
      </w:r>
      <w:r w:rsidR="00BA6225">
        <w:rPr>
          <w:lang w:val="en-AU"/>
        </w:rPr>
        <w:t>, in some cases,</w:t>
      </w:r>
      <w:r w:rsidR="00F1187C">
        <w:rPr>
          <w:lang w:val="en-AU"/>
        </w:rPr>
        <w:t xml:space="preserve"> bespoke solutions including free or subsidised wi-fi hot spots or community-wide wi-fi with satellite backhaul, representing a different and potentially more appropriate delivery model for these communities.</w:t>
      </w:r>
    </w:p>
    <w:p w14:paraId="67A92B2B" w14:textId="741BD666" w:rsidR="008356A0" w:rsidRDefault="00A2652B" w:rsidP="003650ED">
      <w:pPr>
        <w:pStyle w:val="ListNumbered1"/>
        <w:numPr>
          <w:ilvl w:val="0"/>
          <w:numId w:val="0"/>
        </w:numPr>
        <w:spacing w:before="0" w:after="160"/>
        <w:rPr>
          <w:lang w:val="en-AU"/>
        </w:rPr>
      </w:pPr>
      <w:r>
        <w:rPr>
          <w:lang w:val="en-AU"/>
        </w:rPr>
        <w:t xml:space="preserve">At present Commonwealth, state and territory </w:t>
      </w:r>
      <w:r w:rsidR="00937D17">
        <w:rPr>
          <w:lang w:val="en-AU"/>
        </w:rPr>
        <w:t xml:space="preserve">programs tend to focus on providing funding for upgrading services. The RBS is designed to cover the net losses from the costs associated with NBN Co rolling out its fixed wireless and satellite networks as well as ongoing costs and the TIL supports ongoing costs. It may be worth considering the balance of support across funding mechanisms between funding designed to improve service quality </w:t>
      </w:r>
      <w:r w:rsidR="006F1919">
        <w:rPr>
          <w:lang w:val="en-AU"/>
        </w:rPr>
        <w:t>(</w:t>
      </w:r>
      <w:r w:rsidR="0073574E">
        <w:rPr>
          <w:lang w:val="en-AU"/>
        </w:rPr>
        <w:t>i.e.</w:t>
      </w:r>
      <w:r w:rsidR="006F1919">
        <w:rPr>
          <w:lang w:val="en-AU"/>
        </w:rPr>
        <w:t xml:space="preserve"> funding of infrastructure) </w:t>
      </w:r>
      <w:r w:rsidR="00937D17">
        <w:rPr>
          <w:lang w:val="en-AU"/>
        </w:rPr>
        <w:t xml:space="preserve">and funding designed to support the ongoing costs of service delivery. </w:t>
      </w:r>
    </w:p>
    <w:p w14:paraId="2C7DEFAD" w14:textId="25314A6C" w:rsidR="008903B5" w:rsidRDefault="008903B5" w:rsidP="0073574E">
      <w:pPr>
        <w:pStyle w:val="ListNumbered1"/>
        <w:numPr>
          <w:ilvl w:val="0"/>
          <w:numId w:val="0"/>
        </w:numPr>
        <w:shd w:val="clear" w:color="auto" w:fill="D7E5FA" w:themeFill="accent1" w:themeFillTint="1A"/>
        <w:spacing w:before="0" w:after="160"/>
        <w:rPr>
          <w:lang w:val="en-AU"/>
        </w:rPr>
      </w:pPr>
      <w:r>
        <w:rPr>
          <w:lang w:val="en-AU"/>
        </w:rPr>
        <w:t>Questions:</w:t>
      </w:r>
    </w:p>
    <w:p w14:paraId="35EEAA63" w14:textId="1648E9D0" w:rsidR="00A2652B" w:rsidRDefault="00A2652B" w:rsidP="0073574E">
      <w:pPr>
        <w:pStyle w:val="ListNumbered1"/>
        <w:numPr>
          <w:ilvl w:val="0"/>
          <w:numId w:val="68"/>
        </w:numPr>
        <w:shd w:val="clear" w:color="auto" w:fill="D7E5FA" w:themeFill="accent1" w:themeFillTint="1A"/>
        <w:spacing w:before="0" w:after="160"/>
        <w:rPr>
          <w:lang w:val="en-AU"/>
        </w:rPr>
      </w:pPr>
      <w:r>
        <w:rPr>
          <w:lang w:val="en-AU"/>
        </w:rPr>
        <w:t xml:space="preserve">How should </w:t>
      </w:r>
      <w:r w:rsidR="007B6094">
        <w:rPr>
          <w:lang w:val="en-AU"/>
        </w:rPr>
        <w:t>arrangements</w:t>
      </w:r>
      <w:r>
        <w:rPr>
          <w:lang w:val="en-AU"/>
        </w:rPr>
        <w:t xml:space="preserve"> ensure affordable services will be available across Australia but not crowd out investment by commercial operations?</w:t>
      </w:r>
    </w:p>
    <w:p w14:paraId="27D79CAE" w14:textId="661AE83A" w:rsidR="00A2652B" w:rsidRDefault="00C44E66" w:rsidP="0073574E">
      <w:pPr>
        <w:pStyle w:val="ListNumbered1"/>
        <w:numPr>
          <w:ilvl w:val="0"/>
          <w:numId w:val="68"/>
        </w:numPr>
        <w:shd w:val="clear" w:color="auto" w:fill="D7E5FA" w:themeFill="accent1" w:themeFillTint="1A"/>
        <w:spacing w:before="0" w:after="160"/>
        <w:rPr>
          <w:lang w:val="en-AU"/>
        </w:rPr>
      </w:pPr>
      <w:r w:rsidRPr="008141DA">
        <w:rPr>
          <w:lang w:val="en-AU"/>
        </w:rPr>
        <w:t xml:space="preserve">What are the characteristics of services that should be </w:t>
      </w:r>
      <w:r w:rsidR="008141DA" w:rsidRPr="008141DA">
        <w:rPr>
          <w:lang w:val="en-AU"/>
        </w:rPr>
        <w:t xml:space="preserve">receiving </w:t>
      </w:r>
      <w:r w:rsidRPr="008141DA">
        <w:rPr>
          <w:lang w:val="en-AU"/>
        </w:rPr>
        <w:t>subsid</w:t>
      </w:r>
      <w:r w:rsidR="008141DA" w:rsidRPr="008141DA">
        <w:rPr>
          <w:lang w:val="en-AU"/>
        </w:rPr>
        <w:t>ies</w:t>
      </w:r>
      <w:r w:rsidRPr="008141DA">
        <w:rPr>
          <w:lang w:val="en-AU"/>
        </w:rPr>
        <w:t xml:space="preserve">? </w:t>
      </w:r>
      <w:r w:rsidR="008141DA" w:rsidRPr="008141DA">
        <w:rPr>
          <w:lang w:val="en-AU"/>
        </w:rPr>
        <w:t>How should these be determined</w:t>
      </w:r>
      <w:r w:rsidR="008141DA">
        <w:rPr>
          <w:lang w:val="en-AU"/>
        </w:rPr>
        <w:t xml:space="preserve"> on an ongoing basis?</w:t>
      </w:r>
    </w:p>
    <w:p w14:paraId="51E0C0AA" w14:textId="7EE38025" w:rsidR="00A2652B" w:rsidRDefault="00A2652B" w:rsidP="0073574E">
      <w:pPr>
        <w:pStyle w:val="ListNumbered1"/>
        <w:numPr>
          <w:ilvl w:val="0"/>
          <w:numId w:val="68"/>
        </w:numPr>
        <w:shd w:val="clear" w:color="auto" w:fill="D7E5FA" w:themeFill="accent1" w:themeFillTint="1A"/>
        <w:spacing w:before="0" w:after="160"/>
        <w:rPr>
          <w:lang w:val="en-AU"/>
        </w:rPr>
      </w:pPr>
      <w:r>
        <w:rPr>
          <w:lang w:val="en-AU"/>
        </w:rPr>
        <w:t>Is it appropriate to still consider entire networks when determining funding support or should the evaluation of commerciality occur at a more granular level?</w:t>
      </w:r>
    </w:p>
    <w:p w14:paraId="78B7FD8E" w14:textId="226E2889" w:rsidR="00E1342A" w:rsidRDefault="00E1342A" w:rsidP="0073574E">
      <w:pPr>
        <w:pStyle w:val="ListNumbered1"/>
        <w:numPr>
          <w:ilvl w:val="0"/>
          <w:numId w:val="68"/>
        </w:numPr>
        <w:shd w:val="clear" w:color="auto" w:fill="D7E5FA" w:themeFill="accent1" w:themeFillTint="1A"/>
        <w:spacing w:before="0" w:after="160"/>
        <w:rPr>
          <w:lang w:val="en-AU"/>
        </w:rPr>
      </w:pPr>
      <w:r>
        <w:rPr>
          <w:lang w:val="en-AU"/>
        </w:rPr>
        <w:t>There is ongoing interest in network resilience particularly in relation to service availability after natural disasters. Is this something that should be supported through funding for non</w:t>
      </w:r>
      <w:r>
        <w:rPr>
          <w:lang w:val="en-AU"/>
        </w:rPr>
        <w:noBreakHyphen/>
        <w:t>commercial services or should all network providers be equally required to provide a specified level of resilience in their own networks?</w:t>
      </w:r>
    </w:p>
    <w:p w14:paraId="2821ED4D" w14:textId="0C2EA467" w:rsidR="0005409D" w:rsidRDefault="0005409D" w:rsidP="0005409D">
      <w:pPr>
        <w:pStyle w:val="Heading2"/>
        <w:spacing w:before="160" w:after="60"/>
      </w:pPr>
      <w:bookmarkStart w:id="41" w:name="_Toc163052098"/>
      <w:r>
        <w:t>Consumers</w:t>
      </w:r>
      <w:bookmarkEnd w:id="41"/>
    </w:p>
    <w:p w14:paraId="7238BE7E" w14:textId="60D4D88B" w:rsidR="0005409D" w:rsidRDefault="00665CDD" w:rsidP="003650ED">
      <w:pPr>
        <w:pStyle w:val="ListNumbered1"/>
        <w:numPr>
          <w:ilvl w:val="0"/>
          <w:numId w:val="0"/>
        </w:numPr>
        <w:spacing w:before="0" w:after="160"/>
        <w:rPr>
          <w:lang w:val="en-AU"/>
        </w:rPr>
      </w:pPr>
      <w:r>
        <w:rPr>
          <w:lang w:val="en-AU"/>
        </w:rPr>
        <w:t xml:space="preserve">The current </w:t>
      </w:r>
      <w:r w:rsidR="006A5BB7">
        <w:rPr>
          <w:lang w:val="en-AU"/>
        </w:rPr>
        <w:t xml:space="preserve">telecommunications </w:t>
      </w:r>
      <w:r>
        <w:rPr>
          <w:lang w:val="en-AU"/>
        </w:rPr>
        <w:t>funding mechanism</w:t>
      </w:r>
      <w:r w:rsidR="0038596C">
        <w:rPr>
          <w:lang w:val="en-AU"/>
        </w:rPr>
        <w:t>s</w:t>
      </w:r>
      <w:r>
        <w:rPr>
          <w:lang w:val="en-AU"/>
        </w:rPr>
        <w:t xml:space="preserve"> </w:t>
      </w:r>
      <w:r w:rsidR="00DA7A6B">
        <w:rPr>
          <w:lang w:val="en-AU"/>
        </w:rPr>
        <w:t>not only provide support for access to</w:t>
      </w:r>
      <w:r w:rsidR="0038596C">
        <w:rPr>
          <w:lang w:val="en-AU"/>
        </w:rPr>
        <w:t xml:space="preserve"> </w:t>
      </w:r>
      <w:r w:rsidR="00DA7A6B">
        <w:rPr>
          <w:lang w:val="en-AU"/>
        </w:rPr>
        <w:t>bas</w:t>
      </w:r>
      <w:r w:rsidR="0038596C">
        <w:rPr>
          <w:lang w:val="en-AU"/>
        </w:rPr>
        <w:t>eline services</w:t>
      </w:r>
      <w:r w:rsidR="00DA7A6B">
        <w:rPr>
          <w:lang w:val="en-AU"/>
        </w:rPr>
        <w:t>, the aim of support is to also ensure these services are both</w:t>
      </w:r>
      <w:r w:rsidR="009949FC">
        <w:rPr>
          <w:lang w:val="en-AU"/>
        </w:rPr>
        <w:t xml:space="preserve"> generally</w:t>
      </w:r>
      <w:r w:rsidR="00DA7A6B">
        <w:rPr>
          <w:lang w:val="en-AU"/>
        </w:rPr>
        <w:t xml:space="preserve"> affordable and appropriately supported with respect to </w:t>
      </w:r>
      <w:r w:rsidR="009949FC">
        <w:rPr>
          <w:lang w:val="en-AU"/>
        </w:rPr>
        <w:t>connection</w:t>
      </w:r>
      <w:r w:rsidR="00DA7A6B">
        <w:rPr>
          <w:lang w:val="en-AU"/>
        </w:rPr>
        <w:t xml:space="preserve"> and fault repair. While a key principle of any future funding model will be flexibility, </w:t>
      </w:r>
      <w:r w:rsidR="005C126F">
        <w:rPr>
          <w:lang w:val="en-AU"/>
        </w:rPr>
        <w:t xml:space="preserve">a long-term funding model would need to be able to adequately adapt to changing consumer needs and </w:t>
      </w:r>
      <w:r w:rsidR="005A6072">
        <w:rPr>
          <w:lang w:val="en-AU"/>
        </w:rPr>
        <w:t>preferences over time</w:t>
      </w:r>
      <w:r w:rsidR="005C126F">
        <w:rPr>
          <w:lang w:val="en-AU"/>
        </w:rPr>
        <w:t>.</w:t>
      </w:r>
    </w:p>
    <w:p w14:paraId="405E5399" w14:textId="254F0008" w:rsidR="00C44E66" w:rsidRDefault="00CA6DDB" w:rsidP="00C44E66">
      <w:pPr>
        <w:pStyle w:val="Heading2"/>
        <w:spacing w:before="160" w:after="60"/>
      </w:pPr>
      <w:bookmarkStart w:id="42" w:name="_Toc163052099"/>
      <w:r>
        <w:t>Contributors to funding</w:t>
      </w:r>
      <w:bookmarkEnd w:id="42"/>
    </w:p>
    <w:p w14:paraId="63B4732D" w14:textId="7985ECD3" w:rsidR="00205205" w:rsidRPr="00216EE7" w:rsidRDefault="00F44B00" w:rsidP="00C44E66">
      <w:pPr>
        <w:pStyle w:val="ListNumbered1"/>
        <w:numPr>
          <w:ilvl w:val="0"/>
          <w:numId w:val="0"/>
        </w:numPr>
        <w:spacing w:before="0" w:after="160"/>
        <w:rPr>
          <w:lang w:val="en-AU"/>
        </w:rPr>
      </w:pPr>
      <w:r w:rsidRPr="00216EE7">
        <w:rPr>
          <w:lang w:val="en-AU"/>
        </w:rPr>
        <w:t xml:space="preserve">There are various options for the source of funding for non-commercial telecommunications services in regional areas. At present broadband services provided by NBN Co (which can also be used to support voice in fixed-line and fixed wireless areas) have been supported by </w:t>
      </w:r>
      <w:r w:rsidR="009A7446">
        <w:rPr>
          <w:lang w:val="en-AU"/>
        </w:rPr>
        <w:t>G</w:t>
      </w:r>
      <w:r w:rsidRPr="00216EE7">
        <w:rPr>
          <w:lang w:val="en-AU"/>
        </w:rPr>
        <w:t xml:space="preserve">overnment investment in NBN Co, a </w:t>
      </w:r>
      <w:r w:rsidR="009A7446">
        <w:rPr>
          <w:lang w:val="en-AU"/>
        </w:rPr>
        <w:t>G</w:t>
      </w:r>
      <w:r w:rsidRPr="00216EE7">
        <w:rPr>
          <w:lang w:val="en-AU"/>
        </w:rPr>
        <w:t>overnment loan to NBN Co (currently being paid back)</w:t>
      </w:r>
      <w:r w:rsidR="00594E8D">
        <w:rPr>
          <w:lang w:val="en-AU"/>
        </w:rPr>
        <w:t xml:space="preserve">, </w:t>
      </w:r>
      <w:r w:rsidR="009A7446">
        <w:rPr>
          <w:lang w:val="en-AU"/>
        </w:rPr>
        <w:t>G</w:t>
      </w:r>
      <w:r w:rsidR="00594E8D">
        <w:rPr>
          <w:lang w:val="en-AU"/>
        </w:rPr>
        <w:t>overnment guarantees,</w:t>
      </w:r>
      <w:r w:rsidRPr="00216EE7">
        <w:rPr>
          <w:lang w:val="en-AU"/>
        </w:rPr>
        <w:t xml:space="preserve"> and the RBS. Upgrades to these broadband services have been supported by Budget funding (the NBN Fixed Wireless and Satellite Upgrade and funding through the Regional Connectivity Program) as well as co-investment funding with states, territories and local government. Funding for the USO is supported by </w:t>
      </w:r>
      <w:r w:rsidR="00205205" w:rsidRPr="00216EE7">
        <w:rPr>
          <w:lang w:val="en-AU"/>
        </w:rPr>
        <w:t>ongoing Budget funding</w:t>
      </w:r>
      <w:r w:rsidR="00622A9C">
        <w:rPr>
          <w:lang w:val="en-AU"/>
        </w:rPr>
        <w:t xml:space="preserve"> of $100</w:t>
      </w:r>
      <w:r w:rsidR="009A7446">
        <w:rPr>
          <w:lang w:val="en-AU"/>
        </w:rPr>
        <w:t> </w:t>
      </w:r>
      <w:r w:rsidR="00622A9C">
        <w:rPr>
          <w:lang w:val="en-AU"/>
        </w:rPr>
        <w:t>million annually</w:t>
      </w:r>
      <w:r w:rsidR="00205205" w:rsidRPr="00216EE7">
        <w:rPr>
          <w:lang w:val="en-AU"/>
        </w:rPr>
        <w:t xml:space="preserve"> and the TIL. Upgrades to voice and mobile services in regional areas have also been supported by Budget funding. </w:t>
      </w:r>
    </w:p>
    <w:p w14:paraId="50EA93CB" w14:textId="2A68B53C" w:rsidR="0094215B" w:rsidRDefault="00B31C3D" w:rsidP="00C44E66">
      <w:pPr>
        <w:pStyle w:val="ListNumbered1"/>
        <w:numPr>
          <w:ilvl w:val="0"/>
          <w:numId w:val="0"/>
        </w:numPr>
        <w:spacing w:before="0" w:after="160"/>
        <w:rPr>
          <w:lang w:val="en-AU"/>
        </w:rPr>
      </w:pPr>
      <w:r>
        <w:rPr>
          <w:lang w:val="en-AU"/>
        </w:rPr>
        <w:t xml:space="preserve">Given the existing support includes industry contributions via the TIL and RBS </w:t>
      </w:r>
      <w:r w:rsidR="00131F30">
        <w:rPr>
          <w:lang w:val="en-AU"/>
        </w:rPr>
        <w:t>funding mechanisms</w:t>
      </w:r>
      <w:r>
        <w:rPr>
          <w:lang w:val="en-AU"/>
        </w:rPr>
        <w:t xml:space="preserve">, </w:t>
      </w:r>
      <w:r w:rsidR="009B6B99">
        <w:rPr>
          <w:lang w:val="en-AU"/>
        </w:rPr>
        <w:t xml:space="preserve">industry </w:t>
      </w:r>
      <w:r>
        <w:rPr>
          <w:lang w:val="en-AU"/>
        </w:rPr>
        <w:t>levy contributions</w:t>
      </w:r>
      <w:r w:rsidR="009A7446">
        <w:rPr>
          <w:lang w:val="en-AU"/>
        </w:rPr>
        <w:t xml:space="preserve"> are expected</w:t>
      </w:r>
      <w:r>
        <w:rPr>
          <w:lang w:val="en-AU"/>
        </w:rPr>
        <w:t xml:space="preserve"> to be a feature of future arrangements.</w:t>
      </w:r>
      <w:r w:rsidR="005A6072">
        <w:rPr>
          <w:lang w:val="en-AU"/>
        </w:rPr>
        <w:t xml:space="preserve"> </w:t>
      </w:r>
    </w:p>
    <w:p w14:paraId="3C315B64" w14:textId="49F41942" w:rsidR="00205205" w:rsidRDefault="005A6072" w:rsidP="00C44E66">
      <w:pPr>
        <w:pStyle w:val="ListNumbered1"/>
        <w:numPr>
          <w:ilvl w:val="0"/>
          <w:numId w:val="0"/>
        </w:numPr>
        <w:spacing w:before="0" w:after="160"/>
        <w:rPr>
          <w:lang w:val="en-AU"/>
        </w:rPr>
      </w:pPr>
      <w:r>
        <w:rPr>
          <w:lang w:val="en-AU"/>
        </w:rPr>
        <w:t>Regional stakeholders and their representatives have argued for a dedicated pool of funding</w:t>
      </w:r>
      <w:r w:rsidR="00622A9C">
        <w:rPr>
          <w:lang w:val="en-AU"/>
        </w:rPr>
        <w:t xml:space="preserve"> </w:t>
      </w:r>
      <w:r>
        <w:rPr>
          <w:lang w:val="en-AU"/>
        </w:rPr>
        <w:t>to ensure that non</w:t>
      </w:r>
      <w:r>
        <w:rPr>
          <w:lang w:val="en-AU"/>
        </w:rPr>
        <w:noBreakHyphen/>
        <w:t xml:space="preserve">commercial telecommunications services can continue to be funded over time </w:t>
      </w:r>
      <w:r w:rsidR="00F24811">
        <w:rPr>
          <w:lang w:val="en-AU"/>
        </w:rPr>
        <w:t xml:space="preserve">and that they </w:t>
      </w:r>
      <w:r>
        <w:rPr>
          <w:lang w:val="en-AU"/>
        </w:rPr>
        <w:t>are maintained and fit for purpose.</w:t>
      </w:r>
      <w:r w:rsidR="0094215B">
        <w:rPr>
          <w:lang w:val="en-AU"/>
        </w:rPr>
        <w:t xml:space="preserve"> The First Nations Digital Inclusion Advisory Group recommended in </w:t>
      </w:r>
      <w:r w:rsidR="00F24811">
        <w:rPr>
          <w:lang w:val="en-AU"/>
        </w:rPr>
        <w:t>its</w:t>
      </w:r>
      <w:r w:rsidR="0094215B">
        <w:rPr>
          <w:lang w:val="en-AU"/>
        </w:rPr>
        <w:t xml:space="preserve"> initial report that the </w:t>
      </w:r>
      <w:r w:rsidR="0094215B" w:rsidRPr="0094215B">
        <w:rPr>
          <w:lang w:val="en-AU"/>
        </w:rPr>
        <w:t xml:space="preserve">Government </w:t>
      </w:r>
      <w:r w:rsidR="000B5C5A">
        <w:rPr>
          <w:lang w:val="en-AU"/>
        </w:rPr>
        <w:t xml:space="preserve">earmark funding in existing programs for First Nations connectivity, as well as </w:t>
      </w:r>
      <w:r w:rsidR="0094215B" w:rsidRPr="0094215B">
        <w:rPr>
          <w:lang w:val="en-AU"/>
        </w:rPr>
        <w:t>consider a specific allocation to a</w:t>
      </w:r>
      <w:r w:rsidR="0094215B">
        <w:rPr>
          <w:lang w:val="en-AU"/>
        </w:rPr>
        <w:t>d</w:t>
      </w:r>
      <w:r w:rsidR="0094215B" w:rsidRPr="0094215B">
        <w:rPr>
          <w:lang w:val="en-AU"/>
        </w:rPr>
        <w:t>dress connectivity needs in the 670</w:t>
      </w:r>
      <w:r w:rsidR="00236F3B">
        <w:rPr>
          <w:lang w:val="en-AU"/>
        </w:rPr>
        <w:t> </w:t>
      </w:r>
      <w:r w:rsidR="0094215B" w:rsidRPr="0094215B">
        <w:rPr>
          <w:lang w:val="en-AU"/>
        </w:rPr>
        <w:t xml:space="preserve">remote First Nations homelands currently without any kind of </w:t>
      </w:r>
      <w:r w:rsidR="000B5C5A">
        <w:rPr>
          <w:lang w:val="en-AU"/>
        </w:rPr>
        <w:t xml:space="preserve">mobile </w:t>
      </w:r>
      <w:r w:rsidR="0094215B" w:rsidRPr="0094215B">
        <w:rPr>
          <w:lang w:val="en-AU"/>
        </w:rPr>
        <w:t>c</w:t>
      </w:r>
      <w:r w:rsidR="0094215B">
        <w:rPr>
          <w:lang w:val="en-AU"/>
        </w:rPr>
        <w:t>overage</w:t>
      </w:r>
      <w:r w:rsidR="000B5C5A">
        <w:rPr>
          <w:lang w:val="en-AU"/>
        </w:rPr>
        <w:t>.</w:t>
      </w:r>
      <w:r w:rsidR="0094215B">
        <w:rPr>
          <w:lang w:val="en-AU"/>
        </w:rPr>
        <w:t xml:space="preserve"> </w:t>
      </w:r>
    </w:p>
    <w:p w14:paraId="482CE7EB" w14:textId="72A90980" w:rsidR="008903B5" w:rsidRDefault="008903B5" w:rsidP="0073574E">
      <w:pPr>
        <w:pStyle w:val="ListNumbered1"/>
        <w:numPr>
          <w:ilvl w:val="0"/>
          <w:numId w:val="0"/>
        </w:numPr>
        <w:shd w:val="clear" w:color="auto" w:fill="D7E5FA" w:themeFill="accent1" w:themeFillTint="1A"/>
        <w:spacing w:before="0" w:after="160"/>
        <w:rPr>
          <w:lang w:val="en-AU"/>
        </w:rPr>
      </w:pPr>
      <w:r>
        <w:rPr>
          <w:lang w:val="en-AU"/>
        </w:rPr>
        <w:t>Questions:</w:t>
      </w:r>
    </w:p>
    <w:p w14:paraId="714A1E11" w14:textId="5C546363" w:rsidR="006A4EB3" w:rsidRDefault="006A4EB3" w:rsidP="0073574E">
      <w:pPr>
        <w:pStyle w:val="ListNumbered1"/>
        <w:numPr>
          <w:ilvl w:val="0"/>
          <w:numId w:val="68"/>
        </w:numPr>
        <w:shd w:val="clear" w:color="auto" w:fill="D7E5FA" w:themeFill="accent1" w:themeFillTint="1A"/>
        <w:rPr>
          <w:lang w:val="en-AU"/>
        </w:rPr>
      </w:pPr>
      <w:r>
        <w:rPr>
          <w:lang w:val="en-AU"/>
        </w:rPr>
        <w:t>Which elements of the telecommunications industry should be contributing to non</w:t>
      </w:r>
      <w:r>
        <w:rPr>
          <w:lang w:val="en-AU"/>
        </w:rPr>
        <w:noBreakHyphen/>
        <w:t>commercial services?</w:t>
      </w:r>
      <w:r w:rsidR="0067471E">
        <w:rPr>
          <w:lang w:val="en-AU"/>
        </w:rPr>
        <w:t xml:space="preserve"> This can include commentary on those entities that should be considered part of the telecommunications industry.</w:t>
      </w:r>
    </w:p>
    <w:p w14:paraId="2B4E5EB3" w14:textId="093BE294" w:rsidR="006F1919" w:rsidRPr="00216EE7" w:rsidRDefault="008356A0" w:rsidP="0073574E">
      <w:pPr>
        <w:pStyle w:val="ListNumbered1"/>
        <w:numPr>
          <w:ilvl w:val="0"/>
          <w:numId w:val="68"/>
        </w:numPr>
        <w:shd w:val="clear" w:color="auto" w:fill="D7E5FA" w:themeFill="accent1" w:themeFillTint="1A"/>
        <w:spacing w:before="0" w:after="160"/>
        <w:rPr>
          <w:lang w:val="en-AU"/>
        </w:rPr>
      </w:pPr>
      <w:r>
        <w:rPr>
          <w:lang w:val="en-AU"/>
        </w:rPr>
        <w:t>Should funding for non-commercial services provided to individuals be collected from different contributors than should provide funding for other types of public interest services such as Emergency Calls?</w:t>
      </w:r>
    </w:p>
    <w:p w14:paraId="35BC63DB" w14:textId="1306B1AC" w:rsidR="00C44E66" w:rsidRDefault="00C44E66" w:rsidP="00C44E66">
      <w:pPr>
        <w:pStyle w:val="Heading2"/>
        <w:spacing w:before="160" w:after="60"/>
      </w:pPr>
      <w:bookmarkStart w:id="43" w:name="_Toc163052100"/>
      <w:r>
        <w:t>Defining the charge base</w:t>
      </w:r>
      <w:bookmarkEnd w:id="43"/>
    </w:p>
    <w:p w14:paraId="174F93F0" w14:textId="312454D1" w:rsidR="00C44E66" w:rsidRDefault="0051629A" w:rsidP="00C44E66">
      <w:pPr>
        <w:pStyle w:val="ListNumbered1"/>
        <w:numPr>
          <w:ilvl w:val="0"/>
          <w:numId w:val="0"/>
        </w:numPr>
        <w:spacing w:before="0" w:after="160"/>
        <w:rPr>
          <w:lang w:val="en-AU"/>
        </w:rPr>
      </w:pPr>
      <w:r w:rsidRPr="0051629A">
        <w:rPr>
          <w:lang w:val="en-AU"/>
        </w:rPr>
        <w:t xml:space="preserve">The charge base defines the units against which a levy </w:t>
      </w:r>
      <w:r w:rsidR="00236F3B">
        <w:rPr>
          <w:lang w:val="en-AU"/>
        </w:rPr>
        <w:t>is</w:t>
      </w:r>
      <w:r w:rsidRPr="0051629A">
        <w:rPr>
          <w:lang w:val="en-AU"/>
        </w:rPr>
        <w:t xml:space="preserve"> charged. In the case of the TIL, the charge is levied on </w:t>
      </w:r>
      <w:r w:rsidR="00622A9C">
        <w:rPr>
          <w:lang w:val="en-AU"/>
        </w:rPr>
        <w:t xml:space="preserve">eligible </w:t>
      </w:r>
      <w:r w:rsidRPr="0051629A">
        <w:rPr>
          <w:lang w:val="en-AU"/>
        </w:rPr>
        <w:t xml:space="preserve">revenue (so </w:t>
      </w:r>
      <w:r w:rsidR="00033661">
        <w:rPr>
          <w:lang w:val="en-AU"/>
        </w:rPr>
        <w:t>carriers</w:t>
      </w:r>
      <w:r w:rsidR="00622A9C">
        <w:rPr>
          <w:lang w:val="en-AU"/>
        </w:rPr>
        <w:t xml:space="preserve"> pay in proportion to total</w:t>
      </w:r>
      <w:r>
        <w:rPr>
          <w:lang w:val="en-AU"/>
        </w:rPr>
        <w:t xml:space="preserve"> </w:t>
      </w:r>
      <w:r w:rsidR="00622A9C">
        <w:rPr>
          <w:lang w:val="en-AU"/>
        </w:rPr>
        <w:t xml:space="preserve">eligible </w:t>
      </w:r>
      <w:r w:rsidRPr="0051629A">
        <w:rPr>
          <w:lang w:val="en-AU"/>
        </w:rPr>
        <w:t>revenue</w:t>
      </w:r>
      <w:r w:rsidR="00622A9C">
        <w:rPr>
          <w:lang w:val="en-AU"/>
        </w:rPr>
        <w:t>, subject to</w:t>
      </w:r>
      <w:r w:rsidRPr="0051629A">
        <w:rPr>
          <w:lang w:val="en-AU"/>
        </w:rPr>
        <w:t xml:space="preserve"> </w:t>
      </w:r>
      <w:r w:rsidR="00993E7C">
        <w:rPr>
          <w:lang w:val="en-AU"/>
        </w:rPr>
        <w:t xml:space="preserve">the </w:t>
      </w:r>
      <w:r w:rsidR="00622A9C">
        <w:rPr>
          <w:lang w:val="en-AU"/>
        </w:rPr>
        <w:t xml:space="preserve">individual </w:t>
      </w:r>
      <w:r w:rsidR="00993E7C">
        <w:rPr>
          <w:lang w:val="en-AU"/>
        </w:rPr>
        <w:t xml:space="preserve">carrier </w:t>
      </w:r>
      <w:r w:rsidR="00622A9C">
        <w:rPr>
          <w:lang w:val="en-AU"/>
        </w:rPr>
        <w:t>exceeding</w:t>
      </w:r>
      <w:r w:rsidR="00993E7C">
        <w:rPr>
          <w:lang w:val="en-AU"/>
        </w:rPr>
        <w:t xml:space="preserve"> the threshold of at least $25 million in eligible revenue</w:t>
      </w:r>
      <w:r w:rsidRPr="0051629A">
        <w:rPr>
          <w:lang w:val="en-AU"/>
        </w:rPr>
        <w:t>). In the case of the RBS, the charge is levied on a premises basis where a premises has an active superfast broadband service provided over a local access line.</w:t>
      </w:r>
    </w:p>
    <w:p w14:paraId="4A2C9D10" w14:textId="59D6B35C" w:rsidR="0051629A" w:rsidRPr="004F6CA8" w:rsidRDefault="0051629A" w:rsidP="00C44E66">
      <w:pPr>
        <w:pStyle w:val="ListNumbered1"/>
        <w:numPr>
          <w:ilvl w:val="0"/>
          <w:numId w:val="0"/>
        </w:numPr>
        <w:spacing w:before="0" w:after="160"/>
        <w:rPr>
          <w:lang w:val="en-AU"/>
        </w:rPr>
      </w:pPr>
      <w:r>
        <w:rPr>
          <w:lang w:val="en-AU"/>
        </w:rPr>
        <w:t xml:space="preserve">Ideally </w:t>
      </w:r>
      <w:r w:rsidR="00F85503">
        <w:rPr>
          <w:lang w:val="en-AU"/>
        </w:rPr>
        <w:t>any</w:t>
      </w:r>
      <w:r>
        <w:rPr>
          <w:lang w:val="en-AU"/>
        </w:rPr>
        <w:t xml:space="preserve"> charge base should be relatively easy to determine and verify</w:t>
      </w:r>
      <w:r w:rsidR="009B6B99">
        <w:rPr>
          <w:lang w:val="en-AU"/>
        </w:rPr>
        <w:t>,</w:t>
      </w:r>
      <w:r>
        <w:rPr>
          <w:lang w:val="en-AU"/>
        </w:rPr>
        <w:t xml:space="preserve"> and straightforward for industry and administrators to use in implementing the levy</w:t>
      </w:r>
      <w:r w:rsidR="00131F30">
        <w:rPr>
          <w:lang w:val="en-AU"/>
        </w:rPr>
        <w:t xml:space="preserve"> or charge</w:t>
      </w:r>
      <w:r>
        <w:rPr>
          <w:lang w:val="en-AU"/>
        </w:rPr>
        <w:t>.</w:t>
      </w:r>
    </w:p>
    <w:p w14:paraId="5DD6EA3D" w14:textId="07DA9FC6" w:rsidR="00D67D8A" w:rsidRPr="009C60A5" w:rsidRDefault="0034167F" w:rsidP="004D2802">
      <w:pPr>
        <w:pStyle w:val="Heading2"/>
        <w:spacing w:before="160" w:after="60"/>
      </w:pPr>
      <w:bookmarkStart w:id="44" w:name="_Toc163052101"/>
      <w:r>
        <w:t xml:space="preserve">No double </w:t>
      </w:r>
      <w:bookmarkEnd w:id="40"/>
      <w:r w:rsidR="004D0A4D">
        <w:t>recovery</w:t>
      </w:r>
      <w:bookmarkEnd w:id="44"/>
    </w:p>
    <w:p w14:paraId="354FF082" w14:textId="7FA221C5" w:rsidR="00151DBE" w:rsidRDefault="00151DBE" w:rsidP="004D2802">
      <w:pPr>
        <w:spacing w:before="0"/>
      </w:pPr>
      <w:r>
        <w:t xml:space="preserve">The Government as well as </w:t>
      </w:r>
      <w:r w:rsidR="0022533F">
        <w:t>s</w:t>
      </w:r>
      <w:r>
        <w:t xml:space="preserve">tates, </w:t>
      </w:r>
      <w:r w:rsidR="0022533F">
        <w:t>t</w:t>
      </w:r>
      <w:r>
        <w:t>erritories</w:t>
      </w:r>
      <w:r w:rsidR="0022533F">
        <w:t xml:space="preserve"> and</w:t>
      </w:r>
      <w:r>
        <w:t xml:space="preserve"> local government and other organisations are </w:t>
      </w:r>
      <w:r w:rsidR="00E36D35">
        <w:t>co-</w:t>
      </w:r>
      <w:r>
        <w:t>investing in improvements to telecommunications</w:t>
      </w:r>
      <w:r w:rsidR="00E647B2">
        <w:t xml:space="preserve"> across Australia</w:t>
      </w:r>
      <w:r>
        <w:t xml:space="preserve">. Any carriers receiving funding for </w:t>
      </w:r>
      <w:r w:rsidR="00731CEA">
        <w:t xml:space="preserve">the provision of non-commercial </w:t>
      </w:r>
      <w:r>
        <w:t>services should not also be receiving</w:t>
      </w:r>
      <w:r w:rsidR="00731CEA">
        <w:t xml:space="preserve"> funds to cover the same costs from another source. For example, a government grant to improve services should not be paid for by both</w:t>
      </w:r>
      <w:r w:rsidR="00236F3B">
        <w:t xml:space="preserve"> a</w:t>
      </w:r>
      <w:r w:rsidR="00731CEA">
        <w:t xml:space="preserve"> grant and </w:t>
      </w:r>
      <w:r w:rsidR="00236F3B">
        <w:t xml:space="preserve">any </w:t>
      </w:r>
      <w:r w:rsidR="00731CEA">
        <w:t>levy funding for voice and/or broadband services. Any separate funding received by a provider outside of</w:t>
      </w:r>
      <w:r w:rsidR="00E647B2">
        <w:t xml:space="preserve"> long</w:t>
      </w:r>
      <w:r w:rsidR="00236F3B">
        <w:noBreakHyphen/>
      </w:r>
      <w:r w:rsidR="00E647B2">
        <w:t>term</w:t>
      </w:r>
      <w:r w:rsidR="00731CEA">
        <w:t xml:space="preserve"> funding </w:t>
      </w:r>
      <w:r w:rsidR="00E647B2">
        <w:t xml:space="preserve">for universal services </w:t>
      </w:r>
      <w:r w:rsidR="00731CEA">
        <w:t>would ne</w:t>
      </w:r>
      <w:r w:rsidR="009B6B99">
        <w:t>ed</w:t>
      </w:r>
      <w:r w:rsidR="00731CEA">
        <w:t xml:space="preserve"> to be netted out of the assessment of net losses/costs to be covered by </w:t>
      </w:r>
      <w:r w:rsidR="00645EDD">
        <w:t>universal services</w:t>
      </w:r>
      <w:r w:rsidR="00731CEA">
        <w:t xml:space="preserve"> funding </w:t>
      </w:r>
      <w:r w:rsidR="00645EDD">
        <w:t>arrangements</w:t>
      </w:r>
      <w:r w:rsidR="00731CEA">
        <w:t>.</w:t>
      </w:r>
    </w:p>
    <w:p w14:paraId="6A0AF2E2" w14:textId="11A43D03" w:rsidR="00125CB1" w:rsidRDefault="00125CB1" w:rsidP="00125CB1">
      <w:pPr>
        <w:pStyle w:val="Heading2"/>
        <w:spacing w:before="160" w:after="60"/>
      </w:pPr>
      <w:bookmarkStart w:id="45" w:name="_Toc163052102"/>
      <w:r>
        <w:t>Competition issues</w:t>
      </w:r>
      <w:bookmarkEnd w:id="45"/>
    </w:p>
    <w:p w14:paraId="2DA0925D" w14:textId="09F68CD0" w:rsidR="00E36D35" w:rsidRDefault="00125CB1" w:rsidP="00DC681C">
      <w:pPr>
        <w:spacing w:before="0"/>
      </w:pPr>
      <w:r>
        <w:t xml:space="preserve">Depending on the funding </w:t>
      </w:r>
      <w:r w:rsidR="00645EDD">
        <w:t>arrangements</w:t>
      </w:r>
      <w:r>
        <w:t xml:space="preserve"> chosen, </w:t>
      </w:r>
      <w:r w:rsidR="00E242F2">
        <w:t xml:space="preserve">it will be important to understand the </w:t>
      </w:r>
      <w:r w:rsidR="00E36D35">
        <w:t>impact</w:t>
      </w:r>
      <w:r w:rsidR="00E242F2">
        <w:t>s</w:t>
      </w:r>
      <w:r w:rsidR="00433143">
        <w:t xml:space="preserve"> on</w:t>
      </w:r>
      <w:r w:rsidR="00E36D35">
        <w:t xml:space="preserve"> competition </w:t>
      </w:r>
      <w:r w:rsidR="00433143">
        <w:t>and consider the risks of</w:t>
      </w:r>
      <w:r w:rsidR="00E36D35">
        <w:t xml:space="preserve"> </w:t>
      </w:r>
      <w:r>
        <w:t xml:space="preserve">distortionary impacts </w:t>
      </w:r>
      <w:r w:rsidR="00A64302">
        <w:t>on the market</w:t>
      </w:r>
      <w:r w:rsidR="00433143">
        <w:t>.</w:t>
      </w:r>
    </w:p>
    <w:p w14:paraId="104460B8" w14:textId="0C8244FE" w:rsidR="008903B5" w:rsidRDefault="008903B5" w:rsidP="0073574E">
      <w:pPr>
        <w:keepNext/>
        <w:shd w:val="clear" w:color="auto" w:fill="D7E5FA" w:themeFill="accent1" w:themeFillTint="1A"/>
        <w:spacing w:before="0"/>
      </w:pPr>
      <w:r>
        <w:t>Question:</w:t>
      </w:r>
    </w:p>
    <w:p w14:paraId="68C8A0EE" w14:textId="10C1B517" w:rsidR="0051629A" w:rsidRDefault="009B6B99" w:rsidP="0073574E">
      <w:pPr>
        <w:pStyle w:val="ListParagraph"/>
        <w:numPr>
          <w:ilvl w:val="0"/>
          <w:numId w:val="68"/>
        </w:numPr>
        <w:shd w:val="clear" w:color="auto" w:fill="D7E5FA" w:themeFill="accent1" w:themeFillTint="1A"/>
      </w:pPr>
      <w:r>
        <w:t>Are there any particular competition issues that need to be considered</w:t>
      </w:r>
      <w:r w:rsidR="007B6094">
        <w:t>?</w:t>
      </w:r>
      <w:r w:rsidR="005A6072">
        <w:t xml:space="preserve"> How can the design of funding </w:t>
      </w:r>
      <w:r w:rsidR="00236F3B">
        <w:t>arrangeme</w:t>
      </w:r>
      <w:r w:rsidR="001859E6">
        <w:t>n</w:t>
      </w:r>
      <w:r w:rsidR="00236F3B">
        <w:t>ts</w:t>
      </w:r>
      <w:r w:rsidR="005A6072">
        <w:t xml:space="preserve"> promote competition and contestability?</w:t>
      </w:r>
    </w:p>
    <w:p w14:paraId="141970E8" w14:textId="57AAABC8" w:rsidR="00CA6DDB" w:rsidRDefault="00CA6DDB" w:rsidP="00CA6DDB">
      <w:pPr>
        <w:pStyle w:val="Heading2"/>
        <w:spacing w:before="160" w:after="60"/>
      </w:pPr>
      <w:bookmarkStart w:id="46" w:name="_Toc163052103"/>
      <w:r>
        <w:t>Thresholds</w:t>
      </w:r>
      <w:bookmarkEnd w:id="46"/>
    </w:p>
    <w:p w14:paraId="3EC2ED5C" w14:textId="3B238902" w:rsidR="004B1976" w:rsidRDefault="00E47D0B" w:rsidP="00CA6DDB">
      <w:pPr>
        <w:pStyle w:val="ListNumbered1"/>
        <w:numPr>
          <w:ilvl w:val="0"/>
          <w:numId w:val="0"/>
        </w:numPr>
        <w:spacing w:before="0" w:after="160"/>
        <w:rPr>
          <w:lang w:val="en-AU"/>
        </w:rPr>
      </w:pPr>
      <w:r>
        <w:rPr>
          <w:lang w:val="en-AU"/>
        </w:rPr>
        <w:t xml:space="preserve">The RBS and the TIL both include thresholds for contributions. </w:t>
      </w:r>
      <w:r w:rsidR="004B1976">
        <w:rPr>
          <w:lang w:val="en-AU"/>
        </w:rPr>
        <w:t>For example, the current R</w:t>
      </w:r>
      <w:r w:rsidR="002A2FDE">
        <w:rPr>
          <w:lang w:val="en-AU"/>
        </w:rPr>
        <w:t>BS</w:t>
      </w:r>
      <w:r w:rsidR="004B1976">
        <w:rPr>
          <w:lang w:val="en-AU"/>
        </w:rPr>
        <w:t xml:space="preserve"> exempts small networks with less than 2,000 chargeable premises and there is a threshold of $25 million in eligible revenue before carriers are required to contribute to the TIL. These thresholds are </w:t>
      </w:r>
      <w:r>
        <w:rPr>
          <w:lang w:val="en-AU"/>
        </w:rPr>
        <w:t>designed to re</w:t>
      </w:r>
      <w:r w:rsidR="004B1976">
        <w:rPr>
          <w:lang w:val="en-AU"/>
        </w:rPr>
        <w:t xml:space="preserve">move the administrative and cost </w:t>
      </w:r>
      <w:r>
        <w:rPr>
          <w:lang w:val="en-AU"/>
        </w:rPr>
        <w:t xml:space="preserve">burden </w:t>
      </w:r>
      <w:r w:rsidR="004B1976">
        <w:rPr>
          <w:lang w:val="en-AU"/>
        </w:rPr>
        <w:t xml:space="preserve">of industry levies </w:t>
      </w:r>
      <w:r>
        <w:rPr>
          <w:lang w:val="en-AU"/>
        </w:rPr>
        <w:t>on small players and new industry entrants</w:t>
      </w:r>
      <w:r w:rsidR="004B1976">
        <w:rPr>
          <w:lang w:val="en-AU"/>
        </w:rPr>
        <w:t>,</w:t>
      </w:r>
      <w:r>
        <w:rPr>
          <w:lang w:val="en-AU"/>
        </w:rPr>
        <w:t xml:space="preserve"> a</w:t>
      </w:r>
      <w:r w:rsidR="004B1976">
        <w:rPr>
          <w:lang w:val="en-AU"/>
        </w:rPr>
        <w:t xml:space="preserve">s well as reducing the </w:t>
      </w:r>
      <w:r w:rsidR="00622A9C">
        <w:rPr>
          <w:lang w:val="en-AU"/>
        </w:rPr>
        <w:t xml:space="preserve">administrative </w:t>
      </w:r>
      <w:r w:rsidR="004B1976">
        <w:rPr>
          <w:lang w:val="en-AU"/>
        </w:rPr>
        <w:t xml:space="preserve">costs for the ACMA in terms of support required for these parties to understand and comply with the two </w:t>
      </w:r>
      <w:r w:rsidR="00131F30">
        <w:rPr>
          <w:lang w:val="en-AU"/>
        </w:rPr>
        <w:t>funding</w:t>
      </w:r>
      <w:r w:rsidR="004B1976">
        <w:rPr>
          <w:lang w:val="en-AU"/>
        </w:rPr>
        <w:t xml:space="preserve"> mechanisms where monies collected would be relatively small.</w:t>
      </w:r>
      <w:r w:rsidR="00622A9C">
        <w:rPr>
          <w:lang w:val="en-AU"/>
        </w:rPr>
        <w:t xml:space="preserve"> Such thresholds would ideally minimise costs on smaller players and reduce collection costs for the party administering the arrangements, while not significantly reducing funds collected.</w:t>
      </w:r>
    </w:p>
    <w:p w14:paraId="54EE3A3E" w14:textId="5D4BE725" w:rsidR="008903B5" w:rsidRDefault="008903B5" w:rsidP="0073574E">
      <w:pPr>
        <w:pStyle w:val="ListNumbered1"/>
        <w:numPr>
          <w:ilvl w:val="0"/>
          <w:numId w:val="0"/>
        </w:numPr>
        <w:shd w:val="clear" w:color="auto" w:fill="D7E5FA" w:themeFill="accent1" w:themeFillTint="1A"/>
        <w:spacing w:before="0" w:after="160"/>
        <w:rPr>
          <w:lang w:val="en-AU"/>
        </w:rPr>
      </w:pPr>
      <w:r>
        <w:rPr>
          <w:lang w:val="en-AU"/>
        </w:rPr>
        <w:t>Question:</w:t>
      </w:r>
    </w:p>
    <w:p w14:paraId="2F0D2224" w14:textId="082F904C" w:rsidR="00CA6DDB" w:rsidRPr="004F6CA8" w:rsidRDefault="00CA6DDB" w:rsidP="0073574E">
      <w:pPr>
        <w:pStyle w:val="ListNumbered1"/>
        <w:numPr>
          <w:ilvl w:val="0"/>
          <w:numId w:val="68"/>
        </w:numPr>
        <w:shd w:val="clear" w:color="auto" w:fill="D7E5FA" w:themeFill="accent1" w:themeFillTint="1A"/>
        <w:spacing w:before="0" w:after="160"/>
        <w:rPr>
          <w:lang w:val="en-AU"/>
        </w:rPr>
      </w:pPr>
      <w:r>
        <w:rPr>
          <w:lang w:val="en-AU"/>
        </w:rPr>
        <w:t>Should there be any threshold</w:t>
      </w:r>
      <w:r w:rsidR="00961517">
        <w:rPr>
          <w:lang w:val="en-AU"/>
        </w:rPr>
        <w:t xml:space="preserve"> </w:t>
      </w:r>
      <w:r>
        <w:rPr>
          <w:lang w:val="en-AU"/>
        </w:rPr>
        <w:t>on the requirement to make contributions</w:t>
      </w:r>
      <w:r w:rsidR="004B1976">
        <w:rPr>
          <w:lang w:val="en-AU"/>
        </w:rPr>
        <w:t xml:space="preserve"> and if so w</w:t>
      </w:r>
      <w:r>
        <w:rPr>
          <w:lang w:val="en-AU"/>
        </w:rPr>
        <w:t xml:space="preserve">hat kind of </w:t>
      </w:r>
      <w:r w:rsidR="00961517">
        <w:rPr>
          <w:lang w:val="en-AU"/>
        </w:rPr>
        <w:t xml:space="preserve">methodology would be suitable for determining the </w:t>
      </w:r>
      <w:r>
        <w:rPr>
          <w:lang w:val="en-AU"/>
        </w:rPr>
        <w:t>threshold</w:t>
      </w:r>
      <w:r w:rsidR="00125CB1">
        <w:rPr>
          <w:lang w:val="en-AU"/>
        </w:rPr>
        <w:t>?</w:t>
      </w:r>
    </w:p>
    <w:p w14:paraId="4CB19122" w14:textId="3AEA3902" w:rsidR="00CA6DDB" w:rsidRDefault="00CA6DDB" w:rsidP="00CA6DDB">
      <w:pPr>
        <w:pStyle w:val="Heading2"/>
        <w:spacing w:before="160" w:after="60"/>
      </w:pPr>
      <w:bookmarkStart w:id="47" w:name="_Toc163052104"/>
      <w:r>
        <w:t xml:space="preserve">Administrative characteristics of funding </w:t>
      </w:r>
      <w:r w:rsidR="0049125D">
        <w:t>arrangements</w:t>
      </w:r>
      <w:bookmarkEnd w:id="47"/>
    </w:p>
    <w:p w14:paraId="17DCFDE5" w14:textId="2FDB0557" w:rsidR="00125CB1" w:rsidRDefault="00CA6DDB" w:rsidP="00CA6DDB">
      <w:pPr>
        <w:pStyle w:val="ListNumbered1"/>
        <w:numPr>
          <w:ilvl w:val="0"/>
          <w:numId w:val="0"/>
        </w:numPr>
        <w:spacing w:before="0" w:after="160"/>
        <w:rPr>
          <w:lang w:val="en-AU"/>
        </w:rPr>
      </w:pPr>
      <w:r>
        <w:rPr>
          <w:lang w:val="en-AU"/>
        </w:rPr>
        <w:t xml:space="preserve">Funding </w:t>
      </w:r>
      <w:r w:rsidR="0049125D">
        <w:rPr>
          <w:lang w:val="en-AU"/>
        </w:rPr>
        <w:t>arrangements</w:t>
      </w:r>
      <w:r>
        <w:rPr>
          <w:lang w:val="en-AU"/>
        </w:rPr>
        <w:t xml:space="preserve"> can have varying administrative characteristics. </w:t>
      </w:r>
      <w:r w:rsidR="005C126F">
        <w:rPr>
          <w:lang w:val="en-AU"/>
        </w:rPr>
        <w:t xml:space="preserve">The design of these characteristics can either support or constrain key principles of funding </w:t>
      </w:r>
      <w:r w:rsidR="00236F3B">
        <w:rPr>
          <w:lang w:val="en-AU"/>
        </w:rPr>
        <w:t>arrangements</w:t>
      </w:r>
      <w:r w:rsidR="005C126F">
        <w:rPr>
          <w:lang w:val="en-AU"/>
        </w:rPr>
        <w:t xml:space="preserve"> and ease of administration. </w:t>
      </w:r>
      <w:r w:rsidR="009D0D5F">
        <w:rPr>
          <w:lang w:val="en-AU"/>
        </w:rPr>
        <w:t xml:space="preserve">Consideration </w:t>
      </w:r>
      <w:r w:rsidR="005C126F">
        <w:rPr>
          <w:lang w:val="en-AU"/>
        </w:rPr>
        <w:t xml:space="preserve">must be </w:t>
      </w:r>
      <w:r w:rsidR="009D0D5F">
        <w:rPr>
          <w:lang w:val="en-AU"/>
        </w:rPr>
        <w:t>given to</w:t>
      </w:r>
      <w:r w:rsidR="00125CB1">
        <w:rPr>
          <w:lang w:val="en-AU"/>
        </w:rPr>
        <w:t xml:space="preserve"> whether contributions are based on forecast or actual costs</w:t>
      </w:r>
      <w:r w:rsidR="009D0D5F">
        <w:rPr>
          <w:lang w:val="en-AU"/>
        </w:rPr>
        <w:t xml:space="preserve"> or another mechanism</w:t>
      </w:r>
      <w:r w:rsidR="00125CB1">
        <w:rPr>
          <w:lang w:val="en-AU"/>
        </w:rPr>
        <w:t xml:space="preserve">, how any necessary adjustments are made, how often contributions are collected, how often subsidies are provided to funding recipients, whether funding recipients are allowed to offset any contributions they are required to make, </w:t>
      </w:r>
      <w:r w:rsidR="009D0D5F">
        <w:rPr>
          <w:lang w:val="en-AU"/>
        </w:rPr>
        <w:t xml:space="preserve">how to make subsidy arrangements efficient to administer while ensuring that funding contributors cannot unduly avoid or minimise contributions, </w:t>
      </w:r>
      <w:r w:rsidR="00125CB1">
        <w:rPr>
          <w:lang w:val="en-AU"/>
        </w:rPr>
        <w:t xml:space="preserve">review mechanisms for the funding </w:t>
      </w:r>
      <w:r w:rsidR="00236F3B">
        <w:rPr>
          <w:lang w:val="en-AU"/>
        </w:rPr>
        <w:t>arrangements</w:t>
      </w:r>
      <w:r w:rsidR="00125CB1">
        <w:rPr>
          <w:lang w:val="en-AU"/>
        </w:rPr>
        <w:t xml:space="preserve"> (frequency and type of review) and any other matters</w:t>
      </w:r>
      <w:r w:rsidR="00622A9C">
        <w:rPr>
          <w:lang w:val="en-AU"/>
        </w:rPr>
        <w:t xml:space="preserve">, such as processes to deal with adjustments and refunds. </w:t>
      </w:r>
    </w:p>
    <w:p w14:paraId="6AE465EC" w14:textId="588B6E49" w:rsidR="009D0D5F" w:rsidRDefault="009D0D5F" w:rsidP="0073574E">
      <w:pPr>
        <w:pStyle w:val="ListNumbered1"/>
        <w:keepNext/>
        <w:numPr>
          <w:ilvl w:val="0"/>
          <w:numId w:val="0"/>
        </w:numPr>
        <w:shd w:val="clear" w:color="auto" w:fill="D7E5FA" w:themeFill="accent1" w:themeFillTint="1A"/>
        <w:spacing w:before="0" w:after="160"/>
        <w:rPr>
          <w:lang w:val="en-AU"/>
        </w:rPr>
      </w:pPr>
      <w:r>
        <w:rPr>
          <w:lang w:val="en-AU"/>
        </w:rPr>
        <w:t xml:space="preserve">Question: </w:t>
      </w:r>
    </w:p>
    <w:p w14:paraId="507AFDBD" w14:textId="0068B679" w:rsidR="009D0D5F" w:rsidRDefault="009D0D5F" w:rsidP="0073574E">
      <w:pPr>
        <w:pStyle w:val="ListNumbered1"/>
        <w:numPr>
          <w:ilvl w:val="0"/>
          <w:numId w:val="68"/>
        </w:numPr>
        <w:shd w:val="clear" w:color="auto" w:fill="D7E5FA" w:themeFill="accent1" w:themeFillTint="1A"/>
        <w:spacing w:before="0" w:after="160"/>
        <w:rPr>
          <w:lang w:val="en-AU"/>
        </w:rPr>
      </w:pPr>
      <w:r>
        <w:rPr>
          <w:lang w:val="en-AU"/>
        </w:rPr>
        <w:t xml:space="preserve">Are there any characteristics that would provide additional efficiency or ease of administration </w:t>
      </w:r>
      <w:r w:rsidR="00961517">
        <w:rPr>
          <w:lang w:val="en-AU"/>
        </w:rPr>
        <w:t>for the</w:t>
      </w:r>
      <w:r>
        <w:rPr>
          <w:lang w:val="en-AU"/>
        </w:rPr>
        <w:t xml:space="preserve"> contributors and the administrators </w:t>
      </w:r>
      <w:r w:rsidR="00236F3B">
        <w:rPr>
          <w:lang w:val="en-AU"/>
        </w:rPr>
        <w:t xml:space="preserve">of </w:t>
      </w:r>
      <w:r w:rsidR="00645EDD">
        <w:rPr>
          <w:lang w:val="en-AU"/>
        </w:rPr>
        <w:t>universal service funding</w:t>
      </w:r>
      <w:r>
        <w:rPr>
          <w:lang w:val="en-AU"/>
        </w:rPr>
        <w:t>?</w:t>
      </w:r>
    </w:p>
    <w:p w14:paraId="3DCCE75B" w14:textId="3856606D" w:rsidR="00964C3A" w:rsidRDefault="00964C3A" w:rsidP="0073574E">
      <w:pPr>
        <w:pStyle w:val="Heading2"/>
        <w:shd w:val="clear" w:color="auto" w:fill="9CBFF2" w:themeFill="accent1" w:themeFillTint="40"/>
        <w:spacing w:before="160" w:after="60"/>
      </w:pPr>
      <w:bookmarkStart w:id="48" w:name="_Toc163052105"/>
      <w:r>
        <w:t>General questions on key principles and characteristics</w:t>
      </w:r>
      <w:bookmarkEnd w:id="48"/>
    </w:p>
    <w:p w14:paraId="5F970526" w14:textId="55C64FAB" w:rsidR="0096287A" w:rsidRDefault="0096287A" w:rsidP="004205C5">
      <w:r>
        <w:t>The above key principles and characteristics would be used in considering the effectiveness of currently funding arrangements and consideration of any changes to current arrangements. The Productivity Commission’s recent work on levies is also worth considering with respect to design of future funding arrangements.</w:t>
      </w:r>
      <w:r>
        <w:rPr>
          <w:rStyle w:val="FootnoteReference"/>
        </w:rPr>
        <w:footnoteReference w:id="30"/>
      </w:r>
    </w:p>
    <w:p w14:paraId="5298BEB8" w14:textId="71BD8F6E" w:rsidR="00964C3A" w:rsidRDefault="00964C3A" w:rsidP="0073574E">
      <w:pPr>
        <w:pStyle w:val="ListNumbered1"/>
        <w:numPr>
          <w:ilvl w:val="0"/>
          <w:numId w:val="68"/>
        </w:numPr>
        <w:shd w:val="clear" w:color="auto" w:fill="D7E5FA" w:themeFill="accent1" w:themeFillTint="1A"/>
        <w:spacing w:before="0" w:after="160"/>
        <w:rPr>
          <w:lang w:val="en-AU"/>
        </w:rPr>
      </w:pPr>
      <w:r>
        <w:rPr>
          <w:lang w:val="en-AU"/>
        </w:rPr>
        <w:t xml:space="preserve">Do you agree with the positions set out above with respect to key principles and characteristics of future funding </w:t>
      </w:r>
      <w:r w:rsidR="00645EDD">
        <w:rPr>
          <w:lang w:val="en-AU"/>
        </w:rPr>
        <w:t>arrangements</w:t>
      </w:r>
      <w:r>
        <w:rPr>
          <w:lang w:val="en-AU"/>
        </w:rPr>
        <w:t>?</w:t>
      </w:r>
    </w:p>
    <w:p w14:paraId="3B565B17" w14:textId="7AE6B6B5" w:rsidR="00964C3A" w:rsidRDefault="00964C3A" w:rsidP="0073574E">
      <w:pPr>
        <w:pStyle w:val="ListNumbered1"/>
        <w:numPr>
          <w:ilvl w:val="0"/>
          <w:numId w:val="68"/>
        </w:numPr>
        <w:shd w:val="clear" w:color="auto" w:fill="D7E5FA" w:themeFill="accent1" w:themeFillTint="1A"/>
        <w:spacing w:before="0" w:after="160"/>
        <w:rPr>
          <w:lang w:val="en-AU"/>
        </w:rPr>
      </w:pPr>
      <w:r>
        <w:rPr>
          <w:lang w:val="en-AU"/>
        </w:rPr>
        <w:t>Are there any principles or characteristics that should be added to the above list?</w:t>
      </w:r>
    </w:p>
    <w:p w14:paraId="7FFC3A0E" w14:textId="2C1FF53F" w:rsidR="00C963CD" w:rsidRDefault="00C963CD" w:rsidP="0073574E">
      <w:pPr>
        <w:pStyle w:val="ListNumbered1"/>
        <w:numPr>
          <w:ilvl w:val="0"/>
          <w:numId w:val="68"/>
        </w:numPr>
        <w:shd w:val="clear" w:color="auto" w:fill="D7E5FA" w:themeFill="accent1" w:themeFillTint="1A"/>
        <w:spacing w:before="0" w:after="160"/>
        <w:rPr>
          <w:lang w:val="en-AU"/>
        </w:rPr>
      </w:pPr>
      <w:r>
        <w:rPr>
          <w:lang w:val="en-AU"/>
        </w:rPr>
        <w:t>Are there are other issues or considerations the Government should take account of in considering the effectiveness of funding arrangements for universal telecommunications services?</w:t>
      </w:r>
    </w:p>
    <w:p w14:paraId="611045BB" w14:textId="7D953581" w:rsidR="00F85503" w:rsidRDefault="00F85503" w:rsidP="0073574E">
      <w:pPr>
        <w:pStyle w:val="ListNumbered1"/>
        <w:numPr>
          <w:ilvl w:val="0"/>
          <w:numId w:val="68"/>
        </w:numPr>
        <w:shd w:val="clear" w:color="auto" w:fill="D7E5FA" w:themeFill="accent1" w:themeFillTint="1A"/>
        <w:spacing w:before="0" w:after="160"/>
        <w:rPr>
          <w:lang w:val="en-AU"/>
        </w:rPr>
      </w:pPr>
      <w:r>
        <w:rPr>
          <w:lang w:val="en-AU"/>
        </w:rPr>
        <w:t>Are there any particular funding models you think the Government should consider?</w:t>
      </w:r>
    </w:p>
    <w:p w14:paraId="0FB412C3" w14:textId="48B27BCD" w:rsidR="00320EE3" w:rsidRDefault="00320EE3" w:rsidP="00320EE3">
      <w:pPr>
        <w:pStyle w:val="Heading1"/>
        <w:spacing w:before="160" w:after="80"/>
        <w:contextualSpacing w:val="0"/>
      </w:pPr>
      <w:bookmarkStart w:id="49" w:name="_Toc163052106"/>
      <w:r>
        <w:t>Regional Broadband Scheme review questions</w:t>
      </w:r>
      <w:bookmarkEnd w:id="49"/>
    </w:p>
    <w:p w14:paraId="024443F0" w14:textId="42C81BFA" w:rsidR="00FE2315" w:rsidRPr="00FE2315" w:rsidRDefault="00620FD2" w:rsidP="006A5BB7">
      <w:r>
        <w:t xml:space="preserve">While this consultation is considering </w:t>
      </w:r>
      <w:r w:rsidR="00236F3B">
        <w:t xml:space="preserve">the effectiveness of </w:t>
      </w:r>
      <w:r>
        <w:t xml:space="preserve">long-term funding </w:t>
      </w:r>
      <w:r w:rsidR="00645EDD">
        <w:t xml:space="preserve">arrangements </w:t>
      </w:r>
      <w:r>
        <w:t xml:space="preserve">more broadly, it is also designed to meet the </w:t>
      </w:r>
      <w:r w:rsidR="00645EDD">
        <w:t xml:space="preserve">specific </w:t>
      </w:r>
      <w:r w:rsidR="008C2915">
        <w:t>public consultation</w:t>
      </w:r>
      <w:r w:rsidR="00A64302">
        <w:t xml:space="preserve"> </w:t>
      </w:r>
      <w:r>
        <w:t>requirement of the RBS review</w:t>
      </w:r>
      <w:r w:rsidR="00A64302">
        <w:t xml:space="preserve">, as set out in the RBS Review background on pages </w:t>
      </w:r>
      <w:r w:rsidR="002D322E">
        <w:t>8-9.</w:t>
      </w:r>
      <w:r>
        <w:t xml:space="preserve"> </w:t>
      </w:r>
      <w:r w:rsidR="00B86B63">
        <w:t xml:space="preserve">The issues highlighted below are those that have been flagged for consideration in the review, issues that have been raised by stakeholders during operation of the scheme and provision for general input. Any input provided here will be considered within the context of long-term funding </w:t>
      </w:r>
      <w:r w:rsidR="00645EDD">
        <w:t>arrangements</w:t>
      </w:r>
      <w:r w:rsidR="00B86B63">
        <w:t xml:space="preserve"> but also in relation to opportunities to enhance the delivery of the RBS in its current form.</w:t>
      </w:r>
    </w:p>
    <w:p w14:paraId="0A408A7A" w14:textId="77777777" w:rsidR="00320EE3" w:rsidRPr="00703A7C" w:rsidRDefault="00320EE3" w:rsidP="00320EE3">
      <w:pPr>
        <w:pStyle w:val="Heading2"/>
        <w:spacing w:before="160" w:after="60"/>
      </w:pPr>
      <w:bookmarkStart w:id="50" w:name="_Toc163052107"/>
      <w:r w:rsidRPr="00703A7C">
        <w:t>Substitutability (charge base)</w:t>
      </w:r>
      <w:bookmarkEnd w:id="50"/>
    </w:p>
    <w:p w14:paraId="608E7593" w14:textId="498BDFCC" w:rsidR="00E613BE" w:rsidRDefault="00E613BE" w:rsidP="00320EE3">
      <w:pPr>
        <w:pStyle w:val="ListNumbered1"/>
        <w:numPr>
          <w:ilvl w:val="0"/>
          <w:numId w:val="0"/>
        </w:numPr>
        <w:rPr>
          <w:lang w:val="en-AU"/>
        </w:rPr>
      </w:pPr>
      <w:r w:rsidRPr="00703A7C">
        <w:rPr>
          <w:lang w:val="en-AU"/>
        </w:rPr>
        <w:t xml:space="preserve">In the 2016 paper on </w:t>
      </w:r>
      <w:r w:rsidRPr="00703A7C">
        <w:rPr>
          <w:i/>
          <w:lang w:val="en-AU"/>
        </w:rPr>
        <w:t>NBN Non-commercial services funding options (Final report)</w:t>
      </w:r>
      <w:r w:rsidRPr="00703A7C">
        <w:rPr>
          <w:rStyle w:val="FootnoteReference"/>
          <w:lang w:val="en-AU"/>
        </w:rPr>
        <w:footnoteReference w:id="31"/>
      </w:r>
      <w:r w:rsidRPr="00703A7C">
        <w:rPr>
          <w:lang w:val="en-AU"/>
        </w:rPr>
        <w:t xml:space="preserve">, BCARR considered </w:t>
      </w:r>
      <w:r w:rsidR="00703A7C">
        <w:rPr>
          <w:lang w:val="en-AU"/>
        </w:rPr>
        <w:t xml:space="preserve">services that were </w:t>
      </w:r>
      <w:r w:rsidRPr="00703A7C">
        <w:rPr>
          <w:lang w:val="en-AU"/>
        </w:rPr>
        <w:t xml:space="preserve">‘NBN equivalent’ </w:t>
      </w:r>
      <w:r w:rsidR="00703A7C">
        <w:rPr>
          <w:lang w:val="en-AU"/>
        </w:rPr>
        <w:t xml:space="preserve">to be the most appropriate charge base </w:t>
      </w:r>
      <w:r w:rsidR="00703A7C" w:rsidRPr="00703A7C">
        <w:rPr>
          <w:lang w:val="en-AU"/>
        </w:rPr>
        <w:t>for the levy</w:t>
      </w:r>
      <w:r w:rsidR="00703A7C">
        <w:rPr>
          <w:lang w:val="en-AU"/>
        </w:rPr>
        <w:t xml:space="preserve">. BCARR proposed </w:t>
      </w:r>
      <w:r w:rsidR="00C57639">
        <w:rPr>
          <w:lang w:val="en-AU"/>
        </w:rPr>
        <w:t xml:space="preserve">at that time </w:t>
      </w:r>
      <w:r w:rsidR="00703A7C">
        <w:rPr>
          <w:lang w:val="en-AU"/>
        </w:rPr>
        <w:t xml:space="preserve">that </w:t>
      </w:r>
      <w:r w:rsidR="00703A7C" w:rsidRPr="00703A7C">
        <w:rPr>
          <w:lang w:val="en-AU"/>
        </w:rPr>
        <w:t xml:space="preserve">the levy be imposed on </w:t>
      </w:r>
      <w:r w:rsidR="00703A7C">
        <w:rPr>
          <w:lang w:val="en-AU"/>
        </w:rPr>
        <w:t>‘</w:t>
      </w:r>
      <w:r w:rsidR="00703A7C">
        <w:t>operators of high-speed fixed-line broadband access networks capable of delivering download speeds of at least 25 megabits per second (Mbps)</w:t>
      </w:r>
      <w:r w:rsidR="00703A7C">
        <w:rPr>
          <w:lang w:val="en-AU"/>
        </w:rPr>
        <w:t>’. The RBS operates on this basis.</w:t>
      </w:r>
    </w:p>
    <w:p w14:paraId="2871EEF8" w14:textId="6F24D392" w:rsidR="00703A7C" w:rsidRDefault="00703A7C" w:rsidP="00320EE3">
      <w:pPr>
        <w:pStyle w:val="ListNumbered1"/>
        <w:numPr>
          <w:ilvl w:val="0"/>
          <w:numId w:val="0"/>
        </w:numPr>
        <w:rPr>
          <w:lang w:val="en-AU"/>
        </w:rPr>
      </w:pPr>
      <w:r>
        <w:rPr>
          <w:lang w:val="en-AU"/>
        </w:rPr>
        <w:t xml:space="preserve">BCARR noted in its paper that an </w:t>
      </w:r>
      <w:r>
        <w:t>NBN equivalent funding approach raises a number of issues relating to the substitutability of mobile to fixed-line services</w:t>
      </w:r>
      <w:r>
        <w:rPr>
          <w:lang w:val="en-AU"/>
        </w:rPr>
        <w:t>, particularly into the future. BCARR noted that changes to the telecommunications market over time may increase the substitutability of mobile services (including the use of 4G and 5G services for home broadband).</w:t>
      </w:r>
    </w:p>
    <w:p w14:paraId="3AB84457" w14:textId="475DE49A" w:rsidR="008903B5" w:rsidRDefault="008903B5" w:rsidP="0073574E">
      <w:pPr>
        <w:pStyle w:val="ListNumbered1"/>
        <w:numPr>
          <w:ilvl w:val="0"/>
          <w:numId w:val="0"/>
        </w:numPr>
        <w:shd w:val="clear" w:color="auto" w:fill="D7E5FA" w:themeFill="accent1" w:themeFillTint="1A"/>
        <w:rPr>
          <w:lang w:val="en-AU"/>
        </w:rPr>
      </w:pPr>
      <w:r>
        <w:rPr>
          <w:lang w:val="en-AU"/>
        </w:rPr>
        <w:t>Question</w:t>
      </w:r>
      <w:r w:rsidR="00E1342A">
        <w:rPr>
          <w:lang w:val="en-AU"/>
        </w:rPr>
        <w:t>:</w:t>
      </w:r>
    </w:p>
    <w:p w14:paraId="528A6328" w14:textId="17D7BA16" w:rsidR="00CD5F72" w:rsidRPr="00837EA9" w:rsidRDefault="00CD5F72" w:rsidP="0073574E">
      <w:pPr>
        <w:pStyle w:val="ListNumbered1"/>
        <w:numPr>
          <w:ilvl w:val="0"/>
          <w:numId w:val="68"/>
        </w:numPr>
        <w:shd w:val="clear" w:color="auto" w:fill="D7E5FA" w:themeFill="accent1" w:themeFillTint="1A"/>
        <w:rPr>
          <w:lang w:val="en-AU"/>
        </w:rPr>
      </w:pPr>
      <w:r>
        <w:rPr>
          <w:lang w:val="en-AU"/>
        </w:rPr>
        <w:t xml:space="preserve">Based on current market conditions, which participants in the telecommunications industry should be contributing towards </w:t>
      </w:r>
      <w:r w:rsidR="007C41ED">
        <w:rPr>
          <w:lang w:val="en-AU"/>
        </w:rPr>
        <w:t>the net losses of NBN Co’s non-commercial fixed wireless and satellite services</w:t>
      </w:r>
      <w:r w:rsidRPr="00837EA9">
        <w:rPr>
          <w:lang w:val="en-AU"/>
        </w:rPr>
        <w:t>?</w:t>
      </w:r>
    </w:p>
    <w:p w14:paraId="13CA8E74" w14:textId="06081CF4" w:rsidR="000E561C" w:rsidRPr="008903F3" w:rsidRDefault="000E561C" w:rsidP="00320EE3">
      <w:pPr>
        <w:pStyle w:val="Heading2"/>
        <w:spacing w:before="160" w:after="60"/>
      </w:pPr>
      <w:bookmarkStart w:id="51" w:name="_Toc163052108"/>
      <w:r w:rsidRPr="008903F3">
        <w:t>Charge base unit</w:t>
      </w:r>
      <w:bookmarkEnd w:id="51"/>
    </w:p>
    <w:p w14:paraId="6BE87461" w14:textId="4101344F" w:rsidR="00937218" w:rsidRPr="00937218" w:rsidRDefault="00990BC3" w:rsidP="000E561C">
      <w:pPr>
        <w:pStyle w:val="ListNumbered1"/>
        <w:numPr>
          <w:ilvl w:val="0"/>
          <w:numId w:val="0"/>
        </w:numPr>
        <w:rPr>
          <w:lang w:val="en-AU"/>
        </w:rPr>
      </w:pPr>
      <w:r>
        <w:rPr>
          <w:lang w:val="en-AU"/>
        </w:rPr>
        <w:t>‘</w:t>
      </w:r>
      <w:r w:rsidR="00E21783" w:rsidRPr="00937218">
        <w:rPr>
          <w:lang w:val="en-AU"/>
        </w:rPr>
        <w:t>Chargeable premises</w:t>
      </w:r>
      <w:r>
        <w:rPr>
          <w:lang w:val="en-AU"/>
        </w:rPr>
        <w:t>’</w:t>
      </w:r>
      <w:r w:rsidR="00E21783" w:rsidRPr="00937218">
        <w:rPr>
          <w:lang w:val="en-AU"/>
        </w:rPr>
        <w:t xml:space="preserve"> is the basis for assessing liability under the RBS</w:t>
      </w:r>
      <w:r w:rsidR="00937218" w:rsidRPr="00937218">
        <w:rPr>
          <w:lang w:val="en-AU"/>
        </w:rPr>
        <w:t xml:space="preserve">. This is </w:t>
      </w:r>
      <w:r w:rsidR="00E21783" w:rsidRPr="00937218">
        <w:rPr>
          <w:lang w:val="en-AU"/>
        </w:rPr>
        <w:t xml:space="preserve">defined </w:t>
      </w:r>
      <w:r w:rsidR="00937218" w:rsidRPr="00937218">
        <w:rPr>
          <w:lang w:val="en-AU"/>
        </w:rPr>
        <w:t xml:space="preserve">through reference to a </w:t>
      </w:r>
      <w:r w:rsidR="00E21783" w:rsidRPr="00937218">
        <w:rPr>
          <w:lang w:val="en-AU"/>
        </w:rPr>
        <w:t>carriage service provider suppl</w:t>
      </w:r>
      <w:r w:rsidR="00937218" w:rsidRPr="00937218">
        <w:rPr>
          <w:lang w:val="en-AU"/>
        </w:rPr>
        <w:t>ying</w:t>
      </w:r>
      <w:r w:rsidR="00E21783" w:rsidRPr="00937218">
        <w:rPr>
          <w:lang w:val="en-AU"/>
        </w:rPr>
        <w:t xml:space="preserve"> a broadband service over a local access line</w:t>
      </w:r>
      <w:r w:rsidR="00937218" w:rsidRPr="00937218">
        <w:rPr>
          <w:lang w:val="en-AU"/>
        </w:rPr>
        <w:t xml:space="preserve"> (either as owner or where a nominated carrier declaration is in place). </w:t>
      </w:r>
    </w:p>
    <w:p w14:paraId="1DC7B971" w14:textId="1A8D1498" w:rsidR="0051629A" w:rsidRDefault="00937218" w:rsidP="000E561C">
      <w:pPr>
        <w:pStyle w:val="ListNumbered1"/>
        <w:numPr>
          <w:ilvl w:val="0"/>
          <w:numId w:val="0"/>
        </w:numPr>
        <w:rPr>
          <w:lang w:val="en-AU"/>
        </w:rPr>
      </w:pPr>
      <w:r w:rsidRPr="00937218">
        <w:rPr>
          <w:lang w:val="en-AU"/>
        </w:rPr>
        <w:lastRenderedPageBreak/>
        <w:t>Some carriers have raised concerns about the use of chargeable premises as the basis for the charge, arguing that it is too complicated</w:t>
      </w:r>
      <w:r w:rsidR="0051629A">
        <w:rPr>
          <w:lang w:val="en-AU"/>
        </w:rPr>
        <w:t xml:space="preserve"> and not a term used otherwise in the industry.</w:t>
      </w:r>
    </w:p>
    <w:p w14:paraId="315BDC98" w14:textId="0343D1FD" w:rsidR="008903B5" w:rsidRDefault="008903B5" w:rsidP="0073574E">
      <w:pPr>
        <w:pStyle w:val="ListNumbered1"/>
        <w:numPr>
          <w:ilvl w:val="0"/>
          <w:numId w:val="0"/>
        </w:numPr>
        <w:shd w:val="clear" w:color="auto" w:fill="D7E5FA" w:themeFill="accent1" w:themeFillTint="1A"/>
        <w:rPr>
          <w:lang w:val="en-AU"/>
        </w:rPr>
      </w:pPr>
      <w:r>
        <w:rPr>
          <w:lang w:val="en-AU"/>
        </w:rPr>
        <w:t>Questions:</w:t>
      </w:r>
    </w:p>
    <w:p w14:paraId="10B9E6AF" w14:textId="3A2F2316" w:rsidR="00937218" w:rsidRPr="00837EA9" w:rsidRDefault="00937218" w:rsidP="0073574E">
      <w:pPr>
        <w:pStyle w:val="ListNumbered1"/>
        <w:numPr>
          <w:ilvl w:val="0"/>
          <w:numId w:val="68"/>
        </w:numPr>
        <w:shd w:val="clear" w:color="auto" w:fill="D7E5FA" w:themeFill="accent1" w:themeFillTint="1A"/>
        <w:rPr>
          <w:lang w:val="en-AU"/>
        </w:rPr>
      </w:pPr>
      <w:r>
        <w:rPr>
          <w:lang w:val="en-AU"/>
        </w:rPr>
        <w:t>What is the most appropriate charge base unit for the RBS?</w:t>
      </w:r>
    </w:p>
    <w:p w14:paraId="308A7A5A" w14:textId="77777777" w:rsidR="000E561C" w:rsidRPr="00837EA9" w:rsidRDefault="000E561C" w:rsidP="00320EE3">
      <w:pPr>
        <w:pStyle w:val="Heading2"/>
        <w:spacing w:before="160" w:after="60"/>
      </w:pPr>
      <w:bookmarkStart w:id="52" w:name="_Toc163052109"/>
      <w:r w:rsidRPr="00837EA9">
        <w:t>Exemptions</w:t>
      </w:r>
      <w:bookmarkEnd w:id="52"/>
    </w:p>
    <w:p w14:paraId="230D18EC" w14:textId="1B796619" w:rsidR="000E561C" w:rsidRPr="00837EA9" w:rsidRDefault="000E561C" w:rsidP="000E561C">
      <w:pPr>
        <w:pStyle w:val="ListNumbered1"/>
        <w:numPr>
          <w:ilvl w:val="0"/>
          <w:numId w:val="0"/>
        </w:numPr>
      </w:pPr>
      <w:r w:rsidRPr="00837EA9">
        <w:rPr>
          <w:lang w:val="en-AU"/>
        </w:rPr>
        <w:t xml:space="preserve">The RBS has two types of exemptions. The first is a general exemption for smaller carriers </w:t>
      </w:r>
      <w:r w:rsidR="008743B4" w:rsidRPr="00837EA9">
        <w:rPr>
          <w:lang w:val="en-AU"/>
        </w:rPr>
        <w:t xml:space="preserve">(or </w:t>
      </w:r>
      <w:r w:rsidR="00004D5E" w:rsidRPr="00837EA9">
        <w:rPr>
          <w:lang w:val="en-AU"/>
        </w:rPr>
        <w:t xml:space="preserve">an </w:t>
      </w:r>
      <w:r w:rsidR="008743B4" w:rsidRPr="00837EA9">
        <w:rPr>
          <w:lang w:val="en-AU"/>
        </w:rPr>
        <w:t xml:space="preserve">associated group) </w:t>
      </w:r>
      <w:r w:rsidRPr="00837EA9">
        <w:rPr>
          <w:lang w:val="en-AU"/>
        </w:rPr>
        <w:t xml:space="preserve">with less than 2,000 </w:t>
      </w:r>
      <w:r w:rsidRPr="00837EA9">
        <w:t xml:space="preserve">active local access lines </w:t>
      </w:r>
      <w:r w:rsidRPr="00837EA9">
        <w:rPr>
          <w:lang w:val="en-AU"/>
        </w:rPr>
        <w:t xml:space="preserve">providing </w:t>
      </w:r>
      <w:r w:rsidRPr="00837EA9">
        <w:t>a high-speed superfast broadband service</w:t>
      </w:r>
      <w:r w:rsidRPr="00837EA9">
        <w:rPr>
          <w:lang w:val="en-AU"/>
        </w:rPr>
        <w:t xml:space="preserve"> in a mont</w:t>
      </w:r>
      <w:r w:rsidR="008743B4" w:rsidRPr="00837EA9">
        <w:rPr>
          <w:lang w:val="en-AU"/>
        </w:rPr>
        <w:t>h (section 95, Part 3,</w:t>
      </w:r>
      <w:r w:rsidR="00837EA9" w:rsidRPr="00837EA9">
        <w:rPr>
          <w:lang w:val="en-AU"/>
        </w:rPr>
        <w:t xml:space="preserve"> TCPSS Act</w:t>
      </w:r>
      <w:r w:rsidR="008743B4" w:rsidRPr="00837EA9">
        <w:rPr>
          <w:lang w:val="en-AU"/>
        </w:rPr>
        <w:t>)</w:t>
      </w:r>
      <w:r w:rsidRPr="00837EA9">
        <w:rPr>
          <w:lang w:val="en-AU"/>
        </w:rPr>
        <w:t xml:space="preserve">. </w:t>
      </w:r>
      <w:r w:rsidR="008743B4" w:rsidRPr="00837EA9">
        <w:rPr>
          <w:lang w:val="en-AU"/>
        </w:rPr>
        <w:t xml:space="preserve">Such carriers are </w:t>
      </w:r>
      <w:r w:rsidRPr="00837EA9">
        <w:rPr>
          <w:lang w:val="en-AU"/>
        </w:rPr>
        <w:t xml:space="preserve">not required to pay the </w:t>
      </w:r>
      <w:r w:rsidR="008743B4" w:rsidRPr="00837EA9">
        <w:rPr>
          <w:lang w:val="en-AU"/>
        </w:rPr>
        <w:t>charge for such premises in that month.</w:t>
      </w:r>
    </w:p>
    <w:p w14:paraId="65917B26" w14:textId="4E483068" w:rsidR="00004D5E" w:rsidRDefault="000E561C" w:rsidP="000E561C">
      <w:pPr>
        <w:pStyle w:val="ListNumbered1"/>
        <w:numPr>
          <w:ilvl w:val="0"/>
          <w:numId w:val="0"/>
        </w:numPr>
        <w:rPr>
          <w:lang w:val="en-AU"/>
        </w:rPr>
      </w:pPr>
      <w:r w:rsidRPr="00837EA9">
        <w:rPr>
          <w:lang w:val="en-AU"/>
        </w:rPr>
        <w:t xml:space="preserve">In addition </w:t>
      </w:r>
      <w:r w:rsidR="008743B4" w:rsidRPr="00837EA9">
        <w:rPr>
          <w:lang w:val="en-AU"/>
        </w:rPr>
        <w:t xml:space="preserve">to the exemption for small networks, </w:t>
      </w:r>
      <w:r w:rsidRPr="00837EA9">
        <w:rPr>
          <w:lang w:val="en-AU"/>
        </w:rPr>
        <w:t xml:space="preserve">there are transitional concessions </w:t>
      </w:r>
      <w:r w:rsidR="008743B4" w:rsidRPr="00837EA9">
        <w:rPr>
          <w:lang w:val="en-AU"/>
        </w:rPr>
        <w:t xml:space="preserve">applying for the first five eligible financial years of the RBS (section 20, </w:t>
      </w:r>
      <w:r w:rsidR="008743B4" w:rsidRPr="00837EA9">
        <w:rPr>
          <w:i/>
          <w:lang w:val="en-AU"/>
        </w:rPr>
        <w:t>Telecommunications (Regional Broadband Scheme) Charge Act 2020</w:t>
      </w:r>
      <w:r w:rsidR="008743B4" w:rsidRPr="00837EA9">
        <w:rPr>
          <w:lang w:val="en-AU"/>
        </w:rPr>
        <w:t>). There is a general concession of 25,000 premises per month for all carriers and a concession for 55,000</w:t>
      </w:r>
      <w:r w:rsidR="00837EA9" w:rsidRPr="00837EA9">
        <w:rPr>
          <w:lang w:val="en-AU"/>
        </w:rPr>
        <w:t> </w:t>
      </w:r>
      <w:r w:rsidR="008743B4" w:rsidRPr="00837EA9">
        <w:rPr>
          <w:lang w:val="en-AU"/>
        </w:rPr>
        <w:t xml:space="preserve">‘recently connected greenfield premises’ where a carrier has premises that fall within </w:t>
      </w:r>
      <w:r w:rsidR="00004D5E" w:rsidRPr="00837EA9">
        <w:rPr>
          <w:lang w:val="en-AU"/>
        </w:rPr>
        <w:t xml:space="preserve">that definition. The definition of a ‘recently connected greenfield premises’ is </w:t>
      </w:r>
      <w:r w:rsidR="00837EA9" w:rsidRPr="00837EA9">
        <w:rPr>
          <w:lang w:val="en-AU"/>
        </w:rPr>
        <w:t xml:space="preserve">quite specific and is </w:t>
      </w:r>
      <w:r w:rsidR="00004D5E" w:rsidRPr="00837EA9">
        <w:rPr>
          <w:lang w:val="en-AU"/>
        </w:rPr>
        <w:t>set out in section 96B of Part 3 of the</w:t>
      </w:r>
      <w:r w:rsidR="00837EA9" w:rsidRPr="00837EA9">
        <w:rPr>
          <w:lang w:val="en-AU"/>
        </w:rPr>
        <w:t xml:space="preserve"> TCPSS Act</w:t>
      </w:r>
      <w:r w:rsidR="00004D5E" w:rsidRPr="00837EA9">
        <w:rPr>
          <w:lang w:val="en-AU"/>
        </w:rPr>
        <w:t>.</w:t>
      </w:r>
    </w:p>
    <w:p w14:paraId="032ABF05" w14:textId="4F211DFE" w:rsidR="008903B5" w:rsidRPr="00837EA9" w:rsidRDefault="008903B5" w:rsidP="0073574E">
      <w:pPr>
        <w:pStyle w:val="ListNumbered1"/>
        <w:numPr>
          <w:ilvl w:val="0"/>
          <w:numId w:val="0"/>
        </w:numPr>
        <w:shd w:val="clear" w:color="auto" w:fill="D7E5FA" w:themeFill="accent1" w:themeFillTint="1A"/>
        <w:rPr>
          <w:lang w:val="en-AU"/>
        </w:rPr>
      </w:pPr>
      <w:r>
        <w:rPr>
          <w:lang w:val="en-AU"/>
        </w:rPr>
        <w:t>Questions:</w:t>
      </w:r>
    </w:p>
    <w:p w14:paraId="0E2A767C" w14:textId="48BB4A17" w:rsidR="007D7B5C" w:rsidRDefault="005C126F" w:rsidP="0073574E">
      <w:pPr>
        <w:pStyle w:val="ListNumbered1"/>
        <w:numPr>
          <w:ilvl w:val="0"/>
          <w:numId w:val="68"/>
        </w:numPr>
        <w:shd w:val="clear" w:color="auto" w:fill="D7E5FA" w:themeFill="accent1" w:themeFillTint="1A"/>
        <w:rPr>
          <w:lang w:val="en-AU"/>
        </w:rPr>
      </w:pPr>
      <w:r>
        <w:rPr>
          <w:lang w:val="en-AU"/>
        </w:rPr>
        <w:t>Is</w:t>
      </w:r>
      <w:r w:rsidR="00004D5E" w:rsidRPr="00837EA9">
        <w:rPr>
          <w:lang w:val="en-AU"/>
        </w:rPr>
        <w:t xml:space="preserve"> the 2,000 chargeable premises per month concession appropriate for small networks? Is there a case for</w:t>
      </w:r>
      <w:r w:rsidR="006A17F9" w:rsidRPr="006A17F9">
        <w:rPr>
          <w:lang w:val="en-AU"/>
        </w:rPr>
        <w:t xml:space="preserve"> </w:t>
      </w:r>
      <w:r w:rsidR="006A17F9" w:rsidRPr="00837EA9">
        <w:rPr>
          <w:lang w:val="en-AU"/>
        </w:rPr>
        <w:t>variation of this exemption</w:t>
      </w:r>
      <w:r w:rsidR="006A17F9">
        <w:rPr>
          <w:lang w:val="en-AU"/>
        </w:rPr>
        <w:t>, for example by aligning it with the current 12,000 premises exemption from the structural separation requirements in Part 8 of the Tel Act</w:t>
      </w:r>
      <w:r w:rsidR="006A17F9" w:rsidRPr="00837EA9">
        <w:rPr>
          <w:lang w:val="en-AU"/>
        </w:rPr>
        <w:t>?</w:t>
      </w:r>
    </w:p>
    <w:p w14:paraId="7798F549" w14:textId="060F4639" w:rsidR="006A17F9" w:rsidRDefault="006A17F9" w:rsidP="0073574E">
      <w:pPr>
        <w:pStyle w:val="ListNumbered1"/>
        <w:numPr>
          <w:ilvl w:val="0"/>
          <w:numId w:val="68"/>
        </w:numPr>
        <w:shd w:val="clear" w:color="auto" w:fill="D7E5FA" w:themeFill="accent1" w:themeFillTint="1A"/>
        <w:rPr>
          <w:lang w:val="en-AU"/>
        </w:rPr>
      </w:pPr>
      <w:r w:rsidRPr="00837EA9">
        <w:rPr>
          <w:lang w:val="en-AU"/>
        </w:rPr>
        <w:t>The transitional concessions were put in place to support carriers as the RBS began operation. Are there any lessons or observations related to the transitional concessions that the Government should consider?</w:t>
      </w:r>
    </w:p>
    <w:p w14:paraId="56DB1D40" w14:textId="2C821C5E" w:rsidR="000E561C" w:rsidRPr="00837EA9" w:rsidRDefault="000E561C">
      <w:pPr>
        <w:pStyle w:val="Heading2"/>
        <w:spacing w:before="160" w:after="60"/>
      </w:pPr>
      <w:bookmarkStart w:id="53" w:name="_Toc163052110"/>
      <w:r w:rsidRPr="00837EA9">
        <w:t>Transparency</w:t>
      </w:r>
      <w:r w:rsidR="00961517">
        <w:t xml:space="preserve"> and administration</w:t>
      </w:r>
      <w:bookmarkEnd w:id="53"/>
    </w:p>
    <w:p w14:paraId="083578D3" w14:textId="7BDE83CE" w:rsidR="000E561C" w:rsidRDefault="000E561C" w:rsidP="000E561C">
      <w:pPr>
        <w:pStyle w:val="ListNumbered1"/>
        <w:numPr>
          <w:ilvl w:val="0"/>
          <w:numId w:val="0"/>
        </w:numPr>
        <w:rPr>
          <w:lang w:val="en-AU"/>
        </w:rPr>
      </w:pPr>
      <w:r w:rsidRPr="00837EA9">
        <w:rPr>
          <w:lang w:val="en-AU"/>
        </w:rPr>
        <w:t>One of the goals of the RBS was to increase transparency with respect to the support being provided for non</w:t>
      </w:r>
      <w:r w:rsidRPr="00837EA9">
        <w:rPr>
          <w:lang w:val="en-AU"/>
        </w:rPr>
        <w:noBreakHyphen/>
      </w:r>
      <w:r w:rsidR="007D7B5C" w:rsidRPr="00837EA9">
        <w:rPr>
          <w:lang w:val="en-AU"/>
        </w:rPr>
        <w:t>c</w:t>
      </w:r>
      <w:r w:rsidR="007D7B5C">
        <w:rPr>
          <w:lang w:val="en-AU"/>
        </w:rPr>
        <w:t>om</w:t>
      </w:r>
      <w:r w:rsidR="007D7B5C" w:rsidRPr="00837EA9">
        <w:rPr>
          <w:lang w:val="en-AU"/>
        </w:rPr>
        <w:t>mercial</w:t>
      </w:r>
      <w:r w:rsidRPr="00837EA9">
        <w:rPr>
          <w:lang w:val="en-AU"/>
        </w:rPr>
        <w:t xml:space="preserve"> fixed wireless and satellite services.</w:t>
      </w:r>
      <w:r w:rsidR="00961517">
        <w:rPr>
          <w:lang w:val="en-AU"/>
        </w:rPr>
        <w:t xml:space="preserve"> </w:t>
      </w:r>
      <w:r w:rsidR="00961517" w:rsidRPr="00837EA9">
        <w:rPr>
          <w:lang w:val="en-AU"/>
        </w:rPr>
        <w:t xml:space="preserve">Now that the RBS has been operational for a couple of years, stakeholders have experience with the </w:t>
      </w:r>
      <w:r w:rsidR="00961517">
        <w:rPr>
          <w:lang w:val="en-AU"/>
        </w:rPr>
        <w:t xml:space="preserve">transparency and </w:t>
      </w:r>
      <w:r w:rsidR="00961517" w:rsidRPr="00837EA9">
        <w:rPr>
          <w:lang w:val="en-AU"/>
        </w:rPr>
        <w:t>administrative arrangements for the RBS.</w:t>
      </w:r>
    </w:p>
    <w:p w14:paraId="03614DA0" w14:textId="32F6AEE9" w:rsidR="008903B5" w:rsidRPr="00837EA9" w:rsidRDefault="008903B5" w:rsidP="0073574E">
      <w:pPr>
        <w:pStyle w:val="ListNumbered1"/>
        <w:numPr>
          <w:ilvl w:val="0"/>
          <w:numId w:val="0"/>
        </w:numPr>
        <w:shd w:val="clear" w:color="auto" w:fill="D7E5FA" w:themeFill="accent1" w:themeFillTint="1A"/>
        <w:rPr>
          <w:lang w:val="en-AU"/>
        </w:rPr>
      </w:pPr>
      <w:r>
        <w:rPr>
          <w:lang w:val="en-AU"/>
        </w:rPr>
        <w:t>Questions:</w:t>
      </w:r>
    </w:p>
    <w:p w14:paraId="32BB6124" w14:textId="0BBE80DB" w:rsidR="000E561C" w:rsidRPr="00837EA9" w:rsidRDefault="000E561C" w:rsidP="0073574E">
      <w:pPr>
        <w:pStyle w:val="ListNumbered1"/>
        <w:numPr>
          <w:ilvl w:val="0"/>
          <w:numId w:val="68"/>
        </w:numPr>
        <w:shd w:val="clear" w:color="auto" w:fill="D7E5FA" w:themeFill="accent1" w:themeFillTint="1A"/>
        <w:rPr>
          <w:lang w:val="en-AU"/>
        </w:rPr>
      </w:pPr>
      <w:r w:rsidRPr="00837EA9">
        <w:rPr>
          <w:lang w:val="en-AU"/>
        </w:rPr>
        <w:t xml:space="preserve">Are there any lessons or observations related to the transparency </w:t>
      </w:r>
      <w:r w:rsidR="00961517">
        <w:rPr>
          <w:lang w:val="en-AU"/>
        </w:rPr>
        <w:t xml:space="preserve">or administration </w:t>
      </w:r>
      <w:r w:rsidR="00837EA9" w:rsidRPr="00837EA9">
        <w:rPr>
          <w:lang w:val="en-AU"/>
        </w:rPr>
        <w:t xml:space="preserve">arrangements for </w:t>
      </w:r>
      <w:r w:rsidRPr="00837EA9">
        <w:rPr>
          <w:lang w:val="en-AU"/>
        </w:rPr>
        <w:t>the RBS that the Government should consider?</w:t>
      </w:r>
    </w:p>
    <w:p w14:paraId="52FCF363" w14:textId="198BF9D8" w:rsidR="00EC20E2" w:rsidRPr="00837EA9" w:rsidRDefault="00EC20E2" w:rsidP="00EC20E2">
      <w:pPr>
        <w:pStyle w:val="Heading2"/>
        <w:spacing w:before="160" w:after="60"/>
      </w:pPr>
      <w:bookmarkStart w:id="54" w:name="_Toc163052111"/>
      <w:r w:rsidRPr="00837EA9">
        <w:t>General request for input</w:t>
      </w:r>
      <w:bookmarkEnd w:id="54"/>
    </w:p>
    <w:p w14:paraId="3BAF8185" w14:textId="11E613E6" w:rsidR="00EC20E2" w:rsidRDefault="00EC20E2" w:rsidP="00EC20E2">
      <w:pPr>
        <w:pStyle w:val="ListNumbered1"/>
        <w:numPr>
          <w:ilvl w:val="0"/>
          <w:numId w:val="0"/>
        </w:numPr>
        <w:rPr>
          <w:lang w:val="en-AU"/>
        </w:rPr>
      </w:pPr>
      <w:r w:rsidRPr="00837EA9">
        <w:rPr>
          <w:lang w:val="en-AU"/>
        </w:rPr>
        <w:t xml:space="preserve">Section 102ZFA of Part 3 of the TCPSS </w:t>
      </w:r>
      <w:r w:rsidR="00EF12FE" w:rsidRPr="00837EA9">
        <w:rPr>
          <w:lang w:val="en-AU"/>
        </w:rPr>
        <w:t xml:space="preserve">Act </w:t>
      </w:r>
      <w:r w:rsidRPr="00837EA9">
        <w:rPr>
          <w:lang w:val="en-AU"/>
        </w:rPr>
        <w:t>is designed to review all of the enabling legislation related to the RBS. That is</w:t>
      </w:r>
      <w:r w:rsidR="00EF12FE" w:rsidRPr="00837EA9">
        <w:rPr>
          <w:lang w:val="en-AU"/>
        </w:rPr>
        <w:t>,</w:t>
      </w:r>
      <w:r w:rsidRPr="00837EA9">
        <w:rPr>
          <w:lang w:val="en-AU"/>
        </w:rPr>
        <w:t xml:space="preserve"> it is designed to review Part 3 of the TCPSS</w:t>
      </w:r>
      <w:r w:rsidR="00EF12FE" w:rsidRPr="00837EA9">
        <w:rPr>
          <w:lang w:val="en-AU"/>
        </w:rPr>
        <w:t xml:space="preserve"> Act</w:t>
      </w:r>
      <w:r w:rsidRPr="00837EA9">
        <w:rPr>
          <w:lang w:val="en-AU"/>
        </w:rPr>
        <w:t xml:space="preserve">, those elements of the TCPSS </w:t>
      </w:r>
      <w:r w:rsidR="00EF12FE" w:rsidRPr="00837EA9">
        <w:rPr>
          <w:lang w:val="en-AU"/>
        </w:rPr>
        <w:t xml:space="preserve">Act </w:t>
      </w:r>
      <w:r w:rsidRPr="00837EA9">
        <w:rPr>
          <w:lang w:val="en-AU"/>
        </w:rPr>
        <w:t xml:space="preserve">outside Part 3 related to the RBS, elements of the </w:t>
      </w:r>
      <w:r w:rsidRPr="00837EA9">
        <w:rPr>
          <w:i/>
          <w:lang w:val="en-AU"/>
        </w:rPr>
        <w:t>Telecommunications Act 1997</w:t>
      </w:r>
      <w:r w:rsidRPr="00837EA9">
        <w:rPr>
          <w:lang w:val="en-AU"/>
        </w:rPr>
        <w:t xml:space="preserve"> related to the RBS and the </w:t>
      </w:r>
      <w:r w:rsidRPr="00837EA9">
        <w:rPr>
          <w:i/>
          <w:lang w:val="en-AU"/>
        </w:rPr>
        <w:t xml:space="preserve">Telecommunications (Regional Broadband Scheme) </w:t>
      </w:r>
      <w:r w:rsidR="00F7549D">
        <w:rPr>
          <w:i/>
          <w:lang w:val="en-AU"/>
        </w:rPr>
        <w:t xml:space="preserve">Charge </w:t>
      </w:r>
      <w:r w:rsidRPr="00837EA9">
        <w:rPr>
          <w:i/>
          <w:lang w:val="en-AU"/>
        </w:rPr>
        <w:t>Act 2020</w:t>
      </w:r>
      <w:r w:rsidRPr="00837EA9">
        <w:rPr>
          <w:lang w:val="en-AU"/>
        </w:rPr>
        <w:t xml:space="preserve">. </w:t>
      </w:r>
      <w:r w:rsidR="00563BDB" w:rsidRPr="00837EA9">
        <w:rPr>
          <w:lang w:val="en-AU"/>
        </w:rPr>
        <w:t xml:space="preserve">The review </w:t>
      </w:r>
      <w:r w:rsidR="00837EA9" w:rsidRPr="00837EA9">
        <w:rPr>
          <w:lang w:val="en-AU"/>
        </w:rPr>
        <w:t>require</w:t>
      </w:r>
      <w:r w:rsidR="0096287A">
        <w:rPr>
          <w:lang w:val="en-AU"/>
        </w:rPr>
        <w:t>ment</w:t>
      </w:r>
      <w:r w:rsidR="00837EA9" w:rsidRPr="00837EA9">
        <w:rPr>
          <w:lang w:val="en-AU"/>
        </w:rPr>
        <w:t xml:space="preserve">s </w:t>
      </w:r>
      <w:r w:rsidR="00563BDB" w:rsidRPr="00837EA9">
        <w:rPr>
          <w:lang w:val="en-AU"/>
        </w:rPr>
        <w:t>include consideration of whether any of this enabling legislation should be amended.</w:t>
      </w:r>
    </w:p>
    <w:p w14:paraId="4A1F549F" w14:textId="0AC18AF0" w:rsidR="008903B5" w:rsidRPr="00837EA9" w:rsidRDefault="008903B5" w:rsidP="0073574E">
      <w:pPr>
        <w:pStyle w:val="ListNumbered1"/>
        <w:numPr>
          <w:ilvl w:val="0"/>
          <w:numId w:val="0"/>
        </w:numPr>
        <w:shd w:val="clear" w:color="auto" w:fill="D7E5FA" w:themeFill="accent1" w:themeFillTint="1A"/>
        <w:rPr>
          <w:lang w:val="en-AU"/>
        </w:rPr>
      </w:pPr>
      <w:r>
        <w:rPr>
          <w:lang w:val="en-AU"/>
        </w:rPr>
        <w:t>Questions:</w:t>
      </w:r>
    </w:p>
    <w:p w14:paraId="386A989F" w14:textId="27735418" w:rsidR="003939B0" w:rsidRDefault="003939B0" w:rsidP="0073574E">
      <w:pPr>
        <w:pStyle w:val="ListNumbered1"/>
        <w:numPr>
          <w:ilvl w:val="0"/>
          <w:numId w:val="68"/>
        </w:numPr>
        <w:shd w:val="clear" w:color="auto" w:fill="D7E5FA" w:themeFill="accent1" w:themeFillTint="1A"/>
        <w:rPr>
          <w:lang w:val="en-AU"/>
        </w:rPr>
      </w:pPr>
      <w:r>
        <w:rPr>
          <w:lang w:val="en-AU"/>
        </w:rPr>
        <w:t>Stakeholders are invited to provide views on the following matters:</w:t>
      </w:r>
    </w:p>
    <w:p w14:paraId="59C20F1D" w14:textId="77777777" w:rsidR="003939B0" w:rsidRDefault="003939B0" w:rsidP="0073574E">
      <w:pPr>
        <w:pStyle w:val="ListNumbered1"/>
        <w:numPr>
          <w:ilvl w:val="0"/>
          <w:numId w:val="64"/>
        </w:numPr>
        <w:shd w:val="clear" w:color="auto" w:fill="D7E5FA" w:themeFill="accent1" w:themeFillTint="1A"/>
        <w:rPr>
          <w:lang w:val="en-AU"/>
        </w:rPr>
      </w:pPr>
      <w:r>
        <w:rPr>
          <w:lang w:val="en-AU"/>
        </w:rPr>
        <w:t>The operation of Part 3 of the TCPSS Act</w:t>
      </w:r>
    </w:p>
    <w:p w14:paraId="2D31041A" w14:textId="0C3DDD52" w:rsidR="003939B0" w:rsidRPr="003939B0" w:rsidRDefault="003939B0" w:rsidP="0073574E">
      <w:pPr>
        <w:pStyle w:val="ListNumbered1"/>
        <w:numPr>
          <w:ilvl w:val="0"/>
          <w:numId w:val="64"/>
        </w:numPr>
        <w:shd w:val="clear" w:color="auto" w:fill="D7E5FA" w:themeFill="accent1" w:themeFillTint="1A"/>
        <w:rPr>
          <w:lang w:val="en-AU"/>
        </w:rPr>
      </w:pPr>
      <w:r>
        <w:rPr>
          <w:lang w:val="en-AU"/>
        </w:rPr>
        <w:t xml:space="preserve">The operation of the </w:t>
      </w:r>
      <w:r w:rsidR="00A64DB6">
        <w:rPr>
          <w:lang w:val="en-AU"/>
        </w:rPr>
        <w:t>remaining</w:t>
      </w:r>
      <w:r>
        <w:rPr>
          <w:lang w:val="en-AU"/>
        </w:rPr>
        <w:t xml:space="preserve"> </w:t>
      </w:r>
      <w:r w:rsidRPr="003939B0">
        <w:rPr>
          <w:lang w:val="en-AU"/>
        </w:rPr>
        <w:t>provisions of the TCPSS Act to the extent to which they relate to</w:t>
      </w:r>
      <w:r>
        <w:rPr>
          <w:lang w:val="en-AU"/>
        </w:rPr>
        <w:t xml:space="preserve"> Part</w:t>
      </w:r>
      <w:r w:rsidR="00A64DB6">
        <w:rPr>
          <w:lang w:val="en-AU"/>
        </w:rPr>
        <w:t> </w:t>
      </w:r>
      <w:r>
        <w:rPr>
          <w:lang w:val="en-AU"/>
        </w:rPr>
        <w:t>3 of the TCPSS Act</w:t>
      </w:r>
    </w:p>
    <w:p w14:paraId="4505A1E5" w14:textId="77777777" w:rsidR="003939B0" w:rsidRDefault="003939B0" w:rsidP="0073574E">
      <w:pPr>
        <w:pStyle w:val="ListNumbered1"/>
        <w:numPr>
          <w:ilvl w:val="0"/>
          <w:numId w:val="64"/>
        </w:numPr>
        <w:shd w:val="clear" w:color="auto" w:fill="D7E5FA" w:themeFill="accent1" w:themeFillTint="1A"/>
        <w:rPr>
          <w:lang w:val="en-AU"/>
        </w:rPr>
      </w:pPr>
      <w:r>
        <w:rPr>
          <w:lang w:val="en-AU"/>
        </w:rPr>
        <w:t>The operation of the Tel Act to the extent to which that Act relates to Part 3 of the TCPSS Act</w:t>
      </w:r>
    </w:p>
    <w:p w14:paraId="310BE8DA" w14:textId="77777777" w:rsidR="003939B0" w:rsidRDefault="003939B0" w:rsidP="0073574E">
      <w:pPr>
        <w:pStyle w:val="ListNumbered1"/>
        <w:numPr>
          <w:ilvl w:val="0"/>
          <w:numId w:val="64"/>
        </w:numPr>
        <w:shd w:val="clear" w:color="auto" w:fill="D7E5FA" w:themeFill="accent1" w:themeFillTint="1A"/>
        <w:rPr>
          <w:lang w:val="en-AU"/>
        </w:rPr>
      </w:pPr>
      <w:r>
        <w:rPr>
          <w:lang w:val="en-AU"/>
        </w:rPr>
        <w:lastRenderedPageBreak/>
        <w:t>The operation of the Charge Act</w:t>
      </w:r>
    </w:p>
    <w:p w14:paraId="4EA096B7" w14:textId="77777777" w:rsidR="003939B0" w:rsidRDefault="003939B0" w:rsidP="0073574E">
      <w:pPr>
        <w:pStyle w:val="ListNumbered1"/>
        <w:numPr>
          <w:ilvl w:val="0"/>
          <w:numId w:val="64"/>
        </w:numPr>
        <w:shd w:val="clear" w:color="auto" w:fill="D7E5FA" w:themeFill="accent1" w:themeFillTint="1A"/>
        <w:rPr>
          <w:lang w:val="en-AU"/>
        </w:rPr>
      </w:pPr>
      <w:r>
        <w:rPr>
          <w:lang w:val="en-AU"/>
        </w:rPr>
        <w:t>Whether Part 3 of the TCPSS Act should be amended</w:t>
      </w:r>
    </w:p>
    <w:p w14:paraId="1575B463" w14:textId="77777777" w:rsidR="003939B0" w:rsidRDefault="003939B0" w:rsidP="0073574E">
      <w:pPr>
        <w:pStyle w:val="ListNumbered1"/>
        <w:numPr>
          <w:ilvl w:val="0"/>
          <w:numId w:val="64"/>
        </w:numPr>
        <w:shd w:val="clear" w:color="auto" w:fill="D7E5FA" w:themeFill="accent1" w:themeFillTint="1A"/>
        <w:rPr>
          <w:lang w:val="en-AU"/>
        </w:rPr>
      </w:pPr>
      <w:r>
        <w:rPr>
          <w:lang w:val="en-AU"/>
        </w:rPr>
        <w:t>Whether the remaining provisions of the TCPSS Act, to the extent to which they relate to Part 3 of the TCPSS Act, should be amended</w:t>
      </w:r>
    </w:p>
    <w:p w14:paraId="3D1F664F" w14:textId="14E8648D" w:rsidR="003939B0" w:rsidRDefault="003939B0" w:rsidP="0073574E">
      <w:pPr>
        <w:pStyle w:val="ListNumbered1"/>
        <w:numPr>
          <w:ilvl w:val="0"/>
          <w:numId w:val="64"/>
        </w:numPr>
        <w:shd w:val="clear" w:color="auto" w:fill="D7E5FA" w:themeFill="accent1" w:themeFillTint="1A"/>
        <w:rPr>
          <w:lang w:val="en-AU"/>
        </w:rPr>
      </w:pPr>
      <w:r>
        <w:rPr>
          <w:lang w:val="en-AU"/>
        </w:rPr>
        <w:t>Whether the Tel Act, to the extent to which that Act relates to Part 3 of the TCPSS Act, should be amended</w:t>
      </w:r>
    </w:p>
    <w:p w14:paraId="32663B2B" w14:textId="4FBAFE1B" w:rsidR="003939B0" w:rsidRDefault="003939B0" w:rsidP="0073574E">
      <w:pPr>
        <w:pStyle w:val="ListNumbered1"/>
        <w:numPr>
          <w:ilvl w:val="0"/>
          <w:numId w:val="64"/>
        </w:numPr>
        <w:shd w:val="clear" w:color="auto" w:fill="D7E5FA" w:themeFill="accent1" w:themeFillTint="1A"/>
        <w:rPr>
          <w:lang w:val="en-AU"/>
        </w:rPr>
      </w:pPr>
      <w:r>
        <w:rPr>
          <w:lang w:val="en-AU"/>
        </w:rPr>
        <w:t>Whether the Charge Act should be amended.</w:t>
      </w:r>
    </w:p>
    <w:p w14:paraId="50764FB4" w14:textId="43F5E29A" w:rsidR="00DC6135" w:rsidRDefault="00DC6135" w:rsidP="00DC6135">
      <w:pPr>
        <w:pStyle w:val="Heading1"/>
        <w:spacing w:before="160" w:after="80"/>
        <w:contextualSpacing w:val="0"/>
      </w:pPr>
      <w:bookmarkStart w:id="55" w:name="_Toc163052112"/>
      <w:r>
        <w:t>Insights from the Telecommunications Infrastructure Levy</w:t>
      </w:r>
      <w:bookmarkEnd w:id="55"/>
    </w:p>
    <w:p w14:paraId="65DC8BD9" w14:textId="7B8043C4" w:rsidR="00DC6135" w:rsidRPr="009C60A5" w:rsidRDefault="00DC6135" w:rsidP="00DC6135">
      <w:pPr>
        <w:pStyle w:val="Heading2"/>
        <w:spacing w:before="160" w:after="60"/>
      </w:pPr>
      <w:bookmarkStart w:id="56" w:name="_Toc163052113"/>
      <w:r>
        <w:t xml:space="preserve">Operation </w:t>
      </w:r>
      <w:r w:rsidR="007F7A61">
        <w:t xml:space="preserve">and administration </w:t>
      </w:r>
      <w:r>
        <w:t>of the TIL</w:t>
      </w:r>
      <w:bookmarkEnd w:id="56"/>
    </w:p>
    <w:p w14:paraId="1D4A53A9" w14:textId="13CB3CBC" w:rsidR="00DC6135" w:rsidRDefault="00DC6135" w:rsidP="00DC6135">
      <w:pPr>
        <w:pStyle w:val="ListNumbered1"/>
        <w:numPr>
          <w:ilvl w:val="0"/>
          <w:numId w:val="0"/>
        </w:numPr>
        <w:rPr>
          <w:lang w:val="en-AU"/>
        </w:rPr>
      </w:pPr>
      <w:r>
        <w:rPr>
          <w:lang w:val="en-AU"/>
        </w:rPr>
        <w:t>While th</w:t>
      </w:r>
      <w:r w:rsidR="00622A9C">
        <w:rPr>
          <w:lang w:val="en-AU"/>
        </w:rPr>
        <w:t>is consultation</w:t>
      </w:r>
      <w:r>
        <w:rPr>
          <w:lang w:val="en-AU"/>
        </w:rPr>
        <w:t xml:space="preserve"> process does not constitute a </w:t>
      </w:r>
      <w:r w:rsidR="00FE2315">
        <w:rPr>
          <w:lang w:val="en-AU"/>
        </w:rPr>
        <w:t xml:space="preserve">formal </w:t>
      </w:r>
      <w:r>
        <w:rPr>
          <w:lang w:val="en-AU"/>
        </w:rPr>
        <w:t xml:space="preserve">review of the TIL, there may </w:t>
      </w:r>
      <w:r w:rsidR="0022533F">
        <w:rPr>
          <w:lang w:val="en-AU"/>
        </w:rPr>
        <w:t xml:space="preserve">be </w:t>
      </w:r>
      <w:r w:rsidR="003F1684">
        <w:rPr>
          <w:lang w:val="en-AU"/>
        </w:rPr>
        <w:t xml:space="preserve">insights </w:t>
      </w:r>
      <w:r>
        <w:rPr>
          <w:lang w:val="en-AU"/>
        </w:rPr>
        <w:t xml:space="preserve">from the operation of </w:t>
      </w:r>
      <w:r w:rsidR="003F1684">
        <w:rPr>
          <w:lang w:val="en-AU"/>
        </w:rPr>
        <w:t>th</w:t>
      </w:r>
      <w:r>
        <w:rPr>
          <w:lang w:val="en-AU"/>
        </w:rPr>
        <w:t xml:space="preserve">e TIL </w:t>
      </w:r>
      <w:r w:rsidR="003F1684">
        <w:rPr>
          <w:lang w:val="en-AU"/>
        </w:rPr>
        <w:t xml:space="preserve">that could inform </w:t>
      </w:r>
      <w:r>
        <w:rPr>
          <w:lang w:val="en-AU"/>
        </w:rPr>
        <w:t>consider</w:t>
      </w:r>
      <w:r w:rsidR="003F1684">
        <w:rPr>
          <w:lang w:val="en-AU"/>
        </w:rPr>
        <w:t>ation of</w:t>
      </w:r>
      <w:r>
        <w:rPr>
          <w:lang w:val="en-AU"/>
        </w:rPr>
        <w:t xml:space="preserve"> </w:t>
      </w:r>
      <w:r w:rsidR="0096287A">
        <w:rPr>
          <w:lang w:val="en-AU"/>
        </w:rPr>
        <w:t xml:space="preserve">the effectiveness of </w:t>
      </w:r>
      <w:r>
        <w:rPr>
          <w:lang w:val="en-AU"/>
        </w:rPr>
        <w:t xml:space="preserve">long-term funding </w:t>
      </w:r>
      <w:r w:rsidR="00981821">
        <w:rPr>
          <w:lang w:val="en-AU"/>
        </w:rPr>
        <w:t>arrangements</w:t>
      </w:r>
      <w:r>
        <w:rPr>
          <w:lang w:val="en-AU"/>
        </w:rPr>
        <w:t xml:space="preserve"> for telecommunications services. </w:t>
      </w:r>
    </w:p>
    <w:p w14:paraId="2EE0C430" w14:textId="099099AF" w:rsidR="008903B5" w:rsidRDefault="008903B5" w:rsidP="0073574E">
      <w:pPr>
        <w:pStyle w:val="ListNumbered1"/>
        <w:numPr>
          <w:ilvl w:val="0"/>
          <w:numId w:val="0"/>
        </w:numPr>
        <w:shd w:val="clear" w:color="auto" w:fill="D7E5FA" w:themeFill="accent1" w:themeFillTint="1A"/>
        <w:rPr>
          <w:lang w:val="en-AU"/>
        </w:rPr>
      </w:pPr>
      <w:r>
        <w:rPr>
          <w:lang w:val="en-AU"/>
        </w:rPr>
        <w:t>Question:</w:t>
      </w:r>
    </w:p>
    <w:p w14:paraId="58EDED68" w14:textId="75CE584C" w:rsidR="00DC6135" w:rsidRDefault="00DC6135" w:rsidP="0073574E">
      <w:pPr>
        <w:pStyle w:val="ListNumbered1"/>
        <w:numPr>
          <w:ilvl w:val="0"/>
          <w:numId w:val="68"/>
        </w:numPr>
        <w:shd w:val="clear" w:color="auto" w:fill="D7E5FA" w:themeFill="accent1" w:themeFillTint="1A"/>
        <w:rPr>
          <w:lang w:val="en-AU"/>
        </w:rPr>
      </w:pPr>
      <w:r>
        <w:rPr>
          <w:lang w:val="en-AU"/>
        </w:rPr>
        <w:t xml:space="preserve">Are there any lessons or observations from the operation </w:t>
      </w:r>
      <w:r w:rsidR="007F7A61">
        <w:rPr>
          <w:lang w:val="en-AU"/>
        </w:rPr>
        <w:t xml:space="preserve">and administration </w:t>
      </w:r>
      <w:r>
        <w:rPr>
          <w:lang w:val="en-AU"/>
        </w:rPr>
        <w:t xml:space="preserve">of the TIL that would be useful for the Government to understand in considering long-term funding </w:t>
      </w:r>
      <w:r w:rsidR="00981821">
        <w:rPr>
          <w:lang w:val="en-AU"/>
        </w:rPr>
        <w:t>arrangements</w:t>
      </w:r>
      <w:r>
        <w:rPr>
          <w:lang w:val="en-AU"/>
        </w:rPr>
        <w:t>?</w:t>
      </w:r>
    </w:p>
    <w:p w14:paraId="56379E9A" w14:textId="5B9005CA" w:rsidR="005A7E80" w:rsidRDefault="00731CEA" w:rsidP="004D2802">
      <w:pPr>
        <w:pStyle w:val="Heading1"/>
        <w:spacing w:before="160"/>
        <w:contextualSpacing w:val="0"/>
        <w:rPr>
          <w:lang w:val="en-US"/>
        </w:rPr>
      </w:pPr>
      <w:bookmarkStart w:id="57" w:name="_Toc163052114"/>
      <w:r>
        <w:rPr>
          <w:lang w:val="en-US"/>
        </w:rPr>
        <w:t>Role of this consultation in relation to delivery of baseline universal telecommunications services</w:t>
      </w:r>
      <w:bookmarkEnd w:id="57"/>
    </w:p>
    <w:p w14:paraId="2ECC4ACB" w14:textId="611A37EB" w:rsidR="005A7E80" w:rsidRDefault="00320EE3" w:rsidP="004D2802">
      <w:pPr>
        <w:pStyle w:val="Heading2"/>
        <w:spacing w:before="160" w:after="60"/>
        <w:rPr>
          <w:lang w:val="en-US"/>
        </w:rPr>
      </w:pPr>
      <w:bookmarkStart w:id="58" w:name="_Toc163052115"/>
      <w:r>
        <w:rPr>
          <w:lang w:val="en-US"/>
        </w:rPr>
        <w:t>Next steps</w:t>
      </w:r>
      <w:bookmarkEnd w:id="58"/>
    </w:p>
    <w:p w14:paraId="178CA781" w14:textId="736E8ABC" w:rsidR="00320EE3" w:rsidRDefault="00320EE3" w:rsidP="005A7E80">
      <w:pPr>
        <w:spacing w:before="80"/>
      </w:pPr>
      <w:r>
        <w:t>The purpose of this paper is to gather stakeholder view on how current telecommunications funding arrangements are operating and opportunities for improvement. This include</w:t>
      </w:r>
      <w:r w:rsidR="00DC71F1">
        <w:t>s</w:t>
      </w:r>
      <w:r>
        <w:t xml:space="preserve"> seeking stakeholder views on </w:t>
      </w:r>
      <w:r w:rsidR="00C963CD">
        <w:t>effective arrangements</w:t>
      </w:r>
      <w:r>
        <w:t xml:space="preserve"> for deliver</w:t>
      </w:r>
      <w:r w:rsidR="00157140">
        <w:t>ing</w:t>
      </w:r>
      <w:r>
        <w:t xml:space="preserve"> sustainable, long-term funding of services in rural and remote areas and the delivery of public interest telecommunications services</w:t>
      </w:r>
      <w:r w:rsidR="00157140">
        <w:t>,</w:t>
      </w:r>
      <w:r>
        <w:t xml:space="preserve"> as well as s</w:t>
      </w:r>
      <w:r w:rsidR="00157140">
        <w:t xml:space="preserve">pecific consideration of </w:t>
      </w:r>
      <w:r>
        <w:t>changes to the RBS.</w:t>
      </w:r>
      <w:r w:rsidR="0096287A">
        <w:t xml:space="preserve"> </w:t>
      </w:r>
    </w:p>
    <w:p w14:paraId="3B107C3E" w14:textId="01F77CB8" w:rsidR="00320EE3" w:rsidRDefault="00320EE3" w:rsidP="005A7E80">
      <w:pPr>
        <w:spacing w:before="80"/>
      </w:pPr>
      <w:r>
        <w:t xml:space="preserve">While consideration of funding arrangements is complementary to consideration of baseline universal telecommunications services, the Government will make decisions on </w:t>
      </w:r>
      <w:r w:rsidR="000A2A41">
        <w:t xml:space="preserve">long-term </w:t>
      </w:r>
      <w:r>
        <w:t>funding arrangements at the appropriate time</w:t>
      </w:r>
      <w:r w:rsidR="000A2A41">
        <w:t xml:space="preserve">. </w:t>
      </w:r>
      <w:r>
        <w:t xml:space="preserve">This could </w:t>
      </w:r>
      <w:r w:rsidR="000A2A41">
        <w:t xml:space="preserve">mean that decisions made in the near term could either involve </w:t>
      </w:r>
      <w:r w:rsidR="00981821">
        <w:t xml:space="preserve">no change, </w:t>
      </w:r>
      <w:r w:rsidR="000A2A41">
        <w:t xml:space="preserve">adaptation of existing </w:t>
      </w:r>
      <w:r w:rsidR="00DC71F1">
        <w:t xml:space="preserve">funding </w:t>
      </w:r>
      <w:r w:rsidR="000A2A41">
        <w:t xml:space="preserve">arrangements </w:t>
      </w:r>
      <w:r w:rsidR="00DC71F1">
        <w:t>and/</w:t>
      </w:r>
      <w:r w:rsidR="000A2A41">
        <w:t xml:space="preserve">or </w:t>
      </w:r>
      <w:r>
        <w:t>potentially</w:t>
      </w:r>
      <w:r w:rsidR="000A2A41">
        <w:t xml:space="preserve"> </w:t>
      </w:r>
      <w:r>
        <w:t xml:space="preserve">set out a pathway for a transition to new arrangements. </w:t>
      </w:r>
    </w:p>
    <w:p w14:paraId="5808E89E" w14:textId="3803BD1B" w:rsidR="00201771" w:rsidRDefault="00201771">
      <w:pPr>
        <w:suppressAutoHyphens w:val="0"/>
      </w:pPr>
      <w:r>
        <w:br w:type="page"/>
      </w:r>
    </w:p>
    <w:p w14:paraId="027A73C1" w14:textId="6FC43F4A" w:rsidR="00320EE3" w:rsidRPr="006A5BB7" w:rsidRDefault="00320EE3" w:rsidP="006A5BB7">
      <w:pPr>
        <w:spacing w:before="80"/>
        <w:jc w:val="right"/>
        <w:rPr>
          <w:b/>
        </w:rPr>
      </w:pPr>
    </w:p>
    <w:p w14:paraId="3230A596" w14:textId="36365516" w:rsidR="00201771" w:rsidRPr="006A5BB7" w:rsidRDefault="0050113E" w:rsidP="00F0694A">
      <w:pPr>
        <w:pStyle w:val="Heading1"/>
        <w:spacing w:before="160"/>
        <w:contextualSpacing w:val="0"/>
      </w:pPr>
      <w:bookmarkStart w:id="59" w:name="_Toc163052116"/>
      <w:r>
        <w:t xml:space="preserve">Appendix A: </w:t>
      </w:r>
      <w:r w:rsidR="00201771" w:rsidRPr="006A5BB7">
        <w:t>Section 102ZFA</w:t>
      </w:r>
      <w:r w:rsidR="00201771">
        <w:t xml:space="preserve">, </w:t>
      </w:r>
      <w:r w:rsidR="00201771" w:rsidRPr="006A5BB7">
        <w:t>Part 3 of the TCPSS Act: Review of this Part</w:t>
      </w:r>
      <w:bookmarkEnd w:id="59"/>
    </w:p>
    <w:p w14:paraId="7A9A1E5D" w14:textId="7B902C30" w:rsidR="00201771" w:rsidRDefault="00201771" w:rsidP="005A7E80">
      <w:pPr>
        <w:spacing w:before="80"/>
      </w:pPr>
    </w:p>
    <w:p w14:paraId="13400813" w14:textId="77777777" w:rsidR="00B31C3D" w:rsidRPr="00AC01D9" w:rsidRDefault="00B31C3D" w:rsidP="00B31C3D">
      <w:pPr>
        <w:spacing w:before="80"/>
        <w:rPr>
          <w:b/>
        </w:rPr>
      </w:pPr>
      <w:r>
        <w:rPr>
          <w:b/>
        </w:rPr>
        <w:t xml:space="preserve">102ZFA  </w:t>
      </w:r>
      <w:r w:rsidRPr="00AC01D9">
        <w:rPr>
          <w:b/>
        </w:rPr>
        <w:t>Review of this Part etc.</w:t>
      </w:r>
    </w:p>
    <w:p w14:paraId="1A826B50" w14:textId="77777777" w:rsidR="00B31C3D" w:rsidRPr="00AC01D9" w:rsidRDefault="00B31C3D" w:rsidP="00B31C3D">
      <w:pPr>
        <w:spacing w:before="80"/>
      </w:pPr>
      <w:r w:rsidRPr="00AC01D9">
        <w:t xml:space="preserve">             (1)  The Minister must cause to be conducted a review of the following matters:</w:t>
      </w:r>
    </w:p>
    <w:p w14:paraId="185BAE90" w14:textId="77777777" w:rsidR="00B31C3D" w:rsidRPr="00AC01D9" w:rsidRDefault="00B31C3D" w:rsidP="00B31C3D">
      <w:pPr>
        <w:spacing w:before="80"/>
      </w:pPr>
      <w:r w:rsidRPr="00AC01D9">
        <w:t xml:space="preserve">                     (a)  the operation of this Part;</w:t>
      </w:r>
    </w:p>
    <w:p w14:paraId="10447D44" w14:textId="77777777" w:rsidR="00B31C3D" w:rsidRPr="00AC01D9" w:rsidRDefault="00B31C3D" w:rsidP="00B31C3D">
      <w:pPr>
        <w:spacing w:before="80"/>
        <w:ind w:left="1440" w:hanging="1440"/>
      </w:pPr>
      <w:r w:rsidRPr="00AC01D9">
        <w:t xml:space="preserve">                     (b)  the operation of the remaining provisions of this Act to the extent to which they relate to this Part;</w:t>
      </w:r>
    </w:p>
    <w:p w14:paraId="2E8660F6" w14:textId="77777777" w:rsidR="00B31C3D" w:rsidRPr="00AC01D9" w:rsidRDefault="00B31C3D" w:rsidP="00B31C3D">
      <w:pPr>
        <w:spacing w:before="80"/>
        <w:ind w:left="1440" w:hanging="1440"/>
      </w:pPr>
      <w:r w:rsidRPr="00AC01D9">
        <w:t xml:space="preserve">                     (c)  the operation of the </w:t>
      </w:r>
      <w:r w:rsidRPr="009D5086">
        <w:rPr>
          <w:i/>
        </w:rPr>
        <w:t>Telecommunications Act 1997</w:t>
      </w:r>
      <w:r w:rsidRPr="00AC01D9">
        <w:t xml:space="preserve"> to the extent to which that Act relates to this Part;</w:t>
      </w:r>
    </w:p>
    <w:p w14:paraId="74428D3D" w14:textId="77777777" w:rsidR="00B31C3D" w:rsidRPr="00AC01D9" w:rsidRDefault="00B31C3D" w:rsidP="00B31C3D">
      <w:pPr>
        <w:spacing w:before="80"/>
      </w:pPr>
      <w:r w:rsidRPr="00AC01D9">
        <w:t xml:space="preserve">                     (d)  the operation of the </w:t>
      </w:r>
      <w:r w:rsidRPr="0078625E">
        <w:rPr>
          <w:i/>
        </w:rPr>
        <w:t>Telecommunications (Regional Broadband Scheme) Charge Act 2020</w:t>
      </w:r>
      <w:r w:rsidRPr="00AC01D9">
        <w:t>;</w:t>
      </w:r>
    </w:p>
    <w:p w14:paraId="38314F20" w14:textId="77777777" w:rsidR="00B31C3D" w:rsidRPr="00AC01D9" w:rsidRDefault="00B31C3D" w:rsidP="00B31C3D">
      <w:pPr>
        <w:spacing w:before="80"/>
      </w:pPr>
      <w:r w:rsidRPr="00AC01D9">
        <w:t xml:space="preserve">                     (e)  whether this Part should be amended;</w:t>
      </w:r>
    </w:p>
    <w:p w14:paraId="56B5631A" w14:textId="77777777" w:rsidR="00B31C3D" w:rsidRPr="00AC01D9" w:rsidRDefault="00B31C3D" w:rsidP="00B31C3D">
      <w:pPr>
        <w:spacing w:before="80"/>
        <w:ind w:left="1440" w:hanging="1440"/>
      </w:pPr>
      <w:r w:rsidRPr="00AC01D9">
        <w:t xml:space="preserve">                      (f)  whether the remaining provisions of this Act, to the extent to which they relate to this Part, should be amended;</w:t>
      </w:r>
    </w:p>
    <w:p w14:paraId="07A7CC8B" w14:textId="77777777" w:rsidR="00B31C3D" w:rsidRPr="00AC01D9" w:rsidRDefault="00B31C3D" w:rsidP="00B31C3D">
      <w:pPr>
        <w:spacing w:before="80"/>
        <w:ind w:left="1440" w:hanging="1440"/>
      </w:pPr>
      <w:r w:rsidRPr="00AC01D9">
        <w:t xml:space="preserve">                     (g)  whether the </w:t>
      </w:r>
      <w:r w:rsidRPr="0078625E">
        <w:rPr>
          <w:i/>
        </w:rPr>
        <w:t>Telecommunications Act 1997</w:t>
      </w:r>
      <w:r w:rsidRPr="00AC01D9">
        <w:t>, to the extent to which that Act relates to this Part, should be amended;</w:t>
      </w:r>
    </w:p>
    <w:p w14:paraId="4B5E99C8" w14:textId="77777777" w:rsidR="00B31C3D" w:rsidRPr="00AC01D9" w:rsidRDefault="00B31C3D" w:rsidP="00B31C3D">
      <w:pPr>
        <w:spacing w:before="80"/>
        <w:ind w:left="1440" w:hanging="1440"/>
      </w:pPr>
      <w:r w:rsidRPr="00AC01D9">
        <w:t xml:space="preserve">                     (h)  whether the </w:t>
      </w:r>
      <w:r w:rsidRPr="0078625E">
        <w:rPr>
          <w:i/>
        </w:rPr>
        <w:t>Telecommunications (Regional Broadband Scheme) Charge Act 2020</w:t>
      </w:r>
      <w:r w:rsidRPr="00AC01D9">
        <w:t xml:space="preserve"> should be amended.</w:t>
      </w:r>
    </w:p>
    <w:p w14:paraId="073E6AB9" w14:textId="77777777" w:rsidR="00B31C3D" w:rsidRPr="00AC01D9" w:rsidRDefault="00B31C3D" w:rsidP="00B31C3D">
      <w:pPr>
        <w:spacing w:before="80"/>
      </w:pPr>
      <w:r w:rsidRPr="00AC01D9">
        <w:t xml:space="preserve">             (2)  A review under subsection (1) must make provision for public consultation.</w:t>
      </w:r>
    </w:p>
    <w:p w14:paraId="0090DF40" w14:textId="77777777" w:rsidR="00B31C3D" w:rsidRPr="00AC01D9" w:rsidRDefault="00B31C3D" w:rsidP="00B31C3D">
      <w:pPr>
        <w:spacing w:before="80"/>
      </w:pPr>
      <w:r w:rsidRPr="00AC01D9">
        <w:t xml:space="preserve">             (3)  A review under subsection (1) must be conducted:</w:t>
      </w:r>
    </w:p>
    <w:p w14:paraId="50D15BE3" w14:textId="77777777" w:rsidR="00B31C3D" w:rsidRPr="00AC01D9" w:rsidRDefault="00B31C3D" w:rsidP="00B31C3D">
      <w:pPr>
        <w:spacing w:before="80"/>
      </w:pPr>
      <w:r w:rsidRPr="00AC01D9">
        <w:t xml:space="preserve">                     (a)  before the end of the period of 4 years after the commencement of this section; or</w:t>
      </w:r>
    </w:p>
    <w:p w14:paraId="0ABEF1CE" w14:textId="77777777" w:rsidR="00B31C3D" w:rsidRPr="00AC01D9" w:rsidRDefault="00B31C3D" w:rsidP="00B31C3D">
      <w:pPr>
        <w:spacing w:before="80"/>
      </w:pPr>
      <w:r w:rsidRPr="00AC01D9">
        <w:t xml:space="preserve">                     (b)  as soon as practicable after the end of that 4-year period.</w:t>
      </w:r>
    </w:p>
    <w:p w14:paraId="5A4F1EB6" w14:textId="77777777" w:rsidR="00B31C3D" w:rsidRPr="00AC01D9" w:rsidRDefault="00B31C3D" w:rsidP="00B31C3D">
      <w:pPr>
        <w:spacing w:before="80"/>
        <w:rPr>
          <w:b/>
        </w:rPr>
      </w:pPr>
      <w:r w:rsidRPr="00AC01D9">
        <w:rPr>
          <w:b/>
        </w:rPr>
        <w:t>Direction to the ACMA</w:t>
      </w:r>
    </w:p>
    <w:p w14:paraId="285A12C5" w14:textId="77777777" w:rsidR="00B31C3D" w:rsidRPr="00AC01D9" w:rsidRDefault="00B31C3D" w:rsidP="00B31C3D">
      <w:pPr>
        <w:spacing w:before="80"/>
        <w:ind w:left="720" w:hanging="720"/>
      </w:pPr>
      <w:r w:rsidRPr="00AC01D9">
        <w:t xml:space="preserve">             (4)  The Minister may give the ACMA a written direction requiring the ACMA to make available specified information for the purposes of facilitating the conduct of a review under subsection (1).</w:t>
      </w:r>
    </w:p>
    <w:p w14:paraId="228EE390" w14:textId="77777777" w:rsidR="00B31C3D" w:rsidRPr="00AC01D9" w:rsidRDefault="00B31C3D" w:rsidP="00B31C3D">
      <w:pPr>
        <w:spacing w:before="80"/>
      </w:pPr>
      <w:r w:rsidRPr="00AC01D9">
        <w:t xml:space="preserve">             (5)  The ACMA must comply with a direction under subsection (4).</w:t>
      </w:r>
    </w:p>
    <w:p w14:paraId="5EBCD68A" w14:textId="77777777" w:rsidR="00B31C3D" w:rsidRPr="00AC01D9" w:rsidRDefault="00B31C3D" w:rsidP="00B31C3D">
      <w:pPr>
        <w:spacing w:before="80"/>
        <w:rPr>
          <w:b/>
        </w:rPr>
      </w:pPr>
      <w:r w:rsidRPr="00AC01D9">
        <w:rPr>
          <w:b/>
        </w:rPr>
        <w:t>Direction to the ACCC</w:t>
      </w:r>
    </w:p>
    <w:p w14:paraId="0D7F5410" w14:textId="77777777" w:rsidR="00B31C3D" w:rsidRPr="00AC01D9" w:rsidRDefault="00B31C3D" w:rsidP="00B31C3D">
      <w:pPr>
        <w:spacing w:before="80"/>
        <w:ind w:left="720" w:hanging="720"/>
        <w:rPr>
          <w:b/>
        </w:rPr>
      </w:pPr>
      <w:r w:rsidRPr="00AC01D9">
        <w:t xml:space="preserve">            (6)  The Minister may give the ACCC a written direction requiring the ACCC to make available specified information for the purposes of facilitating the conduct of a review under subsection (1).</w:t>
      </w:r>
    </w:p>
    <w:p w14:paraId="68C89AD0" w14:textId="77777777" w:rsidR="00B31C3D" w:rsidRPr="00AC01D9" w:rsidRDefault="00B31C3D" w:rsidP="00B31C3D">
      <w:pPr>
        <w:spacing w:before="80"/>
      </w:pPr>
      <w:r w:rsidRPr="00AC01D9">
        <w:t xml:space="preserve">             (7)  The ACCC must comply with a direction under subsection (6).</w:t>
      </w:r>
    </w:p>
    <w:p w14:paraId="72E815D2" w14:textId="77777777" w:rsidR="00B31C3D" w:rsidRPr="00AC01D9" w:rsidRDefault="00B31C3D" w:rsidP="00B31C3D">
      <w:pPr>
        <w:spacing w:before="80"/>
        <w:rPr>
          <w:b/>
        </w:rPr>
      </w:pPr>
      <w:r w:rsidRPr="00AC01D9">
        <w:rPr>
          <w:b/>
        </w:rPr>
        <w:t>Report</w:t>
      </w:r>
    </w:p>
    <w:p w14:paraId="4C9A0795" w14:textId="77777777" w:rsidR="00B31C3D" w:rsidRPr="00AC01D9" w:rsidRDefault="00B31C3D" w:rsidP="00B31C3D">
      <w:pPr>
        <w:spacing w:before="80"/>
      </w:pPr>
      <w:r w:rsidRPr="00AC01D9">
        <w:t xml:space="preserve">             (8)  The Minister must cause to be prepared a report of a review under subsection (1).</w:t>
      </w:r>
    </w:p>
    <w:p w14:paraId="64FC1CA1" w14:textId="01FFE33F" w:rsidR="00E24F3D" w:rsidRDefault="00B31C3D" w:rsidP="00B31C3D">
      <w:pPr>
        <w:spacing w:before="80"/>
      </w:pPr>
      <w:r w:rsidRPr="00AC01D9">
        <w:t xml:space="preserve">             (9)  The Minister must cause copies of the report to be tabled in each House of the Parliament within 25 sittings days of that House after the completion of the preparation of the report.</w:t>
      </w:r>
    </w:p>
    <w:p w14:paraId="413F94B2" w14:textId="65284860" w:rsidR="00E24F3D" w:rsidRPr="00F0694A" w:rsidRDefault="00E24F3D" w:rsidP="00F0694A">
      <w:pPr>
        <w:suppressAutoHyphens w:val="0"/>
      </w:pPr>
      <w:r>
        <w:br w:type="page"/>
      </w:r>
    </w:p>
    <w:p w14:paraId="6E7726CF" w14:textId="77777777" w:rsidR="00E24F3D" w:rsidRDefault="00E24F3D" w:rsidP="00E24F3D">
      <w:pPr>
        <w:suppressAutoHyphens w:val="0"/>
        <w:spacing w:before="0" w:after="160" w:line="259" w:lineRule="auto"/>
        <w:rPr>
          <w:rFonts w:ascii="Calibri" w:eastAsia="Calibri" w:hAnsi="Calibri" w:cs="Times New Roman"/>
          <w:b/>
          <w:color w:val="auto"/>
        </w:rPr>
        <w:sectPr w:rsidR="00E24F3D" w:rsidSect="002D322E">
          <w:pgSz w:w="11906" w:h="16838" w:code="9"/>
          <w:pgMar w:top="1021" w:right="1021" w:bottom="1021" w:left="1021" w:header="510" w:footer="567" w:gutter="0"/>
          <w:cols w:space="708"/>
          <w:titlePg/>
          <w:docGrid w:linePitch="360"/>
        </w:sectPr>
      </w:pPr>
    </w:p>
    <w:p w14:paraId="3F384E1A" w14:textId="5D41D88C" w:rsidR="00E24F3D" w:rsidRPr="0050113E" w:rsidRDefault="00E24F3D" w:rsidP="0050113E">
      <w:pPr>
        <w:pStyle w:val="Heading1"/>
        <w:spacing w:before="160"/>
        <w:contextualSpacing w:val="0"/>
      </w:pPr>
      <w:bookmarkStart w:id="60" w:name="_Toc163052117"/>
      <w:r w:rsidRPr="0050113E">
        <w:lastRenderedPageBreak/>
        <w:t xml:space="preserve">Appendix </w:t>
      </w:r>
      <w:r w:rsidR="0050113E" w:rsidRPr="0050113E">
        <w:t xml:space="preserve">B: </w:t>
      </w:r>
      <w:r w:rsidRPr="0050113E">
        <w:t>International broadband subsidies and levies</w:t>
      </w:r>
      <w:bookmarkEnd w:id="60"/>
    </w:p>
    <w:tbl>
      <w:tblPr>
        <w:tblStyle w:val="TableGrid1"/>
        <w:tblW w:w="0" w:type="auto"/>
        <w:tblLook w:val="04A0" w:firstRow="1" w:lastRow="0" w:firstColumn="1" w:lastColumn="0" w:noHBand="0" w:noVBand="1"/>
      </w:tblPr>
      <w:tblGrid>
        <w:gridCol w:w="2324"/>
        <w:gridCol w:w="2324"/>
        <w:gridCol w:w="2325"/>
        <w:gridCol w:w="2325"/>
        <w:gridCol w:w="2325"/>
        <w:gridCol w:w="2325"/>
      </w:tblGrid>
      <w:tr w:rsidR="00E24F3D" w:rsidRPr="00E24F3D" w14:paraId="6B9D5CAA" w14:textId="77777777" w:rsidTr="00E24F3D">
        <w:tc>
          <w:tcPr>
            <w:tcW w:w="2324" w:type="dxa"/>
          </w:tcPr>
          <w:p w14:paraId="6E190253" w14:textId="77777777" w:rsidR="00E24F3D" w:rsidRPr="00E24F3D" w:rsidRDefault="00E24F3D" w:rsidP="00E24F3D">
            <w:pPr>
              <w:suppressAutoHyphens w:val="0"/>
              <w:spacing w:after="160" w:line="259" w:lineRule="auto"/>
              <w:rPr>
                <w:rFonts w:ascii="Calibri" w:eastAsia="Calibri" w:hAnsi="Calibri" w:cs="Times New Roman"/>
                <w:b/>
                <w:sz w:val="20"/>
                <w:szCs w:val="20"/>
              </w:rPr>
            </w:pPr>
            <w:r w:rsidRPr="00E24F3D">
              <w:rPr>
                <w:rFonts w:ascii="Calibri" w:eastAsia="Calibri" w:hAnsi="Calibri" w:cs="Times New Roman"/>
                <w:b/>
                <w:sz w:val="20"/>
                <w:szCs w:val="20"/>
              </w:rPr>
              <w:t>Country – name of subsidy/levy</w:t>
            </w:r>
          </w:p>
        </w:tc>
        <w:tc>
          <w:tcPr>
            <w:tcW w:w="2324" w:type="dxa"/>
          </w:tcPr>
          <w:p w14:paraId="507B23E9" w14:textId="77777777" w:rsidR="00E24F3D" w:rsidRPr="00E24F3D" w:rsidRDefault="00E24F3D" w:rsidP="00E24F3D">
            <w:pPr>
              <w:suppressAutoHyphens w:val="0"/>
              <w:spacing w:after="160" w:line="259" w:lineRule="auto"/>
              <w:rPr>
                <w:rFonts w:ascii="Calibri" w:eastAsia="Calibri" w:hAnsi="Calibri" w:cs="Times New Roman"/>
                <w:b/>
                <w:sz w:val="20"/>
                <w:szCs w:val="20"/>
              </w:rPr>
            </w:pPr>
            <w:r w:rsidRPr="00E24F3D">
              <w:rPr>
                <w:rFonts w:ascii="Calibri" w:eastAsia="Calibri" w:hAnsi="Calibri" w:cs="Times New Roman"/>
                <w:b/>
                <w:sz w:val="20"/>
                <w:szCs w:val="20"/>
              </w:rPr>
              <w:t>Charge base</w:t>
            </w:r>
          </w:p>
        </w:tc>
        <w:tc>
          <w:tcPr>
            <w:tcW w:w="2325" w:type="dxa"/>
          </w:tcPr>
          <w:p w14:paraId="1F1D81EE" w14:textId="77777777" w:rsidR="00E24F3D" w:rsidRPr="00E24F3D" w:rsidRDefault="00E24F3D" w:rsidP="00E24F3D">
            <w:pPr>
              <w:suppressAutoHyphens w:val="0"/>
              <w:spacing w:after="160" w:line="259" w:lineRule="auto"/>
              <w:rPr>
                <w:rFonts w:ascii="Calibri" w:eastAsia="Calibri" w:hAnsi="Calibri" w:cs="Times New Roman"/>
                <w:b/>
                <w:sz w:val="20"/>
                <w:szCs w:val="20"/>
              </w:rPr>
            </w:pPr>
            <w:r w:rsidRPr="00E24F3D">
              <w:rPr>
                <w:rFonts w:ascii="Calibri" w:eastAsia="Calibri" w:hAnsi="Calibri" w:cs="Times New Roman"/>
                <w:b/>
                <w:sz w:val="20"/>
                <w:szCs w:val="20"/>
              </w:rPr>
              <w:t>Who contributes</w:t>
            </w:r>
          </w:p>
        </w:tc>
        <w:tc>
          <w:tcPr>
            <w:tcW w:w="2325" w:type="dxa"/>
          </w:tcPr>
          <w:p w14:paraId="4A0E4A99" w14:textId="77777777" w:rsidR="00E24F3D" w:rsidRPr="00E24F3D" w:rsidRDefault="00E24F3D" w:rsidP="00E24F3D">
            <w:pPr>
              <w:suppressAutoHyphens w:val="0"/>
              <w:spacing w:after="160" w:line="259" w:lineRule="auto"/>
              <w:rPr>
                <w:rFonts w:ascii="Calibri" w:eastAsia="Calibri" w:hAnsi="Calibri" w:cs="Times New Roman"/>
                <w:b/>
                <w:sz w:val="20"/>
                <w:szCs w:val="20"/>
              </w:rPr>
            </w:pPr>
            <w:r w:rsidRPr="00E24F3D">
              <w:rPr>
                <w:rFonts w:ascii="Calibri" w:eastAsia="Calibri" w:hAnsi="Calibri" w:cs="Times New Roman"/>
                <w:b/>
                <w:sz w:val="20"/>
                <w:szCs w:val="20"/>
              </w:rPr>
              <w:t>Current contribution rate</w:t>
            </w:r>
          </w:p>
        </w:tc>
        <w:tc>
          <w:tcPr>
            <w:tcW w:w="2325" w:type="dxa"/>
          </w:tcPr>
          <w:p w14:paraId="21509FD5" w14:textId="77777777" w:rsidR="00E24F3D" w:rsidRPr="00E24F3D" w:rsidRDefault="00E24F3D" w:rsidP="00E24F3D">
            <w:pPr>
              <w:suppressAutoHyphens w:val="0"/>
              <w:spacing w:after="160" w:line="259" w:lineRule="auto"/>
              <w:rPr>
                <w:rFonts w:ascii="Calibri" w:eastAsia="Calibri" w:hAnsi="Calibri" w:cs="Times New Roman"/>
                <w:b/>
                <w:sz w:val="20"/>
                <w:szCs w:val="20"/>
              </w:rPr>
            </w:pPr>
            <w:r w:rsidRPr="00E24F3D">
              <w:rPr>
                <w:rFonts w:ascii="Calibri" w:eastAsia="Calibri" w:hAnsi="Calibri" w:cs="Times New Roman"/>
                <w:b/>
                <w:sz w:val="20"/>
                <w:szCs w:val="20"/>
              </w:rPr>
              <w:t>What the funding is used for</w:t>
            </w:r>
          </w:p>
        </w:tc>
        <w:tc>
          <w:tcPr>
            <w:tcW w:w="2325" w:type="dxa"/>
          </w:tcPr>
          <w:p w14:paraId="2D107676" w14:textId="77777777" w:rsidR="00E24F3D" w:rsidRPr="00E24F3D" w:rsidRDefault="00E24F3D" w:rsidP="00E24F3D">
            <w:pPr>
              <w:suppressAutoHyphens w:val="0"/>
              <w:spacing w:after="160" w:line="259" w:lineRule="auto"/>
              <w:rPr>
                <w:rFonts w:ascii="Calibri" w:eastAsia="Calibri" w:hAnsi="Calibri" w:cs="Times New Roman"/>
                <w:b/>
                <w:sz w:val="20"/>
                <w:szCs w:val="20"/>
              </w:rPr>
            </w:pPr>
            <w:r w:rsidRPr="00E24F3D">
              <w:rPr>
                <w:rFonts w:ascii="Calibri" w:eastAsia="Calibri" w:hAnsi="Calibri" w:cs="Times New Roman"/>
                <w:b/>
                <w:sz w:val="20"/>
                <w:szCs w:val="20"/>
              </w:rPr>
              <w:t>Issues</w:t>
            </w:r>
          </w:p>
        </w:tc>
      </w:tr>
      <w:tr w:rsidR="00E24F3D" w:rsidRPr="00E24F3D" w14:paraId="546F9D93" w14:textId="77777777" w:rsidTr="00E24F3D">
        <w:tc>
          <w:tcPr>
            <w:tcW w:w="2324" w:type="dxa"/>
          </w:tcPr>
          <w:p w14:paraId="0EF8D0C2"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USA – Universal Services Fund</w:t>
            </w:r>
          </w:p>
        </w:tc>
        <w:tc>
          <w:tcPr>
            <w:tcW w:w="2324" w:type="dxa"/>
          </w:tcPr>
          <w:p w14:paraId="7A6D64A3"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Revenues (interstate and international end</w:t>
            </w:r>
            <w:r w:rsidRPr="00E24F3D">
              <w:rPr>
                <w:rFonts w:ascii="Calibri" w:eastAsia="Calibri" w:hAnsi="Calibri" w:cs="Times New Roman"/>
                <w:sz w:val="20"/>
                <w:szCs w:val="20"/>
              </w:rPr>
              <w:noBreakHyphen/>
              <w:t>user revenues)</w:t>
            </w:r>
          </w:p>
        </w:tc>
        <w:tc>
          <w:tcPr>
            <w:tcW w:w="2325" w:type="dxa"/>
          </w:tcPr>
          <w:p w14:paraId="51BAA9F7"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Telecommunications carriers including wired and wireless companies, VoIP providers and cable companies that provide voice services.</w:t>
            </w:r>
          </w:p>
        </w:tc>
        <w:tc>
          <w:tcPr>
            <w:tcW w:w="2325" w:type="dxa"/>
          </w:tcPr>
          <w:p w14:paraId="0117402D"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34.6%</w:t>
            </w:r>
          </w:p>
        </w:tc>
        <w:tc>
          <w:tcPr>
            <w:tcW w:w="2325" w:type="dxa"/>
          </w:tcPr>
          <w:p w14:paraId="7405B0D9"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Four Universal Service programs providing support to connect high cost services in rural areas, low income consumers (including those on Tribal lands), schools and libraries and rural health care facilities.</w:t>
            </w:r>
          </w:p>
        </w:tc>
        <w:tc>
          <w:tcPr>
            <w:tcW w:w="2325" w:type="dxa"/>
          </w:tcPr>
          <w:p w14:paraId="195E5F02"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Funding mechanism linked to dwindling landline revenues, hence large contribution rate required.</w:t>
            </w:r>
          </w:p>
        </w:tc>
      </w:tr>
      <w:tr w:rsidR="00E24F3D" w:rsidRPr="00E24F3D" w14:paraId="54268158" w14:textId="77777777" w:rsidTr="00E24F3D">
        <w:tc>
          <w:tcPr>
            <w:tcW w:w="2324" w:type="dxa"/>
          </w:tcPr>
          <w:p w14:paraId="58FD060A"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Canada – contribution collection mechanism</w:t>
            </w:r>
          </w:p>
        </w:tc>
        <w:tc>
          <w:tcPr>
            <w:tcW w:w="2324" w:type="dxa"/>
          </w:tcPr>
          <w:p w14:paraId="7DDD8E36"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Revenues (Canadian telecommunications services revenue less specified deductions)</w:t>
            </w:r>
          </w:p>
        </w:tc>
        <w:tc>
          <w:tcPr>
            <w:tcW w:w="2325" w:type="dxa"/>
          </w:tcPr>
          <w:p w14:paraId="37A5B2FE"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Telecommunications services providers (with eligible revenue above $CAD 10 million)</w:t>
            </w:r>
          </w:p>
        </w:tc>
        <w:tc>
          <w:tcPr>
            <w:tcW w:w="2325" w:type="dxa"/>
          </w:tcPr>
          <w:p w14:paraId="6AD07A09"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0.46% (2023)</w:t>
            </w:r>
          </w:p>
        </w:tc>
        <w:tc>
          <w:tcPr>
            <w:tcW w:w="2325" w:type="dxa"/>
          </w:tcPr>
          <w:p w14:paraId="5AE69B36"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Subsidises residential telecommunications services in rural and remote parts of Canada. Currently supporting the Broadband Fund aimed at improving internet and mobile services, particularly in rural and remote areas.</w:t>
            </w:r>
          </w:p>
        </w:tc>
        <w:tc>
          <w:tcPr>
            <w:tcW w:w="2325" w:type="dxa"/>
          </w:tcPr>
          <w:p w14:paraId="5BDD4ED7"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Bell Canada asked for refund $CAD148m collected by the end of 2022 that would not be able to be disbursed during 2023.</w:t>
            </w:r>
          </w:p>
        </w:tc>
      </w:tr>
      <w:tr w:rsidR="00E24F3D" w:rsidRPr="00E24F3D" w14:paraId="3BEC5F31" w14:textId="77777777" w:rsidTr="00E24F3D">
        <w:tc>
          <w:tcPr>
            <w:tcW w:w="2324" w:type="dxa"/>
          </w:tcPr>
          <w:p w14:paraId="643CF4BE"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New Zealand – Telecommunications Development Levy</w:t>
            </w:r>
          </w:p>
        </w:tc>
        <w:tc>
          <w:tcPr>
            <w:tcW w:w="2324" w:type="dxa"/>
          </w:tcPr>
          <w:p w14:paraId="11860CD2"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Revenue (from telecommunications services provided on their own or another providers network)</w:t>
            </w:r>
          </w:p>
        </w:tc>
        <w:tc>
          <w:tcPr>
            <w:tcW w:w="2325" w:type="dxa"/>
          </w:tcPr>
          <w:p w14:paraId="5EA68810"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Qualifying telecommunications providers (with earnings above $NZ 10 million)</w:t>
            </w:r>
          </w:p>
        </w:tc>
        <w:tc>
          <w:tcPr>
            <w:tcW w:w="2325" w:type="dxa"/>
          </w:tcPr>
          <w:p w14:paraId="35BEBB5C"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Proportion of a CPI indexed fixed amount ($NZ11.25 million in 2022-23)</w:t>
            </w:r>
          </w:p>
        </w:tc>
        <w:tc>
          <w:tcPr>
            <w:tcW w:w="2325" w:type="dxa"/>
          </w:tcPr>
          <w:p w14:paraId="71268153"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 xml:space="preserve">Subsidises telecommunications infrastructure including the relay service for the deaf and hearing-impaired, broadband for rural areas, and </w:t>
            </w:r>
            <w:r w:rsidRPr="00E24F3D">
              <w:rPr>
                <w:rFonts w:ascii="Calibri" w:eastAsia="Calibri" w:hAnsi="Calibri" w:cs="Times New Roman"/>
                <w:sz w:val="20"/>
                <w:szCs w:val="20"/>
              </w:rPr>
              <w:lastRenderedPageBreak/>
              <w:t>improvements to the emergency services calls.</w:t>
            </w:r>
          </w:p>
        </w:tc>
        <w:tc>
          <w:tcPr>
            <w:tcW w:w="2325" w:type="dxa"/>
          </w:tcPr>
          <w:p w14:paraId="6D3C433D"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lastRenderedPageBreak/>
              <w:t>Changes to legislation in 2018 required the court to clarify those entities required to contribute (which now includes local broadcasters).</w:t>
            </w:r>
          </w:p>
        </w:tc>
      </w:tr>
      <w:tr w:rsidR="00E24F3D" w:rsidRPr="00E24F3D" w14:paraId="1B3872D8" w14:textId="77777777" w:rsidTr="00E24F3D">
        <w:tc>
          <w:tcPr>
            <w:tcW w:w="2324" w:type="dxa"/>
          </w:tcPr>
          <w:p w14:paraId="760CA128"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India – Universal Services Obligation Fund</w:t>
            </w:r>
          </w:p>
        </w:tc>
        <w:tc>
          <w:tcPr>
            <w:tcW w:w="2324" w:type="dxa"/>
          </w:tcPr>
          <w:p w14:paraId="5D8F6AE0"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 xml:space="preserve">Adjusted Gross Revenue </w:t>
            </w:r>
          </w:p>
        </w:tc>
        <w:tc>
          <w:tcPr>
            <w:tcW w:w="2325" w:type="dxa"/>
          </w:tcPr>
          <w:p w14:paraId="6203EA37"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Telecommunications operators (except pure valued added providers such as internet service providers, email providers etc)</w:t>
            </w:r>
          </w:p>
        </w:tc>
        <w:tc>
          <w:tcPr>
            <w:tcW w:w="2325" w:type="dxa"/>
          </w:tcPr>
          <w:p w14:paraId="4B3D2DD3"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5% of Adjusted Gross Revenue</w:t>
            </w:r>
          </w:p>
        </w:tc>
        <w:tc>
          <w:tcPr>
            <w:tcW w:w="2325" w:type="dxa"/>
          </w:tcPr>
          <w:p w14:paraId="0513DC6F"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Provide access to telecom services in a non</w:t>
            </w:r>
            <w:r w:rsidRPr="00E24F3D">
              <w:rPr>
                <w:rFonts w:ascii="Calibri" w:eastAsia="Calibri" w:hAnsi="Calibri" w:cs="Times New Roman"/>
                <w:sz w:val="20"/>
                <w:szCs w:val="20"/>
              </w:rPr>
              <w:noBreakHyphen/>
              <w:t>discriminatory manner to people in rural and remote areas at affordable and reasonable prices, thereby bridging the rural-urban digital divide.</w:t>
            </w:r>
          </w:p>
        </w:tc>
        <w:tc>
          <w:tcPr>
            <w:tcW w:w="2325" w:type="dxa"/>
          </w:tcPr>
          <w:p w14:paraId="65FC4D90"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Low utilisation of funds</w:t>
            </w:r>
          </w:p>
        </w:tc>
      </w:tr>
      <w:tr w:rsidR="00E24F3D" w:rsidRPr="00E24F3D" w14:paraId="0D730C9D" w14:textId="77777777" w:rsidTr="00E24F3D">
        <w:tc>
          <w:tcPr>
            <w:tcW w:w="2324" w:type="dxa"/>
          </w:tcPr>
          <w:p w14:paraId="5F9A80AA"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United Kingdom – Universal Services fund not yet established</w:t>
            </w:r>
          </w:p>
        </w:tc>
        <w:tc>
          <w:tcPr>
            <w:tcW w:w="2324" w:type="dxa"/>
          </w:tcPr>
          <w:p w14:paraId="4546DC70"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Not established</w:t>
            </w:r>
          </w:p>
        </w:tc>
        <w:tc>
          <w:tcPr>
            <w:tcW w:w="2325" w:type="dxa"/>
          </w:tcPr>
          <w:p w14:paraId="4A8396FE"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At present carriers required to cover cost where cost of connection is below the reasonable cost threshold (RCT) of £3,400, consumers pay costs above this level</w:t>
            </w:r>
          </w:p>
        </w:tc>
        <w:tc>
          <w:tcPr>
            <w:tcW w:w="2325" w:type="dxa"/>
          </w:tcPr>
          <w:p w14:paraId="3544741A"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w:t>
            </w:r>
          </w:p>
        </w:tc>
        <w:tc>
          <w:tcPr>
            <w:tcW w:w="2325" w:type="dxa"/>
          </w:tcPr>
          <w:p w14:paraId="1E26DD84"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Designed to ensure all consumers can access high quality telecommunications services including in regional and remote locations. Levy funding would be used to cover ‘unfair burden’ where this is demonstrated by provider – no claims yet raised so fund not yet established. USO arrangements including funding under review in late 2023.</w:t>
            </w:r>
          </w:p>
        </w:tc>
        <w:tc>
          <w:tcPr>
            <w:tcW w:w="2325" w:type="dxa"/>
          </w:tcPr>
          <w:p w14:paraId="540CE326"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Consumers required to pay cost of high-cost connections up-front, which may be unaffordable given likely four figure cost.</w:t>
            </w:r>
          </w:p>
        </w:tc>
      </w:tr>
      <w:tr w:rsidR="00E24F3D" w:rsidRPr="00E24F3D" w14:paraId="30D80696" w14:textId="77777777" w:rsidTr="00E24F3D">
        <w:tc>
          <w:tcPr>
            <w:tcW w:w="2324" w:type="dxa"/>
          </w:tcPr>
          <w:p w14:paraId="11B7946B"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Pakistan – Universal Service Fund</w:t>
            </w:r>
          </w:p>
        </w:tc>
        <w:tc>
          <w:tcPr>
            <w:tcW w:w="2324" w:type="dxa"/>
          </w:tcPr>
          <w:p w14:paraId="4AC574E2"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Revenue (adjusted)</w:t>
            </w:r>
          </w:p>
        </w:tc>
        <w:tc>
          <w:tcPr>
            <w:tcW w:w="2325" w:type="dxa"/>
          </w:tcPr>
          <w:p w14:paraId="1421DBCB"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Telecommunications operators</w:t>
            </w:r>
          </w:p>
        </w:tc>
        <w:tc>
          <w:tcPr>
            <w:tcW w:w="2325" w:type="dxa"/>
          </w:tcPr>
          <w:p w14:paraId="71F9BE7B"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Maximum 1.5% of gross revenue</w:t>
            </w:r>
          </w:p>
        </w:tc>
        <w:tc>
          <w:tcPr>
            <w:tcW w:w="2325" w:type="dxa"/>
          </w:tcPr>
          <w:p w14:paraId="150D5651"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 xml:space="preserve">Subsidising provision of telecommunications </w:t>
            </w:r>
            <w:r w:rsidRPr="00E24F3D">
              <w:rPr>
                <w:rFonts w:ascii="Calibri" w:eastAsia="Calibri" w:hAnsi="Calibri" w:cs="Times New Roman"/>
                <w:sz w:val="20"/>
                <w:szCs w:val="20"/>
              </w:rPr>
              <w:lastRenderedPageBreak/>
              <w:t>services to unserved and under-served areas with a focus on education, health and other community institutions</w:t>
            </w:r>
          </w:p>
        </w:tc>
        <w:tc>
          <w:tcPr>
            <w:tcW w:w="2325" w:type="dxa"/>
          </w:tcPr>
          <w:p w14:paraId="3BB52EFA"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lastRenderedPageBreak/>
              <w:t xml:space="preserve">While many projects have been initiated and </w:t>
            </w:r>
            <w:r w:rsidRPr="00E24F3D">
              <w:rPr>
                <w:rFonts w:ascii="Calibri" w:eastAsia="Calibri" w:hAnsi="Calibri" w:cs="Times New Roman"/>
                <w:sz w:val="20"/>
                <w:szCs w:val="20"/>
              </w:rPr>
              <w:lastRenderedPageBreak/>
              <w:t>completed, there is a build-up of unused funds.</w:t>
            </w:r>
          </w:p>
        </w:tc>
      </w:tr>
      <w:tr w:rsidR="00E24F3D" w:rsidRPr="00E24F3D" w14:paraId="4CDE99AB" w14:textId="77777777" w:rsidTr="00E24F3D">
        <w:tc>
          <w:tcPr>
            <w:tcW w:w="2324" w:type="dxa"/>
          </w:tcPr>
          <w:p w14:paraId="6A817332"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lastRenderedPageBreak/>
              <w:t>Brazil - Fundo de Universalização dos Serviços de Telecomunicaçõ es (FUST)</w:t>
            </w:r>
          </w:p>
        </w:tc>
        <w:tc>
          <w:tcPr>
            <w:tcW w:w="2324" w:type="dxa"/>
          </w:tcPr>
          <w:p w14:paraId="032D22AE"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Various including Revenue (from provision of telecommunications services in the public and private regimes)</w:t>
            </w:r>
          </w:p>
        </w:tc>
        <w:tc>
          <w:tcPr>
            <w:tcW w:w="2325" w:type="dxa"/>
          </w:tcPr>
          <w:p w14:paraId="759814B2"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Telecommunications operators</w:t>
            </w:r>
          </w:p>
        </w:tc>
        <w:tc>
          <w:tcPr>
            <w:tcW w:w="2325" w:type="dxa"/>
          </w:tcPr>
          <w:p w14:paraId="665EE64D"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For Revenue contribution – 1% of gross operating revenue</w:t>
            </w:r>
          </w:p>
        </w:tc>
        <w:tc>
          <w:tcPr>
            <w:tcW w:w="2325" w:type="dxa"/>
          </w:tcPr>
          <w:p w14:paraId="61B60FA2"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Initially for fixed telephone, amended in 2020 to allow support for connectivity projects more generally</w:t>
            </w:r>
          </w:p>
        </w:tc>
        <w:tc>
          <w:tcPr>
            <w:tcW w:w="2325" w:type="dxa"/>
          </w:tcPr>
          <w:p w14:paraId="208296C4" w14:textId="77777777" w:rsidR="00E24F3D" w:rsidRPr="00E24F3D" w:rsidRDefault="00E24F3D" w:rsidP="00E24F3D">
            <w:pPr>
              <w:suppressAutoHyphens w:val="0"/>
              <w:spacing w:after="160" w:line="259" w:lineRule="auto"/>
              <w:rPr>
                <w:rFonts w:ascii="Calibri" w:eastAsia="Calibri" w:hAnsi="Calibri" w:cs="Times New Roman"/>
                <w:sz w:val="20"/>
                <w:szCs w:val="20"/>
              </w:rPr>
            </w:pPr>
            <w:r w:rsidRPr="00E24F3D">
              <w:rPr>
                <w:rFonts w:ascii="Calibri" w:eastAsia="Calibri" w:hAnsi="Calibri" w:cs="Times New Roman"/>
                <w:sz w:val="20"/>
                <w:szCs w:val="20"/>
              </w:rPr>
              <w:t>Very little funding used in the 20 years from the time the fund was established in 2001, with large unused amounts accumulating over that period.</w:t>
            </w:r>
          </w:p>
        </w:tc>
      </w:tr>
    </w:tbl>
    <w:p w14:paraId="095AF89A" w14:textId="77777777" w:rsidR="00201771" w:rsidRDefault="00201771" w:rsidP="00B31C3D">
      <w:pPr>
        <w:spacing w:before="80"/>
      </w:pPr>
    </w:p>
    <w:sectPr w:rsidR="00201771" w:rsidSect="0050113E">
      <w:pgSz w:w="16838" w:h="11906" w:orient="landscape" w:code="9"/>
      <w:pgMar w:top="1021" w:right="1021" w:bottom="1021" w:left="1021" w:header="51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38DBC" w14:textId="77777777" w:rsidR="00781036" w:rsidRDefault="00781036" w:rsidP="008456D5">
      <w:pPr>
        <w:spacing w:before="0" w:after="0"/>
      </w:pPr>
      <w:r>
        <w:separator/>
      </w:r>
    </w:p>
  </w:endnote>
  <w:endnote w:type="continuationSeparator" w:id="0">
    <w:p w14:paraId="5B4CE3C1" w14:textId="77777777" w:rsidR="00781036" w:rsidRDefault="00781036" w:rsidP="008456D5">
      <w:pPr>
        <w:spacing w:before="0" w:after="0"/>
      </w:pPr>
      <w:r>
        <w:continuationSeparator/>
      </w:r>
    </w:p>
  </w:endnote>
  <w:endnote w:type="continuationNotice" w:id="1">
    <w:p w14:paraId="7D82A372" w14:textId="77777777" w:rsidR="00781036" w:rsidRDefault="007810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04BB" w14:textId="77777777" w:rsidR="00781036" w:rsidRDefault="00781036" w:rsidP="00180B5B">
    <w:pPr>
      <w:pStyle w:val="Footer"/>
      <w:spacing w:before="720"/>
      <w:jc w:val="right"/>
    </w:pPr>
    <w:r>
      <w:rPr>
        <w:noProof/>
        <w:lang w:eastAsia="en-AU"/>
      </w:rPr>
      <mc:AlternateContent>
        <mc:Choice Requires="wps">
          <w:drawing>
            <wp:anchor distT="0" distB="0" distL="114300" distR="114300" simplePos="0" relativeHeight="251659264" behindDoc="1" locked="1" layoutInCell="1" allowOverlap="1" wp14:anchorId="4605A5A5" wp14:editId="61B0920A">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BE4196B" w14:textId="77777777" w:rsidR="00781036" w:rsidRPr="007A05BE" w:rsidRDefault="00781036"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5A5A5"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5BE4196B" w14:textId="77777777" w:rsidR="00781036" w:rsidRPr="007A05BE" w:rsidRDefault="00781036"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0" behindDoc="1" locked="1" layoutInCell="1" allowOverlap="1" wp14:anchorId="4DDF8770" wp14:editId="135BAC8E">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1966499710"/>
                            <w:dataBinding w:prefixMappings="xmlns:ns0='http://purl.org/dc/elements/1.1/' xmlns:ns1='http://schemas.openxmlformats.org/package/2006/metadata/core-properties' " w:xpath="/ns1:coreProperties[1]/ns0:title[1]" w:storeItemID="{6C3C8BC8-F283-45AE-878A-BAB7291924A1}"/>
                            <w:text/>
                          </w:sdtPr>
                          <w:sdtEndPr/>
                          <w:sdtContent>
                            <w:p w14:paraId="0C31EE42" w14:textId="5AAFAAAD" w:rsidR="00781036" w:rsidRDefault="00781036" w:rsidP="00180B5B">
                              <w:pPr>
                                <w:pStyle w:val="Footer"/>
                              </w:pPr>
                              <w:r>
                                <w:t>Funding of universal telecommunications services</w:t>
                              </w:r>
                            </w:p>
                          </w:sdtContent>
                        </w:sdt>
                        <w:p w14:paraId="767EBC15" w14:textId="02EE937F" w:rsidR="00781036" w:rsidRDefault="00781036" w:rsidP="00180B5B">
                          <w:pPr>
                            <w:pStyle w:val="Footer"/>
                          </w:pPr>
                          <w:r>
                            <w:t xml:space="preserve">Better delivery of Universal Services </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F8770" id="Text Box 18" o:spid="_x0000_s1027" type="#_x0000_t202" style="position:absolute;left:0;text-align:left;margin-left:0;margin-top:0;width:340.15pt;height:42.4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1966499710"/>
                      <w:dataBinding w:prefixMappings="xmlns:ns0='http://purl.org/dc/elements/1.1/' xmlns:ns1='http://schemas.openxmlformats.org/package/2006/metadata/core-properties' " w:xpath="/ns1:coreProperties[1]/ns0:title[1]" w:storeItemID="{6C3C8BC8-F283-45AE-878A-BAB7291924A1}"/>
                      <w:text/>
                    </w:sdtPr>
                    <w:sdtEndPr/>
                    <w:sdtContent>
                      <w:p w14:paraId="0C31EE42" w14:textId="5AAFAAAD" w:rsidR="00781036" w:rsidRDefault="00781036" w:rsidP="00180B5B">
                        <w:pPr>
                          <w:pStyle w:val="Footer"/>
                        </w:pPr>
                        <w:r>
                          <w:t>Funding of universal telecommunications services</w:t>
                        </w:r>
                      </w:p>
                    </w:sdtContent>
                  </w:sdt>
                  <w:p w14:paraId="767EBC15" w14:textId="02EE937F" w:rsidR="00781036" w:rsidRDefault="00781036" w:rsidP="00180B5B">
                    <w:pPr>
                      <w:pStyle w:val="Footer"/>
                    </w:pPr>
                    <w:r>
                      <w:t xml:space="preserve">Better delivery of Universal Services </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515A8" w14:textId="77777777" w:rsidR="00781036" w:rsidRDefault="00781036" w:rsidP="00546218">
    <w:pPr>
      <w:pStyle w:val="Footer"/>
      <w:spacing w:before="720"/>
    </w:pPr>
    <w:r>
      <w:rPr>
        <w:noProof/>
        <w:lang w:eastAsia="en-AU"/>
      </w:rPr>
      <mc:AlternateContent>
        <mc:Choice Requires="wps">
          <w:drawing>
            <wp:anchor distT="0" distB="0" distL="114300" distR="114300" simplePos="0" relativeHeight="251657216" behindDoc="1" locked="1" layoutInCell="1" allowOverlap="1" wp14:anchorId="3EF78765" wp14:editId="3912164B">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13DC7ED" w14:textId="77777777" w:rsidR="00781036" w:rsidRPr="007A05BE" w:rsidRDefault="00781036" w:rsidP="007A05BE">
                          <w:pPr>
                            <w:pStyle w:val="Footer"/>
                            <w:jc w:val="right"/>
                            <w:rPr>
                              <w:rStyle w:val="PageNumber"/>
                            </w:rPr>
                          </w:pPr>
                          <w:r w:rsidRPr="00EA72A4">
                            <w:rPr>
                              <w:rStyle w:val="PageNumber"/>
                            </w:rPr>
                            <w:fldChar w:fldCharType="begin"/>
                          </w:r>
                          <w:r w:rsidRPr="00EA72A4">
                            <w:rPr>
                              <w:rStyle w:val="PageNumber"/>
                            </w:rPr>
                            <w:instrText xml:space="preserve"> PAGE   \* MERGEFORMAT </w:instrText>
                          </w:r>
                          <w:r w:rsidRPr="00EA72A4">
                            <w:rPr>
                              <w:rStyle w:val="PageNumber"/>
                            </w:rPr>
                            <w:fldChar w:fldCharType="separate"/>
                          </w:r>
                          <w:r w:rsidRPr="00EA72A4">
                            <w:rPr>
                              <w:rStyle w:val="PageNumber"/>
                              <w:noProof/>
                            </w:rPr>
                            <w:t>1</w:t>
                          </w:r>
                          <w:r w:rsidRPr="00EA72A4">
                            <w:rPr>
                              <w:rStyle w:val="PageNumber"/>
                              <w:noProof/>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8765" id="_x0000_t202" coordsize="21600,21600" o:spt="202" path="m,l,21600r21600,l21600,xe">
              <v:stroke joinstyle="miter"/>
              <v:path gradientshapeok="t" o:connecttype="rect"/>
            </v:shapetype>
            <v:shape id="Text Box 4" o:spid="_x0000_s1028" type="#_x0000_t202" style="position:absolute;margin-left:28.15pt;margin-top:0;width:79.35pt;height:42.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313DC7ED" w14:textId="77777777" w:rsidR="00781036" w:rsidRPr="007A05BE" w:rsidRDefault="00781036" w:rsidP="007A05BE">
                    <w:pPr>
                      <w:pStyle w:val="Footer"/>
                      <w:jc w:val="right"/>
                      <w:rPr>
                        <w:rStyle w:val="PageNumber"/>
                      </w:rPr>
                    </w:pPr>
                    <w:r w:rsidRPr="00EA72A4">
                      <w:rPr>
                        <w:rStyle w:val="PageNumber"/>
                      </w:rPr>
                      <w:fldChar w:fldCharType="begin"/>
                    </w:r>
                    <w:r w:rsidRPr="00EA72A4">
                      <w:rPr>
                        <w:rStyle w:val="PageNumber"/>
                      </w:rPr>
                      <w:instrText xml:space="preserve"> PAGE   \* MERGEFORMAT </w:instrText>
                    </w:r>
                    <w:r w:rsidRPr="00EA72A4">
                      <w:rPr>
                        <w:rStyle w:val="PageNumber"/>
                      </w:rPr>
                      <w:fldChar w:fldCharType="separate"/>
                    </w:r>
                    <w:r w:rsidRPr="00EA72A4">
                      <w:rPr>
                        <w:rStyle w:val="PageNumber"/>
                        <w:noProof/>
                      </w:rPr>
                      <w:t>1</w:t>
                    </w:r>
                    <w:r w:rsidRPr="00EA72A4">
                      <w:rPr>
                        <w:rStyle w:val="PageNumber"/>
                        <w:noProof/>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6192" behindDoc="1" locked="1" layoutInCell="1" allowOverlap="1" wp14:anchorId="05EE049B" wp14:editId="17335B1E">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134214723"/>
                            <w:dataBinding w:prefixMappings="xmlns:ns0='http://purl.org/dc/elements/1.1/' xmlns:ns1='http://schemas.openxmlformats.org/package/2006/metadata/core-properties' " w:xpath="/ns1:coreProperties[1]/ns0:title[1]" w:storeItemID="{6C3C8BC8-F283-45AE-878A-BAB7291924A1}"/>
                            <w:text/>
                          </w:sdtPr>
                          <w:sdtEndPr/>
                          <w:sdtContent>
                            <w:p w14:paraId="2CB21EBE" w14:textId="4B3C6161" w:rsidR="00781036" w:rsidRDefault="00781036" w:rsidP="007A05BE">
                              <w:pPr>
                                <w:pStyle w:val="Footer"/>
                                <w:jc w:val="right"/>
                              </w:pPr>
                              <w:r>
                                <w:t>Funding of universal telecommunications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E049B" id="Text Box 3" o:spid="_x0000_s1029" type="#_x0000_t202" style="position:absolute;margin-left:288.95pt;margin-top:0;width:340.15pt;height:42.5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1134214723"/>
                      <w:dataBinding w:prefixMappings="xmlns:ns0='http://purl.org/dc/elements/1.1/' xmlns:ns1='http://schemas.openxmlformats.org/package/2006/metadata/core-properties' " w:xpath="/ns1:coreProperties[1]/ns0:title[1]" w:storeItemID="{6C3C8BC8-F283-45AE-878A-BAB7291924A1}"/>
                      <w:text/>
                    </w:sdtPr>
                    <w:sdtEndPr/>
                    <w:sdtContent>
                      <w:p w14:paraId="2CB21EBE" w14:textId="4B3C6161" w:rsidR="00781036" w:rsidRDefault="00781036" w:rsidP="007A05BE">
                        <w:pPr>
                          <w:pStyle w:val="Footer"/>
                          <w:jc w:val="right"/>
                        </w:pPr>
                        <w:r>
                          <w:t>Funding of universal telecommunications services</w:t>
                        </w:r>
                      </w:p>
                    </w:sdtContent>
                  </w:sdt>
                </w:txbxContent>
              </v:textbox>
              <w10:wrap anchorx="page" anchory="page"/>
              <w10:anchorlock/>
            </v:shape>
          </w:pict>
        </mc:Fallback>
      </mc:AlternateContent>
    </w:r>
    <w:r>
      <w:rPr>
        <w:noProof/>
        <w:lang w:eastAsia="en-AU"/>
      </w:rPr>
      <w:drawing>
        <wp:anchor distT="0" distB="0" distL="114300" distR="114300" simplePos="0" relativeHeight="251655168" behindDoc="1" locked="1" layoutInCell="1" allowOverlap="1" wp14:anchorId="283B5934" wp14:editId="07D9E86D">
          <wp:simplePos x="0" y="0"/>
          <wp:positionH relativeFrom="page">
            <wp:align>right</wp:align>
          </wp:positionH>
          <wp:positionV relativeFrom="page">
            <wp:align>bottom</wp:align>
          </wp:positionV>
          <wp:extent cx="10692000" cy="18324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49098"/>
      <w:docPartObj>
        <w:docPartGallery w:val="Page Numbers (Bottom of Page)"/>
        <w:docPartUnique/>
      </w:docPartObj>
    </w:sdtPr>
    <w:sdtEndPr>
      <w:rPr>
        <w:b/>
        <w:noProof/>
        <w:sz w:val="20"/>
        <w:szCs w:val="20"/>
      </w:rPr>
    </w:sdtEndPr>
    <w:sdtContent>
      <w:p w14:paraId="55746172" w14:textId="4822FA28" w:rsidR="00781036" w:rsidRPr="0073574E" w:rsidRDefault="00781036">
        <w:pPr>
          <w:pStyle w:val="Footer"/>
          <w:jc w:val="right"/>
          <w:rPr>
            <w:b/>
            <w:sz w:val="20"/>
            <w:szCs w:val="20"/>
          </w:rPr>
        </w:pPr>
        <w:r w:rsidRPr="0073574E">
          <w:rPr>
            <w:b/>
            <w:sz w:val="20"/>
            <w:szCs w:val="20"/>
          </w:rPr>
          <w:fldChar w:fldCharType="begin"/>
        </w:r>
        <w:r w:rsidRPr="0073574E">
          <w:rPr>
            <w:b/>
            <w:sz w:val="20"/>
            <w:szCs w:val="20"/>
          </w:rPr>
          <w:instrText xml:space="preserve"> PAGE   \* MERGEFORMAT </w:instrText>
        </w:r>
        <w:r w:rsidRPr="0073574E">
          <w:rPr>
            <w:b/>
            <w:sz w:val="20"/>
            <w:szCs w:val="20"/>
          </w:rPr>
          <w:fldChar w:fldCharType="separate"/>
        </w:r>
        <w:r w:rsidRPr="0073574E">
          <w:rPr>
            <w:b/>
            <w:noProof/>
            <w:sz w:val="20"/>
            <w:szCs w:val="20"/>
          </w:rPr>
          <w:t>2</w:t>
        </w:r>
        <w:r w:rsidRPr="0073574E">
          <w:rPr>
            <w:b/>
            <w:noProof/>
            <w:sz w:val="20"/>
            <w:szCs w:val="20"/>
          </w:rPr>
          <w:fldChar w:fldCharType="end"/>
        </w:r>
      </w:p>
    </w:sdtContent>
  </w:sdt>
  <w:p w14:paraId="0B0ACA5A" w14:textId="6264F0BD" w:rsidR="00781036" w:rsidRDefault="00781036" w:rsidP="00D02062">
    <w:pPr>
      <w:pStyle w:val="Footer"/>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5BC13" w14:textId="77777777" w:rsidR="00781036" w:rsidRPr="005912BE" w:rsidRDefault="00781036" w:rsidP="005912BE">
      <w:pPr>
        <w:spacing w:before="300"/>
        <w:rPr>
          <w:color w:val="008089" w:themeColor="accent2"/>
        </w:rPr>
      </w:pPr>
      <w:r w:rsidRPr="001606C9">
        <w:rPr>
          <w:color w:val="004044" w:themeColor="accent2" w:themeShade="80"/>
        </w:rPr>
        <w:t>----------</w:t>
      </w:r>
    </w:p>
  </w:footnote>
  <w:footnote w:type="continuationSeparator" w:id="0">
    <w:p w14:paraId="17783041" w14:textId="77777777" w:rsidR="00781036" w:rsidRDefault="00781036" w:rsidP="008456D5">
      <w:pPr>
        <w:spacing w:before="0" w:after="0"/>
      </w:pPr>
      <w:r>
        <w:continuationSeparator/>
      </w:r>
    </w:p>
  </w:footnote>
  <w:footnote w:type="continuationNotice" w:id="1">
    <w:p w14:paraId="40F033D6" w14:textId="77777777" w:rsidR="00781036" w:rsidRDefault="00781036">
      <w:pPr>
        <w:spacing w:before="0" w:after="0"/>
      </w:pPr>
    </w:p>
  </w:footnote>
  <w:footnote w:id="2">
    <w:p w14:paraId="51C0E067" w14:textId="77777777" w:rsidR="00781036" w:rsidRPr="001F2C01" w:rsidRDefault="00781036" w:rsidP="00173A7B">
      <w:pPr>
        <w:pStyle w:val="FootnoteText"/>
        <w:ind w:left="226" w:hanging="113"/>
        <w:rPr>
          <w:lang w:val="en-US"/>
        </w:rPr>
      </w:pPr>
      <w:r>
        <w:rPr>
          <w:rStyle w:val="FootnoteReference"/>
        </w:rPr>
        <w:footnoteRef/>
      </w:r>
      <w:r>
        <w:t xml:space="preserve"> </w:t>
      </w:r>
      <w:r>
        <w:rPr>
          <w:lang w:val="en-US"/>
        </w:rPr>
        <w:t xml:space="preserve">The agreement was originally called the Telecommunications Universal Service Management Agency (TUSMA) Agreement. The TUSMA was a separate agency that was established from 1 July 2012, but ceased operations from </w:t>
      </w:r>
      <w:r w:rsidRPr="00D84107">
        <w:rPr>
          <w:lang w:val="en-US"/>
        </w:rPr>
        <w:t>1 July 2015</w:t>
      </w:r>
      <w:r>
        <w:rPr>
          <w:lang w:val="en-US"/>
        </w:rPr>
        <w:t xml:space="preserve"> as its </w:t>
      </w:r>
      <w:r w:rsidRPr="00D84107">
        <w:rPr>
          <w:lang w:val="en-US"/>
        </w:rPr>
        <w:t>functions</w:t>
      </w:r>
      <w:r>
        <w:rPr>
          <w:lang w:val="en-US"/>
        </w:rPr>
        <w:t xml:space="preserve"> and staff</w:t>
      </w:r>
      <w:r w:rsidRPr="00D84107">
        <w:rPr>
          <w:lang w:val="en-US"/>
        </w:rPr>
        <w:t xml:space="preserve"> transferred to </w:t>
      </w:r>
      <w:r>
        <w:rPr>
          <w:lang w:val="en-US"/>
        </w:rPr>
        <w:t xml:space="preserve">what is now the </w:t>
      </w:r>
      <w:r w:rsidRPr="00D84107">
        <w:rPr>
          <w:lang w:val="en-US"/>
        </w:rPr>
        <w:t>Department of Infrastructure, Transport, Regional Development</w:t>
      </w:r>
      <w:r>
        <w:rPr>
          <w:lang w:val="en-US"/>
        </w:rPr>
        <w:t>,</w:t>
      </w:r>
      <w:r w:rsidRPr="00D84107">
        <w:rPr>
          <w:lang w:val="en-US"/>
        </w:rPr>
        <w:t xml:space="preserve"> Communications</w:t>
      </w:r>
      <w:r>
        <w:rPr>
          <w:lang w:val="en-US"/>
        </w:rPr>
        <w:t xml:space="preserve"> and the Arts</w:t>
      </w:r>
      <w:r w:rsidRPr="00D84107">
        <w:rPr>
          <w:lang w:val="en-US"/>
        </w:rPr>
        <w:t>.</w:t>
      </w:r>
      <w:r>
        <w:rPr>
          <w:lang w:val="en-US"/>
        </w:rPr>
        <w:t xml:space="preserve"> </w:t>
      </w:r>
    </w:p>
  </w:footnote>
  <w:footnote w:id="3">
    <w:p w14:paraId="6F6DB6D1" w14:textId="498385DF" w:rsidR="00781036" w:rsidRPr="00CE6796" w:rsidRDefault="00781036" w:rsidP="00173A7B">
      <w:pPr>
        <w:pStyle w:val="FootnoteText"/>
        <w:ind w:left="226" w:hanging="113"/>
        <w:rPr>
          <w:lang w:val="en-US"/>
        </w:rPr>
      </w:pPr>
      <w:r>
        <w:rPr>
          <w:rStyle w:val="FootnoteReference"/>
        </w:rPr>
        <w:footnoteRef/>
      </w:r>
      <w:r>
        <w:t xml:space="preserve"> More detail on relevant contracts and grants funded under TIL arrangements is available on the </w:t>
      </w:r>
      <w:hyperlink r:id="rId1" w:history="1">
        <w:r w:rsidRPr="00213283">
          <w:rPr>
            <w:rStyle w:val="Hyperlink"/>
          </w:rPr>
          <w:t>Department’s website</w:t>
        </w:r>
      </w:hyperlink>
      <w:r>
        <w:t xml:space="preserve">. </w:t>
      </w:r>
    </w:p>
  </w:footnote>
  <w:footnote w:id="4">
    <w:p w14:paraId="5E2E1543" w14:textId="10148346" w:rsidR="00781036" w:rsidRDefault="00781036">
      <w:pPr>
        <w:pStyle w:val="FootnoteText"/>
      </w:pPr>
      <w:r>
        <w:rPr>
          <w:rStyle w:val="FootnoteReference"/>
        </w:rPr>
        <w:footnoteRef/>
      </w:r>
      <w:r>
        <w:t xml:space="preserve"> </w:t>
      </w:r>
      <w:hyperlink r:id="rId2" w:history="1">
        <w:r>
          <w:rPr>
            <w:rStyle w:val="Hyperlink"/>
          </w:rPr>
          <w:t>NBN non-commercial services funding options—final report (March 2016) | Department of Infrastructure, Transport, Regional Development, Communications and the Arts</w:t>
        </w:r>
      </w:hyperlink>
    </w:p>
  </w:footnote>
  <w:footnote w:id="5">
    <w:p w14:paraId="3699B569" w14:textId="0F5B85BC" w:rsidR="00781036" w:rsidRDefault="00781036">
      <w:pPr>
        <w:pStyle w:val="FootnoteText"/>
      </w:pPr>
      <w:r>
        <w:rPr>
          <w:rStyle w:val="FootnoteReference"/>
        </w:rPr>
        <w:footnoteRef/>
      </w:r>
      <w:r>
        <w:t xml:space="preserve"> </w:t>
      </w:r>
      <w:hyperlink r:id="rId3" w:history="1">
        <w:r>
          <w:rPr>
            <w:rStyle w:val="Hyperlink"/>
          </w:rPr>
          <w:t>Regional Broadband Scheme Levy report | ACCC</w:t>
        </w:r>
      </w:hyperlink>
    </w:p>
  </w:footnote>
  <w:footnote w:id="6">
    <w:p w14:paraId="4EEE476D" w14:textId="7DFCDF0E" w:rsidR="00781036" w:rsidRDefault="00781036">
      <w:pPr>
        <w:pStyle w:val="FootnoteText"/>
      </w:pPr>
      <w:r>
        <w:rPr>
          <w:rStyle w:val="FootnoteReference"/>
        </w:rPr>
        <w:footnoteRef/>
      </w:r>
      <w:r>
        <w:t xml:space="preserve"> </w:t>
      </w:r>
      <w:hyperlink r:id="rId4" w:history="1">
        <w:r>
          <w:rPr>
            <w:rStyle w:val="Hyperlink"/>
          </w:rPr>
          <w:t>First Nations Digital Inclusion Plan (2023-26) | National Indigenous Australians Agency (niaa.gov.au)</w:t>
        </w:r>
      </w:hyperlink>
    </w:p>
  </w:footnote>
  <w:footnote w:id="7">
    <w:p w14:paraId="1D0617FD" w14:textId="690618FD" w:rsidR="00781036" w:rsidRDefault="00781036">
      <w:pPr>
        <w:pStyle w:val="FootnoteText"/>
      </w:pPr>
      <w:r>
        <w:rPr>
          <w:rStyle w:val="FootnoteReference"/>
        </w:rPr>
        <w:footnoteRef/>
      </w:r>
      <w:r>
        <w:t xml:space="preserve"> </w:t>
      </w:r>
      <w:hyperlink r:id="rId5" w:history="1">
        <w:r>
          <w:rPr>
            <w:rStyle w:val="Hyperlink"/>
          </w:rPr>
          <w:t>Financing universal access to digital technologies and services - ITU Hub</w:t>
        </w:r>
      </w:hyperlink>
    </w:p>
  </w:footnote>
  <w:footnote w:id="8">
    <w:p w14:paraId="75C9B804" w14:textId="29F99A52" w:rsidR="00781036" w:rsidRDefault="00781036">
      <w:pPr>
        <w:pStyle w:val="FootnoteText"/>
      </w:pPr>
      <w:r>
        <w:rPr>
          <w:rStyle w:val="FootnoteReference"/>
        </w:rPr>
        <w:footnoteRef/>
      </w:r>
      <w:r>
        <w:t xml:space="preserve"> </w:t>
      </w:r>
      <w:hyperlink r:id="rId6" w:history="1">
        <w:r>
          <w:rPr>
            <w:rStyle w:val="Hyperlink"/>
          </w:rPr>
          <w:t>Universal Access and Service Funds.pdf (unescap.org)</w:t>
        </w:r>
      </w:hyperlink>
    </w:p>
  </w:footnote>
  <w:footnote w:id="9">
    <w:p w14:paraId="37D67514" w14:textId="699B17C9" w:rsidR="00781036" w:rsidRDefault="00781036">
      <w:pPr>
        <w:pStyle w:val="FootnoteText"/>
      </w:pPr>
      <w:r>
        <w:rPr>
          <w:rStyle w:val="FootnoteReference"/>
        </w:rPr>
        <w:footnoteRef/>
      </w:r>
      <w:r>
        <w:t xml:space="preserve"> </w:t>
      </w:r>
      <w:hyperlink r:id="rId7" w:history="1">
        <w:r>
          <w:rPr>
            <w:rStyle w:val="Hyperlink"/>
          </w:rPr>
          <w:t>Universal Access and Service Funds.pdf (unescap.org)</w:t>
        </w:r>
      </w:hyperlink>
    </w:p>
  </w:footnote>
  <w:footnote w:id="10">
    <w:p w14:paraId="2E01A10E" w14:textId="6B73C617" w:rsidR="00781036" w:rsidRDefault="00781036">
      <w:pPr>
        <w:pStyle w:val="FootnoteText"/>
      </w:pPr>
      <w:r>
        <w:rPr>
          <w:rStyle w:val="FootnoteReference"/>
        </w:rPr>
        <w:footnoteRef/>
      </w:r>
      <w:r>
        <w:t xml:space="preserve"> </w:t>
      </w:r>
      <w:hyperlink r:id="rId8" w:history="1">
        <w:r>
          <w:rPr>
            <w:rStyle w:val="Hyperlink"/>
          </w:rPr>
          <w:t>Universal service funds and digital inclusion for all (itu.int)</w:t>
        </w:r>
      </w:hyperlink>
    </w:p>
  </w:footnote>
  <w:footnote w:id="11">
    <w:p w14:paraId="6927B47A" w14:textId="77777777" w:rsidR="00781036" w:rsidRDefault="00781036" w:rsidP="0086281A">
      <w:pPr>
        <w:pStyle w:val="FootnoteText"/>
      </w:pPr>
      <w:r>
        <w:rPr>
          <w:rStyle w:val="FootnoteReference"/>
        </w:rPr>
        <w:footnoteRef/>
      </w:r>
      <w:r>
        <w:t xml:space="preserve"> </w:t>
      </w:r>
      <w:hyperlink r:id="rId9" w:history="1">
        <w:r>
          <w:rPr>
            <w:rStyle w:val="Hyperlink"/>
          </w:rPr>
          <w:t>Universal Access and Service Funds.pdf (unescap.org)</w:t>
        </w:r>
      </w:hyperlink>
    </w:p>
  </w:footnote>
  <w:footnote w:id="12">
    <w:p w14:paraId="33438DBA" w14:textId="77777777" w:rsidR="00781036" w:rsidRDefault="00781036" w:rsidP="0086281A">
      <w:pPr>
        <w:pStyle w:val="FootnoteText"/>
      </w:pPr>
      <w:r>
        <w:rPr>
          <w:rStyle w:val="FootnoteReference"/>
        </w:rPr>
        <w:footnoteRef/>
      </w:r>
      <w:r>
        <w:t xml:space="preserve"> </w:t>
      </w:r>
      <w:hyperlink r:id="rId10" w:history="1">
        <w:r>
          <w:rPr>
            <w:rStyle w:val="Hyperlink"/>
          </w:rPr>
          <w:t>Universal service funds and digital inclusion for all (itu.int)</w:t>
        </w:r>
      </w:hyperlink>
    </w:p>
  </w:footnote>
  <w:footnote w:id="13">
    <w:p w14:paraId="41E78663" w14:textId="34AE1AB3" w:rsidR="00781036" w:rsidRDefault="00781036">
      <w:pPr>
        <w:pStyle w:val="FootnoteText"/>
      </w:pPr>
      <w:r>
        <w:rPr>
          <w:rStyle w:val="FootnoteReference"/>
        </w:rPr>
        <w:footnoteRef/>
      </w:r>
      <w:r>
        <w:t xml:space="preserve"> </w:t>
      </w:r>
      <w:hyperlink r:id="rId11" w:history="1">
        <w:r>
          <w:rPr>
            <w:rStyle w:val="Hyperlink"/>
          </w:rPr>
          <w:t>Universal service funds in Africa (gsma.com)</w:t>
        </w:r>
      </w:hyperlink>
    </w:p>
  </w:footnote>
  <w:footnote w:id="14">
    <w:p w14:paraId="65D317B5" w14:textId="67A211A8" w:rsidR="00781036" w:rsidRDefault="00781036">
      <w:pPr>
        <w:pStyle w:val="FootnoteText"/>
      </w:pPr>
      <w:r>
        <w:rPr>
          <w:rStyle w:val="FootnoteReference"/>
        </w:rPr>
        <w:footnoteRef/>
      </w:r>
      <w:r>
        <w:t xml:space="preserve"> </w:t>
      </w:r>
      <w:hyperlink r:id="rId12" w:history="1">
        <w:r>
          <w:rPr>
            <w:rStyle w:val="Hyperlink"/>
          </w:rPr>
          <w:t>USAF-Report-English.pdf (a4ai.org)</w:t>
        </w:r>
      </w:hyperlink>
    </w:p>
  </w:footnote>
  <w:footnote w:id="15">
    <w:p w14:paraId="46A14FD7" w14:textId="4F8C3A04" w:rsidR="00781036" w:rsidRDefault="00781036">
      <w:pPr>
        <w:pStyle w:val="FootnoteText"/>
      </w:pPr>
      <w:r>
        <w:rPr>
          <w:rStyle w:val="FootnoteReference"/>
        </w:rPr>
        <w:footnoteRef/>
      </w:r>
      <w:r>
        <w:t xml:space="preserve"> </w:t>
      </w:r>
      <w:hyperlink r:id="rId13" w:history="1">
        <w:r>
          <w:rPr>
            <w:rStyle w:val="Hyperlink"/>
          </w:rPr>
          <w:t>Universal Access and Service Funds.pdf (unescap.org)</w:t>
        </w:r>
      </w:hyperlink>
    </w:p>
  </w:footnote>
  <w:footnote w:id="16">
    <w:p w14:paraId="66F06421" w14:textId="519A7914" w:rsidR="00781036" w:rsidRDefault="00781036">
      <w:pPr>
        <w:pStyle w:val="FootnoteText"/>
      </w:pPr>
      <w:r>
        <w:rPr>
          <w:rStyle w:val="FootnoteReference"/>
        </w:rPr>
        <w:footnoteRef/>
      </w:r>
      <w:r>
        <w:t xml:space="preserve"> </w:t>
      </w:r>
      <w:hyperlink r:id="rId14" w:history="1">
        <w:r>
          <w:rPr>
            <w:rStyle w:val="Hyperlink"/>
          </w:rPr>
          <w:t>USF Report_v2 (gsma.com)</w:t>
        </w:r>
      </w:hyperlink>
    </w:p>
  </w:footnote>
  <w:footnote w:id="17">
    <w:p w14:paraId="146E57B7" w14:textId="2E23D500" w:rsidR="00781036" w:rsidRDefault="00781036">
      <w:pPr>
        <w:pStyle w:val="FootnoteText"/>
      </w:pPr>
      <w:r>
        <w:rPr>
          <w:rStyle w:val="FootnoteReference"/>
        </w:rPr>
        <w:footnoteRef/>
      </w:r>
      <w:r>
        <w:t xml:space="preserve"> </w:t>
      </w:r>
      <w:hyperlink r:id="rId15" w:history="1">
        <w:r>
          <w:rPr>
            <w:rStyle w:val="Hyperlink"/>
          </w:rPr>
          <w:t>Financing universal access to digital technologies and services - ITU Hub</w:t>
        </w:r>
      </w:hyperlink>
    </w:p>
  </w:footnote>
  <w:footnote w:id="18">
    <w:p w14:paraId="473455CB" w14:textId="2FAF2795" w:rsidR="00781036" w:rsidRDefault="00781036">
      <w:pPr>
        <w:pStyle w:val="FootnoteText"/>
      </w:pPr>
      <w:r>
        <w:rPr>
          <w:rStyle w:val="FootnoteReference"/>
        </w:rPr>
        <w:footnoteRef/>
      </w:r>
      <w:r>
        <w:t xml:space="preserve"> </w:t>
      </w:r>
      <w:hyperlink r:id="rId16" w:history="1">
        <w:r>
          <w:rPr>
            <w:rStyle w:val="Hyperlink"/>
          </w:rPr>
          <w:t>Universal Access and Service Funds.pdf (unescap.org)</w:t>
        </w:r>
      </w:hyperlink>
    </w:p>
  </w:footnote>
  <w:footnote w:id="19">
    <w:p w14:paraId="7CDF47F5" w14:textId="6D8E5D03" w:rsidR="00781036" w:rsidRDefault="00781036">
      <w:pPr>
        <w:pStyle w:val="FootnoteText"/>
      </w:pPr>
      <w:r>
        <w:rPr>
          <w:rStyle w:val="FootnoteReference"/>
        </w:rPr>
        <w:footnoteRef/>
      </w:r>
      <w:r>
        <w:t xml:space="preserve"> </w:t>
      </w:r>
      <w:hyperlink r:id="rId17" w:history="1">
        <w:r>
          <w:rPr>
            <w:rStyle w:val="Hyperlink"/>
          </w:rPr>
          <w:t>USAF-Report-English.pdf (a4ai.org)</w:t>
        </w:r>
      </w:hyperlink>
    </w:p>
  </w:footnote>
  <w:footnote w:id="20">
    <w:p w14:paraId="17E69FC9" w14:textId="09932CC9" w:rsidR="00781036" w:rsidRDefault="00781036">
      <w:pPr>
        <w:pStyle w:val="FootnoteText"/>
      </w:pPr>
      <w:r>
        <w:rPr>
          <w:rStyle w:val="FootnoteReference"/>
        </w:rPr>
        <w:footnoteRef/>
      </w:r>
      <w:r>
        <w:t xml:space="preserve"> </w:t>
      </w:r>
      <w:hyperlink r:id="rId18" w:history="1">
        <w:r>
          <w:rPr>
            <w:rStyle w:val="Hyperlink"/>
          </w:rPr>
          <w:t>Universal service funds in Africa (gsma.com)</w:t>
        </w:r>
      </w:hyperlink>
    </w:p>
  </w:footnote>
  <w:footnote w:id="21">
    <w:p w14:paraId="2A9CABCB" w14:textId="6E29D5B0" w:rsidR="00781036" w:rsidRDefault="00781036">
      <w:pPr>
        <w:pStyle w:val="FootnoteText"/>
      </w:pPr>
      <w:r>
        <w:rPr>
          <w:rStyle w:val="FootnoteReference"/>
        </w:rPr>
        <w:footnoteRef/>
      </w:r>
      <w:r>
        <w:t xml:space="preserve"> </w:t>
      </w:r>
      <w:hyperlink r:id="rId19" w:anchor=":~:text=50%25%20of%20funds%20under%20USOF,collected%20under%20USOF%20so%20far." w:history="1">
        <w:r>
          <w:rPr>
            <w:rStyle w:val="Hyperlink"/>
          </w:rPr>
          <w:t>After 20 years,50% of Universal Service Obligation Fund remains unutilized (factly.in)</w:t>
        </w:r>
      </w:hyperlink>
    </w:p>
  </w:footnote>
  <w:footnote w:id="22">
    <w:p w14:paraId="0C99CB03" w14:textId="096764FB" w:rsidR="00781036" w:rsidRDefault="00781036">
      <w:pPr>
        <w:pStyle w:val="FootnoteText"/>
      </w:pPr>
      <w:r>
        <w:rPr>
          <w:rStyle w:val="FootnoteReference"/>
        </w:rPr>
        <w:footnoteRef/>
      </w:r>
      <w:r>
        <w:t xml:space="preserve"> </w:t>
      </w:r>
      <w:hyperlink r:id="rId20" w:history="1">
        <w:r>
          <w:rPr>
            <w:rStyle w:val="Hyperlink"/>
          </w:rPr>
          <w:t>Telcos seek reduction in USOF contribution, license fee – Business Today</w:t>
        </w:r>
      </w:hyperlink>
    </w:p>
  </w:footnote>
  <w:footnote w:id="23">
    <w:p w14:paraId="0BD0E93C" w14:textId="1844273F" w:rsidR="00781036" w:rsidRDefault="00781036">
      <w:pPr>
        <w:pStyle w:val="FootnoteText"/>
      </w:pPr>
      <w:r>
        <w:rPr>
          <w:rStyle w:val="FootnoteReference"/>
        </w:rPr>
        <w:footnoteRef/>
      </w:r>
      <w:r>
        <w:t xml:space="preserve"> </w:t>
      </w:r>
      <w:hyperlink r:id="rId21" w:history="1">
        <w:r>
          <w:rPr>
            <w:rStyle w:val="Hyperlink"/>
          </w:rPr>
          <w:t>Budget 2023: Telcos want licence fee cut, input-tax credit refund - The Economic Times (indiatimes.com)</w:t>
        </w:r>
      </w:hyperlink>
    </w:p>
  </w:footnote>
  <w:footnote w:id="24">
    <w:p w14:paraId="35DAF5A9" w14:textId="09A24F4B" w:rsidR="00781036" w:rsidRDefault="00781036">
      <w:pPr>
        <w:pStyle w:val="FootnoteText"/>
      </w:pPr>
      <w:r>
        <w:rPr>
          <w:rStyle w:val="FootnoteReference"/>
        </w:rPr>
        <w:footnoteRef/>
      </w:r>
      <w:r>
        <w:t xml:space="preserve"> </w:t>
      </w:r>
      <w:hyperlink r:id="rId22" w:history="1">
        <w:r>
          <w:rPr>
            <w:rStyle w:val="Hyperlink"/>
          </w:rPr>
          <w:t>Universal Access and Service Funds.pdf (unescap.org)</w:t>
        </w:r>
      </w:hyperlink>
    </w:p>
  </w:footnote>
  <w:footnote w:id="25">
    <w:p w14:paraId="2412483A" w14:textId="32C89496" w:rsidR="00781036" w:rsidRDefault="00781036">
      <w:pPr>
        <w:pStyle w:val="FootnoteText"/>
      </w:pPr>
      <w:r>
        <w:rPr>
          <w:rStyle w:val="FootnoteReference"/>
        </w:rPr>
        <w:footnoteRef/>
      </w:r>
      <w:r>
        <w:t xml:space="preserve"> </w:t>
      </w:r>
      <w:hyperlink r:id="rId23" w:history="1">
        <w:r>
          <w:rPr>
            <w:rStyle w:val="Hyperlink"/>
          </w:rPr>
          <w:t>Financing universal access to digital technologies and services - ITU Hub</w:t>
        </w:r>
      </w:hyperlink>
    </w:p>
  </w:footnote>
  <w:footnote w:id="26">
    <w:p w14:paraId="211B2D02" w14:textId="53F91C00" w:rsidR="00781036" w:rsidRDefault="00781036">
      <w:pPr>
        <w:pStyle w:val="FootnoteText"/>
      </w:pPr>
      <w:r>
        <w:rPr>
          <w:rStyle w:val="FootnoteReference"/>
        </w:rPr>
        <w:footnoteRef/>
      </w:r>
      <w:r>
        <w:t xml:space="preserve"> 2017, </w:t>
      </w:r>
      <w:hyperlink r:id="rId24" w:history="1">
        <w:r>
          <w:rPr>
            <w:rStyle w:val="Hyperlink"/>
          </w:rPr>
          <w:t>Universal Access and Service Funds.pdf (unescap.org)</w:t>
        </w:r>
      </w:hyperlink>
    </w:p>
  </w:footnote>
  <w:footnote w:id="27">
    <w:p w14:paraId="71B74C97" w14:textId="16B42037" w:rsidR="00781036" w:rsidRDefault="00781036">
      <w:pPr>
        <w:pStyle w:val="FootnoteText"/>
      </w:pPr>
      <w:r>
        <w:rPr>
          <w:rStyle w:val="FootnoteReference"/>
        </w:rPr>
        <w:footnoteRef/>
      </w:r>
      <w:r>
        <w:t xml:space="preserve"> 2021, </w:t>
      </w:r>
      <w:hyperlink r:id="rId25" w:history="1">
        <w:r>
          <w:rPr>
            <w:rStyle w:val="Hyperlink"/>
          </w:rPr>
          <w:t>USAF-Report-English.pdf (a4ai.org)</w:t>
        </w:r>
      </w:hyperlink>
    </w:p>
  </w:footnote>
  <w:footnote w:id="28">
    <w:p w14:paraId="7065E0FF" w14:textId="1744AD42" w:rsidR="00781036" w:rsidRDefault="00781036">
      <w:pPr>
        <w:pStyle w:val="FootnoteText"/>
      </w:pPr>
      <w:r>
        <w:rPr>
          <w:rStyle w:val="FootnoteReference"/>
        </w:rPr>
        <w:footnoteRef/>
      </w:r>
      <w:r>
        <w:t xml:space="preserve"> 2013, </w:t>
      </w:r>
      <w:hyperlink r:id="rId26" w:history="1">
        <w:r>
          <w:rPr>
            <w:rStyle w:val="Hyperlink"/>
          </w:rPr>
          <w:t>Universal service funds and digital inclusion for all (itu.int)</w:t>
        </w:r>
      </w:hyperlink>
    </w:p>
  </w:footnote>
  <w:footnote w:id="29">
    <w:p w14:paraId="7289125C" w14:textId="40B77732" w:rsidR="00781036" w:rsidRDefault="00781036" w:rsidP="008A17C7">
      <w:pPr>
        <w:pStyle w:val="FootnoteText"/>
      </w:pPr>
      <w:r>
        <w:rPr>
          <w:rStyle w:val="FootnoteReference"/>
        </w:rPr>
        <w:footnoteRef/>
      </w:r>
      <w:r>
        <w:t xml:space="preserve"> </w:t>
      </w:r>
      <w:hyperlink r:id="rId27" w:history="1">
        <w:r>
          <w:rPr>
            <w:rStyle w:val="Hyperlink"/>
          </w:rPr>
          <w:t>Telecommunications Legislation Amendment (Competition and Consumer) Bill 2019 – Parliament of Australia (aph.gov.au)</w:t>
        </w:r>
      </w:hyperlink>
    </w:p>
    <w:p w14:paraId="0F92397A" w14:textId="5964982C" w:rsidR="00781036" w:rsidRDefault="00F87F5F" w:rsidP="008A17C7">
      <w:pPr>
        <w:pStyle w:val="FootnoteText"/>
      </w:pPr>
      <w:hyperlink r:id="rId28" w:anchor=":~:text=Introduced%20with%20the%20Telecommunications%20Legislation,Ltd%2C%20in%20relation%20to%20each" w:history="1">
        <w:r w:rsidR="00781036">
          <w:rPr>
            <w:rStyle w:val="Hyperlink"/>
          </w:rPr>
          <w:t>Telecommunications (Regional Broadband Scheme) Charge Bill 2019 – Parliament of Australia (aph.gov.au)</w:t>
        </w:r>
      </w:hyperlink>
    </w:p>
  </w:footnote>
  <w:footnote w:id="30">
    <w:p w14:paraId="33EB40F8" w14:textId="77777777" w:rsidR="00781036" w:rsidRDefault="00781036" w:rsidP="0096287A">
      <w:pPr>
        <w:pStyle w:val="FootnoteText"/>
      </w:pPr>
      <w:r>
        <w:rPr>
          <w:rStyle w:val="FootnoteReference"/>
        </w:rPr>
        <w:footnoteRef/>
      </w:r>
      <w:r>
        <w:t xml:space="preserve"> </w:t>
      </w:r>
      <w:hyperlink r:id="rId29" w:history="1">
        <w:r>
          <w:rPr>
            <w:rStyle w:val="Hyperlink"/>
          </w:rPr>
          <w:t>Towards Levyathan? Industry levies in Australia - Productivity Commission (pc.gov.au)</w:t>
        </w:r>
      </w:hyperlink>
    </w:p>
  </w:footnote>
  <w:footnote w:id="31">
    <w:p w14:paraId="151E72FA" w14:textId="032EB61E" w:rsidR="00781036" w:rsidRDefault="00781036">
      <w:pPr>
        <w:pStyle w:val="FootnoteText"/>
      </w:pPr>
      <w:r>
        <w:rPr>
          <w:rStyle w:val="FootnoteReference"/>
        </w:rPr>
        <w:footnoteRef/>
      </w:r>
      <w:r>
        <w:t xml:space="preserve"> </w:t>
      </w:r>
      <w:hyperlink r:id="rId30" w:history="1">
        <w:r>
          <w:rPr>
            <w:rStyle w:val="Hyperlink"/>
          </w:rPr>
          <w:t>bcr_nbn_non-commercial_services_final_report_v2.pdf (infrastructure.gov.au)</w:t>
        </w:r>
      </w:hyperlink>
      <w:r>
        <w:t xml:space="preserve">, page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8EC6F" w14:textId="23EDC619" w:rsidR="00781036" w:rsidRDefault="001F5968" w:rsidP="00180B5B">
    <w:pPr>
      <w:pStyle w:val="Header"/>
      <w:spacing w:after="1320"/>
      <w:jc w:val="left"/>
    </w:pPr>
    <w:fldSimple w:instr=" STYLEREF  &quot;Heading 1&quot; \l  \* MERGEFORMAT ">
      <w:r w:rsidR="00781036">
        <w:rPr>
          <w:noProof/>
        </w:rPr>
        <w:t>Introduction</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C7C1" w14:textId="51433DFD" w:rsidR="00781036" w:rsidRDefault="00F87F5F" w:rsidP="00546218">
    <w:pPr>
      <w:pStyle w:val="Header"/>
      <w:spacing w:after="1320"/>
    </w:pPr>
    <w:r>
      <w:fldChar w:fldCharType="begin"/>
    </w:r>
    <w:r>
      <w:instrText xml:space="preserve"> STYLEREF  "Heading 1" \l  \* MERGEFORMAT </w:instrText>
    </w:r>
    <w: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332D72"/>
    <w:multiLevelType w:val="multilevel"/>
    <w:tmpl w:val="5A1E86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A70C54"/>
    <w:multiLevelType w:val="hybridMultilevel"/>
    <w:tmpl w:val="A8D0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483CD7"/>
    <w:multiLevelType w:val="hybridMultilevel"/>
    <w:tmpl w:val="107EF614"/>
    <w:lvl w:ilvl="0" w:tplc="961A0D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621AED"/>
    <w:multiLevelType w:val="multilevel"/>
    <w:tmpl w:val="C2EED61A"/>
    <w:numStyleLink w:val="NumberedHeadings"/>
  </w:abstractNum>
  <w:abstractNum w:abstractNumId="15" w15:restartNumberingAfterBreak="0">
    <w:nsid w:val="0E516F64"/>
    <w:multiLevelType w:val="hybridMultilevel"/>
    <w:tmpl w:val="4572A6F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4F22AA5"/>
    <w:multiLevelType w:val="hybridMultilevel"/>
    <w:tmpl w:val="42C28768"/>
    <w:lvl w:ilvl="0" w:tplc="D86C32C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662591A"/>
    <w:multiLevelType w:val="hybridMultilevel"/>
    <w:tmpl w:val="8B1C44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E66B11"/>
    <w:multiLevelType w:val="hybridMultilevel"/>
    <w:tmpl w:val="D3064876"/>
    <w:lvl w:ilvl="0" w:tplc="ED8CBED0">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A81444"/>
    <w:multiLevelType w:val="hybridMultilevel"/>
    <w:tmpl w:val="65BE8730"/>
    <w:lvl w:ilvl="0" w:tplc="C00AE7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6D01E6"/>
    <w:multiLevelType w:val="hybridMultilevel"/>
    <w:tmpl w:val="12884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6C43AB"/>
    <w:multiLevelType w:val="hybridMultilevel"/>
    <w:tmpl w:val="DA78D718"/>
    <w:lvl w:ilvl="0" w:tplc="79F631E8">
      <w:start w:val="2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B75B66"/>
    <w:multiLevelType w:val="hybridMultilevel"/>
    <w:tmpl w:val="36140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FF29F0"/>
    <w:multiLevelType w:val="hybridMultilevel"/>
    <w:tmpl w:val="5E08ABA0"/>
    <w:lvl w:ilvl="0" w:tplc="79F631E8">
      <w:start w:val="2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0C36C8"/>
    <w:multiLevelType w:val="hybridMultilevel"/>
    <w:tmpl w:val="39F49576"/>
    <w:lvl w:ilvl="0" w:tplc="A566B528">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D8656F"/>
    <w:multiLevelType w:val="hybridMultilevel"/>
    <w:tmpl w:val="C5586924"/>
    <w:lvl w:ilvl="0" w:tplc="72B6304A">
      <w:start w:val="1"/>
      <w:numFmt w:val="decimal"/>
      <w:lvlText w:val="%1."/>
      <w:lvlJc w:val="left"/>
      <w:pPr>
        <w:ind w:left="360" w:hanging="360"/>
      </w:pPr>
      <w:rPr>
        <w:rFonts w:hint="default"/>
        <w:b w:val="0"/>
        <w:i w:val="0"/>
        <w:color w:val="auto"/>
      </w:rPr>
    </w:lvl>
    <w:lvl w:ilvl="1" w:tplc="E91ED378" w:tentative="1">
      <w:start w:val="1"/>
      <w:numFmt w:val="lowerLetter"/>
      <w:lvlText w:val="%2."/>
      <w:lvlJc w:val="left"/>
      <w:pPr>
        <w:ind w:left="1080" w:hanging="360"/>
      </w:pPr>
    </w:lvl>
    <w:lvl w:ilvl="2" w:tplc="2416E416" w:tentative="1">
      <w:start w:val="1"/>
      <w:numFmt w:val="lowerRoman"/>
      <w:lvlText w:val="%3."/>
      <w:lvlJc w:val="right"/>
      <w:pPr>
        <w:ind w:left="1800" w:hanging="180"/>
      </w:pPr>
    </w:lvl>
    <w:lvl w:ilvl="3" w:tplc="A314B102" w:tentative="1">
      <w:start w:val="1"/>
      <w:numFmt w:val="decimal"/>
      <w:lvlText w:val="%4."/>
      <w:lvlJc w:val="left"/>
      <w:pPr>
        <w:ind w:left="2520" w:hanging="360"/>
      </w:pPr>
    </w:lvl>
    <w:lvl w:ilvl="4" w:tplc="11E4C9E8" w:tentative="1">
      <w:start w:val="1"/>
      <w:numFmt w:val="lowerLetter"/>
      <w:lvlText w:val="%5."/>
      <w:lvlJc w:val="left"/>
      <w:pPr>
        <w:ind w:left="3240" w:hanging="360"/>
      </w:pPr>
    </w:lvl>
    <w:lvl w:ilvl="5" w:tplc="55786F88" w:tentative="1">
      <w:start w:val="1"/>
      <w:numFmt w:val="lowerRoman"/>
      <w:lvlText w:val="%6."/>
      <w:lvlJc w:val="right"/>
      <w:pPr>
        <w:ind w:left="3960" w:hanging="180"/>
      </w:pPr>
    </w:lvl>
    <w:lvl w:ilvl="6" w:tplc="5672D10A" w:tentative="1">
      <w:start w:val="1"/>
      <w:numFmt w:val="decimal"/>
      <w:lvlText w:val="%7."/>
      <w:lvlJc w:val="left"/>
      <w:pPr>
        <w:ind w:left="4680" w:hanging="360"/>
      </w:pPr>
    </w:lvl>
    <w:lvl w:ilvl="7" w:tplc="F18E98CE" w:tentative="1">
      <w:start w:val="1"/>
      <w:numFmt w:val="lowerLetter"/>
      <w:lvlText w:val="%8."/>
      <w:lvlJc w:val="left"/>
      <w:pPr>
        <w:ind w:left="5400" w:hanging="360"/>
      </w:pPr>
    </w:lvl>
    <w:lvl w:ilvl="8" w:tplc="97AAB8FC" w:tentative="1">
      <w:start w:val="1"/>
      <w:numFmt w:val="lowerRoman"/>
      <w:lvlText w:val="%9."/>
      <w:lvlJc w:val="right"/>
      <w:pPr>
        <w:ind w:left="6120" w:hanging="180"/>
      </w:pPr>
    </w:lvl>
  </w:abstractNum>
  <w:abstractNum w:abstractNumId="27" w15:restartNumberingAfterBreak="0">
    <w:nsid w:val="380D02A8"/>
    <w:multiLevelType w:val="hybridMultilevel"/>
    <w:tmpl w:val="5CFEEE7E"/>
    <w:lvl w:ilvl="0" w:tplc="4D46C8DA">
      <w:start w:val="1"/>
      <w:numFmt w:val="decimal"/>
      <w:lvlText w:val="2.%1"/>
      <w:lvlJc w:val="left"/>
      <w:pPr>
        <w:ind w:left="360" w:hanging="360"/>
      </w:pPr>
    </w:lvl>
    <w:lvl w:ilvl="1" w:tplc="DE749B62">
      <w:start w:val="1"/>
      <w:numFmt w:val="lowerLetter"/>
      <w:lvlText w:val="%2."/>
      <w:lvlJc w:val="left"/>
      <w:pPr>
        <w:ind w:left="1080" w:hanging="360"/>
      </w:pPr>
    </w:lvl>
    <w:lvl w:ilvl="2" w:tplc="84C2AF58" w:tentative="1">
      <w:start w:val="1"/>
      <w:numFmt w:val="lowerRoman"/>
      <w:lvlText w:val="%3."/>
      <w:lvlJc w:val="right"/>
      <w:pPr>
        <w:ind w:left="1800" w:hanging="180"/>
      </w:pPr>
    </w:lvl>
    <w:lvl w:ilvl="3" w:tplc="59823BD0" w:tentative="1">
      <w:start w:val="1"/>
      <w:numFmt w:val="decimal"/>
      <w:lvlText w:val="%4."/>
      <w:lvlJc w:val="left"/>
      <w:pPr>
        <w:ind w:left="2520" w:hanging="360"/>
      </w:pPr>
    </w:lvl>
    <w:lvl w:ilvl="4" w:tplc="1B586678" w:tentative="1">
      <w:start w:val="1"/>
      <w:numFmt w:val="lowerLetter"/>
      <w:lvlText w:val="%5."/>
      <w:lvlJc w:val="left"/>
      <w:pPr>
        <w:ind w:left="3240" w:hanging="360"/>
      </w:pPr>
    </w:lvl>
    <w:lvl w:ilvl="5" w:tplc="76586D80" w:tentative="1">
      <w:start w:val="1"/>
      <w:numFmt w:val="lowerRoman"/>
      <w:lvlText w:val="%6."/>
      <w:lvlJc w:val="right"/>
      <w:pPr>
        <w:ind w:left="3960" w:hanging="180"/>
      </w:pPr>
    </w:lvl>
    <w:lvl w:ilvl="6" w:tplc="517EDCE6" w:tentative="1">
      <w:start w:val="1"/>
      <w:numFmt w:val="decimal"/>
      <w:lvlText w:val="%7."/>
      <w:lvlJc w:val="left"/>
      <w:pPr>
        <w:ind w:left="4680" w:hanging="360"/>
      </w:pPr>
    </w:lvl>
    <w:lvl w:ilvl="7" w:tplc="04AC9A1A" w:tentative="1">
      <w:start w:val="1"/>
      <w:numFmt w:val="lowerLetter"/>
      <w:lvlText w:val="%8."/>
      <w:lvlJc w:val="left"/>
      <w:pPr>
        <w:ind w:left="5400" w:hanging="360"/>
      </w:pPr>
    </w:lvl>
    <w:lvl w:ilvl="8" w:tplc="6D143028" w:tentative="1">
      <w:start w:val="1"/>
      <w:numFmt w:val="lowerRoman"/>
      <w:lvlText w:val="%9."/>
      <w:lvlJc w:val="right"/>
      <w:pPr>
        <w:ind w:left="6120" w:hanging="180"/>
      </w:pPr>
    </w:lvl>
  </w:abstractNum>
  <w:abstractNum w:abstractNumId="28" w15:restartNumberingAfterBreak="0">
    <w:nsid w:val="38A83AFC"/>
    <w:multiLevelType w:val="hybridMultilevel"/>
    <w:tmpl w:val="49AE2AF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F377AA"/>
    <w:multiLevelType w:val="hybridMultilevel"/>
    <w:tmpl w:val="279E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A51938"/>
    <w:multiLevelType w:val="multilevel"/>
    <w:tmpl w:val="298C34E4"/>
    <w:numStyleLink w:val="AppendixNumbers"/>
  </w:abstractNum>
  <w:abstractNum w:abstractNumId="31" w15:restartNumberingAfterBreak="0">
    <w:nsid w:val="3E5D3D77"/>
    <w:multiLevelType w:val="hybridMultilevel"/>
    <w:tmpl w:val="5C5E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4B3C7FC9"/>
    <w:multiLevelType w:val="hybridMultilevel"/>
    <w:tmpl w:val="5E066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5023BAB"/>
    <w:multiLevelType w:val="hybridMultilevel"/>
    <w:tmpl w:val="B022B1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62E485E"/>
    <w:multiLevelType w:val="hybridMultilevel"/>
    <w:tmpl w:val="D3064876"/>
    <w:lvl w:ilvl="0" w:tplc="ED8CBED0">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F36FE4"/>
    <w:multiLevelType w:val="hybridMultilevel"/>
    <w:tmpl w:val="77325912"/>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4F546A"/>
    <w:multiLevelType w:val="hybridMultilevel"/>
    <w:tmpl w:val="5F06CC34"/>
    <w:lvl w:ilvl="0" w:tplc="C58C2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4373B2"/>
    <w:multiLevelType w:val="hybridMultilevel"/>
    <w:tmpl w:val="870A2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ED6F2A"/>
    <w:multiLevelType w:val="hybridMultilevel"/>
    <w:tmpl w:val="4EE62F38"/>
    <w:lvl w:ilvl="0" w:tplc="2ED859C0">
      <w:start w:val="1"/>
      <w:numFmt w:val="decimal"/>
      <w:lvlText w:val="%1."/>
      <w:lvlJc w:val="left"/>
      <w:pPr>
        <w:ind w:left="360" w:hanging="360"/>
      </w:pPr>
    </w:lvl>
    <w:lvl w:ilvl="1" w:tplc="6F7659C0">
      <w:start w:val="1"/>
      <w:numFmt w:val="lowerLetter"/>
      <w:lvlText w:val="(%2)"/>
      <w:lvlJc w:val="left"/>
      <w:pPr>
        <w:ind w:left="1080" w:hanging="360"/>
      </w:pPr>
    </w:lvl>
    <w:lvl w:ilvl="2" w:tplc="82F6A636">
      <w:start w:val="1"/>
      <w:numFmt w:val="lowerRoman"/>
      <w:lvlText w:val="%3."/>
      <w:lvlJc w:val="right"/>
      <w:pPr>
        <w:ind w:left="1800" w:hanging="180"/>
      </w:pPr>
    </w:lvl>
    <w:lvl w:ilvl="3" w:tplc="EEC247D2">
      <w:start w:val="1"/>
      <w:numFmt w:val="decimal"/>
      <w:lvlText w:val="%4."/>
      <w:lvlJc w:val="left"/>
      <w:pPr>
        <w:ind w:left="2520" w:hanging="360"/>
      </w:pPr>
    </w:lvl>
    <w:lvl w:ilvl="4" w:tplc="ACE2F19A">
      <w:start w:val="1"/>
      <w:numFmt w:val="lowerLetter"/>
      <w:lvlText w:val="%5."/>
      <w:lvlJc w:val="left"/>
      <w:pPr>
        <w:ind w:left="3240" w:hanging="360"/>
      </w:pPr>
    </w:lvl>
    <w:lvl w:ilvl="5" w:tplc="67C8BFFC">
      <w:start w:val="1"/>
      <w:numFmt w:val="lowerRoman"/>
      <w:lvlText w:val="%6."/>
      <w:lvlJc w:val="right"/>
      <w:pPr>
        <w:ind w:left="3960" w:hanging="180"/>
      </w:pPr>
    </w:lvl>
    <w:lvl w:ilvl="6" w:tplc="B9C661AA">
      <w:start w:val="1"/>
      <w:numFmt w:val="decimal"/>
      <w:lvlText w:val="%7."/>
      <w:lvlJc w:val="left"/>
      <w:pPr>
        <w:ind w:left="4680" w:hanging="360"/>
      </w:pPr>
    </w:lvl>
    <w:lvl w:ilvl="7" w:tplc="0EFA08E4">
      <w:start w:val="1"/>
      <w:numFmt w:val="lowerLetter"/>
      <w:lvlText w:val="%8."/>
      <w:lvlJc w:val="left"/>
      <w:pPr>
        <w:ind w:left="5400" w:hanging="360"/>
      </w:pPr>
    </w:lvl>
    <w:lvl w:ilvl="8" w:tplc="81E0D006">
      <w:start w:val="1"/>
      <w:numFmt w:val="lowerRoman"/>
      <w:lvlText w:val="%9."/>
      <w:lvlJc w:val="right"/>
      <w:pPr>
        <w:ind w:left="6120" w:hanging="180"/>
      </w:pPr>
    </w:lvl>
  </w:abstractNum>
  <w:abstractNum w:abstractNumId="43"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8E36CE"/>
    <w:multiLevelType w:val="hybridMultilevel"/>
    <w:tmpl w:val="760E9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EF384C"/>
    <w:multiLevelType w:val="hybridMultilevel"/>
    <w:tmpl w:val="6EFC3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9D4CDC"/>
    <w:multiLevelType w:val="hybridMultilevel"/>
    <w:tmpl w:val="4226FB34"/>
    <w:lvl w:ilvl="0" w:tplc="0BB6A0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E81C74"/>
    <w:multiLevelType w:val="hybridMultilevel"/>
    <w:tmpl w:val="2048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4"/>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6"/>
  </w:num>
  <w:num w:numId="26">
    <w:abstractNumId w:val="36"/>
  </w:num>
  <w:num w:numId="27">
    <w:abstractNumId w:val="36"/>
  </w:num>
  <w:num w:numId="28">
    <w:abstractNumId w:val="15"/>
  </w:num>
  <w:num w:numId="29">
    <w:abstractNumId w:val="46"/>
  </w:num>
  <w:num w:numId="30">
    <w:abstractNumId w:val="43"/>
  </w:num>
  <w:num w:numId="31">
    <w:abstractNumId w:val="43"/>
    <w:lvlOverride w:ilvl="0">
      <w:startOverride w:val="1"/>
    </w:lvlOverride>
  </w:num>
  <w:num w:numId="32">
    <w:abstractNumId w:val="45"/>
  </w:num>
  <w:num w:numId="33">
    <w:abstractNumId w:val="17"/>
  </w:num>
  <w:num w:numId="34">
    <w:abstractNumId w:val="34"/>
  </w:num>
  <w:num w:numId="35">
    <w:abstractNumId w:val="26"/>
  </w:num>
  <w:num w:numId="36">
    <w:abstractNumId w:val="16"/>
  </w:num>
  <w:num w:numId="37">
    <w:abstractNumId w:val="37"/>
  </w:num>
  <w:num w:numId="38">
    <w:abstractNumId w:val="29"/>
  </w:num>
  <w:num w:numId="39">
    <w:abstractNumId w:val="43"/>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45"/>
  </w:num>
  <w:num w:numId="43">
    <w:abstractNumId w:val="19"/>
  </w:num>
  <w:num w:numId="44">
    <w:abstractNumId w:val="13"/>
  </w:num>
  <w:num w:numId="45">
    <w:abstractNumId w:val="44"/>
  </w:num>
  <w:num w:numId="46">
    <w:abstractNumId w:val="43"/>
  </w:num>
  <w:num w:numId="47">
    <w:abstractNumId w:val="27"/>
  </w:num>
  <w:num w:numId="48">
    <w:abstractNumId w:val="10"/>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25"/>
  </w:num>
  <w:num w:numId="55">
    <w:abstractNumId w:val="41"/>
  </w:num>
  <w:num w:numId="56">
    <w:abstractNumId w:val="20"/>
  </w:num>
  <w:num w:numId="57">
    <w:abstractNumId w:val="10"/>
  </w:num>
  <w:num w:numId="58">
    <w:abstractNumId w:val="10"/>
  </w:num>
  <w:num w:numId="59">
    <w:abstractNumId w:val="18"/>
  </w:num>
  <w:num w:numId="60">
    <w:abstractNumId w:val="31"/>
  </w:num>
  <w:num w:numId="61">
    <w:abstractNumId w:val="47"/>
  </w:num>
  <w:num w:numId="62">
    <w:abstractNumId w:val="22"/>
  </w:num>
  <w:num w:numId="63">
    <w:abstractNumId w:val="39"/>
  </w:num>
  <w:num w:numId="64">
    <w:abstractNumId w:val="28"/>
  </w:num>
  <w:num w:numId="65">
    <w:abstractNumId w:val="21"/>
  </w:num>
  <w:num w:numId="66">
    <w:abstractNumId w:val="23"/>
  </w:num>
  <w:num w:numId="67">
    <w:abstractNumId w:val="38"/>
  </w:num>
  <w:num w:numId="68">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8B"/>
    <w:rsid w:val="00001699"/>
    <w:rsid w:val="00002B50"/>
    <w:rsid w:val="00003323"/>
    <w:rsid w:val="00004D5E"/>
    <w:rsid w:val="00005C44"/>
    <w:rsid w:val="00006BC7"/>
    <w:rsid w:val="000106ED"/>
    <w:rsid w:val="0001388F"/>
    <w:rsid w:val="00013E9C"/>
    <w:rsid w:val="0001430B"/>
    <w:rsid w:val="00014D78"/>
    <w:rsid w:val="00015675"/>
    <w:rsid w:val="00015DED"/>
    <w:rsid w:val="000216A1"/>
    <w:rsid w:val="00021913"/>
    <w:rsid w:val="000228A3"/>
    <w:rsid w:val="00023B02"/>
    <w:rsid w:val="000254A2"/>
    <w:rsid w:val="0002616D"/>
    <w:rsid w:val="00027AA5"/>
    <w:rsid w:val="00030497"/>
    <w:rsid w:val="0003069A"/>
    <w:rsid w:val="00033661"/>
    <w:rsid w:val="00033684"/>
    <w:rsid w:val="00033EB7"/>
    <w:rsid w:val="000341DF"/>
    <w:rsid w:val="00034344"/>
    <w:rsid w:val="00035BD1"/>
    <w:rsid w:val="00035D6C"/>
    <w:rsid w:val="00037213"/>
    <w:rsid w:val="000412C7"/>
    <w:rsid w:val="000419A3"/>
    <w:rsid w:val="000450D1"/>
    <w:rsid w:val="0004705B"/>
    <w:rsid w:val="000478E4"/>
    <w:rsid w:val="00047FF9"/>
    <w:rsid w:val="00050814"/>
    <w:rsid w:val="00050ABF"/>
    <w:rsid w:val="000519C1"/>
    <w:rsid w:val="00051AFC"/>
    <w:rsid w:val="00052B14"/>
    <w:rsid w:val="0005409D"/>
    <w:rsid w:val="000550F0"/>
    <w:rsid w:val="00055DD7"/>
    <w:rsid w:val="00057040"/>
    <w:rsid w:val="000578B2"/>
    <w:rsid w:val="0006250D"/>
    <w:rsid w:val="0006482A"/>
    <w:rsid w:val="00064F70"/>
    <w:rsid w:val="000713C8"/>
    <w:rsid w:val="00074171"/>
    <w:rsid w:val="00074464"/>
    <w:rsid w:val="00074E77"/>
    <w:rsid w:val="00075F85"/>
    <w:rsid w:val="00077CD2"/>
    <w:rsid w:val="00080194"/>
    <w:rsid w:val="00080332"/>
    <w:rsid w:val="0008038E"/>
    <w:rsid w:val="00080CE2"/>
    <w:rsid w:val="000823FA"/>
    <w:rsid w:val="00090625"/>
    <w:rsid w:val="00092172"/>
    <w:rsid w:val="00093C99"/>
    <w:rsid w:val="000949FC"/>
    <w:rsid w:val="00095465"/>
    <w:rsid w:val="00097070"/>
    <w:rsid w:val="00097717"/>
    <w:rsid w:val="000A0789"/>
    <w:rsid w:val="000A0A7D"/>
    <w:rsid w:val="000A2660"/>
    <w:rsid w:val="000A2A41"/>
    <w:rsid w:val="000A4D93"/>
    <w:rsid w:val="000A590A"/>
    <w:rsid w:val="000A77F0"/>
    <w:rsid w:val="000B0203"/>
    <w:rsid w:val="000B0F73"/>
    <w:rsid w:val="000B1484"/>
    <w:rsid w:val="000B1D47"/>
    <w:rsid w:val="000B4539"/>
    <w:rsid w:val="000B5C5A"/>
    <w:rsid w:val="000B6B38"/>
    <w:rsid w:val="000B6DB0"/>
    <w:rsid w:val="000C1F96"/>
    <w:rsid w:val="000C4312"/>
    <w:rsid w:val="000C6C01"/>
    <w:rsid w:val="000C7875"/>
    <w:rsid w:val="000D047D"/>
    <w:rsid w:val="000D1497"/>
    <w:rsid w:val="000D17CF"/>
    <w:rsid w:val="000D4097"/>
    <w:rsid w:val="000D4289"/>
    <w:rsid w:val="000D6E18"/>
    <w:rsid w:val="000D6E57"/>
    <w:rsid w:val="000E09B4"/>
    <w:rsid w:val="000E24BA"/>
    <w:rsid w:val="000E561C"/>
    <w:rsid w:val="000E5674"/>
    <w:rsid w:val="000E5791"/>
    <w:rsid w:val="000E7210"/>
    <w:rsid w:val="000E7E9F"/>
    <w:rsid w:val="000F0179"/>
    <w:rsid w:val="000F3852"/>
    <w:rsid w:val="000F3E01"/>
    <w:rsid w:val="000F4AD8"/>
    <w:rsid w:val="000F5125"/>
    <w:rsid w:val="000F71D7"/>
    <w:rsid w:val="000F7ADD"/>
    <w:rsid w:val="001019FC"/>
    <w:rsid w:val="001072E7"/>
    <w:rsid w:val="00111596"/>
    <w:rsid w:val="00114E85"/>
    <w:rsid w:val="001151BF"/>
    <w:rsid w:val="0011521B"/>
    <w:rsid w:val="001155B8"/>
    <w:rsid w:val="001155C2"/>
    <w:rsid w:val="001163ED"/>
    <w:rsid w:val="001173B7"/>
    <w:rsid w:val="00122A3B"/>
    <w:rsid w:val="0012347B"/>
    <w:rsid w:val="0012408C"/>
    <w:rsid w:val="00125A1C"/>
    <w:rsid w:val="00125B2E"/>
    <w:rsid w:val="00125CB1"/>
    <w:rsid w:val="00125FE8"/>
    <w:rsid w:val="001261BF"/>
    <w:rsid w:val="001278BA"/>
    <w:rsid w:val="00131F30"/>
    <w:rsid w:val="001336CC"/>
    <w:rsid w:val="001349C6"/>
    <w:rsid w:val="001368D4"/>
    <w:rsid w:val="001370D1"/>
    <w:rsid w:val="00140671"/>
    <w:rsid w:val="00140937"/>
    <w:rsid w:val="00141B09"/>
    <w:rsid w:val="00150E3D"/>
    <w:rsid w:val="00151DBE"/>
    <w:rsid w:val="001548AE"/>
    <w:rsid w:val="00157140"/>
    <w:rsid w:val="001606C9"/>
    <w:rsid w:val="00161F58"/>
    <w:rsid w:val="0016398D"/>
    <w:rsid w:val="00164BBC"/>
    <w:rsid w:val="0016533D"/>
    <w:rsid w:val="0016788C"/>
    <w:rsid w:val="001706E2"/>
    <w:rsid w:val="001708E8"/>
    <w:rsid w:val="00170E3D"/>
    <w:rsid w:val="00171486"/>
    <w:rsid w:val="001720E3"/>
    <w:rsid w:val="0017282F"/>
    <w:rsid w:val="001730D6"/>
    <w:rsid w:val="0017346A"/>
    <w:rsid w:val="00173930"/>
    <w:rsid w:val="00173A7B"/>
    <w:rsid w:val="001775A1"/>
    <w:rsid w:val="00180625"/>
    <w:rsid w:val="00180B5B"/>
    <w:rsid w:val="00182A31"/>
    <w:rsid w:val="00182F9A"/>
    <w:rsid w:val="0018523B"/>
    <w:rsid w:val="00185965"/>
    <w:rsid w:val="001859E6"/>
    <w:rsid w:val="001938BB"/>
    <w:rsid w:val="00195A0D"/>
    <w:rsid w:val="00196264"/>
    <w:rsid w:val="001A2171"/>
    <w:rsid w:val="001A32A5"/>
    <w:rsid w:val="001A4AC8"/>
    <w:rsid w:val="001A4B0B"/>
    <w:rsid w:val="001A5D24"/>
    <w:rsid w:val="001B0085"/>
    <w:rsid w:val="001B2841"/>
    <w:rsid w:val="001B2909"/>
    <w:rsid w:val="001B3050"/>
    <w:rsid w:val="001B45D4"/>
    <w:rsid w:val="001B517C"/>
    <w:rsid w:val="001B58CC"/>
    <w:rsid w:val="001C27AE"/>
    <w:rsid w:val="001C3A41"/>
    <w:rsid w:val="001C4249"/>
    <w:rsid w:val="001C5EC3"/>
    <w:rsid w:val="001C7146"/>
    <w:rsid w:val="001C75E8"/>
    <w:rsid w:val="001C7BB2"/>
    <w:rsid w:val="001D025C"/>
    <w:rsid w:val="001D0EAA"/>
    <w:rsid w:val="001D244F"/>
    <w:rsid w:val="001D3935"/>
    <w:rsid w:val="001D44F5"/>
    <w:rsid w:val="001D7467"/>
    <w:rsid w:val="001E076E"/>
    <w:rsid w:val="001E343B"/>
    <w:rsid w:val="001E35EE"/>
    <w:rsid w:val="001E3B1B"/>
    <w:rsid w:val="001E4B01"/>
    <w:rsid w:val="001E7332"/>
    <w:rsid w:val="001E7354"/>
    <w:rsid w:val="001F01EB"/>
    <w:rsid w:val="001F0F85"/>
    <w:rsid w:val="001F14B1"/>
    <w:rsid w:val="001F18E4"/>
    <w:rsid w:val="001F2C01"/>
    <w:rsid w:val="001F3078"/>
    <w:rsid w:val="001F42A2"/>
    <w:rsid w:val="001F4D93"/>
    <w:rsid w:val="001F4E72"/>
    <w:rsid w:val="001F5968"/>
    <w:rsid w:val="001F5B03"/>
    <w:rsid w:val="002006BA"/>
    <w:rsid w:val="00201771"/>
    <w:rsid w:val="00201D25"/>
    <w:rsid w:val="00202CB1"/>
    <w:rsid w:val="00203702"/>
    <w:rsid w:val="00203A7F"/>
    <w:rsid w:val="00205205"/>
    <w:rsid w:val="00205AEC"/>
    <w:rsid w:val="00206346"/>
    <w:rsid w:val="00207517"/>
    <w:rsid w:val="00207D66"/>
    <w:rsid w:val="00211721"/>
    <w:rsid w:val="0021218B"/>
    <w:rsid w:val="002122AA"/>
    <w:rsid w:val="00213077"/>
    <w:rsid w:val="00213283"/>
    <w:rsid w:val="00216EE7"/>
    <w:rsid w:val="002172E2"/>
    <w:rsid w:val="00221427"/>
    <w:rsid w:val="00223607"/>
    <w:rsid w:val="002241E2"/>
    <w:rsid w:val="00224E12"/>
    <w:rsid w:val="0022533F"/>
    <w:rsid w:val="002254D5"/>
    <w:rsid w:val="00225D54"/>
    <w:rsid w:val="0022611D"/>
    <w:rsid w:val="00227CB8"/>
    <w:rsid w:val="00230465"/>
    <w:rsid w:val="00231178"/>
    <w:rsid w:val="00231DAB"/>
    <w:rsid w:val="00236F3B"/>
    <w:rsid w:val="00237371"/>
    <w:rsid w:val="00237F53"/>
    <w:rsid w:val="00240E75"/>
    <w:rsid w:val="00243A67"/>
    <w:rsid w:val="00245FD7"/>
    <w:rsid w:val="002503A9"/>
    <w:rsid w:val="00252C25"/>
    <w:rsid w:val="00253103"/>
    <w:rsid w:val="00253BF6"/>
    <w:rsid w:val="00256A31"/>
    <w:rsid w:val="00257250"/>
    <w:rsid w:val="0025794C"/>
    <w:rsid w:val="00260FA9"/>
    <w:rsid w:val="0026120D"/>
    <w:rsid w:val="00261A71"/>
    <w:rsid w:val="00262CFA"/>
    <w:rsid w:val="0026422D"/>
    <w:rsid w:val="002668E6"/>
    <w:rsid w:val="00266955"/>
    <w:rsid w:val="00267B85"/>
    <w:rsid w:val="00270A38"/>
    <w:rsid w:val="00270ECD"/>
    <w:rsid w:val="00275814"/>
    <w:rsid w:val="002758B2"/>
    <w:rsid w:val="00275E2E"/>
    <w:rsid w:val="002767D4"/>
    <w:rsid w:val="00277A7B"/>
    <w:rsid w:val="0028002C"/>
    <w:rsid w:val="00280EBA"/>
    <w:rsid w:val="002819B2"/>
    <w:rsid w:val="00282752"/>
    <w:rsid w:val="002828A5"/>
    <w:rsid w:val="002840D3"/>
    <w:rsid w:val="00284164"/>
    <w:rsid w:val="00284BE5"/>
    <w:rsid w:val="00286F8A"/>
    <w:rsid w:val="002875BF"/>
    <w:rsid w:val="0029106C"/>
    <w:rsid w:val="0029191F"/>
    <w:rsid w:val="00293F71"/>
    <w:rsid w:val="002952B6"/>
    <w:rsid w:val="002959FB"/>
    <w:rsid w:val="00296162"/>
    <w:rsid w:val="00296957"/>
    <w:rsid w:val="002A0921"/>
    <w:rsid w:val="002A1C2C"/>
    <w:rsid w:val="002A237C"/>
    <w:rsid w:val="002A2926"/>
    <w:rsid w:val="002A2FDE"/>
    <w:rsid w:val="002A318E"/>
    <w:rsid w:val="002A3D9C"/>
    <w:rsid w:val="002A4877"/>
    <w:rsid w:val="002A6AB0"/>
    <w:rsid w:val="002A76C8"/>
    <w:rsid w:val="002B00AF"/>
    <w:rsid w:val="002B1351"/>
    <w:rsid w:val="002B2442"/>
    <w:rsid w:val="002B3507"/>
    <w:rsid w:val="002B3569"/>
    <w:rsid w:val="002B5670"/>
    <w:rsid w:val="002B7197"/>
    <w:rsid w:val="002B782F"/>
    <w:rsid w:val="002B78A0"/>
    <w:rsid w:val="002B7A4B"/>
    <w:rsid w:val="002C028B"/>
    <w:rsid w:val="002C43E5"/>
    <w:rsid w:val="002C5A1E"/>
    <w:rsid w:val="002C67B3"/>
    <w:rsid w:val="002C6C14"/>
    <w:rsid w:val="002D0F0A"/>
    <w:rsid w:val="002D0F2A"/>
    <w:rsid w:val="002D12BD"/>
    <w:rsid w:val="002D12C7"/>
    <w:rsid w:val="002D2FD2"/>
    <w:rsid w:val="002D322E"/>
    <w:rsid w:val="002D36BA"/>
    <w:rsid w:val="002D393B"/>
    <w:rsid w:val="002D52C3"/>
    <w:rsid w:val="002D6467"/>
    <w:rsid w:val="002D6D05"/>
    <w:rsid w:val="002D6D07"/>
    <w:rsid w:val="002D709A"/>
    <w:rsid w:val="002E0A72"/>
    <w:rsid w:val="002E1ADA"/>
    <w:rsid w:val="002E7A81"/>
    <w:rsid w:val="002E7B43"/>
    <w:rsid w:val="002F04C0"/>
    <w:rsid w:val="002F04EB"/>
    <w:rsid w:val="002F06D8"/>
    <w:rsid w:val="002F136E"/>
    <w:rsid w:val="002F2BFB"/>
    <w:rsid w:val="002F2EAD"/>
    <w:rsid w:val="002F36DF"/>
    <w:rsid w:val="002F3C8F"/>
    <w:rsid w:val="002F5200"/>
    <w:rsid w:val="002F78F5"/>
    <w:rsid w:val="002F7C94"/>
    <w:rsid w:val="00302344"/>
    <w:rsid w:val="003025B9"/>
    <w:rsid w:val="00305CDD"/>
    <w:rsid w:val="00305E71"/>
    <w:rsid w:val="00310786"/>
    <w:rsid w:val="003124B5"/>
    <w:rsid w:val="003130AA"/>
    <w:rsid w:val="003151E2"/>
    <w:rsid w:val="00316074"/>
    <w:rsid w:val="00316DAA"/>
    <w:rsid w:val="00317746"/>
    <w:rsid w:val="00317795"/>
    <w:rsid w:val="00320EE3"/>
    <w:rsid w:val="00324BAB"/>
    <w:rsid w:val="003253C9"/>
    <w:rsid w:val="003302E9"/>
    <w:rsid w:val="00330D71"/>
    <w:rsid w:val="0033113A"/>
    <w:rsid w:val="003319BA"/>
    <w:rsid w:val="00332790"/>
    <w:rsid w:val="00332F5A"/>
    <w:rsid w:val="00332F5C"/>
    <w:rsid w:val="00334662"/>
    <w:rsid w:val="0033578E"/>
    <w:rsid w:val="00336729"/>
    <w:rsid w:val="003369DC"/>
    <w:rsid w:val="00340B08"/>
    <w:rsid w:val="0034142C"/>
    <w:rsid w:val="0034167F"/>
    <w:rsid w:val="003417C3"/>
    <w:rsid w:val="003418DB"/>
    <w:rsid w:val="00342645"/>
    <w:rsid w:val="00342C2E"/>
    <w:rsid w:val="003444CF"/>
    <w:rsid w:val="003444FF"/>
    <w:rsid w:val="00344EB9"/>
    <w:rsid w:val="00346778"/>
    <w:rsid w:val="00347D75"/>
    <w:rsid w:val="00350854"/>
    <w:rsid w:val="00352B26"/>
    <w:rsid w:val="00354117"/>
    <w:rsid w:val="003565FF"/>
    <w:rsid w:val="003608DB"/>
    <w:rsid w:val="003621F8"/>
    <w:rsid w:val="0036262C"/>
    <w:rsid w:val="00362FF5"/>
    <w:rsid w:val="0036414E"/>
    <w:rsid w:val="00364258"/>
    <w:rsid w:val="003650ED"/>
    <w:rsid w:val="00366015"/>
    <w:rsid w:val="00367DB8"/>
    <w:rsid w:val="0037154B"/>
    <w:rsid w:val="0037181B"/>
    <w:rsid w:val="003720E9"/>
    <w:rsid w:val="00372BA9"/>
    <w:rsid w:val="00373558"/>
    <w:rsid w:val="00375611"/>
    <w:rsid w:val="0037573E"/>
    <w:rsid w:val="00380C17"/>
    <w:rsid w:val="00382FE7"/>
    <w:rsid w:val="003843A4"/>
    <w:rsid w:val="003844D6"/>
    <w:rsid w:val="00384815"/>
    <w:rsid w:val="00384A3A"/>
    <w:rsid w:val="00384C18"/>
    <w:rsid w:val="003855A8"/>
    <w:rsid w:val="00385803"/>
    <w:rsid w:val="0038596C"/>
    <w:rsid w:val="00385DFE"/>
    <w:rsid w:val="00386462"/>
    <w:rsid w:val="003873E8"/>
    <w:rsid w:val="00392366"/>
    <w:rsid w:val="00392903"/>
    <w:rsid w:val="003939B0"/>
    <w:rsid w:val="00395C8B"/>
    <w:rsid w:val="00397180"/>
    <w:rsid w:val="003A01F7"/>
    <w:rsid w:val="003A0C5A"/>
    <w:rsid w:val="003A6EB7"/>
    <w:rsid w:val="003B1A19"/>
    <w:rsid w:val="003B30BD"/>
    <w:rsid w:val="003B387D"/>
    <w:rsid w:val="003B59DF"/>
    <w:rsid w:val="003C01A3"/>
    <w:rsid w:val="003C0E82"/>
    <w:rsid w:val="003C1579"/>
    <w:rsid w:val="003C1C27"/>
    <w:rsid w:val="003C5634"/>
    <w:rsid w:val="003C5BD9"/>
    <w:rsid w:val="003C625A"/>
    <w:rsid w:val="003C653B"/>
    <w:rsid w:val="003C6A85"/>
    <w:rsid w:val="003D05F5"/>
    <w:rsid w:val="003D368B"/>
    <w:rsid w:val="003D6332"/>
    <w:rsid w:val="003E0BFB"/>
    <w:rsid w:val="003E12E9"/>
    <w:rsid w:val="003E1C6B"/>
    <w:rsid w:val="003E2DCD"/>
    <w:rsid w:val="003E726F"/>
    <w:rsid w:val="003F11D9"/>
    <w:rsid w:val="003F1371"/>
    <w:rsid w:val="003F1684"/>
    <w:rsid w:val="003F41AB"/>
    <w:rsid w:val="003F4407"/>
    <w:rsid w:val="003F4743"/>
    <w:rsid w:val="003F71EF"/>
    <w:rsid w:val="003F775D"/>
    <w:rsid w:val="0040058D"/>
    <w:rsid w:val="004014CD"/>
    <w:rsid w:val="00401CDB"/>
    <w:rsid w:val="00401DB2"/>
    <w:rsid w:val="004026EE"/>
    <w:rsid w:val="00406EC0"/>
    <w:rsid w:val="0041180D"/>
    <w:rsid w:val="0041461A"/>
    <w:rsid w:val="00416993"/>
    <w:rsid w:val="00416BA5"/>
    <w:rsid w:val="004205C5"/>
    <w:rsid w:val="00420F04"/>
    <w:rsid w:val="0042109A"/>
    <w:rsid w:val="004228BC"/>
    <w:rsid w:val="00423ABA"/>
    <w:rsid w:val="004253AD"/>
    <w:rsid w:val="0042659B"/>
    <w:rsid w:val="0042779D"/>
    <w:rsid w:val="00427EAD"/>
    <w:rsid w:val="00430511"/>
    <w:rsid w:val="00431A93"/>
    <w:rsid w:val="00433143"/>
    <w:rsid w:val="00434D32"/>
    <w:rsid w:val="00437BD1"/>
    <w:rsid w:val="0044015B"/>
    <w:rsid w:val="00440468"/>
    <w:rsid w:val="0044069F"/>
    <w:rsid w:val="004424E7"/>
    <w:rsid w:val="00443BEF"/>
    <w:rsid w:val="00444589"/>
    <w:rsid w:val="00444F20"/>
    <w:rsid w:val="00445E1B"/>
    <w:rsid w:val="00446B1A"/>
    <w:rsid w:val="00450242"/>
    <w:rsid w:val="0045046A"/>
    <w:rsid w:val="00450D0E"/>
    <w:rsid w:val="00451782"/>
    <w:rsid w:val="004517F4"/>
    <w:rsid w:val="00453016"/>
    <w:rsid w:val="00454F9F"/>
    <w:rsid w:val="00456F49"/>
    <w:rsid w:val="004578AF"/>
    <w:rsid w:val="00460C28"/>
    <w:rsid w:val="00460EF6"/>
    <w:rsid w:val="004655DE"/>
    <w:rsid w:val="00467FF1"/>
    <w:rsid w:val="00470707"/>
    <w:rsid w:val="0047168F"/>
    <w:rsid w:val="00471B35"/>
    <w:rsid w:val="00471E7A"/>
    <w:rsid w:val="00471ED2"/>
    <w:rsid w:val="00473ED1"/>
    <w:rsid w:val="00474567"/>
    <w:rsid w:val="00476E6C"/>
    <w:rsid w:val="00477E77"/>
    <w:rsid w:val="0048077A"/>
    <w:rsid w:val="00481696"/>
    <w:rsid w:val="00481DF4"/>
    <w:rsid w:val="004822BF"/>
    <w:rsid w:val="00483596"/>
    <w:rsid w:val="004848CA"/>
    <w:rsid w:val="00485C30"/>
    <w:rsid w:val="004866D3"/>
    <w:rsid w:val="00487D74"/>
    <w:rsid w:val="004900E9"/>
    <w:rsid w:val="00491110"/>
    <w:rsid w:val="0049125D"/>
    <w:rsid w:val="004940FE"/>
    <w:rsid w:val="00494D9E"/>
    <w:rsid w:val="004960EB"/>
    <w:rsid w:val="00497145"/>
    <w:rsid w:val="004A0DD6"/>
    <w:rsid w:val="004A16E1"/>
    <w:rsid w:val="004A19D7"/>
    <w:rsid w:val="004A24B4"/>
    <w:rsid w:val="004A2CE3"/>
    <w:rsid w:val="004A479C"/>
    <w:rsid w:val="004A60F3"/>
    <w:rsid w:val="004A7DCB"/>
    <w:rsid w:val="004B0D95"/>
    <w:rsid w:val="004B147F"/>
    <w:rsid w:val="004B1976"/>
    <w:rsid w:val="004B2437"/>
    <w:rsid w:val="004B3006"/>
    <w:rsid w:val="004B53E3"/>
    <w:rsid w:val="004B55B9"/>
    <w:rsid w:val="004B6E53"/>
    <w:rsid w:val="004B7DA1"/>
    <w:rsid w:val="004C0FAD"/>
    <w:rsid w:val="004C1341"/>
    <w:rsid w:val="004C3383"/>
    <w:rsid w:val="004C6DBE"/>
    <w:rsid w:val="004C6E9E"/>
    <w:rsid w:val="004C7901"/>
    <w:rsid w:val="004D0A4D"/>
    <w:rsid w:val="004D2802"/>
    <w:rsid w:val="004D380C"/>
    <w:rsid w:val="004E190B"/>
    <w:rsid w:val="004E2F5B"/>
    <w:rsid w:val="004E4E46"/>
    <w:rsid w:val="004E5521"/>
    <w:rsid w:val="004E6170"/>
    <w:rsid w:val="004F00AC"/>
    <w:rsid w:val="004F150D"/>
    <w:rsid w:val="004F1B0C"/>
    <w:rsid w:val="004F2233"/>
    <w:rsid w:val="004F2240"/>
    <w:rsid w:val="004F277C"/>
    <w:rsid w:val="004F3006"/>
    <w:rsid w:val="004F37C1"/>
    <w:rsid w:val="004F467C"/>
    <w:rsid w:val="004F5660"/>
    <w:rsid w:val="004F704F"/>
    <w:rsid w:val="004F74B0"/>
    <w:rsid w:val="004F77AA"/>
    <w:rsid w:val="0050113E"/>
    <w:rsid w:val="00501C9A"/>
    <w:rsid w:val="00502F5C"/>
    <w:rsid w:val="00505453"/>
    <w:rsid w:val="0051098E"/>
    <w:rsid w:val="00512DA9"/>
    <w:rsid w:val="00512EC5"/>
    <w:rsid w:val="00515E86"/>
    <w:rsid w:val="00515F44"/>
    <w:rsid w:val="0051629A"/>
    <w:rsid w:val="0052119F"/>
    <w:rsid w:val="005215A8"/>
    <w:rsid w:val="005223FB"/>
    <w:rsid w:val="00522558"/>
    <w:rsid w:val="005225B6"/>
    <w:rsid w:val="005231C6"/>
    <w:rsid w:val="0052383F"/>
    <w:rsid w:val="00526812"/>
    <w:rsid w:val="00526D40"/>
    <w:rsid w:val="00527D3E"/>
    <w:rsid w:val="00530BF7"/>
    <w:rsid w:val="0053176A"/>
    <w:rsid w:val="00532E45"/>
    <w:rsid w:val="00533436"/>
    <w:rsid w:val="00533D03"/>
    <w:rsid w:val="00535496"/>
    <w:rsid w:val="00536998"/>
    <w:rsid w:val="00536A97"/>
    <w:rsid w:val="00540B3F"/>
    <w:rsid w:val="00541213"/>
    <w:rsid w:val="00541B59"/>
    <w:rsid w:val="00542BF3"/>
    <w:rsid w:val="005435EF"/>
    <w:rsid w:val="00545256"/>
    <w:rsid w:val="00546218"/>
    <w:rsid w:val="00546995"/>
    <w:rsid w:val="00546B2B"/>
    <w:rsid w:val="00547A45"/>
    <w:rsid w:val="00556816"/>
    <w:rsid w:val="00556E51"/>
    <w:rsid w:val="0056058B"/>
    <w:rsid w:val="00560807"/>
    <w:rsid w:val="00560CD9"/>
    <w:rsid w:val="00561ED4"/>
    <w:rsid w:val="00562065"/>
    <w:rsid w:val="00563BDB"/>
    <w:rsid w:val="00564351"/>
    <w:rsid w:val="00564E6A"/>
    <w:rsid w:val="005653A9"/>
    <w:rsid w:val="00566C12"/>
    <w:rsid w:val="005729E9"/>
    <w:rsid w:val="00572BDE"/>
    <w:rsid w:val="005739BE"/>
    <w:rsid w:val="0057583D"/>
    <w:rsid w:val="00575C39"/>
    <w:rsid w:val="00580221"/>
    <w:rsid w:val="00583C02"/>
    <w:rsid w:val="00585062"/>
    <w:rsid w:val="00585341"/>
    <w:rsid w:val="0058645B"/>
    <w:rsid w:val="00586890"/>
    <w:rsid w:val="00590CB4"/>
    <w:rsid w:val="00590E25"/>
    <w:rsid w:val="005912BE"/>
    <w:rsid w:val="00592B67"/>
    <w:rsid w:val="00594E8D"/>
    <w:rsid w:val="00595DDB"/>
    <w:rsid w:val="00595E77"/>
    <w:rsid w:val="00596989"/>
    <w:rsid w:val="005969A1"/>
    <w:rsid w:val="00597BEF"/>
    <w:rsid w:val="005A0836"/>
    <w:rsid w:val="005A0D98"/>
    <w:rsid w:val="005A107D"/>
    <w:rsid w:val="005A110E"/>
    <w:rsid w:val="005A6072"/>
    <w:rsid w:val="005A7E80"/>
    <w:rsid w:val="005B1688"/>
    <w:rsid w:val="005B307F"/>
    <w:rsid w:val="005B3D60"/>
    <w:rsid w:val="005B40A2"/>
    <w:rsid w:val="005B6205"/>
    <w:rsid w:val="005B6BFF"/>
    <w:rsid w:val="005C0425"/>
    <w:rsid w:val="005C0FD5"/>
    <w:rsid w:val="005C120E"/>
    <w:rsid w:val="005C126F"/>
    <w:rsid w:val="005C1AA2"/>
    <w:rsid w:val="005C2B5E"/>
    <w:rsid w:val="005C485B"/>
    <w:rsid w:val="005C617D"/>
    <w:rsid w:val="005C61A3"/>
    <w:rsid w:val="005C7B06"/>
    <w:rsid w:val="005D0E00"/>
    <w:rsid w:val="005D34B4"/>
    <w:rsid w:val="005D568B"/>
    <w:rsid w:val="005D7BF9"/>
    <w:rsid w:val="005E192A"/>
    <w:rsid w:val="005E1B09"/>
    <w:rsid w:val="005E27BD"/>
    <w:rsid w:val="005E46F9"/>
    <w:rsid w:val="005E53ED"/>
    <w:rsid w:val="005E60DC"/>
    <w:rsid w:val="005E6A49"/>
    <w:rsid w:val="005E6B95"/>
    <w:rsid w:val="005E7033"/>
    <w:rsid w:val="005F1D96"/>
    <w:rsid w:val="005F39D5"/>
    <w:rsid w:val="005F43FB"/>
    <w:rsid w:val="005F440B"/>
    <w:rsid w:val="005F4A8F"/>
    <w:rsid w:val="005F60A0"/>
    <w:rsid w:val="005F794B"/>
    <w:rsid w:val="005F7C6C"/>
    <w:rsid w:val="00600610"/>
    <w:rsid w:val="006009EE"/>
    <w:rsid w:val="00601577"/>
    <w:rsid w:val="006019B8"/>
    <w:rsid w:val="00605504"/>
    <w:rsid w:val="00607AF1"/>
    <w:rsid w:val="006101FE"/>
    <w:rsid w:val="0061023B"/>
    <w:rsid w:val="00611CC1"/>
    <w:rsid w:val="00614015"/>
    <w:rsid w:val="00615FCA"/>
    <w:rsid w:val="006162EB"/>
    <w:rsid w:val="00616D08"/>
    <w:rsid w:val="00620504"/>
    <w:rsid w:val="00620FD2"/>
    <w:rsid w:val="00621B26"/>
    <w:rsid w:val="0062240C"/>
    <w:rsid w:val="00622A9C"/>
    <w:rsid w:val="0062316E"/>
    <w:rsid w:val="00625D12"/>
    <w:rsid w:val="00627DF4"/>
    <w:rsid w:val="00630F2E"/>
    <w:rsid w:val="0063199E"/>
    <w:rsid w:val="00631A7E"/>
    <w:rsid w:val="00636DBA"/>
    <w:rsid w:val="006373C0"/>
    <w:rsid w:val="0064032D"/>
    <w:rsid w:val="0064104B"/>
    <w:rsid w:val="00641646"/>
    <w:rsid w:val="006422DC"/>
    <w:rsid w:val="00642C4B"/>
    <w:rsid w:val="00642EBF"/>
    <w:rsid w:val="00644608"/>
    <w:rsid w:val="00644A53"/>
    <w:rsid w:val="00644B56"/>
    <w:rsid w:val="006451FF"/>
    <w:rsid w:val="00645EDD"/>
    <w:rsid w:val="0064705C"/>
    <w:rsid w:val="00647154"/>
    <w:rsid w:val="0064754D"/>
    <w:rsid w:val="00647FE3"/>
    <w:rsid w:val="00650302"/>
    <w:rsid w:val="0065145F"/>
    <w:rsid w:val="00652EC5"/>
    <w:rsid w:val="00653269"/>
    <w:rsid w:val="006542DC"/>
    <w:rsid w:val="006563B7"/>
    <w:rsid w:val="006577E1"/>
    <w:rsid w:val="00661281"/>
    <w:rsid w:val="00661EE1"/>
    <w:rsid w:val="00663EAE"/>
    <w:rsid w:val="00664BAA"/>
    <w:rsid w:val="00665249"/>
    <w:rsid w:val="00665CDD"/>
    <w:rsid w:val="0066624B"/>
    <w:rsid w:val="00667DF5"/>
    <w:rsid w:val="00671E77"/>
    <w:rsid w:val="0067309F"/>
    <w:rsid w:val="00673CA4"/>
    <w:rsid w:val="0067471E"/>
    <w:rsid w:val="006751BE"/>
    <w:rsid w:val="00675ACF"/>
    <w:rsid w:val="006808E4"/>
    <w:rsid w:val="00680CBC"/>
    <w:rsid w:val="006818F0"/>
    <w:rsid w:val="00682A8D"/>
    <w:rsid w:val="00683B1D"/>
    <w:rsid w:val="00683CB6"/>
    <w:rsid w:val="00684B8B"/>
    <w:rsid w:val="00685425"/>
    <w:rsid w:val="00686A7B"/>
    <w:rsid w:val="0068751E"/>
    <w:rsid w:val="00687963"/>
    <w:rsid w:val="00687A52"/>
    <w:rsid w:val="00687C3A"/>
    <w:rsid w:val="00690F49"/>
    <w:rsid w:val="00692BBD"/>
    <w:rsid w:val="006935EC"/>
    <w:rsid w:val="006943E2"/>
    <w:rsid w:val="00694444"/>
    <w:rsid w:val="0069543B"/>
    <w:rsid w:val="006A0F8A"/>
    <w:rsid w:val="006A13AC"/>
    <w:rsid w:val="006A16EB"/>
    <w:rsid w:val="006A17F9"/>
    <w:rsid w:val="006A266A"/>
    <w:rsid w:val="006A4270"/>
    <w:rsid w:val="006A4EB3"/>
    <w:rsid w:val="006A5BB7"/>
    <w:rsid w:val="006A60A2"/>
    <w:rsid w:val="006A6A8A"/>
    <w:rsid w:val="006B1A82"/>
    <w:rsid w:val="006B2BBB"/>
    <w:rsid w:val="006B4AA1"/>
    <w:rsid w:val="006B6FC4"/>
    <w:rsid w:val="006C1FAE"/>
    <w:rsid w:val="006C23E2"/>
    <w:rsid w:val="006C298B"/>
    <w:rsid w:val="006C2B8E"/>
    <w:rsid w:val="006C3299"/>
    <w:rsid w:val="006C3389"/>
    <w:rsid w:val="006C4730"/>
    <w:rsid w:val="006C5421"/>
    <w:rsid w:val="006C72DF"/>
    <w:rsid w:val="006C73E1"/>
    <w:rsid w:val="006C79A9"/>
    <w:rsid w:val="006D1854"/>
    <w:rsid w:val="006D36F3"/>
    <w:rsid w:val="006D392C"/>
    <w:rsid w:val="006D4572"/>
    <w:rsid w:val="006D4E80"/>
    <w:rsid w:val="006D56B0"/>
    <w:rsid w:val="006D61F6"/>
    <w:rsid w:val="006D637C"/>
    <w:rsid w:val="006D66D3"/>
    <w:rsid w:val="006D699D"/>
    <w:rsid w:val="006D7910"/>
    <w:rsid w:val="006E0081"/>
    <w:rsid w:val="006E1ECA"/>
    <w:rsid w:val="006E2690"/>
    <w:rsid w:val="006E294A"/>
    <w:rsid w:val="006E3699"/>
    <w:rsid w:val="006E3EF7"/>
    <w:rsid w:val="006E4386"/>
    <w:rsid w:val="006E43B2"/>
    <w:rsid w:val="006E4771"/>
    <w:rsid w:val="006E4A38"/>
    <w:rsid w:val="006E4D4C"/>
    <w:rsid w:val="006E74E9"/>
    <w:rsid w:val="006E7958"/>
    <w:rsid w:val="006F1239"/>
    <w:rsid w:val="006F1919"/>
    <w:rsid w:val="006F2241"/>
    <w:rsid w:val="006F3A63"/>
    <w:rsid w:val="006F5FA9"/>
    <w:rsid w:val="006F6ECE"/>
    <w:rsid w:val="006F73BE"/>
    <w:rsid w:val="0070030B"/>
    <w:rsid w:val="00702D99"/>
    <w:rsid w:val="00703A7C"/>
    <w:rsid w:val="0070716F"/>
    <w:rsid w:val="00710C0C"/>
    <w:rsid w:val="00710DC8"/>
    <w:rsid w:val="007115AB"/>
    <w:rsid w:val="00711C0D"/>
    <w:rsid w:val="00712AE9"/>
    <w:rsid w:val="00712B02"/>
    <w:rsid w:val="00714239"/>
    <w:rsid w:val="00714256"/>
    <w:rsid w:val="007151DA"/>
    <w:rsid w:val="007153BA"/>
    <w:rsid w:val="00716265"/>
    <w:rsid w:val="007164DD"/>
    <w:rsid w:val="00716619"/>
    <w:rsid w:val="007179E1"/>
    <w:rsid w:val="00720721"/>
    <w:rsid w:val="00720B5A"/>
    <w:rsid w:val="00720BCF"/>
    <w:rsid w:val="00721616"/>
    <w:rsid w:val="00723371"/>
    <w:rsid w:val="00723C74"/>
    <w:rsid w:val="007250B1"/>
    <w:rsid w:val="00731CEA"/>
    <w:rsid w:val="007339B0"/>
    <w:rsid w:val="00733F2E"/>
    <w:rsid w:val="0073574E"/>
    <w:rsid w:val="00735D30"/>
    <w:rsid w:val="007364F4"/>
    <w:rsid w:val="0074215C"/>
    <w:rsid w:val="0074238D"/>
    <w:rsid w:val="00742A41"/>
    <w:rsid w:val="00742FBB"/>
    <w:rsid w:val="007430E6"/>
    <w:rsid w:val="007431B6"/>
    <w:rsid w:val="007433D9"/>
    <w:rsid w:val="007436C9"/>
    <w:rsid w:val="0074532E"/>
    <w:rsid w:val="00746902"/>
    <w:rsid w:val="007475CF"/>
    <w:rsid w:val="007516BE"/>
    <w:rsid w:val="0075627E"/>
    <w:rsid w:val="00756BF6"/>
    <w:rsid w:val="00761B91"/>
    <w:rsid w:val="007626D3"/>
    <w:rsid w:val="00763A4A"/>
    <w:rsid w:val="00763EB5"/>
    <w:rsid w:val="00763EC2"/>
    <w:rsid w:val="00763FB3"/>
    <w:rsid w:val="00765F9E"/>
    <w:rsid w:val="0076606E"/>
    <w:rsid w:val="007663E6"/>
    <w:rsid w:val="0077272F"/>
    <w:rsid w:val="00772DD3"/>
    <w:rsid w:val="00774BEE"/>
    <w:rsid w:val="00780CF6"/>
    <w:rsid w:val="00781036"/>
    <w:rsid w:val="00783074"/>
    <w:rsid w:val="00785117"/>
    <w:rsid w:val="0078582F"/>
    <w:rsid w:val="0078625E"/>
    <w:rsid w:val="007871E1"/>
    <w:rsid w:val="00792CBC"/>
    <w:rsid w:val="0079459F"/>
    <w:rsid w:val="007946CD"/>
    <w:rsid w:val="00796200"/>
    <w:rsid w:val="00797F98"/>
    <w:rsid w:val="007A05BE"/>
    <w:rsid w:val="007A0640"/>
    <w:rsid w:val="007A065F"/>
    <w:rsid w:val="007A4685"/>
    <w:rsid w:val="007A514C"/>
    <w:rsid w:val="007B042D"/>
    <w:rsid w:val="007B13EA"/>
    <w:rsid w:val="007B21A1"/>
    <w:rsid w:val="007B3DA2"/>
    <w:rsid w:val="007B6094"/>
    <w:rsid w:val="007C18BF"/>
    <w:rsid w:val="007C25E3"/>
    <w:rsid w:val="007C315C"/>
    <w:rsid w:val="007C3697"/>
    <w:rsid w:val="007C3FE0"/>
    <w:rsid w:val="007C41ED"/>
    <w:rsid w:val="007C4CF6"/>
    <w:rsid w:val="007C6513"/>
    <w:rsid w:val="007C79AA"/>
    <w:rsid w:val="007D0012"/>
    <w:rsid w:val="007D060D"/>
    <w:rsid w:val="007D0ED1"/>
    <w:rsid w:val="007D2F66"/>
    <w:rsid w:val="007D39D6"/>
    <w:rsid w:val="007D4CC2"/>
    <w:rsid w:val="007D5F10"/>
    <w:rsid w:val="007D66EC"/>
    <w:rsid w:val="007D7B5C"/>
    <w:rsid w:val="007E09EC"/>
    <w:rsid w:val="007E1AB5"/>
    <w:rsid w:val="007E3AE8"/>
    <w:rsid w:val="007E5154"/>
    <w:rsid w:val="007E51C8"/>
    <w:rsid w:val="007E5AA9"/>
    <w:rsid w:val="007F00C9"/>
    <w:rsid w:val="007F3996"/>
    <w:rsid w:val="007F4506"/>
    <w:rsid w:val="007F5E46"/>
    <w:rsid w:val="007F66AD"/>
    <w:rsid w:val="007F7A61"/>
    <w:rsid w:val="008000F9"/>
    <w:rsid w:val="008023F7"/>
    <w:rsid w:val="008026FA"/>
    <w:rsid w:val="008063BA"/>
    <w:rsid w:val="008067A1"/>
    <w:rsid w:val="008071A3"/>
    <w:rsid w:val="00811276"/>
    <w:rsid w:val="008127B1"/>
    <w:rsid w:val="00812B7E"/>
    <w:rsid w:val="008141DA"/>
    <w:rsid w:val="0081782A"/>
    <w:rsid w:val="00820B2D"/>
    <w:rsid w:val="0082217F"/>
    <w:rsid w:val="00823365"/>
    <w:rsid w:val="00824CB5"/>
    <w:rsid w:val="0082613C"/>
    <w:rsid w:val="0082791F"/>
    <w:rsid w:val="00827B50"/>
    <w:rsid w:val="0083079B"/>
    <w:rsid w:val="00831FA8"/>
    <w:rsid w:val="0083397F"/>
    <w:rsid w:val="00833EF2"/>
    <w:rsid w:val="008356A0"/>
    <w:rsid w:val="008356F5"/>
    <w:rsid w:val="0083573A"/>
    <w:rsid w:val="00835811"/>
    <w:rsid w:val="00835B4A"/>
    <w:rsid w:val="00837EA9"/>
    <w:rsid w:val="00842BBB"/>
    <w:rsid w:val="008435D6"/>
    <w:rsid w:val="008456D5"/>
    <w:rsid w:val="00845805"/>
    <w:rsid w:val="00845FD9"/>
    <w:rsid w:val="008462FD"/>
    <w:rsid w:val="0084634B"/>
    <w:rsid w:val="00846889"/>
    <w:rsid w:val="008508D3"/>
    <w:rsid w:val="00851036"/>
    <w:rsid w:val="008538BD"/>
    <w:rsid w:val="00854EAD"/>
    <w:rsid w:val="008561DB"/>
    <w:rsid w:val="00856284"/>
    <w:rsid w:val="008612F5"/>
    <w:rsid w:val="0086281A"/>
    <w:rsid w:val="0086364D"/>
    <w:rsid w:val="00864C16"/>
    <w:rsid w:val="0086514D"/>
    <w:rsid w:val="008652BE"/>
    <w:rsid w:val="008673DA"/>
    <w:rsid w:val="008673EA"/>
    <w:rsid w:val="0087125A"/>
    <w:rsid w:val="008717EE"/>
    <w:rsid w:val="008741F5"/>
    <w:rsid w:val="008743B4"/>
    <w:rsid w:val="00874F97"/>
    <w:rsid w:val="008750B4"/>
    <w:rsid w:val="00875EF0"/>
    <w:rsid w:val="008769A7"/>
    <w:rsid w:val="00877CBF"/>
    <w:rsid w:val="0088043B"/>
    <w:rsid w:val="00880D27"/>
    <w:rsid w:val="00882B5B"/>
    <w:rsid w:val="0088481E"/>
    <w:rsid w:val="00886D53"/>
    <w:rsid w:val="00887F1D"/>
    <w:rsid w:val="008903B5"/>
    <w:rsid w:val="008903F3"/>
    <w:rsid w:val="008928FC"/>
    <w:rsid w:val="00897546"/>
    <w:rsid w:val="008A17C7"/>
    <w:rsid w:val="008A1887"/>
    <w:rsid w:val="008A1E60"/>
    <w:rsid w:val="008A2213"/>
    <w:rsid w:val="008A2402"/>
    <w:rsid w:val="008A3E67"/>
    <w:rsid w:val="008A4CBA"/>
    <w:rsid w:val="008A5565"/>
    <w:rsid w:val="008A64AA"/>
    <w:rsid w:val="008A6B36"/>
    <w:rsid w:val="008A6C69"/>
    <w:rsid w:val="008A7440"/>
    <w:rsid w:val="008A7EC6"/>
    <w:rsid w:val="008B01D8"/>
    <w:rsid w:val="008B13FE"/>
    <w:rsid w:val="008B190D"/>
    <w:rsid w:val="008B1A0E"/>
    <w:rsid w:val="008B206D"/>
    <w:rsid w:val="008B232D"/>
    <w:rsid w:val="008B3160"/>
    <w:rsid w:val="008B4A6D"/>
    <w:rsid w:val="008B55FE"/>
    <w:rsid w:val="008B5FE8"/>
    <w:rsid w:val="008B6A2F"/>
    <w:rsid w:val="008B6A81"/>
    <w:rsid w:val="008C1A81"/>
    <w:rsid w:val="008C2915"/>
    <w:rsid w:val="008C3753"/>
    <w:rsid w:val="008C3903"/>
    <w:rsid w:val="008C5396"/>
    <w:rsid w:val="008C5B79"/>
    <w:rsid w:val="008C5EA1"/>
    <w:rsid w:val="008C75CB"/>
    <w:rsid w:val="008D0EB3"/>
    <w:rsid w:val="008D1B25"/>
    <w:rsid w:val="008D2958"/>
    <w:rsid w:val="008D6457"/>
    <w:rsid w:val="008D7C83"/>
    <w:rsid w:val="008E0ED9"/>
    <w:rsid w:val="008E1CF2"/>
    <w:rsid w:val="008E2A0D"/>
    <w:rsid w:val="008E39A3"/>
    <w:rsid w:val="008E4EC0"/>
    <w:rsid w:val="008E637E"/>
    <w:rsid w:val="008E741E"/>
    <w:rsid w:val="008E78C0"/>
    <w:rsid w:val="008F0B3F"/>
    <w:rsid w:val="008F2DCD"/>
    <w:rsid w:val="008F3B7E"/>
    <w:rsid w:val="008F7711"/>
    <w:rsid w:val="009007A1"/>
    <w:rsid w:val="00900F78"/>
    <w:rsid w:val="009016B8"/>
    <w:rsid w:val="0090452A"/>
    <w:rsid w:val="0090714B"/>
    <w:rsid w:val="00910829"/>
    <w:rsid w:val="00910FDF"/>
    <w:rsid w:val="00912D8E"/>
    <w:rsid w:val="0091361D"/>
    <w:rsid w:val="00913CE8"/>
    <w:rsid w:val="00921D40"/>
    <w:rsid w:val="00923C7E"/>
    <w:rsid w:val="00924B76"/>
    <w:rsid w:val="00925203"/>
    <w:rsid w:val="00925A30"/>
    <w:rsid w:val="00925D7E"/>
    <w:rsid w:val="00925E97"/>
    <w:rsid w:val="00927015"/>
    <w:rsid w:val="00927EA4"/>
    <w:rsid w:val="009328F2"/>
    <w:rsid w:val="00937218"/>
    <w:rsid w:val="00937D17"/>
    <w:rsid w:val="009403F9"/>
    <w:rsid w:val="0094177D"/>
    <w:rsid w:val="0094185D"/>
    <w:rsid w:val="00941B83"/>
    <w:rsid w:val="0094215B"/>
    <w:rsid w:val="00945F95"/>
    <w:rsid w:val="00950532"/>
    <w:rsid w:val="0095079F"/>
    <w:rsid w:val="009513A9"/>
    <w:rsid w:val="00951797"/>
    <w:rsid w:val="00951E88"/>
    <w:rsid w:val="00952625"/>
    <w:rsid w:val="00952B18"/>
    <w:rsid w:val="00953CE5"/>
    <w:rsid w:val="009545F8"/>
    <w:rsid w:val="00955D77"/>
    <w:rsid w:val="0095670F"/>
    <w:rsid w:val="00961517"/>
    <w:rsid w:val="0096287A"/>
    <w:rsid w:val="00962E42"/>
    <w:rsid w:val="0096326F"/>
    <w:rsid w:val="00963CEA"/>
    <w:rsid w:val="00964C3A"/>
    <w:rsid w:val="00967CA9"/>
    <w:rsid w:val="00970069"/>
    <w:rsid w:val="00970CB8"/>
    <w:rsid w:val="00970E31"/>
    <w:rsid w:val="009732A0"/>
    <w:rsid w:val="00973710"/>
    <w:rsid w:val="009744C0"/>
    <w:rsid w:val="00976714"/>
    <w:rsid w:val="00981687"/>
    <w:rsid w:val="00981821"/>
    <w:rsid w:val="009822F8"/>
    <w:rsid w:val="009845F7"/>
    <w:rsid w:val="00984CEF"/>
    <w:rsid w:val="00984FDD"/>
    <w:rsid w:val="00987FF3"/>
    <w:rsid w:val="009904F2"/>
    <w:rsid w:val="0099093C"/>
    <w:rsid w:val="009909EC"/>
    <w:rsid w:val="00990BC3"/>
    <w:rsid w:val="00992694"/>
    <w:rsid w:val="00992EB9"/>
    <w:rsid w:val="00993A0E"/>
    <w:rsid w:val="00993E7C"/>
    <w:rsid w:val="00993ECE"/>
    <w:rsid w:val="009949FC"/>
    <w:rsid w:val="00995C2C"/>
    <w:rsid w:val="009969B2"/>
    <w:rsid w:val="00996B8C"/>
    <w:rsid w:val="00997668"/>
    <w:rsid w:val="009A00D4"/>
    <w:rsid w:val="009A208F"/>
    <w:rsid w:val="009A5DF3"/>
    <w:rsid w:val="009A7446"/>
    <w:rsid w:val="009B00F2"/>
    <w:rsid w:val="009B14B9"/>
    <w:rsid w:val="009B172A"/>
    <w:rsid w:val="009B1B64"/>
    <w:rsid w:val="009B1C42"/>
    <w:rsid w:val="009B3E11"/>
    <w:rsid w:val="009B3FDC"/>
    <w:rsid w:val="009B6B99"/>
    <w:rsid w:val="009B6BA5"/>
    <w:rsid w:val="009B7DF9"/>
    <w:rsid w:val="009C13F8"/>
    <w:rsid w:val="009C37DC"/>
    <w:rsid w:val="009C4F1D"/>
    <w:rsid w:val="009C51F9"/>
    <w:rsid w:val="009C60A5"/>
    <w:rsid w:val="009C6319"/>
    <w:rsid w:val="009D0D5F"/>
    <w:rsid w:val="009D15EE"/>
    <w:rsid w:val="009D344F"/>
    <w:rsid w:val="009D39F0"/>
    <w:rsid w:val="009D5086"/>
    <w:rsid w:val="009D6075"/>
    <w:rsid w:val="009D6489"/>
    <w:rsid w:val="009E4245"/>
    <w:rsid w:val="009E4572"/>
    <w:rsid w:val="009E55D2"/>
    <w:rsid w:val="009E5F4B"/>
    <w:rsid w:val="009E6839"/>
    <w:rsid w:val="009F01CA"/>
    <w:rsid w:val="009F0B93"/>
    <w:rsid w:val="009F0C8E"/>
    <w:rsid w:val="009F2583"/>
    <w:rsid w:val="009F2C1C"/>
    <w:rsid w:val="009F32E5"/>
    <w:rsid w:val="009F3BAA"/>
    <w:rsid w:val="009F402C"/>
    <w:rsid w:val="009F4FEC"/>
    <w:rsid w:val="009F78F5"/>
    <w:rsid w:val="00A01BF1"/>
    <w:rsid w:val="00A0382C"/>
    <w:rsid w:val="00A039DE"/>
    <w:rsid w:val="00A05509"/>
    <w:rsid w:val="00A05967"/>
    <w:rsid w:val="00A06F05"/>
    <w:rsid w:val="00A07093"/>
    <w:rsid w:val="00A070A2"/>
    <w:rsid w:val="00A072CA"/>
    <w:rsid w:val="00A07C06"/>
    <w:rsid w:val="00A10279"/>
    <w:rsid w:val="00A105CD"/>
    <w:rsid w:val="00A11467"/>
    <w:rsid w:val="00A146EE"/>
    <w:rsid w:val="00A154FE"/>
    <w:rsid w:val="00A158D2"/>
    <w:rsid w:val="00A1775E"/>
    <w:rsid w:val="00A20850"/>
    <w:rsid w:val="00A20B24"/>
    <w:rsid w:val="00A20B55"/>
    <w:rsid w:val="00A218DA"/>
    <w:rsid w:val="00A22E8E"/>
    <w:rsid w:val="00A2388B"/>
    <w:rsid w:val="00A2652B"/>
    <w:rsid w:val="00A26D3B"/>
    <w:rsid w:val="00A2752F"/>
    <w:rsid w:val="00A35DF7"/>
    <w:rsid w:val="00A37735"/>
    <w:rsid w:val="00A400F8"/>
    <w:rsid w:val="00A41EA5"/>
    <w:rsid w:val="00A41FC0"/>
    <w:rsid w:val="00A424DB"/>
    <w:rsid w:val="00A4452A"/>
    <w:rsid w:val="00A445DE"/>
    <w:rsid w:val="00A44F67"/>
    <w:rsid w:val="00A46186"/>
    <w:rsid w:val="00A46476"/>
    <w:rsid w:val="00A46B2C"/>
    <w:rsid w:val="00A46E47"/>
    <w:rsid w:val="00A47DEC"/>
    <w:rsid w:val="00A50423"/>
    <w:rsid w:val="00A50C79"/>
    <w:rsid w:val="00A515A3"/>
    <w:rsid w:val="00A55479"/>
    <w:rsid w:val="00A5746E"/>
    <w:rsid w:val="00A57AD2"/>
    <w:rsid w:val="00A60FB3"/>
    <w:rsid w:val="00A6259E"/>
    <w:rsid w:val="00A6300A"/>
    <w:rsid w:val="00A64079"/>
    <w:rsid w:val="00A64302"/>
    <w:rsid w:val="00A64DB6"/>
    <w:rsid w:val="00A67B1E"/>
    <w:rsid w:val="00A67ECE"/>
    <w:rsid w:val="00A71B36"/>
    <w:rsid w:val="00A7331B"/>
    <w:rsid w:val="00A73445"/>
    <w:rsid w:val="00A73A3F"/>
    <w:rsid w:val="00A811A4"/>
    <w:rsid w:val="00A81E60"/>
    <w:rsid w:val="00A81F3E"/>
    <w:rsid w:val="00A821A3"/>
    <w:rsid w:val="00A83C5C"/>
    <w:rsid w:val="00A845D4"/>
    <w:rsid w:val="00A84A67"/>
    <w:rsid w:val="00A85E51"/>
    <w:rsid w:val="00A90889"/>
    <w:rsid w:val="00A9158A"/>
    <w:rsid w:val="00A932D3"/>
    <w:rsid w:val="00A95970"/>
    <w:rsid w:val="00A961BB"/>
    <w:rsid w:val="00A96DED"/>
    <w:rsid w:val="00AA0A29"/>
    <w:rsid w:val="00AA1309"/>
    <w:rsid w:val="00AA1388"/>
    <w:rsid w:val="00AA3107"/>
    <w:rsid w:val="00AA5BC0"/>
    <w:rsid w:val="00AA71EF"/>
    <w:rsid w:val="00AB1B10"/>
    <w:rsid w:val="00AB2AA1"/>
    <w:rsid w:val="00AB3DBB"/>
    <w:rsid w:val="00AB41F2"/>
    <w:rsid w:val="00AB43DA"/>
    <w:rsid w:val="00AB6C67"/>
    <w:rsid w:val="00AC01D9"/>
    <w:rsid w:val="00AC2230"/>
    <w:rsid w:val="00AC590C"/>
    <w:rsid w:val="00AC7255"/>
    <w:rsid w:val="00AC7A53"/>
    <w:rsid w:val="00AD1EB1"/>
    <w:rsid w:val="00AD53F9"/>
    <w:rsid w:val="00AD605C"/>
    <w:rsid w:val="00AD7703"/>
    <w:rsid w:val="00AE0F0B"/>
    <w:rsid w:val="00AE1653"/>
    <w:rsid w:val="00AE27CD"/>
    <w:rsid w:val="00AE2BFF"/>
    <w:rsid w:val="00AE3AE3"/>
    <w:rsid w:val="00AE3B9A"/>
    <w:rsid w:val="00AE3F4E"/>
    <w:rsid w:val="00AE4D7A"/>
    <w:rsid w:val="00AE5F74"/>
    <w:rsid w:val="00AE6A26"/>
    <w:rsid w:val="00AE6DE7"/>
    <w:rsid w:val="00AF0179"/>
    <w:rsid w:val="00AF282D"/>
    <w:rsid w:val="00AF30EE"/>
    <w:rsid w:val="00AF4B4C"/>
    <w:rsid w:val="00AF6AAF"/>
    <w:rsid w:val="00AF7520"/>
    <w:rsid w:val="00AF7ADA"/>
    <w:rsid w:val="00AF7FC4"/>
    <w:rsid w:val="00B007BA"/>
    <w:rsid w:val="00B00E87"/>
    <w:rsid w:val="00B01E12"/>
    <w:rsid w:val="00B0387A"/>
    <w:rsid w:val="00B0484D"/>
    <w:rsid w:val="00B04FE8"/>
    <w:rsid w:val="00B057DE"/>
    <w:rsid w:val="00B077AB"/>
    <w:rsid w:val="00B102BD"/>
    <w:rsid w:val="00B1553B"/>
    <w:rsid w:val="00B175C6"/>
    <w:rsid w:val="00B17A45"/>
    <w:rsid w:val="00B21870"/>
    <w:rsid w:val="00B219DC"/>
    <w:rsid w:val="00B2316F"/>
    <w:rsid w:val="00B23F90"/>
    <w:rsid w:val="00B24BDA"/>
    <w:rsid w:val="00B31226"/>
    <w:rsid w:val="00B31C3D"/>
    <w:rsid w:val="00B322EF"/>
    <w:rsid w:val="00B33875"/>
    <w:rsid w:val="00B3407D"/>
    <w:rsid w:val="00B34679"/>
    <w:rsid w:val="00B34E78"/>
    <w:rsid w:val="00B4062D"/>
    <w:rsid w:val="00B415D0"/>
    <w:rsid w:val="00B4226E"/>
    <w:rsid w:val="00B42AC2"/>
    <w:rsid w:val="00B460EE"/>
    <w:rsid w:val="00B52907"/>
    <w:rsid w:val="00B52FBB"/>
    <w:rsid w:val="00B53806"/>
    <w:rsid w:val="00B53A9A"/>
    <w:rsid w:val="00B546FD"/>
    <w:rsid w:val="00B5482C"/>
    <w:rsid w:val="00B56F05"/>
    <w:rsid w:val="00B56FE9"/>
    <w:rsid w:val="00B574E7"/>
    <w:rsid w:val="00B6131A"/>
    <w:rsid w:val="00B6285A"/>
    <w:rsid w:val="00B6548C"/>
    <w:rsid w:val="00B666BA"/>
    <w:rsid w:val="00B71781"/>
    <w:rsid w:val="00B71C63"/>
    <w:rsid w:val="00B7207C"/>
    <w:rsid w:val="00B72341"/>
    <w:rsid w:val="00B727BC"/>
    <w:rsid w:val="00B72962"/>
    <w:rsid w:val="00B7299B"/>
    <w:rsid w:val="00B74107"/>
    <w:rsid w:val="00B74873"/>
    <w:rsid w:val="00B74A89"/>
    <w:rsid w:val="00B75728"/>
    <w:rsid w:val="00B75E5F"/>
    <w:rsid w:val="00B8054E"/>
    <w:rsid w:val="00B80B70"/>
    <w:rsid w:val="00B85081"/>
    <w:rsid w:val="00B858E7"/>
    <w:rsid w:val="00B85920"/>
    <w:rsid w:val="00B86517"/>
    <w:rsid w:val="00B86B63"/>
    <w:rsid w:val="00B87A61"/>
    <w:rsid w:val="00B9192F"/>
    <w:rsid w:val="00B924F2"/>
    <w:rsid w:val="00B937B2"/>
    <w:rsid w:val="00B9430D"/>
    <w:rsid w:val="00BA0BFA"/>
    <w:rsid w:val="00BA1530"/>
    <w:rsid w:val="00BA2A4D"/>
    <w:rsid w:val="00BA4318"/>
    <w:rsid w:val="00BA4E7D"/>
    <w:rsid w:val="00BA6225"/>
    <w:rsid w:val="00BA676B"/>
    <w:rsid w:val="00BA703D"/>
    <w:rsid w:val="00BA7042"/>
    <w:rsid w:val="00BA7E36"/>
    <w:rsid w:val="00BB0DA2"/>
    <w:rsid w:val="00BB25BA"/>
    <w:rsid w:val="00BB3AAC"/>
    <w:rsid w:val="00BB4A57"/>
    <w:rsid w:val="00BB69F2"/>
    <w:rsid w:val="00BC07D2"/>
    <w:rsid w:val="00BC1A80"/>
    <w:rsid w:val="00BC2ED4"/>
    <w:rsid w:val="00BC38BE"/>
    <w:rsid w:val="00BC3B7B"/>
    <w:rsid w:val="00BC4335"/>
    <w:rsid w:val="00BC6558"/>
    <w:rsid w:val="00BC75D0"/>
    <w:rsid w:val="00BC7668"/>
    <w:rsid w:val="00BD0CA3"/>
    <w:rsid w:val="00BD166D"/>
    <w:rsid w:val="00BD2D8E"/>
    <w:rsid w:val="00BD3AE0"/>
    <w:rsid w:val="00BD7899"/>
    <w:rsid w:val="00BE11BE"/>
    <w:rsid w:val="00BE2BD1"/>
    <w:rsid w:val="00BE341B"/>
    <w:rsid w:val="00BE3AD8"/>
    <w:rsid w:val="00BE485F"/>
    <w:rsid w:val="00BE4A41"/>
    <w:rsid w:val="00BE616C"/>
    <w:rsid w:val="00BE6281"/>
    <w:rsid w:val="00BE64EB"/>
    <w:rsid w:val="00BE76B5"/>
    <w:rsid w:val="00BF014B"/>
    <w:rsid w:val="00BF21B6"/>
    <w:rsid w:val="00BF7B7B"/>
    <w:rsid w:val="00BF7EF6"/>
    <w:rsid w:val="00C03171"/>
    <w:rsid w:val="00C04A37"/>
    <w:rsid w:val="00C054AF"/>
    <w:rsid w:val="00C0564C"/>
    <w:rsid w:val="00C07215"/>
    <w:rsid w:val="00C07E24"/>
    <w:rsid w:val="00C10C42"/>
    <w:rsid w:val="00C11EAD"/>
    <w:rsid w:val="00C12854"/>
    <w:rsid w:val="00C20510"/>
    <w:rsid w:val="00C20C32"/>
    <w:rsid w:val="00C22652"/>
    <w:rsid w:val="00C23971"/>
    <w:rsid w:val="00C24832"/>
    <w:rsid w:val="00C249FF"/>
    <w:rsid w:val="00C25955"/>
    <w:rsid w:val="00C278B3"/>
    <w:rsid w:val="00C30112"/>
    <w:rsid w:val="00C325D0"/>
    <w:rsid w:val="00C335EA"/>
    <w:rsid w:val="00C36FD0"/>
    <w:rsid w:val="00C40C28"/>
    <w:rsid w:val="00C428CC"/>
    <w:rsid w:val="00C43941"/>
    <w:rsid w:val="00C43B20"/>
    <w:rsid w:val="00C44E26"/>
    <w:rsid w:val="00C44E66"/>
    <w:rsid w:val="00C45113"/>
    <w:rsid w:val="00C468A0"/>
    <w:rsid w:val="00C473AF"/>
    <w:rsid w:val="00C5020D"/>
    <w:rsid w:val="00C50CE2"/>
    <w:rsid w:val="00C511A4"/>
    <w:rsid w:val="00C519B5"/>
    <w:rsid w:val="00C52105"/>
    <w:rsid w:val="00C531FB"/>
    <w:rsid w:val="00C5397B"/>
    <w:rsid w:val="00C53D21"/>
    <w:rsid w:val="00C54263"/>
    <w:rsid w:val="00C54AF5"/>
    <w:rsid w:val="00C54BE9"/>
    <w:rsid w:val="00C54D58"/>
    <w:rsid w:val="00C56CEE"/>
    <w:rsid w:val="00C57639"/>
    <w:rsid w:val="00C60A9F"/>
    <w:rsid w:val="00C61FBD"/>
    <w:rsid w:val="00C625DD"/>
    <w:rsid w:val="00C630D8"/>
    <w:rsid w:val="00C63F95"/>
    <w:rsid w:val="00C65151"/>
    <w:rsid w:val="00C66C1F"/>
    <w:rsid w:val="00C70599"/>
    <w:rsid w:val="00C73D27"/>
    <w:rsid w:val="00C77B04"/>
    <w:rsid w:val="00C82831"/>
    <w:rsid w:val="00C82CD7"/>
    <w:rsid w:val="00C84FAE"/>
    <w:rsid w:val="00C8542F"/>
    <w:rsid w:val="00C85E81"/>
    <w:rsid w:val="00C87864"/>
    <w:rsid w:val="00C90505"/>
    <w:rsid w:val="00C9282D"/>
    <w:rsid w:val="00C92B9C"/>
    <w:rsid w:val="00C9332F"/>
    <w:rsid w:val="00C93388"/>
    <w:rsid w:val="00C94F4A"/>
    <w:rsid w:val="00C95197"/>
    <w:rsid w:val="00C963CD"/>
    <w:rsid w:val="00CA0519"/>
    <w:rsid w:val="00CA0E06"/>
    <w:rsid w:val="00CA1339"/>
    <w:rsid w:val="00CA3078"/>
    <w:rsid w:val="00CA468B"/>
    <w:rsid w:val="00CA6DDB"/>
    <w:rsid w:val="00CB05A2"/>
    <w:rsid w:val="00CB05CE"/>
    <w:rsid w:val="00CB0EA7"/>
    <w:rsid w:val="00CB1B62"/>
    <w:rsid w:val="00CB45CC"/>
    <w:rsid w:val="00CB4A57"/>
    <w:rsid w:val="00CC1F8C"/>
    <w:rsid w:val="00CC317D"/>
    <w:rsid w:val="00CC3E54"/>
    <w:rsid w:val="00CC448F"/>
    <w:rsid w:val="00CC70CD"/>
    <w:rsid w:val="00CC786C"/>
    <w:rsid w:val="00CC7EA2"/>
    <w:rsid w:val="00CD233E"/>
    <w:rsid w:val="00CD3A49"/>
    <w:rsid w:val="00CD45FC"/>
    <w:rsid w:val="00CD5F72"/>
    <w:rsid w:val="00CD6C80"/>
    <w:rsid w:val="00CE20BB"/>
    <w:rsid w:val="00CE4132"/>
    <w:rsid w:val="00CE6796"/>
    <w:rsid w:val="00CE6974"/>
    <w:rsid w:val="00CF19A8"/>
    <w:rsid w:val="00CF6629"/>
    <w:rsid w:val="00CF6CFD"/>
    <w:rsid w:val="00CF763F"/>
    <w:rsid w:val="00CF78A5"/>
    <w:rsid w:val="00D02062"/>
    <w:rsid w:val="00D03B6F"/>
    <w:rsid w:val="00D11CCD"/>
    <w:rsid w:val="00D120BF"/>
    <w:rsid w:val="00D125ED"/>
    <w:rsid w:val="00D12862"/>
    <w:rsid w:val="00D132E8"/>
    <w:rsid w:val="00D14785"/>
    <w:rsid w:val="00D15D22"/>
    <w:rsid w:val="00D16FAB"/>
    <w:rsid w:val="00D20DBA"/>
    <w:rsid w:val="00D21100"/>
    <w:rsid w:val="00D22422"/>
    <w:rsid w:val="00D23B6D"/>
    <w:rsid w:val="00D243EB"/>
    <w:rsid w:val="00D247E0"/>
    <w:rsid w:val="00D25AED"/>
    <w:rsid w:val="00D27D48"/>
    <w:rsid w:val="00D27E08"/>
    <w:rsid w:val="00D3099B"/>
    <w:rsid w:val="00D34670"/>
    <w:rsid w:val="00D34910"/>
    <w:rsid w:val="00D34E87"/>
    <w:rsid w:val="00D3562F"/>
    <w:rsid w:val="00D35E0B"/>
    <w:rsid w:val="00D37307"/>
    <w:rsid w:val="00D419FB"/>
    <w:rsid w:val="00D42323"/>
    <w:rsid w:val="00D43BB9"/>
    <w:rsid w:val="00D466AA"/>
    <w:rsid w:val="00D47686"/>
    <w:rsid w:val="00D47C98"/>
    <w:rsid w:val="00D47E00"/>
    <w:rsid w:val="00D47E0F"/>
    <w:rsid w:val="00D537D5"/>
    <w:rsid w:val="00D53FB2"/>
    <w:rsid w:val="00D54611"/>
    <w:rsid w:val="00D549D3"/>
    <w:rsid w:val="00D5655E"/>
    <w:rsid w:val="00D5752B"/>
    <w:rsid w:val="00D60DBA"/>
    <w:rsid w:val="00D61E6D"/>
    <w:rsid w:val="00D62C1B"/>
    <w:rsid w:val="00D64311"/>
    <w:rsid w:val="00D64C26"/>
    <w:rsid w:val="00D64EB3"/>
    <w:rsid w:val="00D6760B"/>
    <w:rsid w:val="00D67949"/>
    <w:rsid w:val="00D67D8A"/>
    <w:rsid w:val="00D726F1"/>
    <w:rsid w:val="00D76ED8"/>
    <w:rsid w:val="00D7745B"/>
    <w:rsid w:val="00D77EA5"/>
    <w:rsid w:val="00D82095"/>
    <w:rsid w:val="00D84107"/>
    <w:rsid w:val="00D84773"/>
    <w:rsid w:val="00D84A9F"/>
    <w:rsid w:val="00D85BC9"/>
    <w:rsid w:val="00D8651B"/>
    <w:rsid w:val="00D90A79"/>
    <w:rsid w:val="00D9385F"/>
    <w:rsid w:val="00D94803"/>
    <w:rsid w:val="00D95527"/>
    <w:rsid w:val="00D956DD"/>
    <w:rsid w:val="00D96BC0"/>
    <w:rsid w:val="00DA0715"/>
    <w:rsid w:val="00DA0D7A"/>
    <w:rsid w:val="00DA14DD"/>
    <w:rsid w:val="00DA15AC"/>
    <w:rsid w:val="00DA5859"/>
    <w:rsid w:val="00DA646C"/>
    <w:rsid w:val="00DA6588"/>
    <w:rsid w:val="00DA7A6B"/>
    <w:rsid w:val="00DB00C2"/>
    <w:rsid w:val="00DB03BF"/>
    <w:rsid w:val="00DB0E61"/>
    <w:rsid w:val="00DB18BB"/>
    <w:rsid w:val="00DB18BD"/>
    <w:rsid w:val="00DB3749"/>
    <w:rsid w:val="00DB4F52"/>
    <w:rsid w:val="00DB74FF"/>
    <w:rsid w:val="00DC117B"/>
    <w:rsid w:val="00DC191E"/>
    <w:rsid w:val="00DC36E0"/>
    <w:rsid w:val="00DC399B"/>
    <w:rsid w:val="00DC42E2"/>
    <w:rsid w:val="00DC6135"/>
    <w:rsid w:val="00DC681C"/>
    <w:rsid w:val="00DC69D1"/>
    <w:rsid w:val="00DC71F1"/>
    <w:rsid w:val="00DC7C6F"/>
    <w:rsid w:val="00DD01D0"/>
    <w:rsid w:val="00DD0461"/>
    <w:rsid w:val="00DD09C2"/>
    <w:rsid w:val="00DD27A1"/>
    <w:rsid w:val="00DD2932"/>
    <w:rsid w:val="00DD3447"/>
    <w:rsid w:val="00DD4276"/>
    <w:rsid w:val="00DD517B"/>
    <w:rsid w:val="00DD5EFC"/>
    <w:rsid w:val="00DD6477"/>
    <w:rsid w:val="00DE0096"/>
    <w:rsid w:val="00DE0951"/>
    <w:rsid w:val="00DE12A5"/>
    <w:rsid w:val="00DE150F"/>
    <w:rsid w:val="00DE36F6"/>
    <w:rsid w:val="00DE4362"/>
    <w:rsid w:val="00DE4FE2"/>
    <w:rsid w:val="00DE5416"/>
    <w:rsid w:val="00DE6DE0"/>
    <w:rsid w:val="00DE75A8"/>
    <w:rsid w:val="00DE768F"/>
    <w:rsid w:val="00DF11A7"/>
    <w:rsid w:val="00DF1EB8"/>
    <w:rsid w:val="00DF2685"/>
    <w:rsid w:val="00DF3077"/>
    <w:rsid w:val="00DF4FF4"/>
    <w:rsid w:val="00DF7B57"/>
    <w:rsid w:val="00E02A5F"/>
    <w:rsid w:val="00E03286"/>
    <w:rsid w:val="00E04908"/>
    <w:rsid w:val="00E06E72"/>
    <w:rsid w:val="00E074B6"/>
    <w:rsid w:val="00E10F7E"/>
    <w:rsid w:val="00E11658"/>
    <w:rsid w:val="00E1342A"/>
    <w:rsid w:val="00E145C4"/>
    <w:rsid w:val="00E1462A"/>
    <w:rsid w:val="00E14B44"/>
    <w:rsid w:val="00E1543A"/>
    <w:rsid w:val="00E17656"/>
    <w:rsid w:val="00E20BC5"/>
    <w:rsid w:val="00E21783"/>
    <w:rsid w:val="00E2218A"/>
    <w:rsid w:val="00E22CFB"/>
    <w:rsid w:val="00E242F2"/>
    <w:rsid w:val="00E246AB"/>
    <w:rsid w:val="00E24F3D"/>
    <w:rsid w:val="00E26430"/>
    <w:rsid w:val="00E265C2"/>
    <w:rsid w:val="00E30C7A"/>
    <w:rsid w:val="00E30EB4"/>
    <w:rsid w:val="00E313EB"/>
    <w:rsid w:val="00E3303A"/>
    <w:rsid w:val="00E33AD6"/>
    <w:rsid w:val="00E36AAE"/>
    <w:rsid w:val="00E36D35"/>
    <w:rsid w:val="00E41A82"/>
    <w:rsid w:val="00E41DB0"/>
    <w:rsid w:val="00E423AB"/>
    <w:rsid w:val="00E42DE0"/>
    <w:rsid w:val="00E4639D"/>
    <w:rsid w:val="00E471A7"/>
    <w:rsid w:val="00E47D0B"/>
    <w:rsid w:val="00E50666"/>
    <w:rsid w:val="00E5101A"/>
    <w:rsid w:val="00E53FDD"/>
    <w:rsid w:val="00E553B1"/>
    <w:rsid w:val="00E575A8"/>
    <w:rsid w:val="00E57FE4"/>
    <w:rsid w:val="00E60735"/>
    <w:rsid w:val="00E613BE"/>
    <w:rsid w:val="00E61EA9"/>
    <w:rsid w:val="00E62FE6"/>
    <w:rsid w:val="00E63C28"/>
    <w:rsid w:val="00E64763"/>
    <w:rsid w:val="00E647B2"/>
    <w:rsid w:val="00E67F9E"/>
    <w:rsid w:val="00E70287"/>
    <w:rsid w:val="00E706DF"/>
    <w:rsid w:val="00E7378F"/>
    <w:rsid w:val="00E742D9"/>
    <w:rsid w:val="00E75FB4"/>
    <w:rsid w:val="00E768B2"/>
    <w:rsid w:val="00E77C37"/>
    <w:rsid w:val="00E8079B"/>
    <w:rsid w:val="00E80DBD"/>
    <w:rsid w:val="00E817B9"/>
    <w:rsid w:val="00E83870"/>
    <w:rsid w:val="00E83A53"/>
    <w:rsid w:val="00E84E04"/>
    <w:rsid w:val="00E9090E"/>
    <w:rsid w:val="00E90959"/>
    <w:rsid w:val="00E911C4"/>
    <w:rsid w:val="00E9149F"/>
    <w:rsid w:val="00E922BD"/>
    <w:rsid w:val="00E93191"/>
    <w:rsid w:val="00E94FDD"/>
    <w:rsid w:val="00E95BA5"/>
    <w:rsid w:val="00E96598"/>
    <w:rsid w:val="00E96E7F"/>
    <w:rsid w:val="00E97756"/>
    <w:rsid w:val="00EA31F1"/>
    <w:rsid w:val="00EA3212"/>
    <w:rsid w:val="00EA5754"/>
    <w:rsid w:val="00EA72A4"/>
    <w:rsid w:val="00EA74D3"/>
    <w:rsid w:val="00EA7C6D"/>
    <w:rsid w:val="00EB01C0"/>
    <w:rsid w:val="00EB1904"/>
    <w:rsid w:val="00EB2201"/>
    <w:rsid w:val="00EB2CB0"/>
    <w:rsid w:val="00EB35D9"/>
    <w:rsid w:val="00EB5D3B"/>
    <w:rsid w:val="00EB6DC8"/>
    <w:rsid w:val="00EB703A"/>
    <w:rsid w:val="00EC07F7"/>
    <w:rsid w:val="00EC0930"/>
    <w:rsid w:val="00EC0D57"/>
    <w:rsid w:val="00EC0DDB"/>
    <w:rsid w:val="00EC1514"/>
    <w:rsid w:val="00EC20E2"/>
    <w:rsid w:val="00EC2A43"/>
    <w:rsid w:val="00EC3512"/>
    <w:rsid w:val="00EC3801"/>
    <w:rsid w:val="00EC6EA5"/>
    <w:rsid w:val="00EC7151"/>
    <w:rsid w:val="00EC73A9"/>
    <w:rsid w:val="00EC7981"/>
    <w:rsid w:val="00EC798F"/>
    <w:rsid w:val="00ED034D"/>
    <w:rsid w:val="00ED06C4"/>
    <w:rsid w:val="00ED103D"/>
    <w:rsid w:val="00ED11A8"/>
    <w:rsid w:val="00ED2759"/>
    <w:rsid w:val="00ED3539"/>
    <w:rsid w:val="00ED5606"/>
    <w:rsid w:val="00ED5CE8"/>
    <w:rsid w:val="00ED7795"/>
    <w:rsid w:val="00ED7D23"/>
    <w:rsid w:val="00EE0421"/>
    <w:rsid w:val="00EE0B09"/>
    <w:rsid w:val="00EE0FD2"/>
    <w:rsid w:val="00EE5004"/>
    <w:rsid w:val="00EE505F"/>
    <w:rsid w:val="00EF0EAC"/>
    <w:rsid w:val="00EF12FE"/>
    <w:rsid w:val="00EF18AD"/>
    <w:rsid w:val="00EF453D"/>
    <w:rsid w:val="00EF66A1"/>
    <w:rsid w:val="00F00170"/>
    <w:rsid w:val="00F0694A"/>
    <w:rsid w:val="00F069CD"/>
    <w:rsid w:val="00F06C33"/>
    <w:rsid w:val="00F073BD"/>
    <w:rsid w:val="00F076D1"/>
    <w:rsid w:val="00F10AFD"/>
    <w:rsid w:val="00F11869"/>
    <w:rsid w:val="00F1187C"/>
    <w:rsid w:val="00F12D94"/>
    <w:rsid w:val="00F13738"/>
    <w:rsid w:val="00F13A0D"/>
    <w:rsid w:val="00F13E34"/>
    <w:rsid w:val="00F1428D"/>
    <w:rsid w:val="00F1531D"/>
    <w:rsid w:val="00F16305"/>
    <w:rsid w:val="00F17DC4"/>
    <w:rsid w:val="00F22DC6"/>
    <w:rsid w:val="00F2333F"/>
    <w:rsid w:val="00F23FC2"/>
    <w:rsid w:val="00F24811"/>
    <w:rsid w:val="00F252C0"/>
    <w:rsid w:val="00F25A1C"/>
    <w:rsid w:val="00F26F51"/>
    <w:rsid w:val="00F27C84"/>
    <w:rsid w:val="00F30F6F"/>
    <w:rsid w:val="00F30FBE"/>
    <w:rsid w:val="00F31F7E"/>
    <w:rsid w:val="00F32306"/>
    <w:rsid w:val="00F3269E"/>
    <w:rsid w:val="00F32EE9"/>
    <w:rsid w:val="00F3458B"/>
    <w:rsid w:val="00F3487B"/>
    <w:rsid w:val="00F37372"/>
    <w:rsid w:val="00F40104"/>
    <w:rsid w:val="00F41E32"/>
    <w:rsid w:val="00F43AE8"/>
    <w:rsid w:val="00F44B00"/>
    <w:rsid w:val="00F51A9A"/>
    <w:rsid w:val="00F52DC0"/>
    <w:rsid w:val="00F5428F"/>
    <w:rsid w:val="00F5578D"/>
    <w:rsid w:val="00F5725B"/>
    <w:rsid w:val="00F6152D"/>
    <w:rsid w:val="00F66A5E"/>
    <w:rsid w:val="00F67CDB"/>
    <w:rsid w:val="00F7048B"/>
    <w:rsid w:val="00F7122E"/>
    <w:rsid w:val="00F717B2"/>
    <w:rsid w:val="00F74BA6"/>
    <w:rsid w:val="00F7549D"/>
    <w:rsid w:val="00F76447"/>
    <w:rsid w:val="00F80E9C"/>
    <w:rsid w:val="00F83C0D"/>
    <w:rsid w:val="00F846CB"/>
    <w:rsid w:val="00F85503"/>
    <w:rsid w:val="00F85EC0"/>
    <w:rsid w:val="00F87F5F"/>
    <w:rsid w:val="00F90053"/>
    <w:rsid w:val="00F90262"/>
    <w:rsid w:val="00F9290F"/>
    <w:rsid w:val="00F93808"/>
    <w:rsid w:val="00F93A3C"/>
    <w:rsid w:val="00FA000F"/>
    <w:rsid w:val="00FA2C42"/>
    <w:rsid w:val="00FA33A3"/>
    <w:rsid w:val="00FA3650"/>
    <w:rsid w:val="00FA5D74"/>
    <w:rsid w:val="00FA71D9"/>
    <w:rsid w:val="00FB3C52"/>
    <w:rsid w:val="00FB3CD9"/>
    <w:rsid w:val="00FB4264"/>
    <w:rsid w:val="00FB4E01"/>
    <w:rsid w:val="00FB5F8E"/>
    <w:rsid w:val="00FB6E0F"/>
    <w:rsid w:val="00FC04B1"/>
    <w:rsid w:val="00FC2D22"/>
    <w:rsid w:val="00FC32B2"/>
    <w:rsid w:val="00FC34AF"/>
    <w:rsid w:val="00FC6845"/>
    <w:rsid w:val="00FC7536"/>
    <w:rsid w:val="00FD0C46"/>
    <w:rsid w:val="00FD12F6"/>
    <w:rsid w:val="00FD2151"/>
    <w:rsid w:val="00FD3377"/>
    <w:rsid w:val="00FD4C84"/>
    <w:rsid w:val="00FD5A89"/>
    <w:rsid w:val="00FD6134"/>
    <w:rsid w:val="00FD630A"/>
    <w:rsid w:val="00FE0DAD"/>
    <w:rsid w:val="00FE12F2"/>
    <w:rsid w:val="00FE1442"/>
    <w:rsid w:val="00FE2315"/>
    <w:rsid w:val="00FE3705"/>
    <w:rsid w:val="00FE537D"/>
    <w:rsid w:val="00FE5B3F"/>
    <w:rsid w:val="00FE6E61"/>
    <w:rsid w:val="00FF0C56"/>
    <w:rsid w:val="00FF1E5A"/>
    <w:rsid w:val="00FF228F"/>
    <w:rsid w:val="00FF2D48"/>
    <w:rsid w:val="00FF5255"/>
    <w:rsid w:val="00FF5C2B"/>
    <w:rsid w:val="00FF7703"/>
    <w:rsid w:val="3D5B8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197A9"/>
  <w15:chartTrackingRefBased/>
  <w15:docId w15:val="{F3A25945-2053-4C6B-A0BB-5A62466E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585341"/>
    <w:pPr>
      <w:keepLines/>
      <w:tabs>
        <w:tab w:val="right" w:pos="9854"/>
      </w:tabs>
      <w:ind w:left="567" w:hanging="567"/>
    </w:pPr>
    <w:rPr>
      <w:b/>
      <w:noProof/>
      <w:sz w:val="24"/>
      <w:u w:val="single" w:color="008089" w:themeColor="accent2"/>
    </w:rPr>
  </w:style>
  <w:style w:type="paragraph" w:styleId="TOC2">
    <w:name w:val="toc 2"/>
    <w:basedOn w:val="Normal"/>
    <w:next w:val="Normal"/>
    <w:autoRedefine/>
    <w:uiPriority w:val="39"/>
    <w:rsid w:val="009D39F0"/>
    <w:pPr>
      <w:keepLines/>
      <w:tabs>
        <w:tab w:val="right" w:leader="dot" w:pos="9854"/>
      </w:tab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character" w:styleId="UnresolvedMention">
    <w:name w:val="Unresolved Mention"/>
    <w:basedOn w:val="DefaultParagraphFont"/>
    <w:uiPriority w:val="99"/>
    <w:semiHidden/>
    <w:unhideWhenUsed/>
    <w:rsid w:val="00C12854"/>
    <w:rPr>
      <w:color w:val="605E5C"/>
      <w:shd w:val="clear" w:color="auto" w:fill="E1DFDD"/>
    </w:rPr>
  </w:style>
  <w:style w:type="paragraph" w:styleId="BalloonText">
    <w:name w:val="Balloon Text"/>
    <w:basedOn w:val="Normal"/>
    <w:link w:val="BalloonTextChar"/>
    <w:uiPriority w:val="99"/>
    <w:semiHidden/>
    <w:unhideWhenUsed/>
    <w:rsid w:val="003025B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5B9"/>
    <w:rPr>
      <w:rFonts w:ascii="Segoe UI" w:hAnsi="Segoe UI" w:cs="Segoe UI"/>
      <w:sz w:val="18"/>
      <w:szCs w:val="18"/>
    </w:rPr>
  </w:style>
  <w:style w:type="paragraph" w:styleId="ListParagraph">
    <w:name w:val="List Paragraph"/>
    <w:aliases w:val="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7A0640"/>
    <w:pPr>
      <w:numPr>
        <w:numId w:val="30"/>
      </w:numPr>
      <w:suppressAutoHyphens w:val="0"/>
      <w:spacing w:before="0" w:after="160"/>
      <w:contextualSpacing/>
    </w:pPr>
    <w:rPr>
      <w:color w:val="auto"/>
      <w:lang w:val="en-US"/>
    </w:rPr>
  </w:style>
  <w:style w:type="paragraph" w:customStyle="1" w:styleId="Heading2notshowing">
    <w:name w:val="Heading 2—not showing"/>
    <w:basedOn w:val="ImprintHeading"/>
    <w:next w:val="Normal"/>
    <w:qFormat/>
    <w:rsid w:val="007A0640"/>
    <w:pPr>
      <w:spacing w:before="0"/>
    </w:pPr>
    <w:rPr>
      <w:kern w:val="12"/>
      <w:sz w:val="24"/>
    </w:rPr>
  </w:style>
  <w:style w:type="character" w:styleId="CommentReference">
    <w:name w:val="annotation reference"/>
    <w:basedOn w:val="DefaultParagraphFont"/>
    <w:uiPriority w:val="99"/>
    <w:semiHidden/>
    <w:unhideWhenUsed/>
    <w:rsid w:val="0068751E"/>
    <w:rPr>
      <w:sz w:val="16"/>
      <w:szCs w:val="16"/>
    </w:rPr>
  </w:style>
  <w:style w:type="paragraph" w:styleId="CommentText">
    <w:name w:val="annotation text"/>
    <w:basedOn w:val="Normal"/>
    <w:link w:val="CommentTextChar"/>
    <w:uiPriority w:val="99"/>
    <w:unhideWhenUsed/>
    <w:rsid w:val="0068751E"/>
    <w:rPr>
      <w:sz w:val="20"/>
      <w:szCs w:val="20"/>
    </w:rPr>
  </w:style>
  <w:style w:type="character" w:customStyle="1" w:styleId="CommentTextChar">
    <w:name w:val="Comment Text Char"/>
    <w:basedOn w:val="DefaultParagraphFont"/>
    <w:link w:val="CommentText"/>
    <w:uiPriority w:val="99"/>
    <w:rsid w:val="0068751E"/>
    <w:rPr>
      <w:sz w:val="20"/>
      <w:szCs w:val="20"/>
    </w:rPr>
  </w:style>
  <w:style w:type="paragraph" w:styleId="CommentSubject">
    <w:name w:val="annotation subject"/>
    <w:basedOn w:val="CommentText"/>
    <w:next w:val="CommentText"/>
    <w:link w:val="CommentSubjectChar"/>
    <w:uiPriority w:val="99"/>
    <w:semiHidden/>
    <w:unhideWhenUsed/>
    <w:rsid w:val="0068751E"/>
    <w:rPr>
      <w:b/>
      <w:bCs/>
    </w:rPr>
  </w:style>
  <w:style w:type="character" w:customStyle="1" w:styleId="CommentSubjectChar">
    <w:name w:val="Comment Subject Char"/>
    <w:basedOn w:val="CommentTextChar"/>
    <w:link w:val="CommentSubject"/>
    <w:uiPriority w:val="99"/>
    <w:semiHidden/>
    <w:rsid w:val="0068751E"/>
    <w:rPr>
      <w:b/>
      <w:bCs/>
      <w:sz w:val="20"/>
      <w:szCs w:val="20"/>
    </w:rPr>
  </w:style>
  <w:style w:type="character" w:styleId="FollowedHyperlink">
    <w:name w:val="FollowedHyperlink"/>
    <w:basedOn w:val="DefaultParagraphFont"/>
    <w:uiPriority w:val="99"/>
    <w:semiHidden/>
    <w:unhideWhenUsed/>
    <w:rsid w:val="00675ACF"/>
    <w:rPr>
      <w:color w:val="0046FF" w:themeColor="followedHyperlink"/>
      <w:u w:val="single"/>
    </w:rPr>
  </w:style>
  <w:style w:type="character" w:customStyle="1" w:styleId="ListParagraphChar">
    <w:name w:val="List Paragraph Char"/>
    <w:aliases w:val="Bullet li Char,Bulletr List Paragraph Char,FooterText Char,L Char,List Paragraph1 Char,List Paragraph2 Char,List Paragraph21 Char,Listeafsnit1 Char,Paragraphe de liste1 Char,Parágrafo da Lista1 Char,Párrafo de lista1 Char,リスト段落1 Char"/>
    <w:basedOn w:val="DefaultParagraphFont"/>
    <w:link w:val="ListParagraph"/>
    <w:uiPriority w:val="34"/>
    <w:rsid w:val="00471B35"/>
    <w:rPr>
      <w:color w:val="auto"/>
      <w:lang w:val="en-US"/>
    </w:rPr>
  </w:style>
  <w:style w:type="paragraph" w:styleId="Revision">
    <w:name w:val="Revision"/>
    <w:hidden/>
    <w:uiPriority w:val="99"/>
    <w:semiHidden/>
    <w:rsid w:val="00D47E00"/>
    <w:pPr>
      <w:spacing w:before="0" w:after="0"/>
    </w:pPr>
  </w:style>
  <w:style w:type="table" w:customStyle="1" w:styleId="TableGrid1">
    <w:name w:val="Table Grid1"/>
    <w:basedOn w:val="TableNormal"/>
    <w:next w:val="TableGrid"/>
    <w:uiPriority w:val="39"/>
    <w:rsid w:val="00E24F3D"/>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641">
      <w:bodyDiv w:val="1"/>
      <w:marLeft w:val="0"/>
      <w:marRight w:val="0"/>
      <w:marTop w:val="0"/>
      <w:marBottom w:val="0"/>
      <w:divBdr>
        <w:top w:val="none" w:sz="0" w:space="0" w:color="auto"/>
        <w:left w:val="none" w:sz="0" w:space="0" w:color="auto"/>
        <w:bottom w:val="none" w:sz="0" w:space="0" w:color="auto"/>
        <w:right w:val="none" w:sz="0" w:space="0" w:color="auto"/>
      </w:divBdr>
    </w:div>
    <w:div w:id="64374738">
      <w:bodyDiv w:val="1"/>
      <w:marLeft w:val="0"/>
      <w:marRight w:val="0"/>
      <w:marTop w:val="0"/>
      <w:marBottom w:val="0"/>
      <w:divBdr>
        <w:top w:val="none" w:sz="0" w:space="0" w:color="auto"/>
        <w:left w:val="none" w:sz="0" w:space="0" w:color="auto"/>
        <w:bottom w:val="none" w:sz="0" w:space="0" w:color="auto"/>
        <w:right w:val="none" w:sz="0" w:space="0" w:color="auto"/>
      </w:divBdr>
    </w:div>
    <w:div w:id="212667276">
      <w:bodyDiv w:val="1"/>
      <w:marLeft w:val="0"/>
      <w:marRight w:val="0"/>
      <w:marTop w:val="0"/>
      <w:marBottom w:val="0"/>
      <w:divBdr>
        <w:top w:val="none" w:sz="0" w:space="0" w:color="auto"/>
        <w:left w:val="none" w:sz="0" w:space="0" w:color="auto"/>
        <w:bottom w:val="none" w:sz="0" w:space="0" w:color="auto"/>
        <w:right w:val="none" w:sz="0" w:space="0" w:color="auto"/>
      </w:divBdr>
    </w:div>
    <w:div w:id="217474384">
      <w:bodyDiv w:val="1"/>
      <w:marLeft w:val="0"/>
      <w:marRight w:val="0"/>
      <w:marTop w:val="0"/>
      <w:marBottom w:val="0"/>
      <w:divBdr>
        <w:top w:val="none" w:sz="0" w:space="0" w:color="auto"/>
        <w:left w:val="none" w:sz="0" w:space="0" w:color="auto"/>
        <w:bottom w:val="none" w:sz="0" w:space="0" w:color="auto"/>
        <w:right w:val="none" w:sz="0" w:space="0" w:color="auto"/>
      </w:divBdr>
    </w:div>
    <w:div w:id="279336544">
      <w:bodyDiv w:val="1"/>
      <w:marLeft w:val="0"/>
      <w:marRight w:val="0"/>
      <w:marTop w:val="0"/>
      <w:marBottom w:val="0"/>
      <w:divBdr>
        <w:top w:val="none" w:sz="0" w:space="0" w:color="auto"/>
        <w:left w:val="none" w:sz="0" w:space="0" w:color="auto"/>
        <w:bottom w:val="none" w:sz="0" w:space="0" w:color="auto"/>
        <w:right w:val="none" w:sz="0" w:space="0" w:color="auto"/>
      </w:divBdr>
    </w:div>
    <w:div w:id="612051262">
      <w:bodyDiv w:val="1"/>
      <w:marLeft w:val="0"/>
      <w:marRight w:val="0"/>
      <w:marTop w:val="0"/>
      <w:marBottom w:val="0"/>
      <w:divBdr>
        <w:top w:val="none" w:sz="0" w:space="0" w:color="auto"/>
        <w:left w:val="none" w:sz="0" w:space="0" w:color="auto"/>
        <w:bottom w:val="none" w:sz="0" w:space="0" w:color="auto"/>
        <w:right w:val="none" w:sz="0" w:space="0" w:color="auto"/>
      </w:divBdr>
    </w:div>
    <w:div w:id="708605127">
      <w:bodyDiv w:val="1"/>
      <w:marLeft w:val="0"/>
      <w:marRight w:val="0"/>
      <w:marTop w:val="0"/>
      <w:marBottom w:val="0"/>
      <w:divBdr>
        <w:top w:val="none" w:sz="0" w:space="0" w:color="auto"/>
        <w:left w:val="none" w:sz="0" w:space="0" w:color="auto"/>
        <w:bottom w:val="none" w:sz="0" w:space="0" w:color="auto"/>
        <w:right w:val="none" w:sz="0" w:space="0" w:color="auto"/>
      </w:divBdr>
    </w:div>
    <w:div w:id="812330446">
      <w:bodyDiv w:val="1"/>
      <w:marLeft w:val="0"/>
      <w:marRight w:val="0"/>
      <w:marTop w:val="0"/>
      <w:marBottom w:val="0"/>
      <w:divBdr>
        <w:top w:val="none" w:sz="0" w:space="0" w:color="auto"/>
        <w:left w:val="none" w:sz="0" w:space="0" w:color="auto"/>
        <w:bottom w:val="none" w:sz="0" w:space="0" w:color="auto"/>
        <w:right w:val="none" w:sz="0" w:space="0" w:color="auto"/>
      </w:divBdr>
    </w:div>
    <w:div w:id="970943556">
      <w:bodyDiv w:val="1"/>
      <w:marLeft w:val="0"/>
      <w:marRight w:val="0"/>
      <w:marTop w:val="0"/>
      <w:marBottom w:val="0"/>
      <w:divBdr>
        <w:top w:val="none" w:sz="0" w:space="0" w:color="auto"/>
        <w:left w:val="none" w:sz="0" w:space="0" w:color="auto"/>
        <w:bottom w:val="none" w:sz="0" w:space="0" w:color="auto"/>
        <w:right w:val="none" w:sz="0" w:space="0" w:color="auto"/>
      </w:divBdr>
    </w:div>
    <w:div w:id="1084958130">
      <w:bodyDiv w:val="1"/>
      <w:marLeft w:val="0"/>
      <w:marRight w:val="0"/>
      <w:marTop w:val="0"/>
      <w:marBottom w:val="0"/>
      <w:divBdr>
        <w:top w:val="none" w:sz="0" w:space="0" w:color="auto"/>
        <w:left w:val="none" w:sz="0" w:space="0" w:color="auto"/>
        <w:bottom w:val="none" w:sz="0" w:space="0" w:color="auto"/>
        <w:right w:val="none" w:sz="0" w:space="0" w:color="auto"/>
      </w:divBdr>
    </w:div>
    <w:div w:id="1126199287">
      <w:bodyDiv w:val="1"/>
      <w:marLeft w:val="0"/>
      <w:marRight w:val="0"/>
      <w:marTop w:val="0"/>
      <w:marBottom w:val="0"/>
      <w:divBdr>
        <w:top w:val="none" w:sz="0" w:space="0" w:color="auto"/>
        <w:left w:val="none" w:sz="0" w:space="0" w:color="auto"/>
        <w:bottom w:val="none" w:sz="0" w:space="0" w:color="auto"/>
        <w:right w:val="none" w:sz="0" w:space="0" w:color="auto"/>
      </w:divBdr>
    </w:div>
    <w:div w:id="1236402256">
      <w:bodyDiv w:val="1"/>
      <w:marLeft w:val="0"/>
      <w:marRight w:val="0"/>
      <w:marTop w:val="0"/>
      <w:marBottom w:val="0"/>
      <w:divBdr>
        <w:top w:val="none" w:sz="0" w:space="0" w:color="auto"/>
        <w:left w:val="none" w:sz="0" w:space="0" w:color="auto"/>
        <w:bottom w:val="none" w:sz="0" w:space="0" w:color="auto"/>
        <w:right w:val="none" w:sz="0" w:space="0" w:color="auto"/>
      </w:divBdr>
    </w:div>
    <w:div w:id="1319184716">
      <w:bodyDiv w:val="1"/>
      <w:marLeft w:val="0"/>
      <w:marRight w:val="0"/>
      <w:marTop w:val="0"/>
      <w:marBottom w:val="0"/>
      <w:divBdr>
        <w:top w:val="none" w:sz="0" w:space="0" w:color="auto"/>
        <w:left w:val="none" w:sz="0" w:space="0" w:color="auto"/>
        <w:bottom w:val="none" w:sz="0" w:space="0" w:color="auto"/>
        <w:right w:val="none" w:sz="0" w:space="0" w:color="auto"/>
      </w:divBdr>
    </w:div>
    <w:div w:id="1332874562">
      <w:bodyDiv w:val="1"/>
      <w:marLeft w:val="0"/>
      <w:marRight w:val="0"/>
      <w:marTop w:val="0"/>
      <w:marBottom w:val="0"/>
      <w:divBdr>
        <w:top w:val="none" w:sz="0" w:space="0" w:color="auto"/>
        <w:left w:val="none" w:sz="0" w:space="0" w:color="auto"/>
        <w:bottom w:val="none" w:sz="0" w:space="0" w:color="auto"/>
        <w:right w:val="none" w:sz="0" w:space="0" w:color="auto"/>
      </w:divBdr>
    </w:div>
    <w:div w:id="1332954605">
      <w:bodyDiv w:val="1"/>
      <w:marLeft w:val="0"/>
      <w:marRight w:val="0"/>
      <w:marTop w:val="0"/>
      <w:marBottom w:val="0"/>
      <w:divBdr>
        <w:top w:val="none" w:sz="0" w:space="0" w:color="auto"/>
        <w:left w:val="none" w:sz="0" w:space="0" w:color="auto"/>
        <w:bottom w:val="none" w:sz="0" w:space="0" w:color="auto"/>
        <w:right w:val="none" w:sz="0" w:space="0" w:color="auto"/>
      </w:divBdr>
    </w:div>
    <w:div w:id="1422292829">
      <w:bodyDiv w:val="1"/>
      <w:marLeft w:val="0"/>
      <w:marRight w:val="0"/>
      <w:marTop w:val="0"/>
      <w:marBottom w:val="0"/>
      <w:divBdr>
        <w:top w:val="none" w:sz="0" w:space="0" w:color="auto"/>
        <w:left w:val="none" w:sz="0" w:space="0" w:color="auto"/>
        <w:bottom w:val="none" w:sz="0" w:space="0" w:color="auto"/>
        <w:right w:val="none" w:sz="0" w:space="0" w:color="auto"/>
      </w:divBdr>
    </w:div>
    <w:div w:id="1629508163">
      <w:bodyDiv w:val="1"/>
      <w:marLeft w:val="0"/>
      <w:marRight w:val="0"/>
      <w:marTop w:val="0"/>
      <w:marBottom w:val="0"/>
      <w:divBdr>
        <w:top w:val="none" w:sz="0" w:space="0" w:color="auto"/>
        <w:left w:val="none" w:sz="0" w:space="0" w:color="auto"/>
        <w:bottom w:val="none" w:sz="0" w:space="0" w:color="auto"/>
        <w:right w:val="none" w:sz="0" w:space="0" w:color="auto"/>
      </w:divBdr>
    </w:div>
    <w:div w:id="1831675323">
      <w:bodyDiv w:val="1"/>
      <w:marLeft w:val="0"/>
      <w:marRight w:val="0"/>
      <w:marTop w:val="0"/>
      <w:marBottom w:val="0"/>
      <w:divBdr>
        <w:top w:val="none" w:sz="0" w:space="0" w:color="auto"/>
        <w:left w:val="none" w:sz="0" w:space="0" w:color="auto"/>
        <w:bottom w:val="none" w:sz="0" w:space="0" w:color="auto"/>
        <w:right w:val="none" w:sz="0" w:space="0" w:color="auto"/>
      </w:divBdr>
    </w:div>
    <w:div w:id="1842041433">
      <w:bodyDiv w:val="1"/>
      <w:marLeft w:val="0"/>
      <w:marRight w:val="0"/>
      <w:marTop w:val="0"/>
      <w:marBottom w:val="0"/>
      <w:divBdr>
        <w:top w:val="none" w:sz="0" w:space="0" w:color="auto"/>
        <w:left w:val="none" w:sz="0" w:space="0" w:color="auto"/>
        <w:bottom w:val="none" w:sz="0" w:space="0" w:color="auto"/>
        <w:right w:val="none" w:sz="0" w:space="0" w:color="auto"/>
      </w:divBdr>
    </w:div>
    <w:div w:id="2058579492">
      <w:bodyDiv w:val="1"/>
      <w:marLeft w:val="0"/>
      <w:marRight w:val="0"/>
      <w:marTop w:val="0"/>
      <w:marBottom w:val="0"/>
      <w:divBdr>
        <w:top w:val="none" w:sz="0" w:space="0" w:color="auto"/>
        <w:left w:val="none" w:sz="0" w:space="0" w:color="auto"/>
        <w:bottom w:val="none" w:sz="0" w:space="0" w:color="auto"/>
        <w:right w:val="none" w:sz="0" w:space="0" w:color="auto"/>
      </w:divBdr>
    </w:div>
    <w:div w:id="21186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s://www.infrastructure.gov.au/media-communications-arts/better-connectivity-plan-regional-and-rural-australi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infrastructure.gov.au/" TargetMode="External"/><Relationship Id="rId25" Type="http://schemas.openxmlformats.org/officeDocument/2006/relationships/hyperlink" Target="https://www.acma.gov.au/statutory-infrastructure-provider-regime"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ma.gov.au/telecommunications-industry-levy-til-overview" TargetMode="External"/><Relationship Id="rId5" Type="http://schemas.openxmlformats.org/officeDocument/2006/relationships/customXml" Target="../customXml/item5.xml"/><Relationship Id="rId15" Type="http://schemas.openxmlformats.org/officeDocument/2006/relationships/hyperlink" Target="http://www.pmc.gov.au/" TargetMode="External"/><Relationship Id="rId23" Type="http://schemas.openxmlformats.org/officeDocument/2006/relationships/hyperlink" Target="mailto:usb@infrastructure.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 TargetMode="External"/><Relationship Id="rId22" Type="http://schemas.openxmlformats.org/officeDocument/2006/relationships/footer" Target="footer3.xml"/><Relationship Id="rId27" Type="http://schemas.openxmlformats.org/officeDocument/2006/relationships/image" Target="media/image4.pn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ITU-D/Digital-Inclusion/Documents/USF_final-en.pdf" TargetMode="External"/><Relationship Id="rId13" Type="http://schemas.openxmlformats.org/officeDocument/2006/relationships/hyperlink" Target="https://www.unescap.org/sites/default/files/Universal%20Access%20and%20Service%20Funds.pdf" TargetMode="External"/><Relationship Id="rId18" Type="http://schemas.openxmlformats.org/officeDocument/2006/relationships/hyperlink" Target="https://www.gsma.com/subsaharanafrica/wp-content/uploads/2023/10/USF-Africa.pdf" TargetMode="External"/><Relationship Id="rId26" Type="http://schemas.openxmlformats.org/officeDocument/2006/relationships/hyperlink" Target="https://www.itu.int/pub/D-PREF-EF.SERV_FUND-2013" TargetMode="External"/><Relationship Id="rId3" Type="http://schemas.openxmlformats.org/officeDocument/2006/relationships/hyperlink" Target="https://www.accc.gov.au/by-industry/telecommunications-and-internet/national-broadband-network-nbn-access-regulation/regional-broadband-scheme-levy-report" TargetMode="External"/><Relationship Id="rId21" Type="http://schemas.openxmlformats.org/officeDocument/2006/relationships/hyperlink" Target="https://economictimes.indiatimes.com/industry/telecom/telecom-news/budget-2023-telcos-want-licence-fee-cut-income-tax-credit-refund/articleshow/96501446.cms?from=mdr" TargetMode="External"/><Relationship Id="rId7" Type="http://schemas.openxmlformats.org/officeDocument/2006/relationships/hyperlink" Target="https://www.unescap.org/sites/default/files/Universal%20Access%20and%20Service%20Funds.pdf" TargetMode="External"/><Relationship Id="rId12" Type="http://schemas.openxmlformats.org/officeDocument/2006/relationships/hyperlink" Target="https://a4ai.org/wp-content/uploads/2022/01/USAF-Report-English.pdf" TargetMode="External"/><Relationship Id="rId17" Type="http://schemas.openxmlformats.org/officeDocument/2006/relationships/hyperlink" Target="https://a4ai.org/wp-content/uploads/2022/01/USAF-Report-English.pdf" TargetMode="External"/><Relationship Id="rId25" Type="http://schemas.openxmlformats.org/officeDocument/2006/relationships/hyperlink" Target="https://a4ai.org/wp-content/uploads/2022/01/USAF-Report-English.pdf" TargetMode="External"/><Relationship Id="rId2" Type="http://schemas.openxmlformats.org/officeDocument/2006/relationships/hyperlink" Target="https://www.infrastructure.gov.au/department/media/publications/nbn-non-commercial-services-funding-options-final-report-march-2016" TargetMode="External"/><Relationship Id="rId16" Type="http://schemas.openxmlformats.org/officeDocument/2006/relationships/hyperlink" Target="https://www.unescap.org/sites/default/files/Universal%20Access%20and%20Service%20Funds.pdf" TargetMode="External"/><Relationship Id="rId20" Type="http://schemas.openxmlformats.org/officeDocument/2006/relationships/hyperlink" Target="https://www.businesstoday.in/industry/telecom/story/telcos-seek-reduction-in-usof-contribution-license-fee-221287-2019-08-19" TargetMode="External"/><Relationship Id="rId29" Type="http://schemas.openxmlformats.org/officeDocument/2006/relationships/hyperlink" Target="https://www.pc.gov.au/research/completed/industry-levies" TargetMode="External"/><Relationship Id="rId1" Type="http://schemas.openxmlformats.org/officeDocument/2006/relationships/hyperlink" Target="http://www.infrastructure.gov.au/media-technology-communications/phone/phone-services/universal-service-guarantee-telecommunications/telecommunications-contract-and-grant-registers" TargetMode="External"/><Relationship Id="rId6" Type="http://schemas.openxmlformats.org/officeDocument/2006/relationships/hyperlink" Target="https://www.unescap.org/sites/default/files/Universal%20Access%20and%20Service%20Funds.pdf" TargetMode="External"/><Relationship Id="rId11" Type="http://schemas.openxmlformats.org/officeDocument/2006/relationships/hyperlink" Target="https://www.gsma.com/subsaharanafrica/wp-content/uploads/2023/10/USF-Africa.pdf" TargetMode="External"/><Relationship Id="rId24" Type="http://schemas.openxmlformats.org/officeDocument/2006/relationships/hyperlink" Target="https://www.unescap.org/sites/default/files/Universal%20Access%20and%20Service%20Funds.pdf" TargetMode="External"/><Relationship Id="rId5" Type="http://schemas.openxmlformats.org/officeDocument/2006/relationships/hyperlink" Target="https://www.itu.int/hub/publication/d-pref-ef-2021-eco_fin/" TargetMode="External"/><Relationship Id="rId15" Type="http://schemas.openxmlformats.org/officeDocument/2006/relationships/hyperlink" Target="https://www.itu.int/hub/publication/d-pref-ef-2021-eco_fin/" TargetMode="External"/><Relationship Id="rId23" Type="http://schemas.openxmlformats.org/officeDocument/2006/relationships/hyperlink" Target="https://www.itu.int/hub/publication/d-pref-ef-2021-eco_fin/" TargetMode="External"/><Relationship Id="rId28" Type="http://schemas.openxmlformats.org/officeDocument/2006/relationships/hyperlink" Target="https://www.aph.gov.au/Parliamentary_Business/Bills_LEGislation/Bills_Search_Results/Result?bId=r6452" TargetMode="External"/><Relationship Id="rId10" Type="http://schemas.openxmlformats.org/officeDocument/2006/relationships/hyperlink" Target="https://www.itu.int/en/ITU-D/Digital-Inclusion/Documents/USF_final-en.pdf" TargetMode="External"/><Relationship Id="rId19" Type="http://schemas.openxmlformats.org/officeDocument/2006/relationships/hyperlink" Target="https://factly.in/data-after-20-years-of-its-introduction-about-50-of-the-usof-remains-unutilized/" TargetMode="External"/><Relationship Id="rId4" Type="http://schemas.openxmlformats.org/officeDocument/2006/relationships/hyperlink" Target="https://www.niaa.gov.au/resource-centre/indigenous-affairs/first-nations-digital-inclusion-plan-2023-26" TargetMode="External"/><Relationship Id="rId9" Type="http://schemas.openxmlformats.org/officeDocument/2006/relationships/hyperlink" Target="https://www.unescap.org/sites/default/files/Universal%20Access%20and%20Service%20Funds.pdf" TargetMode="External"/><Relationship Id="rId14" Type="http://schemas.openxmlformats.org/officeDocument/2006/relationships/hyperlink" Target="https://www.gsma.com/publicpolicy/wp-content/uploads/2016/09/GSMA2013_Report_SurveyOfUniversalServiceFunds.pdf" TargetMode="External"/><Relationship Id="rId22" Type="http://schemas.openxmlformats.org/officeDocument/2006/relationships/hyperlink" Target="https://www.unescap.org/sites/default/files/Universal%20Access%20and%20Service%20Funds.pdf" TargetMode="External"/><Relationship Id="rId27" Type="http://schemas.openxmlformats.org/officeDocument/2006/relationships/hyperlink" Target="https://www.aph.gov.au/Parliamentary_Business/Bills_Legislation/Bills_Search_Results/Result?bId=r6451" TargetMode="External"/><Relationship Id="rId30" Type="http://schemas.openxmlformats.org/officeDocument/2006/relationships/hyperlink" Target="https://www.infrastructure.gov.au/sites/default/files/documents/bcr_nbn_non-commercial_services_final_report_v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vey\AppData\Local\Temp\4\Temp1_Corporate%20Word%20and%20PowerPoint%20templates_1%20July%202022%20(6).zip\DITRDCA_Document%20template_1%20July%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ABE90ABB1C4FA787D4FDB347CCF116"/>
        <w:category>
          <w:name w:val="General"/>
          <w:gallery w:val="placeholder"/>
        </w:category>
        <w:types>
          <w:type w:val="bbPlcHdr"/>
        </w:types>
        <w:behaviors>
          <w:behavior w:val="content"/>
        </w:behaviors>
        <w:guid w:val="{C1439FD3-B8DA-480B-ABD3-734899347561}"/>
      </w:docPartPr>
      <w:docPartBody>
        <w:p w:rsidR="00DF4B82" w:rsidRDefault="004746CE">
          <w:pPr>
            <w:pStyle w:val="2EABE90ABB1C4FA787D4FDB347CCF116"/>
          </w:pPr>
          <w:r w:rsidRPr="00EC51DD">
            <w:rPr>
              <w:rStyle w:val="PlaceholderText"/>
            </w:rPr>
            <w:t>[Publish Date]</w:t>
          </w:r>
        </w:p>
      </w:docPartBody>
    </w:docPart>
    <w:docPart>
      <w:docPartPr>
        <w:name w:val="8248ECE0A1D541EC860541F613676BC2"/>
        <w:category>
          <w:name w:val="General"/>
          <w:gallery w:val="placeholder"/>
        </w:category>
        <w:types>
          <w:type w:val="bbPlcHdr"/>
        </w:types>
        <w:behaviors>
          <w:behavior w:val="content"/>
        </w:behaviors>
        <w:guid w:val="{1832CF8F-6524-4F19-A47B-F9B8FFD58EEB}"/>
      </w:docPartPr>
      <w:docPartBody>
        <w:p w:rsidR="006E187E" w:rsidRDefault="004746CE">
          <w:pPr>
            <w:pStyle w:val="8248ECE0A1D541EC860541F613676BC2"/>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CE"/>
    <w:rsid w:val="000079F5"/>
    <w:rsid w:val="000459F4"/>
    <w:rsid w:val="00046BC4"/>
    <w:rsid w:val="0005670D"/>
    <w:rsid w:val="00080880"/>
    <w:rsid w:val="000A20F7"/>
    <w:rsid w:val="000B3C40"/>
    <w:rsid w:val="000E3ACB"/>
    <w:rsid w:val="0011542B"/>
    <w:rsid w:val="00124B1E"/>
    <w:rsid w:val="001B3186"/>
    <w:rsid w:val="001D5884"/>
    <w:rsid w:val="002179FE"/>
    <w:rsid w:val="00237711"/>
    <w:rsid w:val="00244386"/>
    <w:rsid w:val="0024662C"/>
    <w:rsid w:val="00273409"/>
    <w:rsid w:val="00273767"/>
    <w:rsid w:val="00275591"/>
    <w:rsid w:val="002B1AF9"/>
    <w:rsid w:val="002D2574"/>
    <w:rsid w:val="002E3F12"/>
    <w:rsid w:val="0030217B"/>
    <w:rsid w:val="00303772"/>
    <w:rsid w:val="00312FE3"/>
    <w:rsid w:val="00337DED"/>
    <w:rsid w:val="003923AF"/>
    <w:rsid w:val="003B2A5C"/>
    <w:rsid w:val="003C4539"/>
    <w:rsid w:val="003F3205"/>
    <w:rsid w:val="00401246"/>
    <w:rsid w:val="00426F3F"/>
    <w:rsid w:val="00436476"/>
    <w:rsid w:val="00464FB3"/>
    <w:rsid w:val="00467F87"/>
    <w:rsid w:val="004746CE"/>
    <w:rsid w:val="00485BC7"/>
    <w:rsid w:val="004A440C"/>
    <w:rsid w:val="0053516D"/>
    <w:rsid w:val="005374B7"/>
    <w:rsid w:val="00576EC8"/>
    <w:rsid w:val="00586B03"/>
    <w:rsid w:val="0059675B"/>
    <w:rsid w:val="005969D1"/>
    <w:rsid w:val="005E4773"/>
    <w:rsid w:val="00615241"/>
    <w:rsid w:val="00643387"/>
    <w:rsid w:val="006646D6"/>
    <w:rsid w:val="0066758A"/>
    <w:rsid w:val="006832B8"/>
    <w:rsid w:val="006E16A8"/>
    <w:rsid w:val="006E187E"/>
    <w:rsid w:val="0074556F"/>
    <w:rsid w:val="007539C5"/>
    <w:rsid w:val="0077446F"/>
    <w:rsid w:val="00777802"/>
    <w:rsid w:val="007B4FF7"/>
    <w:rsid w:val="007F2343"/>
    <w:rsid w:val="008674AB"/>
    <w:rsid w:val="008E1A64"/>
    <w:rsid w:val="008F0E59"/>
    <w:rsid w:val="0092055D"/>
    <w:rsid w:val="009225EF"/>
    <w:rsid w:val="00922E43"/>
    <w:rsid w:val="009574DB"/>
    <w:rsid w:val="00972D81"/>
    <w:rsid w:val="00995AAC"/>
    <w:rsid w:val="009B4B8E"/>
    <w:rsid w:val="009E3787"/>
    <w:rsid w:val="00A00E9D"/>
    <w:rsid w:val="00A32D8B"/>
    <w:rsid w:val="00A42EBC"/>
    <w:rsid w:val="00A61F15"/>
    <w:rsid w:val="00A87560"/>
    <w:rsid w:val="00AE447C"/>
    <w:rsid w:val="00AF4DB4"/>
    <w:rsid w:val="00B03CE2"/>
    <w:rsid w:val="00B179DA"/>
    <w:rsid w:val="00B451CB"/>
    <w:rsid w:val="00B57B07"/>
    <w:rsid w:val="00B96A4C"/>
    <w:rsid w:val="00BA400F"/>
    <w:rsid w:val="00BB07E1"/>
    <w:rsid w:val="00BB382E"/>
    <w:rsid w:val="00BC490E"/>
    <w:rsid w:val="00BC60F3"/>
    <w:rsid w:val="00C02431"/>
    <w:rsid w:val="00C036DF"/>
    <w:rsid w:val="00C42BDB"/>
    <w:rsid w:val="00C51810"/>
    <w:rsid w:val="00C849CB"/>
    <w:rsid w:val="00CB6E81"/>
    <w:rsid w:val="00CD2CCC"/>
    <w:rsid w:val="00D21990"/>
    <w:rsid w:val="00D318AF"/>
    <w:rsid w:val="00DB1720"/>
    <w:rsid w:val="00DC330C"/>
    <w:rsid w:val="00DD7721"/>
    <w:rsid w:val="00DE6D9B"/>
    <w:rsid w:val="00DF4B82"/>
    <w:rsid w:val="00E7222E"/>
    <w:rsid w:val="00EB77C6"/>
    <w:rsid w:val="00ED4F0E"/>
    <w:rsid w:val="00F31DA6"/>
    <w:rsid w:val="00F6506B"/>
    <w:rsid w:val="00F87C28"/>
    <w:rsid w:val="00FC41F2"/>
    <w:rsid w:val="00FD28CC"/>
    <w:rsid w:val="00FE3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82D1707F6E4FF38F493585000708FC">
    <w:name w:val="1A82D1707F6E4FF38F493585000708FC"/>
  </w:style>
  <w:style w:type="paragraph" w:customStyle="1" w:styleId="2EABE90ABB1C4FA787D4FDB347CCF116">
    <w:name w:val="2EABE90ABB1C4FA787D4FDB347CCF116"/>
  </w:style>
  <w:style w:type="paragraph" w:customStyle="1" w:styleId="8248ECE0A1D541EC860541F613676BC2">
    <w:name w:val="8248ECE0A1D541EC860541F613676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45556878ED749B6899FF119D637E9" ma:contentTypeVersion="3" ma:contentTypeDescription="Create a new document." ma:contentTypeScope="" ma:versionID="46e31c0dfcb60c040f782aeeda97206a">
  <xsd:schema xmlns:xsd="http://www.w3.org/2001/XMLSchema" xmlns:xs="http://www.w3.org/2001/XMLSchema" xmlns:p="http://schemas.microsoft.com/office/2006/metadata/properties" xmlns:ns2="b97136d0-af1d-4279-be7c-574a1312ae47" xmlns:ns3="c875c253-b375-441f-9b11-b8de834bb70f" targetNamespace="http://schemas.microsoft.com/office/2006/metadata/properties" ma:root="true" ma:fieldsID="207a84a4bdd0cc29649bc5f42d142055" ns2:_="" ns3:_="">
    <xsd:import namespace="b97136d0-af1d-4279-be7c-574a1312ae47"/>
    <xsd:import namespace="c875c253-b375-441f-9b11-b8de834bb70f"/>
    <xsd:element name="properties">
      <xsd:complexType>
        <xsd:sequence>
          <xsd:element name="documentManagement">
            <xsd:complexType>
              <xsd:all>
                <xsd:element ref="ns2:RecordNumber" minOccurs="0"/>
                <xsd:element ref="ns2:gb98109e531445dda206e2c9d46d4258" minOccurs="0"/>
                <xsd:element ref="ns2:TaxCatchAll" minOccurs="0"/>
                <xsd:element ref="ns2:TaxCatchAllLabel" minOccurs="0"/>
                <xsd:element ref="ns2:l26485d7e5984149b4e8d7567b840bea" minOccurs="0"/>
                <xsd:element ref="ns2:Destroy Item46" minOccurs="0"/>
                <xsd:element ref="ns2:Justification for Destruction47" minOccurs="0"/>
                <xsd:element ref="ns2:Document_x0020_SP_x0020_Type" minOccurs="0"/>
                <xsd:element ref="ns2:SharedWithUsers" minOccurs="0"/>
                <xsd:element ref="ns2:SharedWithDetails" minOccurs="0"/>
                <xsd:element ref="ns3: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136d0-af1d-4279-be7c-574a1312ae47"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b98109e531445dda206e2c9d46d4258" ma:index="9" ma:taxonomy="true" ma:internalName="gb98109e531445dda206e2c9d46d4258" ma:taxonomyFieldName="Security_x0020_Classification" ma:displayName="Security Classification" ma:readOnly="false" ma:default="1;#OFFICIAL|66ee57a8-59d0-46bc-a5fc-78440ee0cf81" ma:fieldId="{0b98109e-5314-45dd-a206-e2c9d46d4258}"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d612deed-048a-4d1a-af6e-51e417a80968}" ma:internalName="TaxCatchAll" ma:showField="CatchAllData" ma:web="b97136d0-af1d-4279-be7c-574a1312ae4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612deed-048a-4d1a-af6e-51e417a80968}" ma:internalName="TaxCatchAllLabel" ma:readOnly="true" ma:showField="CatchAllDataLabel" ma:web="b97136d0-af1d-4279-be7c-574a1312ae47">
      <xsd:complexType>
        <xsd:complexContent>
          <xsd:extension base="dms:MultiChoiceLookup">
            <xsd:sequence>
              <xsd:element name="Value" type="dms:Lookup" maxOccurs="unbounded" minOccurs="0" nillable="true"/>
            </xsd:sequence>
          </xsd:extension>
        </xsd:complexContent>
      </xsd:complexType>
    </xsd:element>
    <xsd:element name="l26485d7e5984149b4e8d7567b840bea" ma:index="13" nillable="true" ma:taxonomy="true" ma:internalName="l26485d7e5984149b4e8d7567b840bea" ma:taxonomyFieldName="Information_x0020_Management_x0020_Marker" ma:displayName="Information Management Marker" ma:default="" ma:fieldId="{526485d7-e598-4149-b4e8-d7567b840bea}"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hidden="true" ma:internalName="Document_x0020_SP_x0020_Type" ma:readOnly="false">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5c253-b375-441f-9b11-b8de834bb70f" elementFormDefault="qualified">
    <xsd:import namespace="http://schemas.microsoft.com/office/2006/documentManagement/types"/>
    <xsd:import namespace="http://schemas.microsoft.com/office/infopath/2007/PartnerControls"/>
    <xsd:element name="Tags" ma:index="20" nillable="true" ma:displayName="Tags" ma:description="add free text tags"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B110DA-8D7F-43E0-ABE8-B00087475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136d0-af1d-4279-be7c-574a1312ae47"/>
    <ds:schemaRef ds:uri="c875c253-b375-441f-9b11-b8de834bb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BEFA9-9614-41E4-B800-51DCEE9CAD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CC59D5-95E0-4182-9380-D4C45D19DD6D}">
  <ds:schemaRefs>
    <ds:schemaRef ds:uri="http://schemas.microsoft.com/sharepoint/v3/contenttype/forms"/>
  </ds:schemaRefs>
</ds:datastoreItem>
</file>

<file path=customXml/itemProps5.xml><?xml version="1.0" encoding="utf-8"?>
<ds:datastoreItem xmlns:ds="http://schemas.openxmlformats.org/officeDocument/2006/customXml" ds:itemID="{20B127C5-3A06-420B-A410-44FA21B8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template_1 July 2022.dotx</Template>
  <TotalTime>1</TotalTime>
  <Pages>21</Pages>
  <Words>9524</Words>
  <Characters>53909</Characters>
  <Application>Microsoft Office Word</Application>
  <DocSecurity>0</DocSecurity>
  <Lines>980</Lines>
  <Paragraphs>411</Paragraphs>
  <ScaleCrop>false</ScaleCrop>
  <HeadingPairs>
    <vt:vector size="2" baseType="variant">
      <vt:variant>
        <vt:lpstr>Title</vt:lpstr>
      </vt:variant>
      <vt:variant>
        <vt:i4>1</vt:i4>
      </vt:variant>
    </vt:vector>
  </HeadingPairs>
  <TitlesOfParts>
    <vt:vector size="1" baseType="lpstr">
      <vt:lpstr>Funding of universal telecommunications services</vt:lpstr>
    </vt:vector>
  </TitlesOfParts>
  <Manager>Loretta.Power@INFRASTRUCTURE.gov.au</Manager>
  <Company>Department of Infrastructure &amp; Regional Development</Company>
  <LinksUpToDate>false</LinksUpToDate>
  <CharactersWithSpaces>63022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of universal telecommunications services</dc:title>
  <dc:subject/>
  <dc:creator>Loretta.Power@INFRASTRUCTURE.gov.au</dc:creator>
  <cp:keywords/>
  <dc:description/>
  <cp:lastModifiedBy>Power, Loretta</cp:lastModifiedBy>
  <cp:revision>3</cp:revision>
  <cp:lastPrinted>2024-04-09T07:26:00Z</cp:lastPrinted>
  <dcterms:created xsi:type="dcterms:W3CDTF">2024-04-09T07:25:00Z</dcterms:created>
  <dcterms:modified xsi:type="dcterms:W3CDTF">2024-04-09T07:26:00Z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0x0101003F045556878ED749B6899FF119D637E9</vt:lpwstr>
  </property>
  <property fmtid="{D5CDD505-2E9C-101B-9397-08002B2CF9AE}" pid="3" name="TrimRevisionNumber">
    <vt:i4>22</vt:i4>
  </property>
</Properties>
</file>