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5F5F00" w14:textId="77777777" w:rsidR="00D706B7" w:rsidRPr="005F1388" w:rsidRDefault="00D706B7" w:rsidP="00D706B7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35213DA7" wp14:editId="57470AA1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C5F2A" w14:textId="77777777" w:rsidR="00D706B7" w:rsidRPr="00E500D4" w:rsidRDefault="00D706B7" w:rsidP="00D706B7">
      <w:pPr>
        <w:rPr>
          <w:sz w:val="19"/>
        </w:rPr>
      </w:pPr>
    </w:p>
    <w:p w14:paraId="4E6B91C5" w14:textId="77777777" w:rsidR="00D706B7" w:rsidRPr="00D46F01" w:rsidRDefault="00D706B7" w:rsidP="00D706B7">
      <w:pPr>
        <w:pStyle w:val="ShortT"/>
        <w:spacing w:before="240"/>
      </w:pPr>
      <w:bookmarkStart w:id="0" w:name="_GoBack"/>
      <w:r>
        <w:t>Telecommunications (Fibre-ready Facilities — Exempt Real Estate Development Projects) Instrument 2023</w:t>
      </w:r>
      <w:bookmarkEnd w:id="0"/>
      <w:r>
        <w:t xml:space="preserve"> </w:t>
      </w:r>
    </w:p>
    <w:p w14:paraId="0FC3FF4C" w14:textId="77777777" w:rsidR="00D706B7" w:rsidRPr="007B5C7B" w:rsidRDefault="00D706B7" w:rsidP="00D706B7">
      <w:pPr>
        <w:pStyle w:val="SignCoverPageStart"/>
        <w:spacing w:before="240"/>
        <w:ind w:right="91"/>
        <w:rPr>
          <w:szCs w:val="22"/>
        </w:rPr>
      </w:pPr>
      <w:r w:rsidRPr="007B5C7B">
        <w:rPr>
          <w:szCs w:val="22"/>
        </w:rPr>
        <w:t>I, Michelle Rowland, Minister for Communications make the following instrument.</w:t>
      </w:r>
    </w:p>
    <w:p w14:paraId="6D25BA15" w14:textId="77777777" w:rsidR="00D706B7" w:rsidRPr="007B5C7B" w:rsidRDefault="00D706B7" w:rsidP="00D706B7">
      <w:pPr>
        <w:keepNext/>
        <w:spacing w:before="300" w:line="240" w:lineRule="atLeast"/>
        <w:ind w:right="397"/>
        <w:jc w:val="both"/>
        <w:rPr>
          <w:szCs w:val="22"/>
        </w:rPr>
      </w:pPr>
      <w:r w:rsidRPr="007B5C7B">
        <w:rPr>
          <w:szCs w:val="22"/>
        </w:rPr>
        <w:t>Dated</w:t>
      </w:r>
      <w:r w:rsidRPr="007B5C7B">
        <w:rPr>
          <w:szCs w:val="22"/>
        </w:rPr>
        <w:tab/>
      </w:r>
      <w:r w:rsidRPr="007B5C7B">
        <w:rPr>
          <w:szCs w:val="22"/>
        </w:rPr>
        <w:tab/>
      </w:r>
      <w:r w:rsidRPr="007B5C7B">
        <w:rPr>
          <w:szCs w:val="22"/>
        </w:rPr>
        <w:tab/>
      </w:r>
      <w:r w:rsidRPr="007B5C7B">
        <w:rPr>
          <w:szCs w:val="22"/>
        </w:rPr>
        <w:tab/>
      </w:r>
    </w:p>
    <w:p w14:paraId="5B60AFAA" w14:textId="77777777" w:rsidR="00D706B7" w:rsidRPr="007B5C7B" w:rsidRDefault="00D706B7" w:rsidP="00D706B7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7B5C7B">
        <w:rPr>
          <w:szCs w:val="22"/>
        </w:rPr>
        <w:t xml:space="preserve">Michelle Rowland </w:t>
      </w:r>
      <w:r w:rsidRPr="007B5C7B">
        <w:rPr>
          <w:b/>
          <w:szCs w:val="22"/>
          <w:highlight w:val="yellow"/>
        </w:rPr>
        <w:t>DRAFT ONLY—NOT FOR SIGNATURE</w:t>
      </w:r>
    </w:p>
    <w:p w14:paraId="273FE64D" w14:textId="77777777" w:rsidR="00D706B7" w:rsidRPr="008E0027" w:rsidRDefault="00D706B7" w:rsidP="00D706B7">
      <w:pPr>
        <w:pStyle w:val="SignCoverPageEnd"/>
        <w:ind w:right="91"/>
        <w:rPr>
          <w:sz w:val="22"/>
        </w:rPr>
      </w:pPr>
      <w:r w:rsidRPr="007B5C7B">
        <w:rPr>
          <w:sz w:val="22"/>
        </w:rPr>
        <w:t xml:space="preserve">Minister for Communications </w:t>
      </w:r>
    </w:p>
    <w:p w14:paraId="5972CDC5" w14:textId="77777777" w:rsidR="00D706B7" w:rsidRDefault="00D706B7" w:rsidP="00D706B7"/>
    <w:p w14:paraId="244CE871" w14:textId="77777777" w:rsidR="00D706B7" w:rsidRPr="00ED79B6" w:rsidRDefault="00D706B7" w:rsidP="00D706B7"/>
    <w:p w14:paraId="357E03C7" w14:textId="77777777" w:rsidR="00D706B7" w:rsidRDefault="00D706B7" w:rsidP="00D706B7"/>
    <w:p w14:paraId="3E63C322" w14:textId="77777777" w:rsidR="00D706B7" w:rsidRDefault="00D706B7" w:rsidP="00D706B7">
      <w:pPr>
        <w:sectPr w:rsidR="00D706B7" w:rsidSect="00D706B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1441C107" w14:textId="77777777" w:rsidR="00D706B7" w:rsidRDefault="00D706B7" w:rsidP="00D706B7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3996DC92" w14:textId="77777777" w:rsidR="00D706B7" w:rsidRDefault="00D706B7" w:rsidP="00D706B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  Name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_Toc140239261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6B989B43" w14:textId="77777777" w:rsidR="00D706B7" w:rsidRDefault="00D706B7" w:rsidP="00D706B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_Toc140239262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58894B74" w14:textId="77777777" w:rsidR="00D706B7" w:rsidRDefault="00D706B7" w:rsidP="00D706B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_Toc140239263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2620938F" w14:textId="77777777" w:rsidR="00D706B7" w:rsidRDefault="00D706B7" w:rsidP="00D706B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_Toc140239264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4AC99670" w14:textId="77777777" w:rsidR="00D706B7" w:rsidRDefault="00D706B7" w:rsidP="00D706B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_Toc140239265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329D1716" w14:textId="77777777" w:rsidR="00D706B7" w:rsidRDefault="00D706B7" w:rsidP="00D706B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Exempt real estate development projects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_Toc140239266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4F8B7D02" w14:textId="77777777" w:rsidR="00D706B7" w:rsidRDefault="00D706B7" w:rsidP="00D706B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875014">
        <w:rPr>
          <w:noProof/>
        </w:rPr>
        <w:t>Schedule 1—Repeals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_Toc140239267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3547A3A6" w14:textId="77777777" w:rsidR="00D706B7" w:rsidRDefault="00D706B7" w:rsidP="00D706B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Telecommunications (Fibre-ready Facilities — Exempt Real Estate Development Projects) Instrument 2021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_Toc140239268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185DDCB1" w14:textId="77777777" w:rsidR="00D706B7" w:rsidRDefault="00D706B7" w:rsidP="00D706B7">
      <w:pPr>
        <w:outlineLvl w:val="0"/>
      </w:pPr>
      <w:r>
        <w:fldChar w:fldCharType="end"/>
      </w:r>
    </w:p>
    <w:p w14:paraId="63E82D6B" w14:textId="77777777" w:rsidR="00D706B7" w:rsidRPr="00A802BC" w:rsidRDefault="00D706B7" w:rsidP="00D706B7">
      <w:pPr>
        <w:outlineLvl w:val="0"/>
        <w:rPr>
          <w:sz w:val="20"/>
        </w:rPr>
      </w:pPr>
    </w:p>
    <w:p w14:paraId="5D2347C6" w14:textId="77777777" w:rsidR="00D706B7" w:rsidRDefault="00D706B7" w:rsidP="00D706B7">
      <w:pPr>
        <w:sectPr w:rsidR="00D706B7" w:rsidSect="00E0483D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D8551F8" w14:textId="77777777" w:rsidR="00D706B7" w:rsidRPr="007B5C7B" w:rsidRDefault="00D706B7" w:rsidP="00D706B7">
      <w:pPr>
        <w:pStyle w:val="ActHead5"/>
      </w:pPr>
      <w:bookmarkStart w:id="1" w:name="_Toc140239261"/>
      <w:r w:rsidRPr="007B5C7B">
        <w:lastRenderedPageBreak/>
        <w:t>1  Name</w:t>
      </w:r>
      <w:bookmarkEnd w:id="1"/>
    </w:p>
    <w:p w14:paraId="6EA6652B" w14:textId="77777777" w:rsidR="00D706B7" w:rsidRPr="007B5C7B" w:rsidRDefault="00D706B7" w:rsidP="00D706B7">
      <w:pPr>
        <w:pStyle w:val="subsection"/>
      </w:pPr>
      <w:r w:rsidRPr="007B5C7B">
        <w:tab/>
      </w:r>
      <w:r w:rsidRPr="007B5C7B">
        <w:tab/>
        <w:t>This instrument is the</w:t>
      </w:r>
      <w:bookmarkStart w:id="2" w:name="BKCheck15B_3"/>
      <w:bookmarkEnd w:id="2"/>
      <w:r w:rsidRPr="007B5C7B">
        <w:t xml:space="preserve"> </w:t>
      </w:r>
      <w:r w:rsidRPr="00F91CF0">
        <w:rPr>
          <w:i/>
        </w:rPr>
        <w:t>Telecommunications (Fibre-ready Facilities — Exempt Real Estate Development Projects) Instrument 2023</w:t>
      </w:r>
      <w:r w:rsidRPr="00F91CF0">
        <w:rPr>
          <w:b/>
        </w:rPr>
        <w:t xml:space="preserve">. </w:t>
      </w:r>
    </w:p>
    <w:p w14:paraId="008406CE" w14:textId="77777777" w:rsidR="00D706B7" w:rsidRPr="007B5C7B" w:rsidRDefault="00D706B7" w:rsidP="00D706B7">
      <w:pPr>
        <w:pStyle w:val="ActHead5"/>
      </w:pPr>
      <w:bookmarkStart w:id="3" w:name="_Toc140239262"/>
      <w:r w:rsidRPr="007B5C7B">
        <w:t>2  Commencement</w:t>
      </w:r>
      <w:bookmarkEnd w:id="3"/>
    </w:p>
    <w:p w14:paraId="6405BAC4" w14:textId="77777777" w:rsidR="00D706B7" w:rsidRPr="007B5C7B" w:rsidRDefault="00D706B7" w:rsidP="00D706B7">
      <w:pPr>
        <w:pStyle w:val="subsection"/>
      </w:pPr>
      <w:r w:rsidRPr="007B5C7B">
        <w:tab/>
      </w:r>
      <w:r w:rsidRPr="007B5C7B">
        <w:tab/>
        <w:t>This instrument commences</w:t>
      </w:r>
      <w:r w:rsidRPr="00F91CF0">
        <w:t xml:space="preserve"> on the day after this instrument is registered</w:t>
      </w:r>
      <w:r w:rsidRPr="007B5C7B">
        <w:t>.</w:t>
      </w:r>
    </w:p>
    <w:p w14:paraId="4ADAD84E" w14:textId="77777777" w:rsidR="00D706B7" w:rsidRPr="007B5C7B" w:rsidRDefault="00D706B7" w:rsidP="00D706B7">
      <w:pPr>
        <w:pStyle w:val="ActHead5"/>
      </w:pPr>
      <w:bookmarkStart w:id="4" w:name="_Toc140239263"/>
      <w:r w:rsidRPr="007B5C7B">
        <w:t>3  Authority</w:t>
      </w:r>
      <w:bookmarkEnd w:id="4"/>
    </w:p>
    <w:p w14:paraId="48A90B3E" w14:textId="77777777" w:rsidR="00D706B7" w:rsidRPr="007B5C7B" w:rsidRDefault="00D706B7" w:rsidP="00D706B7">
      <w:pPr>
        <w:pStyle w:val="subsection"/>
      </w:pPr>
      <w:r w:rsidRPr="007B5C7B">
        <w:tab/>
      </w:r>
      <w:r w:rsidRPr="007B5C7B">
        <w:tab/>
        <w:t xml:space="preserve">This instrument is made under </w:t>
      </w:r>
      <w:r w:rsidRPr="00F91CF0">
        <w:t xml:space="preserve">paragraphs 372K(1)(b), (c), (d), (e) and (f) of the </w:t>
      </w:r>
      <w:r w:rsidRPr="00F91CF0">
        <w:rPr>
          <w:i/>
        </w:rPr>
        <w:t>Telecommunications Act 1997</w:t>
      </w:r>
      <w:r w:rsidRPr="007B5C7B">
        <w:t>.</w:t>
      </w:r>
    </w:p>
    <w:p w14:paraId="18211A60" w14:textId="77777777" w:rsidR="00D706B7" w:rsidRPr="007B5C7B" w:rsidRDefault="00D706B7" w:rsidP="00D706B7">
      <w:pPr>
        <w:pStyle w:val="ActHead5"/>
      </w:pPr>
      <w:bookmarkStart w:id="5" w:name="_Toc140239264"/>
      <w:r w:rsidRPr="007B5C7B">
        <w:t>4  Definitions</w:t>
      </w:r>
      <w:bookmarkEnd w:id="5"/>
    </w:p>
    <w:p w14:paraId="48FD87FA" w14:textId="77777777" w:rsidR="00D706B7" w:rsidRPr="007B5C7B" w:rsidRDefault="00D706B7" w:rsidP="00D706B7">
      <w:pPr>
        <w:pStyle w:val="notetext"/>
      </w:pPr>
      <w:r w:rsidRPr="007B5C7B">
        <w:t>Note:</w:t>
      </w:r>
      <w:r w:rsidRPr="007B5C7B">
        <w:tab/>
        <w:t xml:space="preserve">A number of expressions used in this instrument are </w:t>
      </w:r>
      <w:r w:rsidRPr="00F91CF0">
        <w:t>defined in the Act</w:t>
      </w:r>
      <w:r w:rsidRPr="007B5C7B">
        <w:t>, including the following:</w:t>
      </w:r>
    </w:p>
    <w:p w14:paraId="41565704" w14:textId="77777777" w:rsidR="00D706B7" w:rsidRPr="007B5C7B" w:rsidRDefault="00D706B7" w:rsidP="00D706B7">
      <w:pPr>
        <w:pStyle w:val="notepara"/>
      </w:pPr>
      <w:r w:rsidRPr="007B5C7B">
        <w:t>(a)</w:t>
      </w:r>
      <w:r w:rsidRPr="007B5C7B">
        <w:tab/>
        <w:t>building lot (section 7);</w:t>
      </w:r>
    </w:p>
    <w:p w14:paraId="2854FC16" w14:textId="77777777" w:rsidR="00D706B7" w:rsidRDefault="00D706B7" w:rsidP="00D706B7">
      <w:pPr>
        <w:pStyle w:val="notepara"/>
      </w:pPr>
      <w:r w:rsidRPr="007B5C7B">
        <w:t>(b)</w:t>
      </w:r>
      <w:r w:rsidRPr="007B5C7B">
        <w:tab/>
        <w:t>building unit (section 7);</w:t>
      </w:r>
      <w:r w:rsidRPr="000B7DB5">
        <w:t xml:space="preserve"> </w:t>
      </w:r>
    </w:p>
    <w:p w14:paraId="5F57A458" w14:textId="77777777" w:rsidR="00D706B7" w:rsidRPr="000B7DB5" w:rsidRDefault="00D706B7" w:rsidP="00D706B7">
      <w:pPr>
        <w:pStyle w:val="notepara"/>
      </w:pPr>
      <w:r w:rsidRPr="000B7DB5">
        <w:t>(</w:t>
      </w:r>
      <w:r>
        <w:t>c</w:t>
      </w:r>
      <w:r w:rsidRPr="000B7DB5">
        <w:t>)</w:t>
      </w:r>
      <w:r w:rsidRPr="000B7DB5">
        <w:tab/>
        <w:t>fibre-ready facility (section 7);</w:t>
      </w:r>
    </w:p>
    <w:p w14:paraId="4048A154" w14:textId="77777777" w:rsidR="00D706B7" w:rsidRPr="000B7DB5" w:rsidRDefault="00D706B7" w:rsidP="00D706B7">
      <w:pPr>
        <w:pStyle w:val="notepara"/>
      </w:pPr>
      <w:r w:rsidRPr="000B7DB5">
        <w:t>(</w:t>
      </w:r>
      <w:r>
        <w:t>d</w:t>
      </w:r>
      <w:r w:rsidRPr="000B7DB5">
        <w:t>)</w:t>
      </w:r>
      <w:r w:rsidRPr="000B7DB5">
        <w:tab/>
      </w:r>
      <w:r>
        <w:t>fixed-line facility</w:t>
      </w:r>
      <w:r w:rsidRPr="000B7DB5">
        <w:t xml:space="preserve"> (sectio</w:t>
      </w:r>
      <w:r>
        <w:t>n 7</w:t>
      </w:r>
      <w:r w:rsidRPr="000B7DB5">
        <w:t>);</w:t>
      </w:r>
    </w:p>
    <w:p w14:paraId="3D61F9CB" w14:textId="77777777" w:rsidR="00D706B7" w:rsidRPr="000B7DB5" w:rsidRDefault="00D706B7" w:rsidP="00D706B7">
      <w:pPr>
        <w:pStyle w:val="notepara"/>
      </w:pPr>
      <w:r w:rsidRPr="000B7DB5">
        <w:t>(</w:t>
      </w:r>
      <w:r>
        <w:t>e</w:t>
      </w:r>
      <w:r w:rsidRPr="000B7DB5">
        <w:t>)</w:t>
      </w:r>
      <w:r w:rsidRPr="000B7DB5">
        <w:tab/>
        <w:t xml:space="preserve">project area (section 7);  </w:t>
      </w:r>
    </w:p>
    <w:p w14:paraId="72B8B842" w14:textId="77777777" w:rsidR="00D706B7" w:rsidRPr="000B7DB5" w:rsidRDefault="00D706B7" w:rsidP="00D706B7">
      <w:pPr>
        <w:pStyle w:val="notepara"/>
      </w:pPr>
      <w:r w:rsidRPr="000B7DB5">
        <w:t>(</w:t>
      </w:r>
      <w:r>
        <w:t>f</w:t>
      </w:r>
      <w:r w:rsidRPr="000B7DB5">
        <w:t>)</w:t>
      </w:r>
      <w:r w:rsidRPr="000B7DB5">
        <w:tab/>
        <w:t xml:space="preserve">proximity (section 372Y); </w:t>
      </w:r>
    </w:p>
    <w:p w14:paraId="3381C22D" w14:textId="77777777" w:rsidR="00D706B7" w:rsidRDefault="00D706B7" w:rsidP="00D706B7">
      <w:pPr>
        <w:pStyle w:val="notepara"/>
      </w:pPr>
      <w:r w:rsidRPr="000B7DB5">
        <w:t>(</w:t>
      </w:r>
      <w:r>
        <w:t>g</w:t>
      </w:r>
      <w:r w:rsidRPr="000B7DB5">
        <w:t>)</w:t>
      </w:r>
      <w:r w:rsidRPr="000B7DB5">
        <w:tab/>
        <w:t xml:space="preserve">real estate development project (section 7); </w:t>
      </w:r>
    </w:p>
    <w:p w14:paraId="1402F81D" w14:textId="77777777" w:rsidR="00D706B7" w:rsidRPr="000B7DB5" w:rsidRDefault="00D706B7" w:rsidP="00D706B7">
      <w:pPr>
        <w:pStyle w:val="notepara"/>
      </w:pPr>
      <w:r>
        <w:t xml:space="preserve">(h)    service area (section 360A); </w:t>
      </w:r>
    </w:p>
    <w:p w14:paraId="50F53A1D" w14:textId="77777777" w:rsidR="00D706B7" w:rsidRDefault="00D706B7" w:rsidP="00D706B7">
      <w:pPr>
        <w:pStyle w:val="notepara"/>
      </w:pPr>
      <w:r w:rsidRPr="000B7DB5">
        <w:t>(</w:t>
      </w:r>
      <w:proofErr w:type="spellStart"/>
      <w:r>
        <w:t>i</w:t>
      </w:r>
      <w:proofErr w:type="spellEnd"/>
      <w:r w:rsidRPr="000B7DB5">
        <w:t>)</w:t>
      </w:r>
      <w:r w:rsidRPr="000B7DB5">
        <w:tab/>
        <w:t xml:space="preserve">statutory infrastructure provider (section 360A). </w:t>
      </w:r>
    </w:p>
    <w:p w14:paraId="6AC3529C" w14:textId="77777777" w:rsidR="00D706B7" w:rsidRDefault="00D706B7" w:rsidP="00D706B7">
      <w:pPr>
        <w:pStyle w:val="notepara"/>
      </w:pPr>
      <w:r w:rsidRPr="000B7DB5">
        <w:t>(</w:t>
      </w:r>
      <w:r>
        <w:t>j</w:t>
      </w:r>
      <w:r w:rsidRPr="000B7DB5">
        <w:t>)</w:t>
      </w:r>
      <w:r w:rsidRPr="000B7DB5">
        <w:tab/>
      </w:r>
      <w:r>
        <w:t>telecommunications network</w:t>
      </w:r>
      <w:r w:rsidRPr="000B7DB5">
        <w:t xml:space="preserve"> (section</w:t>
      </w:r>
      <w:r>
        <w:t xml:space="preserve"> 7</w:t>
      </w:r>
      <w:r w:rsidRPr="000B7DB5">
        <w:t xml:space="preserve">). </w:t>
      </w:r>
    </w:p>
    <w:p w14:paraId="62450FF9" w14:textId="77777777" w:rsidR="00D706B7" w:rsidRPr="009C2562" w:rsidRDefault="00D706B7" w:rsidP="00D706B7">
      <w:pPr>
        <w:pStyle w:val="notepara"/>
      </w:pPr>
    </w:p>
    <w:p w14:paraId="0E82B37A" w14:textId="77777777" w:rsidR="00D706B7" w:rsidRPr="000B7DB5" w:rsidRDefault="00D706B7" w:rsidP="00D706B7">
      <w:pPr>
        <w:pStyle w:val="subsection"/>
        <w:numPr>
          <w:ilvl w:val="0"/>
          <w:numId w:val="7"/>
        </w:numPr>
      </w:pPr>
      <w:r w:rsidRPr="009C2562">
        <w:tab/>
      </w:r>
      <w:r w:rsidRPr="000B7DB5">
        <w:t>In this instrument:</w:t>
      </w:r>
    </w:p>
    <w:p w14:paraId="472C1800" w14:textId="77777777" w:rsidR="00D706B7" w:rsidRDefault="00D706B7" w:rsidP="00D706B7">
      <w:pPr>
        <w:pStyle w:val="Definition"/>
      </w:pPr>
      <w:r w:rsidRPr="000B7DB5">
        <w:rPr>
          <w:b/>
          <w:i/>
        </w:rPr>
        <w:t>Act</w:t>
      </w:r>
      <w:r w:rsidRPr="000B7DB5">
        <w:t xml:space="preserve"> means the </w:t>
      </w:r>
      <w:r w:rsidRPr="000B7DB5">
        <w:rPr>
          <w:i/>
        </w:rPr>
        <w:t>Telecommunications Act 1997</w:t>
      </w:r>
      <w:r w:rsidRPr="000B7DB5">
        <w:t xml:space="preserve">. </w:t>
      </w:r>
    </w:p>
    <w:p w14:paraId="01A19930" w14:textId="77777777" w:rsidR="00D706B7" w:rsidRPr="002402F4" w:rsidRDefault="00D706B7" w:rsidP="00D706B7">
      <w:pPr>
        <w:pStyle w:val="Definition"/>
      </w:pPr>
      <w:r>
        <w:rPr>
          <w:b/>
          <w:i/>
        </w:rPr>
        <w:t xml:space="preserve">fixed-line SIP network </w:t>
      </w:r>
      <w:r>
        <w:t xml:space="preserve">means any fixed-line telecommunications network that is owned or controlled by, or operated by, or on behalf of, a relevant SIP or a related entity of a relevant SIP. </w:t>
      </w:r>
    </w:p>
    <w:p w14:paraId="2F7E6A1B" w14:textId="77777777" w:rsidR="00D706B7" w:rsidRDefault="00D706B7" w:rsidP="00D706B7">
      <w:pPr>
        <w:pStyle w:val="Definition"/>
      </w:pPr>
      <w:r>
        <w:rPr>
          <w:b/>
          <w:i/>
        </w:rPr>
        <w:t>fixed-line SIP network region</w:t>
      </w:r>
      <w:r>
        <w:rPr>
          <w:b/>
        </w:rPr>
        <w:t xml:space="preserve"> </w:t>
      </w:r>
      <w:r>
        <w:t xml:space="preserve">means a geographic region with an ascertainable boundary that has been </w:t>
      </w:r>
      <w:r w:rsidRPr="00F2497D">
        <w:t>determined by a relevant SIP within which</w:t>
      </w:r>
      <w:r>
        <w:t xml:space="preserve"> a fixed-line telecommunications network is deployed or planned to be deployed.  </w:t>
      </w:r>
    </w:p>
    <w:p w14:paraId="1FB952F9" w14:textId="77777777" w:rsidR="00D706B7" w:rsidRPr="00134A14" w:rsidRDefault="00D706B7" w:rsidP="00D706B7">
      <w:pPr>
        <w:pStyle w:val="Definition"/>
        <w:rPr>
          <w:b/>
          <w:i/>
        </w:rPr>
      </w:pPr>
      <w:r w:rsidRPr="00134A14">
        <w:rPr>
          <w:b/>
          <w:i/>
        </w:rPr>
        <w:t xml:space="preserve">relevant SIP </w:t>
      </w:r>
      <w:r w:rsidRPr="00134A14">
        <w:t xml:space="preserve">means </w:t>
      </w:r>
      <w:r>
        <w:t>a</w:t>
      </w:r>
      <w:r w:rsidRPr="00134A14">
        <w:t xml:space="preserve"> statutory infrastructure provider for a service area within which a project area is located.</w:t>
      </w:r>
      <w:r w:rsidRPr="00065C9C">
        <w:t xml:space="preserve">   </w:t>
      </w:r>
    </w:p>
    <w:p w14:paraId="23B0CC2D" w14:textId="77777777" w:rsidR="00D706B7" w:rsidRPr="00554826" w:rsidRDefault="00D706B7" w:rsidP="00D706B7">
      <w:pPr>
        <w:pStyle w:val="ActHead5"/>
      </w:pPr>
      <w:bookmarkStart w:id="6" w:name="_Toc454781205"/>
      <w:bookmarkStart w:id="7" w:name="_Toc140239265"/>
      <w:r w:rsidRPr="00554826">
        <w:t>5  Schedules</w:t>
      </w:r>
      <w:bookmarkEnd w:id="6"/>
      <w:bookmarkEnd w:id="7"/>
    </w:p>
    <w:p w14:paraId="50958E89" w14:textId="77777777" w:rsidR="00D706B7" w:rsidRDefault="00D706B7" w:rsidP="00D706B7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1489F819" w14:textId="77777777" w:rsidR="00D706B7" w:rsidRPr="003F4B25" w:rsidRDefault="00D706B7" w:rsidP="00D706B7">
      <w:pPr>
        <w:pStyle w:val="ActHead5"/>
      </w:pPr>
      <w:bookmarkStart w:id="8" w:name="_Toc140239266"/>
      <w:r w:rsidRPr="003F4B25">
        <w:lastRenderedPageBreak/>
        <w:t>6  Exempt real estate development projects</w:t>
      </w:r>
      <w:bookmarkEnd w:id="8"/>
      <w:r w:rsidRPr="003F4B25">
        <w:t xml:space="preserve">  </w:t>
      </w:r>
    </w:p>
    <w:p w14:paraId="0BFF9C78" w14:textId="77777777" w:rsidR="00D706B7" w:rsidRDefault="00D706B7" w:rsidP="00D706B7">
      <w:pPr>
        <w:pStyle w:val="subsection"/>
        <w:numPr>
          <w:ilvl w:val="0"/>
          <w:numId w:val="3"/>
        </w:numPr>
      </w:pPr>
      <w:r>
        <w:t xml:space="preserve"> Pursuant to </w:t>
      </w:r>
      <w:r w:rsidRPr="000A5F27">
        <w:t>paragraph 372K(1)(b) of the Act, a real estate development project ascertained in accordance with the following table, is exempt from the requirements in sections 372E, 372F, 372G and 372H of the Act, provided that subsection (</w:t>
      </w:r>
      <w:r w:rsidR="00CC061D">
        <w:t>3</w:t>
      </w:r>
      <w:r w:rsidRPr="000A5F27">
        <w:t>) is satisfied.</w:t>
      </w:r>
    </w:p>
    <w:p w14:paraId="682262B6" w14:textId="77777777" w:rsidR="00D706B7" w:rsidRDefault="00D706B7" w:rsidP="00D706B7">
      <w:pPr>
        <w:pStyle w:val="subsection"/>
        <w:ind w:left="1140" w:firstLine="0"/>
      </w:pPr>
    </w:p>
    <w:tbl>
      <w:tblPr>
        <w:tblpPr w:leftFromText="180" w:rightFromText="180" w:vertAnchor="text" w:tblpY="1"/>
        <w:tblOverlap w:val="never"/>
        <w:tblW w:w="785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528"/>
        <w:gridCol w:w="4626"/>
        <w:gridCol w:w="699"/>
      </w:tblGrid>
      <w:tr w:rsidR="00D706B7" w:rsidRPr="00DD6B72" w14:paraId="328688DB" w14:textId="77777777" w:rsidTr="00FC19B8">
        <w:trPr>
          <w:trHeight w:val="305"/>
          <w:tblHeader/>
        </w:trPr>
        <w:tc>
          <w:tcPr>
            <w:tcW w:w="7853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A31C606" w14:textId="77777777" w:rsidR="00D706B7" w:rsidRPr="00DD6B72" w:rsidRDefault="00D706B7" w:rsidP="00FC19B8">
            <w:pPr>
              <w:pStyle w:val="TableHeading"/>
            </w:pPr>
            <w:r>
              <w:t xml:space="preserve">Exempt real estate development projects    </w:t>
            </w:r>
          </w:p>
        </w:tc>
      </w:tr>
      <w:tr w:rsidR="00D706B7" w:rsidRPr="00DD6B72" w14:paraId="51062533" w14:textId="77777777" w:rsidTr="00FC19B8">
        <w:trPr>
          <w:gridAfter w:val="1"/>
          <w:wAfter w:w="699" w:type="dxa"/>
          <w:trHeight w:val="305"/>
          <w:tblHeader/>
        </w:trPr>
        <w:tc>
          <w:tcPr>
            <w:tcW w:w="25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E3D07A2" w14:textId="77777777" w:rsidR="00D706B7" w:rsidRPr="00DD6B72" w:rsidRDefault="00D706B7" w:rsidP="00FC19B8">
            <w:pPr>
              <w:pStyle w:val="TableHeading"/>
            </w:pPr>
            <w:r w:rsidRPr="00DD6B72">
              <w:t>Column 1</w:t>
            </w:r>
          </w:p>
        </w:tc>
        <w:tc>
          <w:tcPr>
            <w:tcW w:w="46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65AB608" w14:textId="77777777" w:rsidR="00D706B7" w:rsidRPr="00DD6B72" w:rsidRDefault="00D706B7" w:rsidP="00FC19B8">
            <w:pPr>
              <w:pStyle w:val="TableHeading"/>
            </w:pPr>
            <w:r w:rsidRPr="00DD6B72">
              <w:t>Column 2</w:t>
            </w:r>
          </w:p>
        </w:tc>
      </w:tr>
      <w:tr w:rsidR="00D706B7" w:rsidRPr="00DD6B72" w14:paraId="780F1A66" w14:textId="77777777" w:rsidTr="00FC19B8">
        <w:trPr>
          <w:gridAfter w:val="1"/>
          <w:wAfter w:w="699" w:type="dxa"/>
          <w:trHeight w:val="305"/>
          <w:tblHeader/>
        </w:trPr>
        <w:tc>
          <w:tcPr>
            <w:tcW w:w="25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3CDFCA0" w14:textId="77777777" w:rsidR="00D706B7" w:rsidRPr="00DD6B72" w:rsidRDefault="00D706B7" w:rsidP="00FC19B8">
            <w:pPr>
              <w:pStyle w:val="TableHeading"/>
            </w:pPr>
            <w:r>
              <w:t xml:space="preserve">Item </w:t>
            </w:r>
          </w:p>
        </w:tc>
        <w:tc>
          <w:tcPr>
            <w:tcW w:w="462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06183EE" w14:textId="77777777" w:rsidR="00D706B7" w:rsidRPr="00DD6B72" w:rsidRDefault="00D706B7" w:rsidP="00FC19B8">
            <w:pPr>
              <w:pStyle w:val="TableHeading"/>
            </w:pPr>
            <w:r>
              <w:t xml:space="preserve">Exemption  </w:t>
            </w:r>
          </w:p>
        </w:tc>
      </w:tr>
      <w:tr w:rsidR="00D706B7" w:rsidRPr="00044A98" w14:paraId="42B3DFB7" w14:textId="77777777" w:rsidTr="00FC19B8">
        <w:trPr>
          <w:gridAfter w:val="1"/>
          <w:wAfter w:w="699" w:type="dxa"/>
          <w:trHeight w:val="5904"/>
        </w:trPr>
        <w:tc>
          <w:tcPr>
            <w:tcW w:w="25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674AC32" w14:textId="77777777" w:rsidR="00D706B7" w:rsidRPr="00A42556" w:rsidRDefault="00D706B7" w:rsidP="00FC19B8">
            <w:pPr>
              <w:pStyle w:val="Tabletext"/>
              <w:rPr>
                <w:sz w:val="22"/>
                <w:szCs w:val="22"/>
              </w:rPr>
            </w:pPr>
            <w:r w:rsidRPr="00A42556">
              <w:rPr>
                <w:sz w:val="22"/>
                <w:szCs w:val="22"/>
              </w:rPr>
              <w:t>1</w:t>
            </w:r>
          </w:p>
        </w:tc>
        <w:tc>
          <w:tcPr>
            <w:tcW w:w="46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4FEDECA" w14:textId="77777777" w:rsidR="00D706B7" w:rsidRDefault="00D706B7" w:rsidP="00FC19B8">
            <w:pPr>
              <w:pStyle w:val="TableText0"/>
              <w:rPr>
                <w:szCs w:val="22"/>
              </w:rPr>
            </w:pPr>
            <w:r w:rsidRPr="00E3687D">
              <w:rPr>
                <w:szCs w:val="22"/>
              </w:rPr>
              <w:t xml:space="preserve">Any real estate development project </w:t>
            </w:r>
            <w:r>
              <w:rPr>
                <w:szCs w:val="22"/>
              </w:rPr>
              <w:t xml:space="preserve">in respect of which </w:t>
            </w:r>
            <w:r w:rsidRPr="00E3687D">
              <w:rPr>
                <w:szCs w:val="22"/>
              </w:rPr>
              <w:t>(at the relevant time)</w:t>
            </w:r>
            <w:r>
              <w:rPr>
                <w:szCs w:val="22"/>
              </w:rPr>
              <w:t xml:space="preserve"> all of the following apply</w:t>
            </w:r>
            <w:r w:rsidRPr="00E3687D">
              <w:rPr>
                <w:szCs w:val="22"/>
              </w:rPr>
              <w:t>:</w:t>
            </w:r>
          </w:p>
          <w:p w14:paraId="70B5E97C" w14:textId="77777777" w:rsidR="00D706B7" w:rsidRPr="00A42556" w:rsidRDefault="00D706B7" w:rsidP="00D706B7">
            <w:pPr>
              <w:pStyle w:val="ExariDefinitionL2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lang w:val="en-AU"/>
              </w:rPr>
            </w:pPr>
            <w:r w:rsidRPr="00A42556">
              <w:rPr>
                <w:rFonts w:ascii="Times New Roman" w:hAnsi="Times New Roman" w:cs="Times New Roman"/>
                <w:sz w:val="22"/>
                <w:lang w:val="en-AU"/>
              </w:rPr>
              <w:t>no part of the project area is located inside the fixed-line SIP network region</w:t>
            </w:r>
            <w:r>
              <w:rPr>
                <w:rFonts w:ascii="Times New Roman" w:hAnsi="Times New Roman" w:cs="Times New Roman"/>
                <w:sz w:val="22"/>
                <w:lang w:val="en-AU"/>
              </w:rPr>
              <w:t xml:space="preserve"> of a relevant SIP</w:t>
            </w:r>
            <w:r w:rsidRPr="00A42556">
              <w:rPr>
                <w:rFonts w:ascii="Times New Roman" w:hAnsi="Times New Roman" w:cs="Times New Roman"/>
                <w:sz w:val="22"/>
                <w:lang w:val="en-AU"/>
              </w:rPr>
              <w:t xml:space="preserve">; </w:t>
            </w:r>
          </w:p>
          <w:p w14:paraId="0DCB2EDD" w14:textId="77777777" w:rsidR="00D706B7" w:rsidRPr="00A42556" w:rsidRDefault="00D706B7" w:rsidP="00D706B7">
            <w:pPr>
              <w:pStyle w:val="ExariDefinitionL2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lang w:val="en-AU"/>
              </w:rPr>
            </w:pPr>
            <w:r>
              <w:rPr>
                <w:rFonts w:ascii="Times New Roman" w:hAnsi="Times New Roman" w:cs="Times New Roman"/>
                <w:sz w:val="22"/>
                <w:lang w:val="en-AU"/>
              </w:rPr>
              <w:t>a</w:t>
            </w:r>
            <w:r w:rsidRPr="00A42556">
              <w:rPr>
                <w:rFonts w:ascii="Times New Roman" w:hAnsi="Times New Roman" w:cs="Times New Roman"/>
                <w:sz w:val="22"/>
                <w:lang w:val="en-AU"/>
              </w:rPr>
              <w:t xml:space="preserve"> relevant SIP has provided written notice to the person responsible for the project that the relevant SIP will not install</w:t>
            </w:r>
            <w:r>
              <w:rPr>
                <w:rFonts w:ascii="Times New Roman" w:hAnsi="Times New Roman" w:cs="Times New Roman"/>
                <w:sz w:val="22"/>
                <w:lang w:val="en-AU"/>
              </w:rPr>
              <w:t xml:space="preserve"> a</w:t>
            </w:r>
            <w:r w:rsidR="00C42A5D">
              <w:rPr>
                <w:rFonts w:ascii="Times New Roman" w:hAnsi="Times New Roman" w:cs="Times New Roman"/>
                <w:sz w:val="22"/>
                <w:lang w:val="en-AU"/>
              </w:rPr>
              <w:t xml:space="preserve"> </w:t>
            </w:r>
            <w:r w:rsidRPr="00A42556">
              <w:rPr>
                <w:rFonts w:ascii="Times New Roman" w:hAnsi="Times New Roman" w:cs="Times New Roman"/>
                <w:sz w:val="22"/>
                <w:lang w:val="en-AU"/>
              </w:rPr>
              <w:t xml:space="preserve">fixed-line </w:t>
            </w:r>
            <w:r>
              <w:rPr>
                <w:rFonts w:ascii="Times New Roman" w:hAnsi="Times New Roman" w:cs="Times New Roman"/>
                <w:sz w:val="22"/>
                <w:lang w:val="en-AU"/>
              </w:rPr>
              <w:t>network</w:t>
            </w:r>
            <w:r w:rsidRPr="00A42556">
              <w:rPr>
                <w:rFonts w:ascii="Times New Roman" w:hAnsi="Times New Roman" w:cs="Times New Roman"/>
                <w:sz w:val="22"/>
                <w:lang w:val="en-AU"/>
              </w:rPr>
              <w:t xml:space="preserve"> inside a project area</w:t>
            </w:r>
            <w:r>
              <w:rPr>
                <w:rFonts w:ascii="Times New Roman" w:hAnsi="Times New Roman" w:cs="Times New Roman"/>
                <w:sz w:val="22"/>
                <w:lang w:val="en-AU"/>
              </w:rPr>
              <w:t xml:space="preserve">; </w:t>
            </w:r>
          </w:p>
          <w:p w14:paraId="46D18EA7" w14:textId="77777777" w:rsidR="00D706B7" w:rsidRDefault="00D706B7" w:rsidP="00D706B7">
            <w:pPr>
              <w:pStyle w:val="ExariDefinitionL2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lang w:val="en-AU"/>
              </w:rPr>
            </w:pPr>
            <w:r w:rsidRPr="00A42556">
              <w:rPr>
                <w:rFonts w:ascii="Times New Roman" w:hAnsi="Times New Roman" w:cs="Times New Roman"/>
                <w:sz w:val="22"/>
                <w:lang w:val="en-AU"/>
              </w:rPr>
              <w:t>there is no underground utility infrastructure installed or planned to be installed in proximity to each building lot situated in the project area;</w:t>
            </w:r>
            <w:r w:rsidRPr="00A42556" w:rsidDel="009D476B">
              <w:rPr>
                <w:rFonts w:ascii="Times New Roman" w:hAnsi="Times New Roman" w:cs="Times New Roman"/>
                <w:sz w:val="22"/>
                <w:lang w:val="en-AU"/>
              </w:rPr>
              <w:t xml:space="preserve"> </w:t>
            </w:r>
          </w:p>
          <w:p w14:paraId="705A899C" w14:textId="77777777" w:rsidR="00D706B7" w:rsidRPr="00A42556" w:rsidRDefault="00D706B7" w:rsidP="00D706B7">
            <w:pPr>
              <w:pStyle w:val="ExariDefinitionL2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lang w:val="en-AU"/>
              </w:rPr>
            </w:pPr>
            <w:r w:rsidRPr="00A42556">
              <w:rPr>
                <w:rFonts w:ascii="Times New Roman" w:hAnsi="Times New Roman" w:cs="Times New Roman"/>
                <w:sz w:val="22"/>
                <w:lang w:val="en-AU"/>
              </w:rPr>
              <w:t xml:space="preserve">the average lot size in the project area must be 1000 square metres or greater; </w:t>
            </w:r>
          </w:p>
          <w:p w14:paraId="5C5E29EB" w14:textId="77777777" w:rsidR="00D706B7" w:rsidRPr="00A42556" w:rsidRDefault="00D706B7" w:rsidP="00D706B7">
            <w:pPr>
              <w:pStyle w:val="ExariDefinitionL2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lang w:val="en-AU"/>
              </w:rPr>
            </w:pPr>
            <w:r w:rsidRPr="00A42556">
              <w:rPr>
                <w:rFonts w:ascii="Times New Roman" w:hAnsi="Times New Roman" w:cs="Times New Roman"/>
                <w:sz w:val="22"/>
                <w:lang w:val="en-AU"/>
              </w:rPr>
              <w:t>there is no kerb and channelling constructed or planned to be constructed in proximity to each building lot situated in the project area;</w:t>
            </w:r>
          </w:p>
          <w:p w14:paraId="237B0D24" w14:textId="77777777" w:rsidR="00D706B7" w:rsidRPr="00A42556" w:rsidRDefault="00D706B7" w:rsidP="00FC19B8">
            <w:pPr>
              <w:spacing w:line="240" w:lineRule="atLeast"/>
              <w:rPr>
                <w:rFonts w:eastAsia="Times New Roman" w:cs="Times New Roman"/>
                <w:sz w:val="18"/>
                <w:szCs w:val="18"/>
                <w:lang w:eastAsia="en-AU"/>
              </w:rPr>
            </w:pPr>
          </w:p>
        </w:tc>
      </w:tr>
      <w:tr w:rsidR="00D706B7" w:rsidRPr="00044A98" w14:paraId="1BBF82BB" w14:textId="77777777" w:rsidTr="00FC19B8">
        <w:trPr>
          <w:gridAfter w:val="1"/>
          <w:wAfter w:w="699" w:type="dxa"/>
          <w:trHeight w:val="1575"/>
        </w:trPr>
        <w:tc>
          <w:tcPr>
            <w:tcW w:w="252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099A4DD2" w14:textId="77777777" w:rsidR="00D706B7" w:rsidRDefault="00D706B7" w:rsidP="00FC19B8">
            <w:pPr>
              <w:pStyle w:val="Tabletext"/>
            </w:pPr>
            <w:r>
              <w:t>2</w:t>
            </w:r>
          </w:p>
        </w:tc>
        <w:tc>
          <w:tcPr>
            <w:tcW w:w="462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7FA818B3" w14:textId="77777777" w:rsidR="00D706B7" w:rsidRPr="00065C9C" w:rsidRDefault="00D706B7" w:rsidP="00FC19B8">
            <w:pPr>
              <w:pStyle w:val="TableText0"/>
              <w:rPr>
                <w:szCs w:val="22"/>
                <w:lang w:val="en-GB"/>
              </w:rPr>
            </w:pPr>
            <w:r w:rsidRPr="00065C9C">
              <w:rPr>
                <w:szCs w:val="22"/>
                <w:lang w:val="en-GB"/>
              </w:rPr>
              <w:t xml:space="preserve">Any real estate development project in respect of which (at the relevant time): </w:t>
            </w:r>
          </w:p>
          <w:p w14:paraId="6EC879B2" w14:textId="77777777" w:rsidR="00D706B7" w:rsidRDefault="00D706B7" w:rsidP="00D706B7">
            <w:pPr>
              <w:pStyle w:val="ExariDefinitionL2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where</w:t>
            </w:r>
            <w:r w:rsidRPr="00065C9C">
              <w:rPr>
                <w:rFonts w:ascii="Times New Roman" w:hAnsi="Times New Roman" w:cs="Times New Roman"/>
                <w:sz w:val="22"/>
              </w:rPr>
              <w:t xml:space="preserve"> item</w:t>
            </w:r>
            <w:r>
              <w:rPr>
                <w:rFonts w:ascii="Times New Roman" w:hAnsi="Times New Roman" w:cs="Times New Roman"/>
                <w:sz w:val="22"/>
              </w:rPr>
              <w:t>s</w:t>
            </w:r>
            <w:r w:rsidRPr="00065C9C">
              <w:rPr>
                <w:rFonts w:ascii="Times New Roman" w:hAnsi="Times New Roman" w:cs="Times New Roman"/>
                <w:sz w:val="22"/>
              </w:rPr>
              <w:t xml:space="preserve"> 1(</w:t>
            </w:r>
            <w:r>
              <w:rPr>
                <w:rFonts w:ascii="Times New Roman" w:hAnsi="Times New Roman" w:cs="Times New Roman"/>
                <w:sz w:val="22"/>
              </w:rPr>
              <w:t xml:space="preserve">a) and (b) above </w:t>
            </w:r>
            <w:r w:rsidRPr="00065C9C">
              <w:rPr>
                <w:rFonts w:ascii="Times New Roman" w:hAnsi="Times New Roman" w:cs="Times New Roman"/>
                <w:sz w:val="22"/>
              </w:rPr>
              <w:t>appl</w:t>
            </w:r>
            <w:r>
              <w:rPr>
                <w:rFonts w:ascii="Times New Roman" w:hAnsi="Times New Roman" w:cs="Times New Roman"/>
                <w:sz w:val="22"/>
              </w:rPr>
              <w:t>y</w:t>
            </w:r>
            <w:r w:rsidRPr="00065C9C">
              <w:rPr>
                <w:rFonts w:ascii="Times New Roman" w:hAnsi="Times New Roman" w:cs="Times New Roman"/>
                <w:sz w:val="22"/>
              </w:rPr>
              <w:t xml:space="preserve">; and </w:t>
            </w:r>
          </w:p>
          <w:p w14:paraId="1BF18672" w14:textId="77777777" w:rsidR="00D706B7" w:rsidRPr="00673C3F" w:rsidRDefault="00D706B7" w:rsidP="00D706B7">
            <w:pPr>
              <w:pStyle w:val="ExariDefinitionL2"/>
              <w:numPr>
                <w:ilvl w:val="0"/>
                <w:numId w:val="4"/>
              </w:numPr>
            </w:pPr>
            <w:r>
              <w:rPr>
                <w:rFonts w:ascii="Times New Roman" w:hAnsi="Times New Roman" w:cs="Times New Roman"/>
                <w:sz w:val="22"/>
              </w:rPr>
              <w:t>a</w:t>
            </w:r>
            <w:r w:rsidRPr="00625DDA">
              <w:rPr>
                <w:rFonts w:ascii="Times New Roman" w:hAnsi="Times New Roman" w:cs="Times New Roman"/>
                <w:sz w:val="22"/>
              </w:rPr>
              <w:t xml:space="preserve"> relevant SIP has provided written notice to the person responsible for the project that the relevant SIP will not take ownership of any fibre-ready facilities located inside a project area</w:t>
            </w:r>
            <w:r w:rsidRPr="00420F54">
              <w:rPr>
                <w:rFonts w:ascii="Times New Roman" w:hAnsi="Times New Roman" w:cs="Times New Roman"/>
                <w:sz w:val="22"/>
              </w:rPr>
              <w:t>.</w:t>
            </w:r>
          </w:p>
        </w:tc>
      </w:tr>
    </w:tbl>
    <w:p w14:paraId="1D070612" w14:textId="77777777" w:rsidR="00D706B7" w:rsidRDefault="00D706B7" w:rsidP="00EF1308">
      <w:pPr>
        <w:pStyle w:val="subsection"/>
        <w:ind w:left="360" w:firstLine="0"/>
      </w:pPr>
      <w:r w:rsidRPr="00A42556">
        <w:rPr>
          <w:sz w:val="18"/>
          <w:szCs w:val="18"/>
        </w:rPr>
        <w:t xml:space="preserve">Note: Subsection 13(3) of the </w:t>
      </w:r>
      <w:r w:rsidRPr="00420F54">
        <w:rPr>
          <w:i/>
          <w:sz w:val="18"/>
          <w:szCs w:val="18"/>
        </w:rPr>
        <w:t>Legislation Act 2003</w:t>
      </w:r>
      <w:r w:rsidRPr="00A42556">
        <w:rPr>
          <w:sz w:val="18"/>
          <w:szCs w:val="18"/>
        </w:rPr>
        <w:t xml:space="preserve"> allows specification of matters by class or classes of matters.</w:t>
      </w:r>
    </w:p>
    <w:p w14:paraId="3180949E" w14:textId="77777777" w:rsidR="00D706B7" w:rsidRPr="0071063C" w:rsidRDefault="00D706B7" w:rsidP="00D706B7">
      <w:pPr>
        <w:pStyle w:val="subsection"/>
        <w:numPr>
          <w:ilvl w:val="0"/>
          <w:numId w:val="3"/>
        </w:numPr>
      </w:pPr>
      <w:r>
        <w:lastRenderedPageBreak/>
        <w:t>For the avoidance of doubt, w</w:t>
      </w:r>
      <w:r w:rsidRPr="00745D89">
        <w:t>here there is more than one relevant SIP for a service area, item 1(b) or item 2(b) in the table to subsection (1) appl</w:t>
      </w:r>
      <w:r>
        <w:t>ies</w:t>
      </w:r>
      <w:r w:rsidRPr="00745D89">
        <w:t xml:space="preserve"> if</w:t>
      </w:r>
      <w:r>
        <w:t xml:space="preserve"> </w:t>
      </w:r>
      <w:r w:rsidR="005442DA">
        <w:t>one of the relevant SIPs</w:t>
      </w:r>
      <w:r w:rsidRPr="00745D89">
        <w:t xml:space="preserve"> </w:t>
      </w:r>
      <w:r>
        <w:t xml:space="preserve">has </w:t>
      </w:r>
      <w:r w:rsidRPr="00745D89">
        <w:t>provide</w:t>
      </w:r>
      <w:r>
        <w:t>d</w:t>
      </w:r>
      <w:r w:rsidRPr="00745D89">
        <w:t xml:space="preserve"> written notice.   </w:t>
      </w:r>
    </w:p>
    <w:p w14:paraId="2CD22E18" w14:textId="77777777" w:rsidR="00D706B7" w:rsidRPr="000A5F27" w:rsidRDefault="00D706B7" w:rsidP="00D706B7">
      <w:pPr>
        <w:pStyle w:val="subsection"/>
        <w:numPr>
          <w:ilvl w:val="0"/>
          <w:numId w:val="3"/>
        </w:numPr>
      </w:pPr>
      <w:r w:rsidRPr="000A5F27">
        <w:t>The person responsible for the real estate development project (or a person on</w:t>
      </w:r>
      <w:r>
        <w:t xml:space="preserve"> </w:t>
      </w:r>
      <w:r w:rsidRPr="000A5F27">
        <w:t>behalf</w:t>
      </w:r>
      <w:r>
        <w:t xml:space="preserve"> of the real estate development project</w:t>
      </w:r>
      <w:r w:rsidRPr="000A5F27">
        <w:t>) has provided to the Secretary of the Department a written notice setting out the following details about the project for which the exemption under this Instrument is claimed:</w:t>
      </w:r>
    </w:p>
    <w:p w14:paraId="163F0725" w14:textId="77777777" w:rsidR="00D706B7" w:rsidRPr="000A5F27" w:rsidRDefault="00D706B7" w:rsidP="00D706B7">
      <w:pPr>
        <w:pStyle w:val="paragraph"/>
        <w:numPr>
          <w:ilvl w:val="0"/>
          <w:numId w:val="2"/>
        </w:numPr>
      </w:pPr>
      <w:r w:rsidRPr="000A5F27">
        <w:rPr>
          <w:rFonts w:eastAsiaTheme="minorEastAsia"/>
          <w:color w:val="000000" w:themeColor="text1"/>
        </w:rPr>
        <w:t>the name of the development (if available);</w:t>
      </w:r>
    </w:p>
    <w:p w14:paraId="0B01C14E" w14:textId="77777777" w:rsidR="00D706B7" w:rsidRPr="000A5F27" w:rsidRDefault="00D706B7" w:rsidP="00D706B7">
      <w:pPr>
        <w:pStyle w:val="paragraph"/>
        <w:numPr>
          <w:ilvl w:val="0"/>
          <w:numId w:val="2"/>
        </w:numPr>
        <w:rPr>
          <w:rFonts w:eastAsiaTheme="minorEastAsia"/>
          <w:color w:val="000000" w:themeColor="text1"/>
        </w:rPr>
      </w:pPr>
      <w:r w:rsidRPr="000A5F27">
        <w:t xml:space="preserve">the </w:t>
      </w:r>
      <w:r w:rsidRPr="000A5F27">
        <w:rPr>
          <w:rFonts w:eastAsiaTheme="minorEastAsia"/>
          <w:color w:val="000000" w:themeColor="text1"/>
        </w:rPr>
        <w:t>development’s stage name or number (if available);</w:t>
      </w:r>
    </w:p>
    <w:p w14:paraId="5D617CEA" w14:textId="77777777" w:rsidR="00D706B7" w:rsidRPr="006B2C4D" w:rsidRDefault="00D706B7" w:rsidP="00D706B7">
      <w:pPr>
        <w:pStyle w:val="paragraph"/>
        <w:numPr>
          <w:ilvl w:val="0"/>
          <w:numId w:val="2"/>
        </w:numPr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 xml:space="preserve"> </w:t>
      </w:r>
      <w:r w:rsidRPr="000A5F27">
        <w:rPr>
          <w:rFonts w:eastAsiaTheme="minorEastAsia"/>
          <w:color w:val="000000" w:themeColor="text1"/>
        </w:rPr>
        <w:t>the development type, in terms of whether it is ‘residential’, ‘commercial’, ‘industrial’, ‘mixed development’, ‘public/private institution’ or ‘other’;</w:t>
      </w:r>
    </w:p>
    <w:p w14:paraId="000203F7" w14:textId="77777777" w:rsidR="00D706B7" w:rsidRDefault="00D706B7" w:rsidP="00D706B7">
      <w:pPr>
        <w:pStyle w:val="paragraph"/>
        <w:numPr>
          <w:ilvl w:val="0"/>
          <w:numId w:val="2"/>
        </w:numPr>
        <w:rPr>
          <w:rFonts w:eastAsiaTheme="minorEastAsia"/>
          <w:color w:val="000000" w:themeColor="text1"/>
        </w:rPr>
      </w:pPr>
      <w:r w:rsidRPr="006B2C4D">
        <w:rPr>
          <w:rFonts w:eastAsiaTheme="minorEastAsia"/>
          <w:color w:val="000000" w:themeColor="text1"/>
        </w:rPr>
        <w:t xml:space="preserve">the </w:t>
      </w:r>
      <w:r w:rsidRPr="000A5F27">
        <w:rPr>
          <w:rFonts w:eastAsiaTheme="minorEastAsia"/>
          <w:color w:val="000000" w:themeColor="text1"/>
        </w:rPr>
        <w:t>total estimated number of building lots or building units in the development;</w:t>
      </w:r>
    </w:p>
    <w:p w14:paraId="685EBDDF" w14:textId="77777777" w:rsidR="00D706B7" w:rsidRPr="000A5F27" w:rsidRDefault="00D706B7" w:rsidP="00D706B7">
      <w:pPr>
        <w:pStyle w:val="paragraph"/>
        <w:numPr>
          <w:ilvl w:val="0"/>
          <w:numId w:val="2"/>
        </w:numPr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 xml:space="preserve">whether </w:t>
      </w:r>
      <w:r w:rsidRPr="00A42556">
        <w:t>there i</w:t>
      </w:r>
      <w:r>
        <w:t>s any</w:t>
      </w:r>
      <w:r w:rsidRPr="00A42556">
        <w:t xml:space="preserve"> </w:t>
      </w:r>
      <w:r>
        <w:t xml:space="preserve">underground </w:t>
      </w:r>
      <w:r w:rsidRPr="00A42556">
        <w:t>utility infrastructure installed or planned to be installed in proximity to each building lot situated in the project area</w:t>
      </w:r>
      <w:r>
        <w:rPr>
          <w:rFonts w:eastAsiaTheme="minorEastAsia"/>
          <w:color w:val="000000" w:themeColor="text1"/>
        </w:rPr>
        <w:t xml:space="preserve">; </w:t>
      </w:r>
    </w:p>
    <w:p w14:paraId="15A6F520" w14:textId="77777777" w:rsidR="00D706B7" w:rsidRDefault="00D706B7" w:rsidP="00D706B7">
      <w:pPr>
        <w:pStyle w:val="paragraph"/>
        <w:numPr>
          <w:ilvl w:val="0"/>
          <w:numId w:val="2"/>
        </w:numPr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 xml:space="preserve">  </w:t>
      </w:r>
      <w:r w:rsidRPr="000A5F27">
        <w:rPr>
          <w:rFonts w:eastAsiaTheme="minorEastAsia"/>
          <w:color w:val="000000" w:themeColor="text1"/>
        </w:rPr>
        <w:t>the average</w:t>
      </w:r>
      <w:r>
        <w:rPr>
          <w:rFonts w:eastAsiaTheme="minorEastAsia"/>
          <w:color w:val="000000" w:themeColor="text1"/>
        </w:rPr>
        <w:t xml:space="preserve"> lot size </w:t>
      </w:r>
      <w:r w:rsidRPr="000A5F27">
        <w:rPr>
          <w:rFonts w:eastAsiaTheme="minorEastAsia"/>
          <w:color w:val="000000" w:themeColor="text1"/>
        </w:rPr>
        <w:t xml:space="preserve">of the building lots within the development; </w:t>
      </w:r>
    </w:p>
    <w:p w14:paraId="4116772F" w14:textId="77777777" w:rsidR="00D706B7" w:rsidRPr="00C62D3C" w:rsidRDefault="00D706B7" w:rsidP="00D706B7">
      <w:pPr>
        <w:pStyle w:val="paragraph"/>
        <w:numPr>
          <w:ilvl w:val="0"/>
          <w:numId w:val="2"/>
        </w:numPr>
        <w:rPr>
          <w:rFonts w:eastAsiaTheme="minorEastAsia"/>
          <w:color w:val="000000" w:themeColor="text1"/>
        </w:rPr>
      </w:pPr>
      <w:r>
        <w:t xml:space="preserve">whether </w:t>
      </w:r>
      <w:r w:rsidRPr="00A42556">
        <w:t>there is</w:t>
      </w:r>
      <w:r>
        <w:t xml:space="preserve"> any</w:t>
      </w:r>
      <w:r w:rsidRPr="00A42556">
        <w:t xml:space="preserve"> kerb and channelling constructed or planned to be constructed in proximity to each building lot situated in the project area</w:t>
      </w:r>
      <w:r>
        <w:t xml:space="preserve">; </w:t>
      </w:r>
    </w:p>
    <w:p w14:paraId="15E72683" w14:textId="77777777" w:rsidR="00D706B7" w:rsidRPr="006B2C4D" w:rsidRDefault="00D706B7" w:rsidP="00D706B7">
      <w:pPr>
        <w:pStyle w:val="paragraph"/>
        <w:numPr>
          <w:ilvl w:val="0"/>
          <w:numId w:val="2"/>
        </w:numPr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 xml:space="preserve">  </w:t>
      </w:r>
      <w:r w:rsidRPr="006B2C4D">
        <w:rPr>
          <w:rFonts w:eastAsiaTheme="minorEastAsia"/>
          <w:color w:val="000000" w:themeColor="text1"/>
        </w:rPr>
        <w:t>any of the following:</w:t>
      </w:r>
    </w:p>
    <w:p w14:paraId="5FBD1A4C" w14:textId="77777777" w:rsidR="00D706B7" w:rsidRPr="000A5F27" w:rsidRDefault="00D706B7" w:rsidP="00D706B7">
      <w:pPr>
        <w:pStyle w:val="paragraphsub"/>
      </w:pPr>
      <w:r w:rsidRPr="000A5F27">
        <w:tab/>
        <w:t>(</w:t>
      </w:r>
      <w:proofErr w:type="spellStart"/>
      <w:r w:rsidRPr="000A5F27">
        <w:t>i</w:t>
      </w:r>
      <w:proofErr w:type="spellEnd"/>
      <w:r w:rsidRPr="000A5F27">
        <w:t>)</w:t>
      </w:r>
      <w:r w:rsidRPr="000A5F27">
        <w:tab/>
        <w:t xml:space="preserve">the </w:t>
      </w:r>
      <w:r w:rsidRPr="000A5F27">
        <w:rPr>
          <w:rFonts w:eastAsiaTheme="minorEastAsia"/>
          <w:color w:val="000000" w:themeColor="text1"/>
        </w:rPr>
        <w:t>location and boundary of the development; or</w:t>
      </w:r>
    </w:p>
    <w:p w14:paraId="74A6C3FA" w14:textId="77777777" w:rsidR="00D706B7" w:rsidRDefault="00D706B7" w:rsidP="00D706B7">
      <w:pPr>
        <w:pStyle w:val="paragraphsub"/>
        <w:rPr>
          <w:rFonts w:eastAsiaTheme="minorEastAsia"/>
          <w:color w:val="000000" w:themeColor="text1"/>
        </w:rPr>
      </w:pPr>
      <w:r w:rsidRPr="000A5F27">
        <w:tab/>
        <w:t>(ii)</w:t>
      </w:r>
      <w:r w:rsidRPr="000A5F27">
        <w:tab/>
        <w:t xml:space="preserve">the </w:t>
      </w:r>
      <w:r w:rsidRPr="000A5F27">
        <w:rPr>
          <w:rFonts w:eastAsiaTheme="minorEastAsia"/>
          <w:color w:val="000000" w:themeColor="text1"/>
        </w:rPr>
        <w:t>lot/plan number of the development; or</w:t>
      </w:r>
    </w:p>
    <w:p w14:paraId="3CB93D04" w14:textId="77777777" w:rsidR="00D706B7" w:rsidRDefault="00D706B7" w:rsidP="00D706B7">
      <w:pPr>
        <w:pStyle w:val="paragraphsub"/>
        <w:rPr>
          <w:rFonts w:eastAsiaTheme="minorEastAsia"/>
          <w:color w:val="000000" w:themeColor="text1"/>
        </w:rPr>
      </w:pPr>
      <w:r w:rsidRPr="000A5F27">
        <w:tab/>
        <w:t>(iii)</w:t>
      </w:r>
      <w:r w:rsidRPr="000A5F27">
        <w:tab/>
        <w:t xml:space="preserve">the </w:t>
      </w:r>
      <w:r w:rsidRPr="000A5F27">
        <w:rPr>
          <w:rFonts w:eastAsiaTheme="minorEastAsia"/>
          <w:color w:val="000000" w:themeColor="text1"/>
        </w:rPr>
        <w:t>address of the development</w:t>
      </w:r>
      <w:r>
        <w:rPr>
          <w:rFonts w:eastAsiaTheme="minorEastAsia"/>
          <w:color w:val="000000" w:themeColor="text1"/>
        </w:rPr>
        <w:t xml:space="preserve">; and </w:t>
      </w:r>
    </w:p>
    <w:p w14:paraId="29668B36" w14:textId="77777777" w:rsidR="00D706B7" w:rsidRPr="006B2C4D" w:rsidRDefault="00D706B7" w:rsidP="00D706B7">
      <w:pPr>
        <w:pStyle w:val="paragraphsub"/>
        <w:numPr>
          <w:ilvl w:val="0"/>
          <w:numId w:val="2"/>
        </w:numPr>
        <w:rPr>
          <w:rFonts w:eastAsiaTheme="minorEastAsia"/>
          <w:color w:val="000000" w:themeColor="text1"/>
        </w:rPr>
      </w:pPr>
      <w:r>
        <w:t xml:space="preserve">where applicable, written notice provided by a relevant SIP </w:t>
      </w:r>
      <w:bookmarkStart w:id="9" w:name="_Hlk139626100"/>
      <w:r>
        <w:t>pursuant to item 1(b) or item 2(b) in the table to subsection (1)</w:t>
      </w:r>
      <w:r w:rsidRPr="000A5F27">
        <w:rPr>
          <w:rFonts w:eastAsiaTheme="minorEastAsia"/>
          <w:color w:val="000000" w:themeColor="text1"/>
        </w:rPr>
        <w:t>.</w:t>
      </w:r>
      <w:bookmarkEnd w:id="9"/>
    </w:p>
    <w:p w14:paraId="5DF75867" w14:textId="77777777" w:rsidR="00D706B7" w:rsidRDefault="00D706B7" w:rsidP="00D706B7">
      <w:pPr>
        <w:pStyle w:val="paragraph"/>
        <w:rPr>
          <w:rFonts w:eastAsiaTheme="minorEastAsia"/>
          <w:color w:val="000000" w:themeColor="text1"/>
        </w:rPr>
      </w:pPr>
    </w:p>
    <w:p w14:paraId="750753B0" w14:textId="77777777" w:rsidR="00D706B7" w:rsidRDefault="00D706B7" w:rsidP="00D706B7">
      <w:pPr>
        <w:pStyle w:val="paragraph"/>
        <w:rPr>
          <w:rFonts w:eastAsiaTheme="minorEastAsia"/>
          <w:color w:val="000000" w:themeColor="text1"/>
        </w:rPr>
      </w:pPr>
    </w:p>
    <w:p w14:paraId="352272D6" w14:textId="77777777" w:rsidR="00D706B7" w:rsidRDefault="00D706B7" w:rsidP="00D706B7">
      <w:pPr>
        <w:pStyle w:val="paragraph"/>
        <w:rPr>
          <w:rFonts w:eastAsiaTheme="minorEastAsia"/>
          <w:color w:val="000000" w:themeColor="text1"/>
        </w:rPr>
      </w:pPr>
    </w:p>
    <w:p w14:paraId="059C44CD" w14:textId="77777777" w:rsidR="00D706B7" w:rsidRDefault="00D706B7" w:rsidP="00D706B7">
      <w:pPr>
        <w:pStyle w:val="paragraph"/>
        <w:rPr>
          <w:rFonts w:eastAsiaTheme="minorEastAsia"/>
          <w:color w:val="000000" w:themeColor="text1"/>
        </w:rPr>
      </w:pPr>
    </w:p>
    <w:p w14:paraId="570823C5" w14:textId="77777777" w:rsidR="00D706B7" w:rsidRDefault="00D706B7" w:rsidP="00D706B7">
      <w:pPr>
        <w:pStyle w:val="paragraph"/>
        <w:rPr>
          <w:rFonts w:eastAsiaTheme="minorEastAsia"/>
          <w:color w:val="000000" w:themeColor="text1"/>
        </w:rPr>
      </w:pPr>
    </w:p>
    <w:p w14:paraId="6E51185A" w14:textId="77777777" w:rsidR="00D706B7" w:rsidRDefault="00D706B7" w:rsidP="00D706B7">
      <w:pPr>
        <w:pStyle w:val="paragraph"/>
        <w:rPr>
          <w:rFonts w:eastAsiaTheme="minorEastAsia"/>
          <w:color w:val="000000" w:themeColor="text1"/>
        </w:rPr>
      </w:pPr>
    </w:p>
    <w:p w14:paraId="38202217" w14:textId="77777777" w:rsidR="00D706B7" w:rsidRDefault="00D706B7" w:rsidP="00D706B7">
      <w:pPr>
        <w:pStyle w:val="paragraph"/>
        <w:ind w:left="0" w:firstLine="0"/>
        <w:rPr>
          <w:rFonts w:eastAsiaTheme="minorEastAsia"/>
          <w:color w:val="000000" w:themeColor="text1"/>
        </w:rPr>
      </w:pPr>
    </w:p>
    <w:p w14:paraId="43C8ADB0" w14:textId="77777777" w:rsidR="00D706B7" w:rsidRPr="00E41A8C" w:rsidRDefault="00D706B7" w:rsidP="00D706B7">
      <w:pPr>
        <w:pStyle w:val="ActHead6"/>
        <w:pageBreakBefore/>
        <w:ind w:left="0" w:firstLine="0"/>
        <w:rPr>
          <w:rFonts w:ascii="Times New Roman" w:hAnsi="Times New Roman"/>
        </w:rPr>
      </w:pPr>
      <w:bookmarkStart w:id="10" w:name="_Toc139016651"/>
      <w:bookmarkStart w:id="11" w:name="_Toc140239267"/>
      <w:r w:rsidRPr="00E41A8C">
        <w:rPr>
          <w:rStyle w:val="CharAmSchNo"/>
          <w:rFonts w:ascii="Times New Roman" w:hAnsi="Times New Roman"/>
        </w:rPr>
        <w:lastRenderedPageBreak/>
        <w:t>Schedule </w:t>
      </w:r>
      <w:r>
        <w:rPr>
          <w:rStyle w:val="CharAmSchNo"/>
          <w:rFonts w:ascii="Times New Roman" w:hAnsi="Times New Roman"/>
        </w:rPr>
        <w:t>1</w:t>
      </w:r>
      <w:r w:rsidRPr="00E41A8C">
        <w:rPr>
          <w:rFonts w:ascii="Times New Roman" w:hAnsi="Times New Roman"/>
        </w:rPr>
        <w:t>—</w:t>
      </w:r>
      <w:r w:rsidRPr="00E41A8C">
        <w:rPr>
          <w:rStyle w:val="CharAmSchText"/>
        </w:rPr>
        <w:t>Repeals</w:t>
      </w:r>
      <w:bookmarkEnd w:id="10"/>
      <w:bookmarkEnd w:id="11"/>
    </w:p>
    <w:p w14:paraId="04BC10E8" w14:textId="77777777" w:rsidR="00D706B7" w:rsidRPr="007B5C7B" w:rsidRDefault="00D706B7" w:rsidP="00D706B7">
      <w:pPr>
        <w:pStyle w:val="ActHead9"/>
        <w:ind w:left="0" w:firstLine="0"/>
      </w:pPr>
      <w:bookmarkStart w:id="12" w:name="_Toc140239268"/>
      <w:r w:rsidRPr="007B5C7B">
        <w:t>Telecommunications (Fibre-ready Facilities — Exempt Real Estate Development Projects) Instrument 2021</w:t>
      </w:r>
      <w:bookmarkEnd w:id="12"/>
    </w:p>
    <w:p w14:paraId="3DE15133" w14:textId="77777777" w:rsidR="00D706B7" w:rsidRPr="00487DEA" w:rsidRDefault="00D706B7" w:rsidP="00D706B7">
      <w:pPr>
        <w:pStyle w:val="ItemHead"/>
      </w:pPr>
    </w:p>
    <w:p w14:paraId="07F4DEDB" w14:textId="77777777" w:rsidR="00D706B7" w:rsidRDefault="00D706B7" w:rsidP="00D706B7">
      <w:pPr>
        <w:pStyle w:val="ItemHead"/>
      </w:pPr>
      <w:r w:rsidRPr="00B1728A">
        <w:t xml:space="preserve">1  </w:t>
      </w:r>
      <w:r>
        <w:t>The whole of the instrument</w:t>
      </w:r>
    </w:p>
    <w:p w14:paraId="58163C6B" w14:textId="77777777" w:rsidR="00D706B7" w:rsidRDefault="00D706B7" w:rsidP="00D706B7">
      <w:pPr>
        <w:pStyle w:val="Item"/>
      </w:pPr>
      <w:r>
        <w:t>Repeal the instrument</w:t>
      </w:r>
    </w:p>
    <w:p w14:paraId="6818ABF0" w14:textId="77777777" w:rsidR="00D706B7" w:rsidRPr="00554826" w:rsidRDefault="00D706B7" w:rsidP="00D706B7"/>
    <w:p w14:paraId="1588F294" w14:textId="77777777" w:rsidR="00D706B7" w:rsidRDefault="00D706B7" w:rsidP="00D706B7">
      <w:pPr>
        <w:spacing w:line="240" w:lineRule="auto"/>
      </w:pPr>
    </w:p>
    <w:p w14:paraId="41CEC9D1" w14:textId="77777777" w:rsidR="0039780C" w:rsidRDefault="003B728D"/>
    <w:sectPr w:rsidR="0039780C" w:rsidSect="008C2EAC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3DD856" w14:textId="77777777" w:rsidR="00A339E0" w:rsidRDefault="00A339E0">
      <w:pPr>
        <w:spacing w:line="240" w:lineRule="auto"/>
      </w:pPr>
      <w:r>
        <w:separator/>
      </w:r>
    </w:p>
  </w:endnote>
  <w:endnote w:type="continuationSeparator" w:id="0">
    <w:p w14:paraId="29A7500B" w14:textId="77777777" w:rsidR="00A339E0" w:rsidRDefault="00A339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A6E146" w14:textId="77777777" w:rsidR="00745D89" w:rsidRPr="00E33C1C" w:rsidRDefault="003B728D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45D89" w14:paraId="4AF916A5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A1CFBC5" w14:textId="77777777" w:rsidR="00745D89" w:rsidRDefault="005442D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4F37707" w14:textId="77777777" w:rsidR="00745D89" w:rsidRPr="004E1307" w:rsidRDefault="005442DA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B2A25CD" w14:textId="77777777" w:rsidR="00745D89" w:rsidRDefault="003B728D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45D89" w14:paraId="3673CE59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0E68471" w14:textId="77777777" w:rsidR="00745D89" w:rsidRDefault="003B728D" w:rsidP="00A369E3">
          <w:pPr>
            <w:jc w:val="right"/>
            <w:rPr>
              <w:sz w:val="18"/>
            </w:rPr>
          </w:pPr>
        </w:p>
      </w:tc>
    </w:tr>
  </w:tbl>
  <w:p w14:paraId="13C00A5F" w14:textId="77777777" w:rsidR="00745D89" w:rsidRPr="00ED79B6" w:rsidRDefault="003B728D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630B4D" w14:textId="77777777" w:rsidR="00745D89" w:rsidRPr="00E33C1C" w:rsidRDefault="003B728D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45D89" w14:paraId="4FFD6B57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CB545D1" w14:textId="77777777" w:rsidR="00745D89" w:rsidRDefault="003B728D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1442948" w14:textId="77777777" w:rsidR="00745D89" w:rsidRDefault="005442DA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EF09E80" w14:textId="77777777" w:rsidR="00745D89" w:rsidRDefault="005442D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45D89" w14:paraId="092EDE8F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80BD673" w14:textId="77777777" w:rsidR="00745D89" w:rsidRDefault="003B728D" w:rsidP="00A369E3">
          <w:pPr>
            <w:rPr>
              <w:sz w:val="18"/>
            </w:rPr>
          </w:pPr>
        </w:p>
      </w:tc>
    </w:tr>
  </w:tbl>
  <w:p w14:paraId="661CD330" w14:textId="77777777" w:rsidR="00745D89" w:rsidRPr="00ED79B6" w:rsidRDefault="003B728D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D9CE5B" w14:textId="77777777" w:rsidR="00745D89" w:rsidRPr="00E33C1C" w:rsidRDefault="003B728D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45D89" w14:paraId="665905F0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4CE7D03" w14:textId="77777777" w:rsidR="00745D89" w:rsidRDefault="003B728D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09E8AA0" w14:textId="77777777" w:rsidR="00745D89" w:rsidRDefault="003B728D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D38C7E2" w14:textId="77777777" w:rsidR="00745D89" w:rsidRDefault="003B728D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0045AF85" w14:textId="77777777" w:rsidR="00745D89" w:rsidRPr="00ED79B6" w:rsidRDefault="003B728D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529FB2" w14:textId="77777777" w:rsidR="00745D89" w:rsidRPr="002B0EA5" w:rsidRDefault="003B728D" w:rsidP="00E048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745D89" w14:paraId="59523509" w14:textId="77777777" w:rsidTr="00E0483D">
      <w:tc>
        <w:tcPr>
          <w:tcW w:w="365" w:type="pct"/>
        </w:tcPr>
        <w:p w14:paraId="6BC5502B" w14:textId="77777777" w:rsidR="00745D89" w:rsidRDefault="005442DA" w:rsidP="00E0483D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0BA18007" w14:textId="77777777" w:rsidR="00745D89" w:rsidRDefault="005442DA" w:rsidP="00E0483D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4DB95081" w14:textId="77777777" w:rsidR="00745D89" w:rsidRDefault="003B728D" w:rsidP="00E0483D">
          <w:pPr>
            <w:spacing w:line="0" w:lineRule="atLeast"/>
            <w:jc w:val="right"/>
            <w:rPr>
              <w:sz w:val="18"/>
            </w:rPr>
          </w:pPr>
        </w:p>
      </w:tc>
    </w:tr>
    <w:tr w:rsidR="00745D89" w14:paraId="6A83504E" w14:textId="77777777" w:rsidTr="00E0483D">
      <w:tc>
        <w:tcPr>
          <w:tcW w:w="5000" w:type="pct"/>
          <w:gridSpan w:val="3"/>
        </w:tcPr>
        <w:p w14:paraId="41C981BF" w14:textId="77777777" w:rsidR="00745D89" w:rsidRDefault="003B728D" w:rsidP="00E0483D">
          <w:pPr>
            <w:jc w:val="right"/>
            <w:rPr>
              <w:sz w:val="18"/>
            </w:rPr>
          </w:pPr>
        </w:p>
      </w:tc>
    </w:tr>
  </w:tbl>
  <w:p w14:paraId="4AACAAF5" w14:textId="77777777" w:rsidR="00745D89" w:rsidRPr="00ED79B6" w:rsidRDefault="003B728D" w:rsidP="00E0483D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5C7AB7" w14:textId="77777777" w:rsidR="00745D89" w:rsidRPr="002B0EA5" w:rsidRDefault="003B728D" w:rsidP="00E048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745D89" w14:paraId="5B7BC93D" w14:textId="77777777" w:rsidTr="00E0483D">
      <w:tc>
        <w:tcPr>
          <w:tcW w:w="947" w:type="pct"/>
        </w:tcPr>
        <w:p w14:paraId="35DC93E6" w14:textId="77777777" w:rsidR="00745D89" w:rsidRDefault="003B728D" w:rsidP="00E0483D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6A22BB17" w14:textId="17E4F695" w:rsidR="00745D89" w:rsidRDefault="005442DA" w:rsidP="00E0483D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3B728D">
            <w:rPr>
              <w:i/>
              <w:noProof/>
              <w:sz w:val="18"/>
            </w:rPr>
            <w:t>Telecommunications (Fibre-ready Facilities — Exempt Real Estate Development Projects) Instrument 2023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517047B5" w14:textId="77777777" w:rsidR="00745D89" w:rsidRDefault="005442DA" w:rsidP="00E0483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45D89" w14:paraId="649BC570" w14:textId="77777777" w:rsidTr="00E0483D">
      <w:tc>
        <w:tcPr>
          <w:tcW w:w="5000" w:type="pct"/>
          <w:gridSpan w:val="3"/>
        </w:tcPr>
        <w:p w14:paraId="36E404E0" w14:textId="77777777" w:rsidR="00745D89" w:rsidRDefault="003B728D" w:rsidP="00E0483D">
          <w:pPr>
            <w:rPr>
              <w:sz w:val="18"/>
            </w:rPr>
          </w:pPr>
        </w:p>
      </w:tc>
    </w:tr>
  </w:tbl>
  <w:p w14:paraId="46F23F24" w14:textId="77777777" w:rsidR="00745D89" w:rsidRPr="00ED79B6" w:rsidRDefault="003B728D" w:rsidP="00E0483D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0E9284" w14:textId="77777777" w:rsidR="00745D89" w:rsidRPr="002B0EA5" w:rsidRDefault="003B728D" w:rsidP="00E048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745D89" w14:paraId="1A285809" w14:textId="77777777" w:rsidTr="00E0483D">
      <w:tc>
        <w:tcPr>
          <w:tcW w:w="365" w:type="pct"/>
        </w:tcPr>
        <w:p w14:paraId="6E17CF28" w14:textId="77777777" w:rsidR="00745D89" w:rsidRDefault="005442DA" w:rsidP="00E0483D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22731F74" w14:textId="77777777" w:rsidR="00745D89" w:rsidRDefault="005442DA" w:rsidP="00E0483D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Telecommunications (Fibre-ready Facilities — Exempt Real Estate Development Projects) Instrument 2023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358A6A9A" w14:textId="77777777" w:rsidR="00745D89" w:rsidRDefault="003B728D" w:rsidP="00E0483D">
          <w:pPr>
            <w:spacing w:line="0" w:lineRule="atLeast"/>
            <w:jc w:val="right"/>
            <w:rPr>
              <w:sz w:val="18"/>
            </w:rPr>
          </w:pPr>
        </w:p>
      </w:tc>
    </w:tr>
    <w:tr w:rsidR="00745D89" w14:paraId="00E1975B" w14:textId="77777777" w:rsidTr="00E0483D">
      <w:tc>
        <w:tcPr>
          <w:tcW w:w="5000" w:type="pct"/>
          <w:gridSpan w:val="3"/>
        </w:tcPr>
        <w:p w14:paraId="18C60CB1" w14:textId="77777777" w:rsidR="00745D89" w:rsidRDefault="003B728D" w:rsidP="00E0483D">
          <w:pPr>
            <w:jc w:val="right"/>
            <w:rPr>
              <w:sz w:val="18"/>
            </w:rPr>
          </w:pPr>
        </w:p>
      </w:tc>
    </w:tr>
  </w:tbl>
  <w:p w14:paraId="6978223F" w14:textId="77777777" w:rsidR="00745D89" w:rsidRPr="00ED79B6" w:rsidRDefault="003B728D" w:rsidP="00E0483D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E04036" w14:textId="77777777" w:rsidR="00745D89" w:rsidRPr="002B0EA5" w:rsidRDefault="003B728D" w:rsidP="00E048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745D89" w14:paraId="6A93C692" w14:textId="77777777" w:rsidTr="00E0483D">
      <w:tc>
        <w:tcPr>
          <w:tcW w:w="947" w:type="pct"/>
        </w:tcPr>
        <w:p w14:paraId="6D0C1E1F" w14:textId="77777777" w:rsidR="00745D89" w:rsidRDefault="003B728D" w:rsidP="00E0483D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04EC888C" w14:textId="4BD6570E" w:rsidR="00745D89" w:rsidRDefault="005442DA" w:rsidP="00E0483D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3B728D">
            <w:rPr>
              <w:i/>
              <w:noProof/>
              <w:sz w:val="18"/>
            </w:rPr>
            <w:t>Telecommunications (Fibre-ready Facilities — Exempt Real Estate Development Projects) Instrument 2023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013F0AF3" w14:textId="77777777" w:rsidR="00745D89" w:rsidRDefault="005442DA" w:rsidP="00E0483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45D89" w14:paraId="216E47ED" w14:textId="77777777" w:rsidTr="00E0483D">
      <w:tc>
        <w:tcPr>
          <w:tcW w:w="5000" w:type="pct"/>
          <w:gridSpan w:val="3"/>
        </w:tcPr>
        <w:p w14:paraId="4235B505" w14:textId="77777777" w:rsidR="00745D89" w:rsidRDefault="003B728D" w:rsidP="00E0483D">
          <w:pPr>
            <w:rPr>
              <w:sz w:val="18"/>
            </w:rPr>
          </w:pPr>
        </w:p>
      </w:tc>
    </w:tr>
  </w:tbl>
  <w:p w14:paraId="1ECA1109" w14:textId="77777777" w:rsidR="00745D89" w:rsidRPr="00ED79B6" w:rsidRDefault="003B728D" w:rsidP="00E0483D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BE324D" w14:textId="77777777" w:rsidR="00A339E0" w:rsidRDefault="00A339E0">
      <w:pPr>
        <w:spacing w:line="240" w:lineRule="auto"/>
      </w:pPr>
      <w:r>
        <w:separator/>
      </w:r>
    </w:p>
  </w:footnote>
  <w:footnote w:type="continuationSeparator" w:id="0">
    <w:p w14:paraId="7AD2FE5D" w14:textId="77777777" w:rsidR="00A339E0" w:rsidRDefault="00A339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9FA59D" w14:textId="77777777" w:rsidR="00745D89" w:rsidRPr="005F1388" w:rsidRDefault="003B728D" w:rsidP="00715914">
    <w:pPr>
      <w:pStyle w:val="Header"/>
      <w:tabs>
        <w:tab w:val="clear" w:pos="4150"/>
        <w:tab w:val="clear" w:pos="8307"/>
      </w:tabs>
    </w:pPr>
    <w:r>
      <w:rPr>
        <w:noProof/>
      </w:rPr>
      <w:pict w14:anchorId="6046BC0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70698719" o:spid="_x0000_s2050" type="#_x0000_t136" style="position:absolute;margin-left:0;margin-top:0;width:418.6pt;height:167.4pt;rotation:315;z-index:-25166080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B0E0C5" w14:textId="77777777" w:rsidR="00745D89" w:rsidRPr="005F1388" w:rsidRDefault="003B728D" w:rsidP="00715914">
    <w:pPr>
      <w:pStyle w:val="Header"/>
      <w:tabs>
        <w:tab w:val="clear" w:pos="4150"/>
        <w:tab w:val="clear" w:pos="8307"/>
      </w:tabs>
    </w:pPr>
    <w:r>
      <w:rPr>
        <w:noProof/>
      </w:rPr>
      <w:pict w14:anchorId="14A8967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70698720" o:spid="_x0000_s2051" type="#_x0000_t136" style="position:absolute;margin-left:0;margin-top:0;width:418.6pt;height:167.4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A8B4A" w14:textId="77777777" w:rsidR="00745D89" w:rsidRDefault="003B728D">
    <w:pPr>
      <w:pStyle w:val="Header"/>
    </w:pPr>
    <w:r>
      <w:rPr>
        <w:noProof/>
      </w:rPr>
      <w:pict w14:anchorId="22A1FE7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70698718" o:spid="_x0000_s2049" type="#_x0000_t136" style="position:absolute;margin-left:0;margin-top:0;width:418.6pt;height:167.4pt;rotation:315;z-index:-25166284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DB63B2" w14:textId="77777777" w:rsidR="00745D89" w:rsidRPr="00ED79B6" w:rsidRDefault="003B728D" w:rsidP="00E0483D">
    <w:pPr>
      <w:pBdr>
        <w:bottom w:val="single" w:sz="6" w:space="1" w:color="auto"/>
      </w:pBdr>
      <w:spacing w:before="1000" w:line="240" w:lineRule="auto"/>
    </w:pPr>
    <w:r>
      <w:rPr>
        <w:noProof/>
      </w:rPr>
      <w:pict w14:anchorId="3BAD13B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70698722" o:spid="_x0000_s2053" type="#_x0000_t136" style="position:absolute;margin-left:0;margin-top:0;width:418.6pt;height:167.4pt;rotation:315;z-index:-25165568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FD6104" w14:textId="77777777" w:rsidR="00745D89" w:rsidRPr="00ED79B6" w:rsidRDefault="003B728D" w:rsidP="00E0483D">
    <w:pPr>
      <w:pBdr>
        <w:bottom w:val="single" w:sz="6" w:space="1" w:color="auto"/>
      </w:pBdr>
      <w:spacing w:before="1000" w:line="240" w:lineRule="auto"/>
    </w:pPr>
    <w:r>
      <w:rPr>
        <w:noProof/>
      </w:rPr>
      <w:pict w14:anchorId="79DB566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70698723" o:spid="_x0000_s2054" type="#_x0000_t136" style="position:absolute;margin-left:0;margin-top:0;width:418.6pt;height:167.4pt;rotation:315;z-index:-25165465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64C9EC" w14:textId="77777777" w:rsidR="00745D89" w:rsidRPr="00ED79B6" w:rsidRDefault="003B728D" w:rsidP="00715914">
    <w:pPr>
      <w:pStyle w:val="Header"/>
      <w:tabs>
        <w:tab w:val="clear" w:pos="4150"/>
        <w:tab w:val="clear" w:pos="8307"/>
      </w:tabs>
    </w:pPr>
    <w:r>
      <w:rPr>
        <w:noProof/>
      </w:rPr>
      <w:pict w14:anchorId="6E8ED3A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70698721" o:spid="_x0000_s2052" type="#_x0000_t136" style="position:absolute;margin-left:0;margin-top:0;width:418.6pt;height:167.4pt;rotation:315;z-index:-25165670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8E171B" w14:textId="77777777" w:rsidR="00745D89" w:rsidRDefault="003B728D" w:rsidP="00715914">
    <w:pPr>
      <w:rPr>
        <w:sz w:val="20"/>
      </w:rPr>
    </w:pPr>
    <w:r>
      <w:rPr>
        <w:noProof/>
      </w:rPr>
      <w:pict w14:anchorId="785BBCC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70698725" o:spid="_x0000_s2056" type="#_x0000_t136" style="position:absolute;margin-left:0;margin-top:0;width:418.6pt;height:167.4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  <w:p w14:paraId="0C194F7D" w14:textId="77777777" w:rsidR="00745D89" w:rsidRDefault="003B728D" w:rsidP="00715914">
    <w:pPr>
      <w:rPr>
        <w:sz w:val="20"/>
      </w:rPr>
    </w:pPr>
  </w:p>
  <w:p w14:paraId="420B185F" w14:textId="77777777" w:rsidR="00745D89" w:rsidRPr="007A1328" w:rsidRDefault="003B728D" w:rsidP="00715914">
    <w:pPr>
      <w:rPr>
        <w:sz w:val="20"/>
      </w:rPr>
    </w:pPr>
  </w:p>
  <w:p w14:paraId="3EB2C390" w14:textId="77777777" w:rsidR="00745D89" w:rsidRPr="007A1328" w:rsidRDefault="003B728D" w:rsidP="00715914">
    <w:pPr>
      <w:rPr>
        <w:b/>
        <w:sz w:val="24"/>
      </w:rPr>
    </w:pPr>
  </w:p>
  <w:p w14:paraId="6B0536FD" w14:textId="77777777" w:rsidR="00745D89" w:rsidRPr="007A1328" w:rsidRDefault="003B728D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22763C" w14:textId="77777777" w:rsidR="00745D89" w:rsidRPr="007A1328" w:rsidRDefault="003B728D" w:rsidP="00715914">
    <w:pPr>
      <w:jc w:val="right"/>
      <w:rPr>
        <w:sz w:val="20"/>
      </w:rPr>
    </w:pPr>
    <w:r>
      <w:rPr>
        <w:noProof/>
      </w:rPr>
      <w:pict w14:anchorId="7267421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70698726" o:spid="_x0000_s2057" type="#_x0000_t136" style="position:absolute;left:0;text-align:left;margin-left:0;margin-top:0;width:418.6pt;height:167.4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  <w:p w14:paraId="6F1EB6E8" w14:textId="77777777" w:rsidR="00745D89" w:rsidRPr="007A1328" w:rsidRDefault="003B728D" w:rsidP="00715914">
    <w:pPr>
      <w:jc w:val="right"/>
      <w:rPr>
        <w:sz w:val="20"/>
      </w:rPr>
    </w:pPr>
  </w:p>
  <w:p w14:paraId="085BDDB1" w14:textId="77777777" w:rsidR="00745D89" w:rsidRPr="007A1328" w:rsidRDefault="003B728D" w:rsidP="00715914">
    <w:pPr>
      <w:jc w:val="right"/>
      <w:rPr>
        <w:sz w:val="20"/>
      </w:rPr>
    </w:pPr>
  </w:p>
  <w:p w14:paraId="47548912" w14:textId="77777777" w:rsidR="00745D89" w:rsidRPr="007A1328" w:rsidRDefault="003B728D" w:rsidP="00715914">
    <w:pPr>
      <w:jc w:val="right"/>
      <w:rPr>
        <w:b/>
        <w:sz w:val="24"/>
      </w:rPr>
    </w:pPr>
  </w:p>
  <w:p w14:paraId="111B531B" w14:textId="77777777" w:rsidR="00745D89" w:rsidRPr="007A1328" w:rsidRDefault="003B728D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19EE31" w14:textId="77777777" w:rsidR="00745D89" w:rsidRDefault="003B728D">
    <w:pPr>
      <w:pStyle w:val="Header"/>
    </w:pPr>
    <w:r>
      <w:rPr>
        <w:noProof/>
      </w:rPr>
      <w:pict w14:anchorId="7E60488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70698724" o:spid="_x0000_s2055" type="#_x0000_t136" style="position:absolute;margin-left:0;margin-top:0;width:418.6pt;height:167.4pt;rotation:315;z-index:-25166182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C74CE"/>
    <w:multiLevelType w:val="hybridMultilevel"/>
    <w:tmpl w:val="76C4E1AA"/>
    <w:lvl w:ilvl="0" w:tplc="EC7A9706">
      <w:start w:val="1"/>
      <w:numFmt w:val="lowerLetter"/>
      <w:lvlText w:val="(%1)"/>
      <w:lvlJc w:val="left"/>
      <w:pPr>
        <w:ind w:left="360" w:hanging="360"/>
      </w:pPr>
      <w:rPr>
        <w:rFonts w:ascii="Times New Roman" w:eastAsia="Times New Roman" w:hAnsi="Times New Roman" w:cs="Times New Roman"/>
        <w:sz w:val="22"/>
        <w:szCs w:val="22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A1F820F4">
      <w:start w:val="1"/>
      <w:numFmt w:val="lowerRoman"/>
      <w:lvlText w:val="(%3)"/>
      <w:lvlJc w:val="right"/>
      <w:pPr>
        <w:ind w:left="605" w:hanging="180"/>
      </w:pPr>
      <w:rPr>
        <w:rFonts w:ascii="Times New Roman" w:eastAsia="Times New Roman" w:hAnsi="Times New Roman"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880A1B"/>
    <w:multiLevelType w:val="hybridMultilevel"/>
    <w:tmpl w:val="2046602A"/>
    <w:lvl w:ilvl="0" w:tplc="8DE86744">
      <w:start w:val="1"/>
      <w:numFmt w:val="lowerLetter"/>
      <w:lvlText w:val="(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A1F820F4">
      <w:start w:val="1"/>
      <w:numFmt w:val="lowerRoman"/>
      <w:lvlText w:val="(%3)"/>
      <w:lvlJc w:val="right"/>
      <w:pPr>
        <w:ind w:left="605" w:hanging="180"/>
      </w:pPr>
      <w:rPr>
        <w:rFonts w:ascii="Times New Roman" w:eastAsia="Times New Roman" w:hAnsi="Times New Roman"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AD1BEE"/>
    <w:multiLevelType w:val="hybridMultilevel"/>
    <w:tmpl w:val="4A8C4414"/>
    <w:lvl w:ilvl="0" w:tplc="6B228220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23E54FAD"/>
    <w:multiLevelType w:val="hybridMultilevel"/>
    <w:tmpl w:val="B5480376"/>
    <w:lvl w:ilvl="0" w:tplc="144AA3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CF3103"/>
    <w:multiLevelType w:val="hybridMultilevel"/>
    <w:tmpl w:val="F89040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C43FA0"/>
    <w:multiLevelType w:val="hybridMultilevel"/>
    <w:tmpl w:val="611AB2DE"/>
    <w:lvl w:ilvl="0" w:tplc="6DEC5592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D9695D"/>
    <w:multiLevelType w:val="hybridMultilevel"/>
    <w:tmpl w:val="5A689B00"/>
    <w:lvl w:ilvl="0" w:tplc="712C38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981612"/>
    <w:multiLevelType w:val="hybridMultilevel"/>
    <w:tmpl w:val="3026943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6B7"/>
    <w:rsid w:val="000857B4"/>
    <w:rsid w:val="000F3DF3"/>
    <w:rsid w:val="00132BDA"/>
    <w:rsid w:val="001A5810"/>
    <w:rsid w:val="00325B43"/>
    <w:rsid w:val="003B728D"/>
    <w:rsid w:val="003F4E0D"/>
    <w:rsid w:val="005316BD"/>
    <w:rsid w:val="005442DA"/>
    <w:rsid w:val="00633D29"/>
    <w:rsid w:val="007039B8"/>
    <w:rsid w:val="00A339E0"/>
    <w:rsid w:val="00C42A5D"/>
    <w:rsid w:val="00CC061D"/>
    <w:rsid w:val="00CC13D0"/>
    <w:rsid w:val="00D706B7"/>
    <w:rsid w:val="00E73DE6"/>
    <w:rsid w:val="00EF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0328AB16"/>
  <w15:chartTrackingRefBased/>
  <w15:docId w15:val="{39E2950A-6257-4FD2-A5F7-056CC0CB8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D706B7"/>
    <w:pPr>
      <w:spacing w:after="0" w:line="260" w:lineRule="atLeast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hortT">
    <w:name w:val="ShortT"/>
    <w:basedOn w:val="Normal"/>
    <w:next w:val="Normal"/>
    <w:qFormat/>
    <w:rsid w:val="00D706B7"/>
    <w:pPr>
      <w:spacing w:line="240" w:lineRule="auto"/>
    </w:pPr>
    <w:rPr>
      <w:rFonts w:eastAsia="Times New Roman" w:cs="Times New Roman"/>
      <w:b/>
      <w:sz w:val="40"/>
      <w:lang w:eastAsia="en-AU"/>
    </w:rPr>
  </w:style>
  <w:style w:type="paragraph" w:customStyle="1" w:styleId="ActHead5">
    <w:name w:val="ActHead 5"/>
    <w:aliases w:val="s"/>
    <w:basedOn w:val="Normal"/>
    <w:next w:val="subsection"/>
    <w:qFormat/>
    <w:rsid w:val="00D706B7"/>
    <w:pPr>
      <w:keepNext/>
      <w:keepLines/>
      <w:spacing w:before="280" w:line="240" w:lineRule="auto"/>
      <w:ind w:left="1134" w:hanging="1134"/>
      <w:outlineLvl w:val="4"/>
    </w:pPr>
    <w:rPr>
      <w:rFonts w:eastAsia="Times New Roman" w:cs="Times New Roman"/>
      <w:b/>
      <w:kern w:val="28"/>
      <w:sz w:val="24"/>
      <w:lang w:eastAsia="en-AU"/>
    </w:rPr>
  </w:style>
  <w:style w:type="paragraph" w:customStyle="1" w:styleId="ActHead6">
    <w:name w:val="ActHead 6"/>
    <w:aliases w:val="as"/>
    <w:basedOn w:val="Normal"/>
    <w:next w:val="Normal"/>
    <w:qFormat/>
    <w:rsid w:val="00D706B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customStyle="1" w:styleId="ActHead9">
    <w:name w:val="ActHead 9"/>
    <w:aliases w:val="aat"/>
    <w:basedOn w:val="Normal"/>
    <w:next w:val="ItemHead"/>
    <w:qFormat/>
    <w:rsid w:val="00D706B7"/>
    <w:pPr>
      <w:keepNext/>
      <w:keepLines/>
      <w:spacing w:before="280" w:line="240" w:lineRule="auto"/>
      <w:ind w:left="1134" w:hanging="1134"/>
      <w:outlineLvl w:val="8"/>
    </w:pPr>
    <w:rPr>
      <w:rFonts w:eastAsia="Times New Roman" w:cs="Times New Roman"/>
      <w:b/>
      <w:i/>
      <w:kern w:val="28"/>
      <w:sz w:val="28"/>
      <w:lang w:eastAsia="en-AU"/>
    </w:rPr>
  </w:style>
  <w:style w:type="character" w:customStyle="1" w:styleId="CharAmSchNo">
    <w:name w:val="CharAmSchNo"/>
    <w:basedOn w:val="DefaultParagraphFont"/>
    <w:uiPriority w:val="1"/>
    <w:qFormat/>
    <w:rsid w:val="00D706B7"/>
  </w:style>
  <w:style w:type="character" w:customStyle="1" w:styleId="CharAmSchText">
    <w:name w:val="CharAmSchText"/>
    <w:basedOn w:val="DefaultParagraphFont"/>
    <w:uiPriority w:val="1"/>
    <w:qFormat/>
    <w:rsid w:val="00D706B7"/>
  </w:style>
  <w:style w:type="paragraph" w:customStyle="1" w:styleId="subsection">
    <w:name w:val="subsection"/>
    <w:aliases w:val="ss,Subsection"/>
    <w:basedOn w:val="Normal"/>
    <w:link w:val="subsectionChar"/>
    <w:rsid w:val="00D706B7"/>
    <w:pPr>
      <w:tabs>
        <w:tab w:val="right" w:pos="1021"/>
      </w:tabs>
      <w:spacing w:before="180" w:line="240" w:lineRule="auto"/>
      <w:ind w:left="1134" w:hanging="1134"/>
    </w:pPr>
    <w:rPr>
      <w:rFonts w:eastAsia="Times New Roman" w:cs="Times New Roman"/>
      <w:lang w:eastAsia="en-AU"/>
    </w:rPr>
  </w:style>
  <w:style w:type="paragraph" w:customStyle="1" w:styleId="Definition">
    <w:name w:val="Definition"/>
    <w:aliases w:val="dd"/>
    <w:basedOn w:val="Normal"/>
    <w:rsid w:val="00D706B7"/>
    <w:pPr>
      <w:spacing w:before="180" w:line="240" w:lineRule="auto"/>
      <w:ind w:left="1134"/>
    </w:pPr>
    <w:rPr>
      <w:rFonts w:eastAsia="Times New Roman" w:cs="Times New Roman"/>
      <w:lang w:eastAsia="en-AU"/>
    </w:rPr>
  </w:style>
  <w:style w:type="paragraph" w:styleId="Header">
    <w:name w:val="header"/>
    <w:basedOn w:val="Normal"/>
    <w:link w:val="HeaderChar"/>
    <w:unhideWhenUsed/>
    <w:rsid w:val="00D706B7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 w:cs="Times New Roman"/>
      <w:sz w:val="16"/>
      <w:lang w:eastAsia="en-AU"/>
    </w:rPr>
  </w:style>
  <w:style w:type="character" w:customStyle="1" w:styleId="HeaderChar">
    <w:name w:val="Header Char"/>
    <w:basedOn w:val="DefaultParagraphFont"/>
    <w:link w:val="Header"/>
    <w:rsid w:val="00D706B7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Item">
    <w:name w:val="Item"/>
    <w:aliases w:val="i"/>
    <w:basedOn w:val="Normal"/>
    <w:next w:val="ItemHead"/>
    <w:rsid w:val="00D706B7"/>
    <w:pPr>
      <w:keepLines/>
      <w:spacing w:before="80" w:line="240" w:lineRule="auto"/>
      <w:ind w:left="709"/>
    </w:pPr>
    <w:rPr>
      <w:rFonts w:eastAsia="Times New Roman" w:cs="Times New Roman"/>
      <w:lang w:eastAsia="en-AU"/>
    </w:rPr>
  </w:style>
  <w:style w:type="paragraph" w:customStyle="1" w:styleId="ItemHead">
    <w:name w:val="ItemHead"/>
    <w:aliases w:val="ih"/>
    <w:basedOn w:val="Normal"/>
    <w:next w:val="Item"/>
    <w:rsid w:val="00D706B7"/>
    <w:pPr>
      <w:keepNext/>
      <w:keepLines/>
      <w:spacing w:before="22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D706B7"/>
    <w:pPr>
      <w:spacing w:before="122" w:line="198" w:lineRule="exact"/>
      <w:ind w:left="1985" w:hanging="851"/>
    </w:pPr>
    <w:rPr>
      <w:rFonts w:eastAsia="Times New Roman" w:cs="Times New Roman"/>
      <w:sz w:val="18"/>
      <w:lang w:eastAsia="en-AU"/>
    </w:rPr>
  </w:style>
  <w:style w:type="paragraph" w:customStyle="1" w:styleId="paragraphsub">
    <w:name w:val="paragraph(sub)"/>
    <w:aliases w:val="aa"/>
    <w:basedOn w:val="Normal"/>
    <w:rsid w:val="00D706B7"/>
    <w:pPr>
      <w:tabs>
        <w:tab w:val="right" w:pos="1985"/>
      </w:tabs>
      <w:spacing w:before="40" w:line="240" w:lineRule="auto"/>
      <w:ind w:left="2098" w:hanging="2098"/>
    </w:pPr>
    <w:rPr>
      <w:rFonts w:eastAsia="Times New Roman" w:cs="Times New Roman"/>
      <w:lang w:eastAsia="en-AU"/>
    </w:rPr>
  </w:style>
  <w:style w:type="paragraph" w:customStyle="1" w:styleId="paragraph">
    <w:name w:val="paragraph"/>
    <w:aliases w:val="a"/>
    <w:basedOn w:val="Normal"/>
    <w:rsid w:val="00D706B7"/>
    <w:pPr>
      <w:tabs>
        <w:tab w:val="right" w:pos="1531"/>
      </w:tabs>
      <w:spacing w:before="40" w:line="240" w:lineRule="auto"/>
      <w:ind w:left="1644" w:hanging="1644"/>
    </w:pPr>
    <w:rPr>
      <w:rFonts w:eastAsia="Times New Roman" w:cs="Times New Roman"/>
      <w:lang w:eastAsia="en-AU"/>
    </w:rPr>
  </w:style>
  <w:style w:type="paragraph" w:customStyle="1" w:styleId="Tabletext">
    <w:name w:val="Tabletext"/>
    <w:aliases w:val="tt"/>
    <w:basedOn w:val="Normal"/>
    <w:rsid w:val="00D706B7"/>
    <w:pPr>
      <w:spacing w:before="60" w:line="240" w:lineRule="atLeast"/>
    </w:pPr>
    <w:rPr>
      <w:rFonts w:eastAsia="Times New Roman" w:cs="Times New Roman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D706B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D706B7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9">
    <w:name w:val="toc 9"/>
    <w:basedOn w:val="Normal"/>
    <w:next w:val="Normal"/>
    <w:uiPriority w:val="39"/>
    <w:unhideWhenUsed/>
    <w:rsid w:val="00D706B7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notepara">
    <w:name w:val="note(para)"/>
    <w:aliases w:val="na"/>
    <w:basedOn w:val="Normal"/>
    <w:rsid w:val="00D706B7"/>
    <w:pPr>
      <w:spacing w:before="40" w:line="198" w:lineRule="exact"/>
      <w:ind w:left="2354" w:hanging="369"/>
    </w:pPr>
    <w:rPr>
      <w:rFonts w:eastAsia="Times New Roman" w:cs="Times New Roman"/>
      <w:sz w:val="18"/>
      <w:lang w:eastAsia="en-AU"/>
    </w:rPr>
  </w:style>
  <w:style w:type="table" w:styleId="TableGrid">
    <w:name w:val="Table Grid"/>
    <w:basedOn w:val="TableNormal"/>
    <w:uiPriority w:val="59"/>
    <w:rsid w:val="00D706B7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End">
    <w:name w:val="SignCoverPageEnd"/>
    <w:basedOn w:val="Normal"/>
    <w:next w:val="Normal"/>
    <w:rsid w:val="00D706B7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rFonts w:eastAsia="Times New Roman" w:cs="Times New Roman"/>
      <w:sz w:val="24"/>
      <w:lang w:eastAsia="en-AU"/>
    </w:rPr>
  </w:style>
  <w:style w:type="paragraph" w:customStyle="1" w:styleId="SignCoverPageStart">
    <w:name w:val="SignCoverPageStart"/>
    <w:basedOn w:val="Normal"/>
    <w:next w:val="Normal"/>
    <w:rsid w:val="00D706B7"/>
    <w:pPr>
      <w:pBdr>
        <w:top w:val="single" w:sz="4" w:space="1" w:color="auto"/>
      </w:pBdr>
      <w:spacing w:before="360"/>
      <w:ind w:right="397"/>
      <w:jc w:val="both"/>
    </w:pPr>
    <w:rPr>
      <w:rFonts w:eastAsia="Times New Roman" w:cs="Times New Roman"/>
      <w:lang w:eastAsia="en-AU"/>
    </w:rPr>
  </w:style>
  <w:style w:type="paragraph" w:customStyle="1" w:styleId="TableHeading">
    <w:name w:val="TableHeading"/>
    <w:aliases w:val="th"/>
    <w:basedOn w:val="Normal"/>
    <w:next w:val="Tabletext"/>
    <w:rsid w:val="00D706B7"/>
    <w:pPr>
      <w:keepNext/>
      <w:spacing w:before="60" w:line="240" w:lineRule="atLeast"/>
    </w:pPr>
    <w:rPr>
      <w:rFonts w:eastAsia="Times New Roman" w:cs="Times New Roman"/>
      <w:b/>
      <w:sz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706B7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D706B7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TableText0">
    <w:name w:val="TableText"/>
    <w:basedOn w:val="Normal"/>
    <w:rsid w:val="00D706B7"/>
    <w:pPr>
      <w:spacing w:before="60" w:after="60" w:line="240" w:lineRule="exact"/>
    </w:pPr>
    <w:rPr>
      <w:rFonts w:eastAsia="Times New Roman" w:cs="Times New Roman"/>
      <w:szCs w:val="24"/>
      <w:lang w:eastAsia="en-AU"/>
    </w:rPr>
  </w:style>
  <w:style w:type="paragraph" w:customStyle="1" w:styleId="ExariDefinitionL2">
    <w:name w:val="Exari Definition L2"/>
    <w:uiPriority w:val="99"/>
    <w:rsid w:val="00D706B7"/>
    <w:pPr>
      <w:tabs>
        <w:tab w:val="num" w:pos="1372"/>
      </w:tabs>
      <w:spacing w:before="80" w:after="80" w:line="240" w:lineRule="auto"/>
      <w:ind w:left="1372" w:hanging="794"/>
    </w:pPr>
    <w:rPr>
      <w:rFonts w:ascii="Arial" w:eastAsia="Times New Roman" w:hAnsi="Arial" w:cs="Arial"/>
      <w:sz w:val="24"/>
      <w:lang w:val="en-GB"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D706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706B7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706B7"/>
    <w:rPr>
      <w:rFonts w:ascii="Times New Roman" w:hAnsi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706B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6B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6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861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Telecommunications (Fibre-ready Facilities — Exempt Real Estate Development Projects) Instrument 2023</dc:title>
  <dc:subject/>
  <dc:creator>Legal Services - DITRDCA</dc:creator>
  <cp:keywords/>
  <dc:description/>
  <cp:lastModifiedBy>HALL Theresa</cp:lastModifiedBy>
  <cp:revision>3</cp:revision>
  <cp:lastPrinted>2023-08-09T22:28:00Z</cp:lastPrinted>
  <dcterms:created xsi:type="dcterms:W3CDTF">2023-08-11T04:35:00Z</dcterms:created>
  <dcterms:modified xsi:type="dcterms:W3CDTF">2023-08-11T04:36:00Z</dcterms:modified>
</cp:coreProperties>
</file>