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CB6B" w14:textId="42506305" w:rsidR="00B1166A" w:rsidRPr="00580285" w:rsidRDefault="00E54D3D" w:rsidP="00B1166A">
      <w:pPr>
        <w:pStyle w:val="NormalBold"/>
        <w:jc w:val="center"/>
        <w:rPr>
          <w:rFonts w:ascii="Times New Roman" w:hAnsi="Times New Roman" w:cs="Times New Roman"/>
          <w:sz w:val="28"/>
          <w:szCs w:val="28"/>
          <w:u w:val="single"/>
        </w:rPr>
      </w:pPr>
      <w:r w:rsidRPr="00580285">
        <w:rPr>
          <w:rFonts w:ascii="Times New Roman" w:hAnsi="Times New Roman" w:cs="Times New Roman"/>
          <w:sz w:val="28"/>
          <w:szCs w:val="28"/>
          <w:u w:val="single"/>
        </w:rPr>
        <w:t>DRAFT EXPLANATORY STATEMENT</w:t>
      </w:r>
    </w:p>
    <w:p w14:paraId="5F63B7E7" w14:textId="77777777" w:rsidR="00FC2155" w:rsidRPr="00FC2155" w:rsidRDefault="00FC2155" w:rsidP="00FC2155">
      <w:pPr>
        <w:shd w:val="clear" w:color="auto" w:fill="FFFFFF"/>
        <w:spacing w:before="0" w:line="240" w:lineRule="auto"/>
        <w:jc w:val="center"/>
        <w:outlineLvl w:val="1"/>
        <w:rPr>
          <w:rFonts w:ascii="Times New Roman" w:eastAsia="Times New Roman" w:hAnsi="Times New Roman" w:cs="Times New Roman"/>
          <w:bCs/>
          <w:color w:val="000000"/>
          <w:sz w:val="24"/>
          <w:szCs w:val="24"/>
          <w:lang w:eastAsia="en-AU"/>
        </w:rPr>
      </w:pPr>
      <w:r w:rsidRPr="00FC2155">
        <w:rPr>
          <w:rFonts w:ascii="Times New Roman" w:eastAsia="Times New Roman" w:hAnsi="Times New Roman" w:cs="Times New Roman"/>
          <w:bCs/>
          <w:color w:val="000000"/>
          <w:sz w:val="24"/>
          <w:szCs w:val="24"/>
          <w:lang w:eastAsia="en-AU"/>
        </w:rPr>
        <w:t>Issued by the Authority of the Minister for Communications</w:t>
      </w:r>
    </w:p>
    <w:p w14:paraId="50441844" w14:textId="77777777" w:rsidR="00FC2155" w:rsidRDefault="00FC2155" w:rsidP="00FC2155">
      <w:pPr>
        <w:autoSpaceDE w:val="0"/>
        <w:autoSpaceDN w:val="0"/>
        <w:adjustRightInd w:val="0"/>
        <w:spacing w:before="0" w:line="240" w:lineRule="auto"/>
        <w:jc w:val="center"/>
        <w:rPr>
          <w:rFonts w:ascii="Times New Roman" w:hAnsi="Times New Roman" w:cs="Times New Roman"/>
          <w:bCs/>
          <w:i/>
          <w:sz w:val="24"/>
          <w:szCs w:val="24"/>
        </w:rPr>
      </w:pPr>
    </w:p>
    <w:p w14:paraId="397769AA" w14:textId="4B27C883" w:rsidR="004B3952" w:rsidRPr="00580285" w:rsidRDefault="00BE49E5" w:rsidP="00FC2155">
      <w:pPr>
        <w:autoSpaceDE w:val="0"/>
        <w:autoSpaceDN w:val="0"/>
        <w:adjustRightInd w:val="0"/>
        <w:spacing w:before="0" w:line="240" w:lineRule="auto"/>
        <w:jc w:val="center"/>
        <w:rPr>
          <w:rFonts w:ascii="Times New Roman" w:hAnsi="Times New Roman" w:cs="Times New Roman"/>
          <w:bCs/>
          <w:i/>
          <w:sz w:val="24"/>
          <w:szCs w:val="24"/>
        </w:rPr>
      </w:pPr>
      <w:r w:rsidRPr="00580285">
        <w:rPr>
          <w:rFonts w:ascii="Times New Roman" w:hAnsi="Times New Roman" w:cs="Times New Roman"/>
          <w:bCs/>
          <w:i/>
          <w:sz w:val="24"/>
          <w:szCs w:val="24"/>
        </w:rPr>
        <w:t>Telecommunications Act 1997</w:t>
      </w:r>
    </w:p>
    <w:p w14:paraId="351D6065" w14:textId="77777777" w:rsidR="004B3952" w:rsidRPr="00580285" w:rsidRDefault="004B3952" w:rsidP="00FC2155">
      <w:pPr>
        <w:autoSpaceDE w:val="0"/>
        <w:autoSpaceDN w:val="0"/>
        <w:adjustRightInd w:val="0"/>
        <w:spacing w:before="0" w:line="240" w:lineRule="auto"/>
        <w:jc w:val="center"/>
        <w:rPr>
          <w:rFonts w:ascii="Times New Roman" w:hAnsi="Times New Roman" w:cs="Times New Roman"/>
          <w:b/>
          <w:bCs/>
          <w:sz w:val="24"/>
          <w:szCs w:val="24"/>
        </w:rPr>
      </w:pPr>
    </w:p>
    <w:p w14:paraId="12A7D8F9" w14:textId="5FCAAF78" w:rsidR="00E54D3D" w:rsidRPr="00580285" w:rsidRDefault="00FC2155" w:rsidP="00FC2155">
      <w:pPr>
        <w:shd w:val="clear" w:color="auto" w:fill="FFFFFF"/>
        <w:spacing w:before="0" w:line="240" w:lineRule="auto"/>
        <w:jc w:val="center"/>
        <w:rPr>
          <w:rFonts w:ascii="Times New Roman" w:eastAsia="Times New Roman" w:hAnsi="Times New Roman" w:cs="Times New Roman"/>
          <w:b/>
          <w:bCs/>
          <w:color w:val="000000"/>
          <w:sz w:val="24"/>
          <w:szCs w:val="24"/>
          <w:lang w:eastAsia="en-AU"/>
        </w:rPr>
      </w:pPr>
      <w:r w:rsidRPr="00FC2155">
        <w:rPr>
          <w:rFonts w:ascii="Times New Roman" w:eastAsia="Times New Roman" w:hAnsi="Times New Roman" w:cs="Times New Roman"/>
          <w:b/>
          <w:bCs/>
          <w:color w:val="000000"/>
          <w:sz w:val="24"/>
          <w:szCs w:val="24"/>
          <w:lang w:eastAsia="en-AU"/>
        </w:rPr>
        <w:t>Telecommunications (Infringement Notice Penalties) Determination 2022</w:t>
      </w:r>
    </w:p>
    <w:p w14:paraId="52265431" w14:textId="1F919638" w:rsidR="00E54D3D" w:rsidRPr="00955D6B" w:rsidRDefault="00E54D3D" w:rsidP="004A716A">
      <w:pPr>
        <w:spacing w:before="100" w:beforeAutospacing="1" w:after="100" w:afterAutospacing="1" w:line="276" w:lineRule="auto"/>
        <w:jc w:val="center"/>
        <w:rPr>
          <w:rFonts w:ascii="Times New Roman" w:hAnsi="Times New Roman"/>
          <w:i/>
        </w:rPr>
      </w:pPr>
      <w:r w:rsidRPr="00955D6B">
        <w:rPr>
          <w:rFonts w:ascii="Times New Roman" w:hAnsi="Times New Roman"/>
          <w:i/>
          <w:highlight w:val="lightGray"/>
        </w:rPr>
        <w:t>Note: This draft explanatory statement is provided to assist stakeholders comment on a draft of the Telecommunications (Infringement Notice Penalties) Determination 2022</w:t>
      </w:r>
      <w:r w:rsidR="007B1E95" w:rsidRPr="00955D6B">
        <w:rPr>
          <w:rFonts w:ascii="Times New Roman" w:hAnsi="Times New Roman"/>
          <w:i/>
          <w:highlight w:val="lightGray"/>
        </w:rPr>
        <w:t>. It has no formal status and it should not be considered definitive.</w:t>
      </w:r>
    </w:p>
    <w:p w14:paraId="15FEAD4D" w14:textId="45D4C134" w:rsidR="004B3952" w:rsidRPr="00580285" w:rsidRDefault="00B1166A" w:rsidP="004A716A">
      <w:pPr>
        <w:spacing w:before="100" w:beforeAutospacing="1" w:after="120" w:line="276"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t>Purpose</w:t>
      </w:r>
    </w:p>
    <w:p w14:paraId="1412D9C9" w14:textId="7033F1D1" w:rsidR="00E54D3D" w:rsidRPr="00580285" w:rsidRDefault="00E54D3D" w:rsidP="0023634D">
      <w:pPr>
        <w:spacing w:before="0" w:line="240" w:lineRule="auto"/>
        <w:rPr>
          <w:rFonts w:ascii="Times New Roman" w:hAnsi="Times New Roman" w:cs="Times New Roman"/>
          <w:bCs/>
          <w:sz w:val="24"/>
          <w:szCs w:val="24"/>
        </w:rPr>
      </w:pPr>
      <w:r w:rsidRPr="00580285">
        <w:rPr>
          <w:rFonts w:ascii="Times New Roman" w:hAnsi="Times New Roman" w:cs="Times New Roman"/>
          <w:sz w:val="24"/>
          <w:szCs w:val="24"/>
        </w:rPr>
        <w:t xml:space="preserve">The </w:t>
      </w:r>
      <w:bookmarkStart w:id="0" w:name="_Hlk117787645"/>
      <w:r w:rsidRPr="00580285">
        <w:rPr>
          <w:rFonts w:ascii="Times New Roman" w:hAnsi="Times New Roman" w:cs="Times New Roman"/>
          <w:bCs/>
          <w:i/>
          <w:sz w:val="24"/>
          <w:szCs w:val="24"/>
        </w:rPr>
        <w:t>Telecommunications (Infringement Notice Penalties) Determination 2022</w:t>
      </w:r>
      <w:r w:rsidRPr="00580285">
        <w:rPr>
          <w:rFonts w:ascii="Times New Roman" w:hAnsi="Times New Roman" w:cs="Times New Roman"/>
          <w:bCs/>
          <w:sz w:val="24"/>
          <w:szCs w:val="24"/>
        </w:rPr>
        <w:t xml:space="preserve"> </w:t>
      </w:r>
      <w:bookmarkEnd w:id="0"/>
      <w:r w:rsidRPr="00580285">
        <w:rPr>
          <w:rFonts w:ascii="Times New Roman" w:hAnsi="Times New Roman" w:cs="Times New Roman"/>
          <w:bCs/>
          <w:sz w:val="24"/>
          <w:szCs w:val="24"/>
        </w:rPr>
        <w:t xml:space="preserve">(the Determination) is made by the Minister for Communications under subsection 572G(2) of the </w:t>
      </w:r>
      <w:r w:rsidRPr="00580285">
        <w:rPr>
          <w:rFonts w:ascii="Times New Roman" w:hAnsi="Times New Roman" w:cs="Times New Roman"/>
          <w:bCs/>
          <w:i/>
          <w:sz w:val="24"/>
          <w:szCs w:val="24"/>
        </w:rPr>
        <w:t>Telecommunications Act 1997</w:t>
      </w:r>
      <w:r w:rsidRPr="00580285">
        <w:rPr>
          <w:rFonts w:ascii="Times New Roman" w:hAnsi="Times New Roman" w:cs="Times New Roman"/>
          <w:bCs/>
          <w:sz w:val="24"/>
          <w:szCs w:val="24"/>
        </w:rPr>
        <w:t xml:space="preserve"> (the Act). </w:t>
      </w:r>
      <w:r w:rsidRPr="00580285">
        <w:rPr>
          <w:rFonts w:ascii="Times New Roman" w:hAnsi="Times New Roman" w:cs="Times New Roman"/>
          <w:bCs/>
          <w:sz w:val="24"/>
          <w:szCs w:val="24"/>
        </w:rPr>
        <w:br/>
      </w:r>
    </w:p>
    <w:p w14:paraId="4E79C1E5" w14:textId="328F6C47" w:rsidR="000B124B" w:rsidRDefault="000B124B" w:rsidP="00C1213D">
      <w:pPr>
        <w:spacing w:before="0" w:line="240" w:lineRule="auto"/>
        <w:rPr>
          <w:rFonts w:ascii="Times New Roman" w:hAnsi="Times New Roman" w:cs="Times New Roman"/>
          <w:bCs/>
          <w:sz w:val="24"/>
          <w:szCs w:val="24"/>
        </w:rPr>
      </w:pPr>
      <w:r>
        <w:rPr>
          <w:rFonts w:ascii="Times New Roman" w:hAnsi="Times New Roman" w:cs="Times New Roman"/>
          <w:color w:val="000000" w:themeColor="text1"/>
          <w:sz w:val="24"/>
          <w:szCs w:val="24"/>
        </w:rPr>
        <w:t xml:space="preserve">The Determination largely remakes the </w:t>
      </w:r>
      <w:r w:rsidRPr="00580285">
        <w:rPr>
          <w:rFonts w:ascii="Times New Roman" w:hAnsi="Times New Roman" w:cs="Times New Roman"/>
          <w:i/>
          <w:color w:val="000000" w:themeColor="text1"/>
          <w:sz w:val="24"/>
          <w:szCs w:val="24"/>
        </w:rPr>
        <w:t>Telecommunications (Infringement Notice Penalties) Determination 2012</w:t>
      </w:r>
      <w:r w:rsidRPr="005802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00580285">
        <w:rPr>
          <w:rFonts w:ascii="Times New Roman" w:hAnsi="Times New Roman" w:cs="Times New Roman"/>
          <w:color w:val="000000" w:themeColor="text1"/>
          <w:sz w:val="24"/>
          <w:szCs w:val="24"/>
        </w:rPr>
        <w:t>2012 Determination)</w:t>
      </w:r>
      <w:r>
        <w:rPr>
          <w:rFonts w:ascii="Times New Roman" w:hAnsi="Times New Roman" w:cs="Times New Roman"/>
          <w:color w:val="000000" w:themeColor="text1"/>
          <w:sz w:val="24"/>
          <w:szCs w:val="24"/>
        </w:rPr>
        <w:t xml:space="preserve">, with some some amendments to due to changes </w:t>
      </w:r>
      <w:r w:rsidR="00EA5284">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wider telecommunications law and legal drafting</w:t>
      </w:r>
      <w:r w:rsidRPr="00580285">
        <w:rPr>
          <w:rFonts w:ascii="Times New Roman" w:hAnsi="Times New Roman" w:cs="Times New Roman"/>
          <w:color w:val="000000" w:themeColor="text1"/>
          <w:sz w:val="24"/>
          <w:szCs w:val="24"/>
        </w:rPr>
        <w:t>.</w:t>
      </w:r>
    </w:p>
    <w:p w14:paraId="7BC7CB27" w14:textId="77777777" w:rsidR="000B124B" w:rsidRDefault="000B124B" w:rsidP="00C1213D">
      <w:pPr>
        <w:spacing w:before="0" w:line="240" w:lineRule="auto"/>
        <w:rPr>
          <w:rFonts w:ascii="Times New Roman" w:hAnsi="Times New Roman" w:cs="Times New Roman"/>
          <w:bCs/>
          <w:sz w:val="24"/>
          <w:szCs w:val="24"/>
        </w:rPr>
      </w:pPr>
    </w:p>
    <w:p w14:paraId="6B980488" w14:textId="301048DB" w:rsidR="00955D6B" w:rsidRPr="00580285" w:rsidRDefault="00BE49E5" w:rsidP="00C1213D">
      <w:pPr>
        <w:spacing w:before="0" w:line="240" w:lineRule="auto"/>
        <w:rPr>
          <w:rFonts w:ascii="Times New Roman" w:hAnsi="Times New Roman" w:cs="Times New Roman"/>
          <w:bCs/>
          <w:sz w:val="24"/>
          <w:szCs w:val="24"/>
        </w:rPr>
      </w:pPr>
      <w:r w:rsidRPr="00580285">
        <w:rPr>
          <w:rFonts w:ascii="Times New Roman" w:hAnsi="Times New Roman" w:cs="Times New Roman"/>
          <w:bCs/>
          <w:sz w:val="24"/>
          <w:szCs w:val="24"/>
        </w:rPr>
        <w:t xml:space="preserve">The Determination is </w:t>
      </w:r>
      <w:r w:rsidR="00525DFE">
        <w:rPr>
          <w:rFonts w:ascii="Times New Roman" w:hAnsi="Times New Roman" w:cs="Times New Roman"/>
          <w:bCs/>
          <w:sz w:val="24"/>
          <w:szCs w:val="24"/>
        </w:rPr>
        <w:t>used by the</w:t>
      </w:r>
      <w:r w:rsidR="005B2D89">
        <w:rPr>
          <w:rFonts w:ascii="Times New Roman" w:hAnsi="Times New Roman" w:cs="Times New Roman"/>
          <w:bCs/>
          <w:sz w:val="24"/>
          <w:szCs w:val="24"/>
        </w:rPr>
        <w:t xml:space="preserve"> Minister to </w:t>
      </w:r>
      <w:r w:rsidRPr="00580285">
        <w:rPr>
          <w:rFonts w:ascii="Times New Roman" w:hAnsi="Times New Roman" w:cs="Times New Roman"/>
          <w:bCs/>
          <w:sz w:val="24"/>
          <w:szCs w:val="24"/>
        </w:rPr>
        <w:t xml:space="preserve">specify </w:t>
      </w:r>
      <w:r w:rsidR="0023634D" w:rsidRPr="00580285">
        <w:rPr>
          <w:rFonts w:ascii="Times New Roman" w:hAnsi="Times New Roman" w:cs="Times New Roman"/>
          <w:bCs/>
          <w:sz w:val="24"/>
          <w:szCs w:val="24"/>
        </w:rPr>
        <w:t xml:space="preserve">a higher </w:t>
      </w:r>
      <w:r w:rsidRPr="00580285">
        <w:rPr>
          <w:rFonts w:ascii="Times New Roman" w:hAnsi="Times New Roman" w:cs="Times New Roman"/>
          <w:bCs/>
          <w:sz w:val="24"/>
          <w:szCs w:val="24"/>
        </w:rPr>
        <w:t xml:space="preserve">number of penalty units </w:t>
      </w:r>
      <w:r w:rsidR="00C1213D">
        <w:rPr>
          <w:rFonts w:ascii="Times New Roman" w:hAnsi="Times New Roman" w:cs="Times New Roman"/>
          <w:bCs/>
          <w:sz w:val="24"/>
          <w:szCs w:val="24"/>
        </w:rPr>
        <w:t xml:space="preserve">to be included in an infringement notice </w:t>
      </w:r>
      <w:r w:rsidR="00C1213D" w:rsidRPr="00715BA0">
        <w:rPr>
          <w:rFonts w:ascii="Times New Roman" w:hAnsi="Times New Roman" w:cs="Times New Roman"/>
          <w:bCs/>
          <w:sz w:val="24"/>
          <w:szCs w:val="24"/>
        </w:rPr>
        <w:t xml:space="preserve">in relation to </w:t>
      </w:r>
      <w:r w:rsidR="00C1213D">
        <w:rPr>
          <w:rFonts w:ascii="Times New Roman" w:hAnsi="Times New Roman" w:cs="Times New Roman"/>
          <w:bCs/>
          <w:sz w:val="24"/>
          <w:szCs w:val="24"/>
        </w:rPr>
        <w:t>non-</w:t>
      </w:r>
      <w:r w:rsidR="00C1213D" w:rsidRPr="00715BA0">
        <w:rPr>
          <w:rFonts w:ascii="Times New Roman" w:hAnsi="Times New Roman" w:cs="Times New Roman"/>
          <w:bCs/>
          <w:sz w:val="24"/>
          <w:szCs w:val="24"/>
        </w:rPr>
        <w:t>compliance</w:t>
      </w:r>
      <w:r w:rsidR="00C1213D">
        <w:rPr>
          <w:rFonts w:ascii="Times New Roman" w:hAnsi="Times New Roman" w:cs="Times New Roman"/>
          <w:bCs/>
          <w:sz w:val="24"/>
          <w:szCs w:val="24"/>
        </w:rPr>
        <w:t xml:space="preserve"> with</w:t>
      </w:r>
      <w:r w:rsidRPr="00580285">
        <w:rPr>
          <w:rFonts w:ascii="Times New Roman" w:hAnsi="Times New Roman" w:cs="Times New Roman"/>
          <w:bCs/>
          <w:sz w:val="24"/>
          <w:szCs w:val="24"/>
        </w:rPr>
        <w:t xml:space="preserve"> certain contraventions by a body corporate of </w:t>
      </w:r>
      <w:r w:rsidR="00060B76" w:rsidRPr="00580285">
        <w:rPr>
          <w:rFonts w:ascii="Times New Roman" w:hAnsi="Times New Roman" w:cs="Times New Roman"/>
          <w:bCs/>
          <w:sz w:val="24"/>
          <w:szCs w:val="24"/>
        </w:rPr>
        <w:t xml:space="preserve">the civil penalty provisions in </w:t>
      </w:r>
      <w:r w:rsidRPr="00580285">
        <w:rPr>
          <w:rFonts w:ascii="Times New Roman" w:hAnsi="Times New Roman" w:cs="Times New Roman"/>
          <w:bCs/>
          <w:sz w:val="24"/>
          <w:szCs w:val="24"/>
        </w:rPr>
        <w:t xml:space="preserve">sections 68 </w:t>
      </w:r>
      <w:r w:rsidR="002105AC" w:rsidRPr="00580285">
        <w:rPr>
          <w:rFonts w:ascii="Times New Roman" w:hAnsi="Times New Roman" w:cs="Times New Roman"/>
          <w:bCs/>
          <w:sz w:val="24"/>
          <w:szCs w:val="24"/>
        </w:rPr>
        <w:t>or</w:t>
      </w:r>
      <w:r w:rsidRPr="00580285">
        <w:rPr>
          <w:rFonts w:ascii="Times New Roman" w:hAnsi="Times New Roman" w:cs="Times New Roman"/>
          <w:bCs/>
          <w:sz w:val="24"/>
          <w:szCs w:val="24"/>
        </w:rPr>
        <w:t xml:space="preserve"> 101 of the Act</w:t>
      </w:r>
      <w:r w:rsidR="00060B76" w:rsidRPr="00580285">
        <w:rPr>
          <w:rFonts w:ascii="Times New Roman" w:hAnsi="Times New Roman" w:cs="Times New Roman"/>
          <w:bCs/>
          <w:sz w:val="24"/>
          <w:szCs w:val="24"/>
        </w:rPr>
        <w:t xml:space="preserve">. </w:t>
      </w:r>
      <w:r w:rsidR="00955D6B" w:rsidRPr="00580285">
        <w:rPr>
          <w:rFonts w:ascii="Times New Roman" w:hAnsi="Times New Roman" w:cs="Times New Roman"/>
          <w:bCs/>
          <w:sz w:val="24"/>
          <w:szCs w:val="24"/>
        </w:rPr>
        <w:t xml:space="preserve">Otherwise, an authorised infringement notice officer may only issue an infringement notice </w:t>
      </w:r>
      <w:r w:rsidR="00955D6B">
        <w:rPr>
          <w:rFonts w:ascii="Times New Roman" w:hAnsi="Times New Roman" w:cs="Times New Roman"/>
          <w:bCs/>
          <w:sz w:val="24"/>
          <w:szCs w:val="24"/>
        </w:rPr>
        <w:t xml:space="preserve">of </w:t>
      </w:r>
      <w:r w:rsidR="00955D6B" w:rsidRPr="00580285">
        <w:rPr>
          <w:rFonts w:ascii="Times New Roman" w:hAnsi="Times New Roman" w:cs="Times New Roman"/>
          <w:color w:val="000000" w:themeColor="text1"/>
          <w:sz w:val="24"/>
          <w:szCs w:val="24"/>
        </w:rPr>
        <w:t>60 penalty units for a body corporate.</w:t>
      </w:r>
    </w:p>
    <w:p w14:paraId="6A4FC3F2" w14:textId="3869507A" w:rsidR="002105AC" w:rsidRDefault="002105AC" w:rsidP="004B3952">
      <w:pPr>
        <w:spacing w:before="0" w:line="240" w:lineRule="auto"/>
        <w:rPr>
          <w:rFonts w:ascii="Times New Roman" w:hAnsi="Times New Roman" w:cs="Times New Roman"/>
          <w:bCs/>
          <w:sz w:val="24"/>
          <w:szCs w:val="24"/>
        </w:rPr>
      </w:pPr>
    </w:p>
    <w:p w14:paraId="447FA301" w14:textId="5285B9C2" w:rsidR="00715BA0" w:rsidRPr="00715BA0" w:rsidRDefault="00525DFE" w:rsidP="00715BA0">
      <w:pPr>
        <w:spacing w:before="0" w:line="240" w:lineRule="auto"/>
        <w:rPr>
          <w:rFonts w:ascii="Times New Roman" w:hAnsi="Times New Roman" w:cs="Times New Roman"/>
          <w:bCs/>
          <w:sz w:val="24"/>
          <w:szCs w:val="24"/>
        </w:rPr>
      </w:pPr>
      <w:r w:rsidRPr="00715BA0">
        <w:rPr>
          <w:rFonts w:ascii="Times New Roman" w:hAnsi="Times New Roman" w:cs="Times New Roman"/>
          <w:bCs/>
          <w:sz w:val="24"/>
          <w:szCs w:val="24"/>
        </w:rPr>
        <w:t xml:space="preserve">The Determination </w:t>
      </w:r>
      <w:r w:rsidR="00715BA0">
        <w:rPr>
          <w:rFonts w:ascii="Times New Roman" w:hAnsi="Times New Roman" w:cs="Times New Roman"/>
          <w:bCs/>
          <w:sz w:val="24"/>
          <w:szCs w:val="24"/>
        </w:rPr>
        <w:t>is used to</w:t>
      </w:r>
      <w:r w:rsidR="006F7800" w:rsidRPr="00715BA0">
        <w:rPr>
          <w:rFonts w:ascii="Times New Roman" w:hAnsi="Times New Roman" w:cs="Times New Roman"/>
          <w:bCs/>
          <w:sz w:val="24"/>
          <w:szCs w:val="24"/>
        </w:rPr>
        <w:t xml:space="preserve"> </w:t>
      </w:r>
      <w:r w:rsidRPr="00715BA0">
        <w:rPr>
          <w:rFonts w:ascii="Times New Roman" w:hAnsi="Times New Roman" w:cs="Times New Roman"/>
          <w:bCs/>
          <w:sz w:val="24"/>
          <w:szCs w:val="24"/>
        </w:rPr>
        <w:t>specif</w:t>
      </w:r>
      <w:r w:rsidR="00715BA0">
        <w:rPr>
          <w:rFonts w:ascii="Times New Roman" w:hAnsi="Times New Roman" w:cs="Times New Roman"/>
          <w:bCs/>
          <w:sz w:val="24"/>
          <w:szCs w:val="24"/>
        </w:rPr>
        <w:t>y</w:t>
      </w:r>
      <w:r w:rsidR="006F7800" w:rsidRPr="00715BA0">
        <w:rPr>
          <w:rFonts w:ascii="Times New Roman" w:hAnsi="Times New Roman" w:cs="Times New Roman"/>
          <w:bCs/>
          <w:sz w:val="24"/>
          <w:szCs w:val="24"/>
        </w:rPr>
        <w:t xml:space="preserve"> higher penalty units </w:t>
      </w:r>
      <w:r w:rsidR="00C1213D">
        <w:rPr>
          <w:rFonts w:ascii="Times New Roman" w:hAnsi="Times New Roman" w:cs="Times New Roman"/>
          <w:bCs/>
          <w:sz w:val="24"/>
          <w:szCs w:val="24"/>
        </w:rPr>
        <w:t xml:space="preserve">to be included in an infringement notice </w:t>
      </w:r>
      <w:r w:rsidR="006F7800" w:rsidRPr="00715BA0">
        <w:rPr>
          <w:rFonts w:ascii="Times New Roman" w:hAnsi="Times New Roman" w:cs="Times New Roman"/>
          <w:bCs/>
          <w:sz w:val="24"/>
          <w:szCs w:val="24"/>
        </w:rPr>
        <w:t>in relation to</w:t>
      </w:r>
      <w:r w:rsidRPr="00715BA0">
        <w:rPr>
          <w:rFonts w:ascii="Times New Roman" w:hAnsi="Times New Roman" w:cs="Times New Roman"/>
          <w:bCs/>
          <w:sz w:val="24"/>
          <w:szCs w:val="24"/>
        </w:rPr>
        <w:t xml:space="preserve"> </w:t>
      </w:r>
      <w:r w:rsidR="00C1213D">
        <w:rPr>
          <w:rFonts w:ascii="Times New Roman" w:hAnsi="Times New Roman" w:cs="Times New Roman"/>
          <w:bCs/>
          <w:sz w:val="24"/>
          <w:szCs w:val="24"/>
        </w:rPr>
        <w:t>non-</w:t>
      </w:r>
      <w:r w:rsidR="00715BA0" w:rsidRPr="00715BA0">
        <w:rPr>
          <w:rFonts w:ascii="Times New Roman" w:hAnsi="Times New Roman" w:cs="Times New Roman"/>
          <w:bCs/>
          <w:sz w:val="24"/>
          <w:szCs w:val="24"/>
        </w:rPr>
        <w:t xml:space="preserve">compliance by the </w:t>
      </w:r>
      <w:r w:rsidR="00C1213D">
        <w:rPr>
          <w:rFonts w:ascii="Times New Roman" w:hAnsi="Times New Roman" w:cs="Times New Roman"/>
          <w:bCs/>
          <w:sz w:val="24"/>
          <w:szCs w:val="24"/>
        </w:rPr>
        <w:t xml:space="preserve">primary </w:t>
      </w:r>
      <w:r w:rsidR="00715BA0" w:rsidRPr="00715BA0">
        <w:rPr>
          <w:rFonts w:ascii="Times New Roman" w:hAnsi="Times New Roman" w:cs="Times New Roman"/>
          <w:bCs/>
          <w:sz w:val="24"/>
          <w:szCs w:val="24"/>
        </w:rPr>
        <w:t>universal service provider with</w:t>
      </w:r>
      <w:r w:rsidR="00715BA0">
        <w:rPr>
          <w:rFonts w:ascii="Times New Roman" w:hAnsi="Times New Roman" w:cs="Times New Roman"/>
          <w:bCs/>
          <w:sz w:val="24"/>
          <w:szCs w:val="24"/>
        </w:rPr>
        <w:t xml:space="preserve"> provisions </w:t>
      </w:r>
      <w:r w:rsidR="002963B2">
        <w:rPr>
          <w:rFonts w:ascii="Times New Roman" w:hAnsi="Times New Roman" w:cs="Times New Roman"/>
          <w:bCs/>
          <w:sz w:val="24"/>
          <w:szCs w:val="24"/>
        </w:rPr>
        <w:t>relating to</w:t>
      </w:r>
      <w:r w:rsidR="00715BA0">
        <w:rPr>
          <w:rFonts w:ascii="Times New Roman" w:hAnsi="Times New Roman" w:cs="Times New Roman"/>
          <w:bCs/>
          <w:sz w:val="24"/>
          <w:szCs w:val="24"/>
        </w:rPr>
        <w:t>:</w:t>
      </w:r>
    </w:p>
    <w:p w14:paraId="3AED7BD5" w14:textId="55FED10A" w:rsidR="00715BA0" w:rsidRPr="00715BA0" w:rsidRDefault="00715BA0" w:rsidP="00715BA0">
      <w:pPr>
        <w:pStyle w:val="ListParagraph"/>
        <w:numPr>
          <w:ilvl w:val="0"/>
          <w:numId w:val="6"/>
        </w:numPr>
        <w:spacing w:before="0" w:line="240" w:lineRule="auto"/>
        <w:rPr>
          <w:rFonts w:ascii="Times New Roman" w:hAnsi="Times New Roman" w:cs="Times New Roman"/>
          <w:bCs/>
          <w:sz w:val="24"/>
          <w:szCs w:val="24"/>
        </w:rPr>
      </w:pPr>
      <w:r>
        <w:rPr>
          <w:rFonts w:ascii="Times New Roman" w:hAnsi="Times New Roman" w:cs="Times New Roman"/>
          <w:bCs/>
          <w:sz w:val="24"/>
          <w:szCs w:val="24"/>
        </w:rPr>
        <w:t>performance b</w:t>
      </w:r>
      <w:r w:rsidR="006F7800" w:rsidRPr="00715BA0">
        <w:rPr>
          <w:rFonts w:ascii="Times New Roman" w:hAnsi="Times New Roman" w:cs="Times New Roman"/>
          <w:bCs/>
          <w:sz w:val="24"/>
          <w:szCs w:val="24"/>
        </w:rPr>
        <w:t>enchmarks</w:t>
      </w:r>
      <w:r>
        <w:rPr>
          <w:rFonts w:ascii="Times New Roman" w:hAnsi="Times New Roman" w:cs="Times New Roman"/>
          <w:bCs/>
          <w:sz w:val="24"/>
          <w:szCs w:val="24"/>
        </w:rPr>
        <w:t xml:space="preserve"> for repair of payphones</w:t>
      </w:r>
      <w:r w:rsidR="00C1213D">
        <w:rPr>
          <w:rFonts w:ascii="Times New Roman" w:hAnsi="Times New Roman" w:cs="Times New Roman"/>
          <w:bCs/>
          <w:sz w:val="24"/>
          <w:szCs w:val="24"/>
        </w:rPr>
        <w:t xml:space="preserve"> provided under the Universal Service Obligation (USO)</w:t>
      </w:r>
      <w:r w:rsidR="002963B2">
        <w:rPr>
          <w:rFonts w:ascii="Times New Roman" w:hAnsi="Times New Roman" w:cs="Times New Roman"/>
          <w:bCs/>
          <w:sz w:val="24"/>
          <w:szCs w:val="24"/>
        </w:rPr>
        <w:t>,</w:t>
      </w:r>
    </w:p>
    <w:p w14:paraId="207D6CD0" w14:textId="288CBAFD" w:rsidR="006F7800" w:rsidRPr="00715BA0" w:rsidRDefault="00715BA0" w:rsidP="00715BA0">
      <w:pPr>
        <w:pStyle w:val="ListParagraph"/>
        <w:numPr>
          <w:ilvl w:val="0"/>
          <w:numId w:val="6"/>
        </w:numPr>
        <w:spacing w:before="0" w:line="240" w:lineRule="auto"/>
        <w:rPr>
          <w:rFonts w:ascii="Times New Roman" w:hAnsi="Times New Roman" w:cs="Times New Roman"/>
          <w:bCs/>
          <w:sz w:val="24"/>
          <w:szCs w:val="24"/>
        </w:rPr>
      </w:pPr>
      <w:r>
        <w:rPr>
          <w:rFonts w:ascii="Times New Roman" w:hAnsi="Times New Roman" w:cs="Times New Roman"/>
          <w:bCs/>
          <w:sz w:val="24"/>
          <w:szCs w:val="24"/>
        </w:rPr>
        <w:t>r</w:t>
      </w:r>
      <w:r w:rsidR="006F7800" w:rsidRPr="00715BA0">
        <w:rPr>
          <w:rFonts w:ascii="Times New Roman" w:hAnsi="Times New Roman" w:cs="Times New Roman"/>
          <w:bCs/>
          <w:sz w:val="24"/>
          <w:szCs w:val="24"/>
        </w:rPr>
        <w:t xml:space="preserve">ules about the places or areas in which </w:t>
      </w:r>
      <w:r w:rsidR="00C1213D">
        <w:rPr>
          <w:rFonts w:ascii="Times New Roman" w:hAnsi="Times New Roman" w:cs="Times New Roman"/>
          <w:bCs/>
          <w:sz w:val="24"/>
          <w:szCs w:val="24"/>
        </w:rPr>
        <w:t xml:space="preserve">USO </w:t>
      </w:r>
      <w:r w:rsidR="006F7800" w:rsidRPr="00715BA0">
        <w:rPr>
          <w:rFonts w:ascii="Times New Roman" w:hAnsi="Times New Roman" w:cs="Times New Roman"/>
          <w:bCs/>
          <w:sz w:val="24"/>
          <w:szCs w:val="24"/>
        </w:rPr>
        <w:t>payphones are to be located</w:t>
      </w:r>
      <w:r>
        <w:rPr>
          <w:rFonts w:ascii="Times New Roman" w:hAnsi="Times New Roman" w:cs="Times New Roman"/>
          <w:bCs/>
          <w:sz w:val="24"/>
          <w:szCs w:val="24"/>
        </w:rPr>
        <w:t>, and</w:t>
      </w:r>
    </w:p>
    <w:p w14:paraId="31519560" w14:textId="1D3E152B" w:rsidR="006F7800" w:rsidRPr="00715BA0" w:rsidRDefault="00715BA0" w:rsidP="00715BA0">
      <w:pPr>
        <w:pStyle w:val="ListParagraph"/>
        <w:numPr>
          <w:ilvl w:val="0"/>
          <w:numId w:val="6"/>
        </w:numPr>
        <w:spacing w:before="0" w:line="240" w:lineRule="auto"/>
        <w:rPr>
          <w:rFonts w:ascii="Times New Roman" w:hAnsi="Times New Roman" w:cs="Times New Roman"/>
          <w:bCs/>
          <w:sz w:val="24"/>
          <w:szCs w:val="24"/>
        </w:rPr>
      </w:pPr>
      <w:r>
        <w:rPr>
          <w:rFonts w:ascii="Times New Roman" w:hAnsi="Times New Roman" w:cs="Times New Roman"/>
          <w:bCs/>
          <w:sz w:val="24"/>
          <w:szCs w:val="24"/>
        </w:rPr>
        <w:t>c</w:t>
      </w:r>
      <w:r w:rsidRPr="00715BA0">
        <w:rPr>
          <w:rFonts w:ascii="Times New Roman" w:hAnsi="Times New Roman" w:cs="Times New Roman"/>
          <w:bCs/>
          <w:sz w:val="24"/>
          <w:szCs w:val="24"/>
        </w:rPr>
        <w:t>ompliance</w:t>
      </w:r>
      <w:r w:rsidR="006F7800" w:rsidRPr="00715BA0">
        <w:rPr>
          <w:rFonts w:ascii="Times New Roman" w:hAnsi="Times New Roman" w:cs="Times New Roman"/>
          <w:bCs/>
          <w:sz w:val="24"/>
          <w:szCs w:val="24"/>
        </w:rPr>
        <w:t xml:space="preserve"> with </w:t>
      </w:r>
      <w:r>
        <w:rPr>
          <w:rFonts w:ascii="Times New Roman" w:hAnsi="Times New Roman" w:cs="Times New Roman"/>
          <w:bCs/>
          <w:sz w:val="24"/>
          <w:szCs w:val="24"/>
        </w:rPr>
        <w:t>any directions from the Australian Communications and Media Authority (</w:t>
      </w:r>
      <w:r w:rsidRPr="00715BA0">
        <w:rPr>
          <w:rFonts w:ascii="Times New Roman" w:hAnsi="Times New Roman" w:cs="Times New Roman"/>
          <w:bCs/>
          <w:sz w:val="24"/>
          <w:szCs w:val="24"/>
        </w:rPr>
        <w:t>ACMA</w:t>
      </w:r>
      <w:r>
        <w:rPr>
          <w:rFonts w:ascii="Times New Roman" w:hAnsi="Times New Roman" w:cs="Times New Roman"/>
          <w:bCs/>
          <w:sz w:val="24"/>
          <w:szCs w:val="24"/>
        </w:rPr>
        <w:t>)</w:t>
      </w:r>
      <w:r w:rsidRPr="00715BA0">
        <w:rPr>
          <w:rFonts w:ascii="Times New Roman" w:hAnsi="Times New Roman" w:cs="Times New Roman"/>
          <w:bCs/>
          <w:sz w:val="24"/>
          <w:szCs w:val="24"/>
        </w:rPr>
        <w:t xml:space="preserve"> </w:t>
      </w:r>
      <w:r w:rsidR="006F7800" w:rsidRPr="00715BA0">
        <w:rPr>
          <w:rFonts w:ascii="Times New Roman" w:hAnsi="Times New Roman" w:cs="Times New Roman"/>
          <w:bCs/>
          <w:sz w:val="24"/>
          <w:szCs w:val="24"/>
        </w:rPr>
        <w:t xml:space="preserve">either to not remove a </w:t>
      </w:r>
      <w:r w:rsidR="00C1213D">
        <w:rPr>
          <w:rFonts w:ascii="Times New Roman" w:hAnsi="Times New Roman" w:cs="Times New Roman"/>
          <w:bCs/>
          <w:sz w:val="24"/>
          <w:szCs w:val="24"/>
        </w:rPr>
        <w:t xml:space="preserve">USO </w:t>
      </w:r>
      <w:r w:rsidR="006F7800" w:rsidRPr="00715BA0">
        <w:rPr>
          <w:rFonts w:ascii="Times New Roman" w:hAnsi="Times New Roman" w:cs="Times New Roman"/>
          <w:bCs/>
          <w:sz w:val="24"/>
          <w:szCs w:val="24"/>
        </w:rPr>
        <w:t xml:space="preserve">payphone, or to re-install a </w:t>
      </w:r>
      <w:r w:rsidR="00C1213D">
        <w:rPr>
          <w:rFonts w:ascii="Times New Roman" w:hAnsi="Times New Roman" w:cs="Times New Roman"/>
          <w:bCs/>
          <w:sz w:val="24"/>
          <w:szCs w:val="24"/>
        </w:rPr>
        <w:t xml:space="preserve">USO </w:t>
      </w:r>
      <w:r w:rsidR="006F7800" w:rsidRPr="00715BA0">
        <w:rPr>
          <w:rFonts w:ascii="Times New Roman" w:hAnsi="Times New Roman" w:cs="Times New Roman"/>
          <w:bCs/>
          <w:sz w:val="24"/>
          <w:szCs w:val="24"/>
        </w:rPr>
        <w:t>payphone if it has already been removed.</w:t>
      </w:r>
    </w:p>
    <w:p w14:paraId="10011D03" w14:textId="631DDEF4" w:rsidR="00715BA0" w:rsidRDefault="00715BA0" w:rsidP="00715BA0">
      <w:pPr>
        <w:spacing w:before="0" w:line="240" w:lineRule="auto"/>
        <w:rPr>
          <w:rFonts w:ascii="Times New Roman" w:hAnsi="Times New Roman" w:cs="Times New Roman"/>
          <w:bCs/>
          <w:sz w:val="24"/>
          <w:szCs w:val="24"/>
        </w:rPr>
      </w:pPr>
    </w:p>
    <w:p w14:paraId="099A07D5" w14:textId="57C7B3E0" w:rsidR="00715BA0" w:rsidRDefault="00715BA0" w:rsidP="00715BA0">
      <w:pPr>
        <w:spacing w:before="0" w:line="240" w:lineRule="auto"/>
        <w:rPr>
          <w:rFonts w:ascii="Times New Roman" w:hAnsi="Times New Roman" w:cs="Times New Roman"/>
          <w:bCs/>
          <w:sz w:val="24"/>
          <w:szCs w:val="24"/>
        </w:rPr>
      </w:pPr>
      <w:r>
        <w:rPr>
          <w:rFonts w:ascii="Times New Roman" w:hAnsi="Times New Roman" w:cs="Times New Roman"/>
          <w:bCs/>
          <w:sz w:val="24"/>
          <w:szCs w:val="24"/>
        </w:rPr>
        <w:t xml:space="preserve">The Determination also </w:t>
      </w:r>
      <w:r w:rsidRPr="00715BA0">
        <w:rPr>
          <w:rFonts w:ascii="Times New Roman" w:hAnsi="Times New Roman" w:cs="Times New Roman"/>
          <w:bCs/>
          <w:sz w:val="24"/>
          <w:szCs w:val="24"/>
        </w:rPr>
        <w:t>specif</w:t>
      </w:r>
      <w:r>
        <w:rPr>
          <w:rFonts w:ascii="Times New Roman" w:hAnsi="Times New Roman" w:cs="Times New Roman"/>
          <w:bCs/>
          <w:sz w:val="24"/>
          <w:szCs w:val="24"/>
        </w:rPr>
        <w:t>ies</w:t>
      </w:r>
      <w:r w:rsidRPr="00715BA0">
        <w:rPr>
          <w:rFonts w:ascii="Times New Roman" w:hAnsi="Times New Roman" w:cs="Times New Roman"/>
          <w:bCs/>
          <w:sz w:val="24"/>
          <w:szCs w:val="24"/>
        </w:rPr>
        <w:t xml:space="preserve"> higher penalty units in relation to </w:t>
      </w:r>
      <w:r w:rsidR="000331DA">
        <w:rPr>
          <w:rFonts w:ascii="Times New Roman" w:hAnsi="Times New Roman" w:cs="Times New Roman"/>
          <w:bCs/>
          <w:sz w:val="24"/>
          <w:szCs w:val="24"/>
        </w:rPr>
        <w:t>non-</w:t>
      </w:r>
      <w:r w:rsidRPr="00715BA0">
        <w:rPr>
          <w:rFonts w:ascii="Times New Roman" w:hAnsi="Times New Roman" w:cs="Times New Roman"/>
          <w:bCs/>
          <w:sz w:val="24"/>
          <w:szCs w:val="24"/>
        </w:rPr>
        <w:t xml:space="preserve">compliance by </w:t>
      </w:r>
      <w:r>
        <w:rPr>
          <w:rFonts w:ascii="Times New Roman" w:hAnsi="Times New Roman" w:cs="Times New Roman"/>
          <w:bCs/>
          <w:sz w:val="24"/>
          <w:szCs w:val="24"/>
        </w:rPr>
        <w:t xml:space="preserve">qualifying carriage service providers with </w:t>
      </w:r>
      <w:r w:rsidR="00552E1F">
        <w:rPr>
          <w:rFonts w:ascii="Times New Roman" w:hAnsi="Times New Roman" w:cs="Times New Roman"/>
          <w:bCs/>
          <w:sz w:val="24"/>
          <w:szCs w:val="24"/>
        </w:rPr>
        <w:t>performance benchmarks made under Customer Service Guarantee (CSG) arrangements</w:t>
      </w:r>
      <w:r w:rsidR="00C1213D">
        <w:rPr>
          <w:rFonts w:ascii="Times New Roman" w:hAnsi="Times New Roman" w:cs="Times New Roman"/>
          <w:bCs/>
          <w:sz w:val="24"/>
          <w:szCs w:val="24"/>
        </w:rPr>
        <w:t>. These benchmarks deal with connection and repair of voice services, and appointment keeping.</w:t>
      </w:r>
    </w:p>
    <w:p w14:paraId="11FD5EBC" w14:textId="6D1C8B97" w:rsidR="00715BA0" w:rsidRDefault="00715BA0" w:rsidP="00715BA0">
      <w:pPr>
        <w:spacing w:before="0" w:line="240" w:lineRule="auto"/>
        <w:rPr>
          <w:rFonts w:ascii="Times New Roman" w:hAnsi="Times New Roman" w:cs="Times New Roman"/>
          <w:bCs/>
          <w:sz w:val="24"/>
          <w:szCs w:val="24"/>
        </w:rPr>
      </w:pPr>
    </w:p>
    <w:p w14:paraId="683D0299" w14:textId="400B59C9" w:rsidR="00C1213D" w:rsidRDefault="002105AC" w:rsidP="00EC6E07">
      <w:pPr>
        <w:spacing w:before="0" w:line="240" w:lineRule="auto"/>
        <w:rPr>
          <w:rFonts w:ascii="Times New Roman" w:hAnsi="Times New Roman" w:cs="Times New Roman"/>
          <w:bCs/>
          <w:sz w:val="24"/>
          <w:szCs w:val="24"/>
        </w:rPr>
      </w:pPr>
      <w:r w:rsidRPr="00580285">
        <w:rPr>
          <w:rFonts w:ascii="Times New Roman" w:hAnsi="Times New Roman" w:cs="Times New Roman"/>
          <w:bCs/>
          <w:sz w:val="24"/>
          <w:szCs w:val="24"/>
        </w:rPr>
        <w:t xml:space="preserve">The Determination is a legislative instrument for the purposes of the </w:t>
      </w:r>
      <w:r w:rsidRPr="004A716A">
        <w:rPr>
          <w:rFonts w:ascii="Times New Roman" w:hAnsi="Times New Roman" w:cs="Times New Roman"/>
          <w:bCs/>
          <w:i/>
          <w:sz w:val="24"/>
          <w:szCs w:val="24"/>
        </w:rPr>
        <w:t>Legislation Act 2003</w:t>
      </w:r>
      <w:r w:rsidR="002963B2" w:rsidRPr="00EC6E07">
        <w:rPr>
          <w:rFonts w:ascii="Times New Roman" w:hAnsi="Times New Roman" w:cs="Times New Roman"/>
          <w:bCs/>
          <w:sz w:val="24"/>
          <w:szCs w:val="24"/>
        </w:rPr>
        <w:t xml:space="preserve"> and therefore subject to the default consultation, sunsetting and disallowance requirements under that Act</w:t>
      </w:r>
      <w:r w:rsidR="002963B2" w:rsidRPr="004A716A">
        <w:rPr>
          <w:rFonts w:ascii="Times New Roman" w:hAnsi="Times New Roman" w:cs="Times New Roman"/>
          <w:bCs/>
          <w:sz w:val="24"/>
          <w:szCs w:val="24"/>
        </w:rPr>
        <w:t>.</w:t>
      </w:r>
      <w:r w:rsidR="002963B2" w:rsidRPr="00EC6E07">
        <w:rPr>
          <w:rFonts w:ascii="Times New Roman" w:hAnsi="Times New Roman" w:cs="Times New Roman"/>
          <w:bCs/>
          <w:sz w:val="24"/>
          <w:szCs w:val="24"/>
        </w:rPr>
        <w:t xml:space="preserve"> </w:t>
      </w:r>
      <w:r w:rsidRPr="00580285">
        <w:rPr>
          <w:rFonts w:ascii="Times New Roman" w:hAnsi="Times New Roman" w:cs="Times New Roman"/>
          <w:bCs/>
          <w:sz w:val="24"/>
          <w:szCs w:val="24"/>
        </w:rPr>
        <w:t xml:space="preserve">The Determination commences the day after it is registered. </w:t>
      </w:r>
    </w:p>
    <w:p w14:paraId="2CB83C57" w14:textId="77777777" w:rsidR="00C1213D" w:rsidRDefault="00C1213D" w:rsidP="004B3952">
      <w:pPr>
        <w:spacing w:before="0" w:line="240" w:lineRule="auto"/>
        <w:rPr>
          <w:rFonts w:ascii="Times New Roman" w:hAnsi="Times New Roman" w:cs="Times New Roman"/>
          <w:bCs/>
          <w:sz w:val="24"/>
          <w:szCs w:val="24"/>
        </w:rPr>
      </w:pPr>
    </w:p>
    <w:p w14:paraId="29FAB2FD" w14:textId="0799A76A" w:rsidR="002105AC" w:rsidRPr="00580285" w:rsidRDefault="002105AC" w:rsidP="004B3952">
      <w:pPr>
        <w:spacing w:before="0" w:line="240" w:lineRule="auto"/>
        <w:rPr>
          <w:rFonts w:ascii="Times New Roman" w:hAnsi="Times New Roman" w:cs="Times New Roman"/>
          <w:bCs/>
          <w:sz w:val="24"/>
          <w:szCs w:val="24"/>
          <w:u w:val="single"/>
        </w:rPr>
      </w:pPr>
      <w:r w:rsidRPr="00580285">
        <w:rPr>
          <w:rFonts w:ascii="Times New Roman" w:hAnsi="Times New Roman" w:cs="Times New Roman"/>
          <w:bCs/>
          <w:sz w:val="24"/>
          <w:szCs w:val="24"/>
        </w:rPr>
        <w:t xml:space="preserve">Details of the Determination are set out in </w:t>
      </w:r>
      <w:r w:rsidRPr="00580285">
        <w:rPr>
          <w:rFonts w:ascii="Times New Roman" w:hAnsi="Times New Roman" w:cs="Times New Roman"/>
          <w:bCs/>
          <w:sz w:val="24"/>
          <w:szCs w:val="24"/>
          <w:u w:val="single"/>
        </w:rPr>
        <w:t>Attachment A</w:t>
      </w:r>
      <w:r w:rsidRPr="00580285">
        <w:rPr>
          <w:rFonts w:ascii="Times New Roman" w:hAnsi="Times New Roman" w:cs="Times New Roman"/>
          <w:bCs/>
          <w:sz w:val="24"/>
          <w:szCs w:val="24"/>
        </w:rPr>
        <w:t>.</w:t>
      </w:r>
      <w:r w:rsidRPr="00580285">
        <w:rPr>
          <w:rFonts w:ascii="Times New Roman" w:hAnsi="Times New Roman" w:cs="Times New Roman"/>
          <w:bCs/>
          <w:sz w:val="24"/>
          <w:szCs w:val="24"/>
          <w:u w:val="single"/>
        </w:rPr>
        <w:t xml:space="preserve"> </w:t>
      </w:r>
    </w:p>
    <w:p w14:paraId="7BD53616" w14:textId="77777777" w:rsidR="000B124B" w:rsidRDefault="000B124B">
      <w:pPr>
        <w:spacing w:before="0" w:after="200" w:line="276"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br w:type="page"/>
      </w:r>
    </w:p>
    <w:p w14:paraId="5BD8326F" w14:textId="730E04A5" w:rsidR="005D3C08" w:rsidRPr="00580285" w:rsidRDefault="00151115" w:rsidP="00E54D3D">
      <w:pPr>
        <w:spacing w:before="100" w:beforeAutospacing="1" w:after="100" w:afterAutospacing="1" w:line="276"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lastRenderedPageBreak/>
        <w:t>B</w:t>
      </w:r>
      <w:r w:rsidR="007E1065" w:rsidRPr="00580285">
        <w:rPr>
          <w:rFonts w:ascii="Times New Roman" w:eastAsia="Times New Roman" w:hAnsi="Times New Roman" w:cs="Times New Roman"/>
          <w:sz w:val="24"/>
          <w:szCs w:val="24"/>
          <w:u w:val="single"/>
          <w:lang w:eastAsia="en-AU"/>
        </w:rPr>
        <w:t>ackground</w:t>
      </w:r>
    </w:p>
    <w:p w14:paraId="1013AF62" w14:textId="77777777" w:rsidR="00765614" w:rsidRPr="00580285" w:rsidRDefault="0026179B" w:rsidP="005E28FA">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Part 31B</w:t>
      </w:r>
      <w:r w:rsidR="0040072D" w:rsidRPr="00580285">
        <w:rPr>
          <w:rFonts w:ascii="Times New Roman" w:hAnsi="Times New Roman" w:cs="Times New Roman"/>
          <w:color w:val="000000" w:themeColor="text1"/>
          <w:sz w:val="24"/>
          <w:szCs w:val="24"/>
        </w:rPr>
        <w:t xml:space="preserve"> </w:t>
      </w:r>
      <w:r w:rsidR="004D056B" w:rsidRPr="00580285">
        <w:rPr>
          <w:rFonts w:ascii="Times New Roman" w:hAnsi="Times New Roman" w:cs="Times New Roman"/>
          <w:color w:val="000000" w:themeColor="text1"/>
          <w:sz w:val="24"/>
          <w:szCs w:val="24"/>
        </w:rPr>
        <w:t>of the Act provides a scheme under which authorised officers may issue infringement notices for contraventions of civil penalty provisions in relation to certain contraventions of</w:t>
      </w:r>
      <w:r w:rsidR="00765614" w:rsidRPr="00580285">
        <w:rPr>
          <w:rFonts w:ascii="Times New Roman" w:hAnsi="Times New Roman" w:cs="Times New Roman"/>
          <w:color w:val="000000" w:themeColor="text1"/>
          <w:sz w:val="24"/>
          <w:szCs w:val="24"/>
        </w:rPr>
        <w:t>:</w:t>
      </w:r>
    </w:p>
    <w:p w14:paraId="5E3BFB05" w14:textId="77777777" w:rsidR="00765614" w:rsidRPr="00580285" w:rsidRDefault="00765614" w:rsidP="00765614">
      <w:pPr>
        <w:pStyle w:val="ListParagraph"/>
        <w:numPr>
          <w:ilvl w:val="0"/>
          <w:numId w:val="2"/>
        </w:numPr>
        <w:spacing w:before="120" w:after="120" w:line="240" w:lineRule="auto"/>
        <w:ind w:left="425" w:hanging="357"/>
        <w:contextualSpacing w:val="0"/>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the Act</w:t>
      </w:r>
      <w:r w:rsidR="00D36F07" w:rsidRPr="00580285">
        <w:rPr>
          <w:rFonts w:ascii="Times New Roman" w:hAnsi="Times New Roman" w:cs="Times New Roman"/>
          <w:color w:val="000000" w:themeColor="text1"/>
          <w:sz w:val="24"/>
          <w:szCs w:val="24"/>
        </w:rPr>
        <w:t xml:space="preserve"> and regulations made under the Act</w:t>
      </w:r>
      <w:r w:rsidRPr="00580285">
        <w:rPr>
          <w:rFonts w:ascii="Times New Roman" w:hAnsi="Times New Roman" w:cs="Times New Roman"/>
          <w:color w:val="000000" w:themeColor="text1"/>
          <w:sz w:val="24"/>
          <w:szCs w:val="24"/>
        </w:rPr>
        <w:t>;</w:t>
      </w:r>
      <w:r w:rsidR="009A4209" w:rsidRPr="00580285">
        <w:rPr>
          <w:rFonts w:ascii="Times New Roman" w:hAnsi="Times New Roman" w:cs="Times New Roman"/>
          <w:color w:val="000000" w:themeColor="text1"/>
          <w:sz w:val="24"/>
          <w:szCs w:val="24"/>
        </w:rPr>
        <w:t xml:space="preserve"> </w:t>
      </w:r>
    </w:p>
    <w:p w14:paraId="3E19E667" w14:textId="77777777" w:rsidR="00765614" w:rsidRPr="00580285" w:rsidRDefault="009A4209" w:rsidP="00765614">
      <w:pPr>
        <w:pStyle w:val="ListParagraph"/>
        <w:numPr>
          <w:ilvl w:val="0"/>
          <w:numId w:val="2"/>
        </w:numPr>
        <w:spacing w:before="120" w:after="120" w:line="240" w:lineRule="auto"/>
        <w:ind w:left="425" w:hanging="357"/>
        <w:contextualSpacing w:val="0"/>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the </w:t>
      </w:r>
      <w:r w:rsidRPr="00580285">
        <w:rPr>
          <w:rFonts w:ascii="Times New Roman" w:hAnsi="Times New Roman" w:cs="Times New Roman"/>
          <w:i/>
          <w:color w:val="000000" w:themeColor="text1"/>
          <w:sz w:val="24"/>
          <w:szCs w:val="24"/>
        </w:rPr>
        <w:t>Telecommunications (Consumer Protection and Service Standards) Act 1999</w:t>
      </w:r>
      <w:r w:rsidRPr="00580285">
        <w:rPr>
          <w:rFonts w:ascii="Times New Roman" w:hAnsi="Times New Roman" w:cs="Times New Roman"/>
          <w:color w:val="000000" w:themeColor="text1"/>
          <w:sz w:val="24"/>
          <w:szCs w:val="24"/>
        </w:rPr>
        <w:t xml:space="preserve"> (the Consumer Protection Act)</w:t>
      </w:r>
      <w:r w:rsidR="005D1EAC" w:rsidRPr="00580285">
        <w:rPr>
          <w:rFonts w:ascii="Times New Roman" w:hAnsi="Times New Roman" w:cs="Times New Roman"/>
          <w:color w:val="000000" w:themeColor="text1"/>
          <w:sz w:val="24"/>
          <w:szCs w:val="24"/>
        </w:rPr>
        <w:t xml:space="preserve"> and </w:t>
      </w:r>
      <w:r w:rsidR="00765614" w:rsidRPr="00580285">
        <w:rPr>
          <w:rFonts w:ascii="Times New Roman" w:hAnsi="Times New Roman" w:cs="Times New Roman"/>
          <w:color w:val="000000" w:themeColor="text1"/>
          <w:sz w:val="24"/>
          <w:szCs w:val="24"/>
        </w:rPr>
        <w:t>regulations made under that Act;</w:t>
      </w:r>
      <w:r w:rsidRPr="00580285">
        <w:rPr>
          <w:rFonts w:ascii="Times New Roman" w:hAnsi="Times New Roman" w:cs="Times New Roman"/>
          <w:color w:val="000000" w:themeColor="text1"/>
          <w:sz w:val="24"/>
          <w:szCs w:val="24"/>
        </w:rPr>
        <w:t xml:space="preserve"> and </w:t>
      </w:r>
    </w:p>
    <w:p w14:paraId="02A8D35D" w14:textId="77777777" w:rsidR="00765614" w:rsidRPr="00580285" w:rsidRDefault="005D1EAC" w:rsidP="00765614">
      <w:pPr>
        <w:pStyle w:val="ListParagraph"/>
        <w:numPr>
          <w:ilvl w:val="0"/>
          <w:numId w:val="2"/>
        </w:numPr>
        <w:spacing w:before="120" w:after="120" w:line="240" w:lineRule="auto"/>
        <w:ind w:left="425" w:hanging="357"/>
        <w:contextualSpacing w:val="0"/>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Chapter 5 of </w:t>
      </w:r>
      <w:r w:rsidR="009A4209" w:rsidRPr="00580285">
        <w:rPr>
          <w:rFonts w:ascii="Times New Roman" w:hAnsi="Times New Roman" w:cs="Times New Roman"/>
          <w:color w:val="000000" w:themeColor="text1"/>
          <w:sz w:val="24"/>
          <w:szCs w:val="24"/>
        </w:rPr>
        <w:t xml:space="preserve">the </w:t>
      </w:r>
      <w:r w:rsidR="009A4209" w:rsidRPr="00580285">
        <w:rPr>
          <w:rFonts w:ascii="Times New Roman" w:hAnsi="Times New Roman" w:cs="Times New Roman"/>
          <w:i/>
          <w:color w:val="000000" w:themeColor="text1"/>
          <w:sz w:val="24"/>
          <w:szCs w:val="24"/>
        </w:rPr>
        <w:t>Telecommunications (Interception and Access) Act 1979</w:t>
      </w:r>
      <w:r w:rsidR="009C6740" w:rsidRPr="00580285">
        <w:rPr>
          <w:rFonts w:ascii="Times New Roman" w:hAnsi="Times New Roman" w:cs="Times New Roman"/>
          <w:color w:val="000000" w:themeColor="text1"/>
          <w:sz w:val="24"/>
          <w:szCs w:val="24"/>
        </w:rPr>
        <w:t xml:space="preserve"> (the Interception Act)</w:t>
      </w:r>
      <w:r w:rsidR="009A4209" w:rsidRPr="00580285">
        <w:rPr>
          <w:rFonts w:ascii="Times New Roman" w:hAnsi="Times New Roman" w:cs="Times New Roman"/>
          <w:color w:val="000000" w:themeColor="text1"/>
          <w:sz w:val="24"/>
          <w:szCs w:val="24"/>
        </w:rPr>
        <w:t xml:space="preserve">. </w:t>
      </w:r>
    </w:p>
    <w:p w14:paraId="21C15760" w14:textId="77777777" w:rsidR="004634E6" w:rsidRPr="00580285" w:rsidRDefault="009A4209" w:rsidP="005E28FA">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The scheme is intended to </w:t>
      </w:r>
      <w:r w:rsidR="005E28FA" w:rsidRPr="00580285">
        <w:rPr>
          <w:rFonts w:ascii="Times New Roman" w:hAnsi="Times New Roman" w:cs="Times New Roman"/>
          <w:color w:val="000000" w:themeColor="text1"/>
          <w:sz w:val="24"/>
          <w:szCs w:val="24"/>
        </w:rPr>
        <w:t>provide</w:t>
      </w:r>
      <w:r w:rsidR="00974448" w:rsidRPr="00580285">
        <w:rPr>
          <w:rFonts w:ascii="Times New Roman" w:hAnsi="Times New Roman" w:cs="Times New Roman"/>
          <w:color w:val="000000" w:themeColor="text1"/>
          <w:sz w:val="24"/>
          <w:szCs w:val="24"/>
        </w:rPr>
        <w:t xml:space="preserve"> </w:t>
      </w:r>
      <w:r w:rsidR="0026179B" w:rsidRPr="00580285">
        <w:rPr>
          <w:rFonts w:ascii="Times New Roman" w:hAnsi="Times New Roman" w:cs="Times New Roman"/>
          <w:color w:val="000000" w:themeColor="text1"/>
          <w:sz w:val="24"/>
          <w:szCs w:val="24"/>
        </w:rPr>
        <w:t xml:space="preserve">an efficient and cost-effective </w:t>
      </w:r>
      <w:r w:rsidR="005E4375" w:rsidRPr="00580285">
        <w:rPr>
          <w:rFonts w:ascii="Times New Roman" w:hAnsi="Times New Roman" w:cs="Times New Roman"/>
          <w:color w:val="000000" w:themeColor="text1"/>
          <w:sz w:val="24"/>
          <w:szCs w:val="24"/>
        </w:rPr>
        <w:t xml:space="preserve">enforcement mechanism as an </w:t>
      </w:r>
      <w:r w:rsidR="0026179B" w:rsidRPr="00580285">
        <w:rPr>
          <w:rFonts w:ascii="Times New Roman" w:hAnsi="Times New Roman" w:cs="Times New Roman"/>
          <w:color w:val="000000" w:themeColor="text1"/>
          <w:sz w:val="24"/>
          <w:szCs w:val="24"/>
        </w:rPr>
        <w:t xml:space="preserve">alternative to </w:t>
      </w:r>
      <w:r w:rsidR="005E28FA" w:rsidRPr="00580285">
        <w:rPr>
          <w:rFonts w:ascii="Times New Roman" w:hAnsi="Times New Roman" w:cs="Times New Roman"/>
          <w:color w:val="000000" w:themeColor="text1"/>
          <w:sz w:val="24"/>
          <w:szCs w:val="24"/>
        </w:rPr>
        <w:t xml:space="preserve">instituting </w:t>
      </w:r>
      <w:r w:rsidR="0026179B" w:rsidRPr="00580285">
        <w:rPr>
          <w:rFonts w:ascii="Times New Roman" w:hAnsi="Times New Roman" w:cs="Times New Roman"/>
          <w:color w:val="000000" w:themeColor="text1"/>
          <w:sz w:val="24"/>
          <w:szCs w:val="24"/>
        </w:rPr>
        <w:t>court proceedings</w:t>
      </w:r>
      <w:r w:rsidR="005E28FA" w:rsidRPr="00580285">
        <w:rPr>
          <w:rFonts w:ascii="Times New Roman" w:hAnsi="Times New Roman" w:cs="Times New Roman"/>
          <w:color w:val="000000" w:themeColor="text1"/>
          <w:sz w:val="24"/>
          <w:szCs w:val="24"/>
        </w:rPr>
        <w:t xml:space="preserve"> for recovery of a pecuniary penalty</w:t>
      </w:r>
      <w:r w:rsidR="0026179B" w:rsidRPr="00580285">
        <w:rPr>
          <w:rFonts w:ascii="Times New Roman" w:hAnsi="Times New Roman" w:cs="Times New Roman"/>
          <w:color w:val="000000" w:themeColor="text1"/>
          <w:sz w:val="24"/>
          <w:szCs w:val="24"/>
        </w:rPr>
        <w:t>.</w:t>
      </w:r>
      <w:r w:rsidR="00724712" w:rsidRPr="00580285">
        <w:rPr>
          <w:rFonts w:ascii="Times New Roman" w:hAnsi="Times New Roman" w:cs="Times New Roman"/>
          <w:color w:val="000000" w:themeColor="text1"/>
          <w:sz w:val="24"/>
          <w:szCs w:val="24"/>
        </w:rPr>
        <w:t xml:space="preserve"> </w:t>
      </w:r>
      <w:r w:rsidR="00394C41" w:rsidRPr="00580285">
        <w:rPr>
          <w:rFonts w:ascii="Times New Roman" w:hAnsi="Times New Roman" w:cs="Times New Roman"/>
          <w:color w:val="000000" w:themeColor="text1"/>
          <w:sz w:val="24"/>
          <w:szCs w:val="24"/>
        </w:rPr>
        <w:t xml:space="preserve">An </w:t>
      </w:r>
      <w:r w:rsidR="00A0514C" w:rsidRPr="00580285">
        <w:rPr>
          <w:rFonts w:ascii="Times New Roman" w:hAnsi="Times New Roman" w:cs="Times New Roman"/>
          <w:color w:val="000000" w:themeColor="text1"/>
          <w:sz w:val="24"/>
          <w:szCs w:val="24"/>
        </w:rPr>
        <w:t>overview</w:t>
      </w:r>
      <w:r w:rsidR="00394C41" w:rsidRPr="00580285">
        <w:rPr>
          <w:rFonts w:ascii="Times New Roman" w:hAnsi="Times New Roman" w:cs="Times New Roman"/>
          <w:color w:val="000000" w:themeColor="text1"/>
          <w:sz w:val="24"/>
          <w:szCs w:val="24"/>
        </w:rPr>
        <w:t xml:space="preserve"> of the relevant sections in Part 31B of the Act (sections 572E and 572G) is below.  </w:t>
      </w:r>
    </w:p>
    <w:p w14:paraId="1141C763" w14:textId="77777777" w:rsidR="004B3952" w:rsidRPr="00580285" w:rsidRDefault="004B3952" w:rsidP="004B3952">
      <w:pPr>
        <w:spacing w:before="0" w:line="240" w:lineRule="auto"/>
        <w:rPr>
          <w:rFonts w:ascii="Times New Roman" w:hAnsi="Times New Roman" w:cs="Times New Roman"/>
          <w:color w:val="000000" w:themeColor="text1"/>
          <w:sz w:val="24"/>
          <w:szCs w:val="24"/>
        </w:rPr>
      </w:pPr>
    </w:p>
    <w:p w14:paraId="238ACC5A" w14:textId="77777777" w:rsidR="00244A66" w:rsidRPr="00580285" w:rsidRDefault="00FD5112"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Sections 68 and 101 of the Act are civil penalty provisions. Subsection 68(1) requires carriers to comply with carrier licence conditions and subsection 101(1) requires service providers (carriage service providers and content service providers) to comply </w:t>
      </w:r>
      <w:r w:rsidR="00AC59ED" w:rsidRPr="00580285">
        <w:rPr>
          <w:rFonts w:ascii="Times New Roman" w:hAnsi="Times New Roman" w:cs="Times New Roman"/>
          <w:color w:val="000000" w:themeColor="text1"/>
          <w:sz w:val="24"/>
          <w:szCs w:val="24"/>
        </w:rPr>
        <w:t xml:space="preserve">with </w:t>
      </w:r>
      <w:r w:rsidRPr="00580285">
        <w:rPr>
          <w:rFonts w:ascii="Times New Roman" w:hAnsi="Times New Roman" w:cs="Times New Roman"/>
          <w:color w:val="000000" w:themeColor="text1"/>
          <w:sz w:val="24"/>
          <w:szCs w:val="24"/>
        </w:rPr>
        <w:t>service provider rules</w:t>
      </w:r>
      <w:r w:rsidR="00495E1F" w:rsidRPr="00580285">
        <w:rPr>
          <w:rFonts w:ascii="Times New Roman" w:hAnsi="Times New Roman" w:cs="Times New Roman"/>
          <w:color w:val="000000" w:themeColor="text1"/>
          <w:sz w:val="24"/>
          <w:szCs w:val="24"/>
        </w:rPr>
        <w:t>. S</w:t>
      </w:r>
      <w:r w:rsidR="00AC59ED" w:rsidRPr="00580285">
        <w:rPr>
          <w:rFonts w:ascii="Times New Roman" w:hAnsi="Times New Roman" w:cs="Times New Roman"/>
          <w:color w:val="000000" w:themeColor="text1"/>
          <w:sz w:val="24"/>
          <w:szCs w:val="24"/>
        </w:rPr>
        <w:t xml:space="preserve">ubsections 68(2) and 101(2) </w:t>
      </w:r>
      <w:r w:rsidR="00EF2B34" w:rsidRPr="00580285">
        <w:rPr>
          <w:rFonts w:ascii="Times New Roman" w:hAnsi="Times New Roman" w:cs="Times New Roman"/>
          <w:color w:val="000000" w:themeColor="text1"/>
          <w:sz w:val="24"/>
          <w:szCs w:val="24"/>
        </w:rPr>
        <w:t xml:space="preserve">are </w:t>
      </w:r>
      <w:r w:rsidR="00AC59ED" w:rsidRPr="00580285">
        <w:rPr>
          <w:rFonts w:ascii="Times New Roman" w:hAnsi="Times New Roman" w:cs="Times New Roman"/>
          <w:color w:val="000000" w:themeColor="text1"/>
          <w:sz w:val="24"/>
          <w:szCs w:val="24"/>
        </w:rPr>
        <w:t>ancillary civil penalty provisions</w:t>
      </w:r>
      <w:r w:rsidR="00EF2B34" w:rsidRPr="00580285">
        <w:rPr>
          <w:rFonts w:ascii="Times New Roman" w:hAnsi="Times New Roman" w:cs="Times New Roman"/>
          <w:color w:val="000000" w:themeColor="text1"/>
          <w:sz w:val="24"/>
          <w:szCs w:val="24"/>
        </w:rPr>
        <w:t xml:space="preserve"> </w:t>
      </w:r>
      <w:r w:rsidR="00DD020E" w:rsidRPr="00580285">
        <w:rPr>
          <w:rFonts w:ascii="Times New Roman" w:hAnsi="Times New Roman" w:cs="Times New Roman"/>
          <w:color w:val="000000" w:themeColor="text1"/>
          <w:sz w:val="24"/>
          <w:szCs w:val="24"/>
        </w:rPr>
        <w:t xml:space="preserve">which prohibit </w:t>
      </w:r>
      <w:r w:rsidR="00EF2B34" w:rsidRPr="00580285">
        <w:rPr>
          <w:rFonts w:ascii="Times New Roman" w:hAnsi="Times New Roman" w:cs="Times New Roman"/>
          <w:color w:val="000000" w:themeColor="text1"/>
          <w:sz w:val="24"/>
          <w:szCs w:val="24"/>
        </w:rPr>
        <w:t>aiding</w:t>
      </w:r>
      <w:r w:rsidR="00963AC2" w:rsidRPr="00580285">
        <w:rPr>
          <w:rFonts w:ascii="Times New Roman" w:hAnsi="Times New Roman" w:cs="Times New Roman"/>
          <w:color w:val="000000" w:themeColor="text1"/>
          <w:sz w:val="24"/>
          <w:szCs w:val="24"/>
        </w:rPr>
        <w:t>,</w:t>
      </w:r>
      <w:r w:rsidR="00EF2B34" w:rsidRPr="00580285">
        <w:rPr>
          <w:rFonts w:ascii="Times New Roman" w:hAnsi="Times New Roman" w:cs="Times New Roman"/>
          <w:color w:val="000000" w:themeColor="text1"/>
          <w:sz w:val="24"/>
          <w:szCs w:val="24"/>
        </w:rPr>
        <w:t xml:space="preserve"> abetting</w:t>
      </w:r>
      <w:r w:rsidR="00963AC2" w:rsidRPr="00580285">
        <w:rPr>
          <w:rFonts w:ascii="Times New Roman" w:hAnsi="Times New Roman" w:cs="Times New Roman"/>
          <w:color w:val="000000" w:themeColor="text1"/>
          <w:sz w:val="24"/>
          <w:szCs w:val="24"/>
        </w:rPr>
        <w:t>, counselling, procuring, inducing, being knowingly concerned in</w:t>
      </w:r>
      <w:r w:rsidR="00DD020E" w:rsidRPr="00580285">
        <w:rPr>
          <w:rFonts w:ascii="Times New Roman" w:hAnsi="Times New Roman" w:cs="Times New Roman"/>
          <w:color w:val="000000" w:themeColor="text1"/>
          <w:sz w:val="24"/>
          <w:szCs w:val="24"/>
        </w:rPr>
        <w:t xml:space="preserve"> or a party to, or conspiring with others to effect, a contravention of subsection 68(1) or 101(</w:t>
      </w:r>
      <w:r w:rsidR="00AA5B7D" w:rsidRPr="00580285">
        <w:rPr>
          <w:rFonts w:ascii="Times New Roman" w:hAnsi="Times New Roman" w:cs="Times New Roman"/>
          <w:color w:val="000000" w:themeColor="text1"/>
          <w:sz w:val="24"/>
          <w:szCs w:val="24"/>
        </w:rPr>
        <w:t>1</w:t>
      </w:r>
      <w:r w:rsidR="00DD020E" w:rsidRPr="00580285">
        <w:rPr>
          <w:rFonts w:ascii="Times New Roman" w:hAnsi="Times New Roman" w:cs="Times New Roman"/>
          <w:color w:val="000000" w:themeColor="text1"/>
          <w:sz w:val="24"/>
          <w:szCs w:val="24"/>
        </w:rPr>
        <w:t>) (as the case may be).</w:t>
      </w:r>
    </w:p>
    <w:p w14:paraId="1ECE52B1" w14:textId="77777777" w:rsidR="00244A66" w:rsidRPr="00580285" w:rsidRDefault="00244A66" w:rsidP="004B3952">
      <w:pPr>
        <w:spacing w:before="0" w:line="240" w:lineRule="auto"/>
        <w:rPr>
          <w:rFonts w:ascii="Times New Roman" w:hAnsi="Times New Roman" w:cs="Times New Roman"/>
          <w:color w:val="000000" w:themeColor="text1"/>
          <w:sz w:val="24"/>
          <w:szCs w:val="24"/>
        </w:rPr>
      </w:pPr>
    </w:p>
    <w:p w14:paraId="6C471A67" w14:textId="77777777" w:rsidR="009C6740" w:rsidRPr="00580285" w:rsidRDefault="009C6740"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Compliance with each provision of the Act (and with the Consumer Protection Act and Chapter 5 of the Interception Act) is a condition of </w:t>
      </w:r>
      <w:r w:rsidR="00EF2B34" w:rsidRPr="00580285">
        <w:rPr>
          <w:rFonts w:ascii="Times New Roman" w:hAnsi="Times New Roman" w:cs="Times New Roman"/>
          <w:color w:val="000000" w:themeColor="text1"/>
          <w:sz w:val="24"/>
          <w:szCs w:val="24"/>
        </w:rPr>
        <w:t xml:space="preserve">a </w:t>
      </w:r>
      <w:r w:rsidRPr="00580285">
        <w:rPr>
          <w:rFonts w:ascii="Times New Roman" w:hAnsi="Times New Roman" w:cs="Times New Roman"/>
          <w:color w:val="000000" w:themeColor="text1"/>
          <w:sz w:val="24"/>
          <w:szCs w:val="24"/>
        </w:rPr>
        <w:t xml:space="preserve">carrier licence and </w:t>
      </w:r>
      <w:r w:rsidR="00EF2B34" w:rsidRPr="00580285">
        <w:rPr>
          <w:rFonts w:ascii="Times New Roman" w:hAnsi="Times New Roman" w:cs="Times New Roman"/>
          <w:color w:val="000000" w:themeColor="text1"/>
          <w:sz w:val="24"/>
          <w:szCs w:val="24"/>
        </w:rPr>
        <w:t xml:space="preserve">is also </w:t>
      </w:r>
      <w:r w:rsidRPr="00580285">
        <w:rPr>
          <w:rFonts w:ascii="Times New Roman" w:hAnsi="Times New Roman" w:cs="Times New Roman"/>
          <w:color w:val="000000" w:themeColor="text1"/>
          <w:sz w:val="24"/>
          <w:szCs w:val="24"/>
        </w:rPr>
        <w:t xml:space="preserve">a service provider rule (see clause 1 of Schedule 1 to the Act and clause 1 of Schedule 2 to the Act). </w:t>
      </w:r>
      <w:r w:rsidR="00DD020E" w:rsidRPr="00580285">
        <w:rPr>
          <w:rFonts w:ascii="Times New Roman" w:hAnsi="Times New Roman" w:cs="Times New Roman"/>
          <w:color w:val="000000" w:themeColor="text1"/>
          <w:sz w:val="24"/>
          <w:szCs w:val="24"/>
        </w:rPr>
        <w:t>C</w:t>
      </w:r>
      <w:r w:rsidRPr="00580285">
        <w:rPr>
          <w:rFonts w:ascii="Times New Roman" w:hAnsi="Times New Roman" w:cs="Times New Roman"/>
          <w:color w:val="000000" w:themeColor="text1"/>
          <w:sz w:val="24"/>
          <w:szCs w:val="24"/>
        </w:rPr>
        <w:t xml:space="preserve">ertain provisions of the Act and the Consumer Protection Act </w:t>
      </w:r>
      <w:r w:rsidR="00DD020E" w:rsidRPr="00580285">
        <w:rPr>
          <w:rFonts w:ascii="Times New Roman" w:hAnsi="Times New Roman" w:cs="Times New Roman"/>
          <w:color w:val="000000" w:themeColor="text1"/>
          <w:sz w:val="24"/>
          <w:szCs w:val="24"/>
        </w:rPr>
        <w:t>are</w:t>
      </w:r>
      <w:r w:rsidR="00EF2B34" w:rsidRPr="00580285">
        <w:rPr>
          <w:rFonts w:ascii="Times New Roman" w:hAnsi="Times New Roman" w:cs="Times New Roman"/>
          <w:color w:val="000000" w:themeColor="text1"/>
          <w:sz w:val="24"/>
          <w:szCs w:val="24"/>
        </w:rPr>
        <w:t xml:space="preserve"> </w:t>
      </w:r>
      <w:r w:rsidRPr="00580285">
        <w:rPr>
          <w:rFonts w:ascii="Times New Roman" w:hAnsi="Times New Roman" w:cs="Times New Roman"/>
          <w:color w:val="000000" w:themeColor="text1"/>
          <w:sz w:val="24"/>
          <w:szCs w:val="24"/>
        </w:rPr>
        <w:t xml:space="preserve">civil penalty provisions </w:t>
      </w:r>
      <w:r w:rsidR="00DD020E" w:rsidRPr="00580285">
        <w:rPr>
          <w:rFonts w:ascii="Times New Roman" w:hAnsi="Times New Roman" w:cs="Times New Roman"/>
          <w:color w:val="000000" w:themeColor="text1"/>
          <w:sz w:val="24"/>
          <w:szCs w:val="24"/>
        </w:rPr>
        <w:t xml:space="preserve">in their own right, </w:t>
      </w:r>
      <w:r w:rsidR="00EF2B34" w:rsidRPr="00580285">
        <w:rPr>
          <w:rFonts w:ascii="Times New Roman" w:hAnsi="Times New Roman" w:cs="Times New Roman"/>
          <w:color w:val="000000" w:themeColor="text1"/>
          <w:sz w:val="24"/>
          <w:szCs w:val="24"/>
        </w:rPr>
        <w:t xml:space="preserve">which </w:t>
      </w:r>
      <w:r w:rsidRPr="00580285">
        <w:rPr>
          <w:rFonts w:ascii="Times New Roman" w:hAnsi="Times New Roman" w:cs="Times New Roman"/>
          <w:color w:val="000000" w:themeColor="text1"/>
          <w:sz w:val="24"/>
          <w:szCs w:val="24"/>
        </w:rPr>
        <w:t xml:space="preserve">are not enforced by means of carrier licence conditions or service provider rules (see subsection 570(6) of the Act). </w:t>
      </w:r>
    </w:p>
    <w:p w14:paraId="7ECCD3E8" w14:textId="77777777" w:rsidR="00394C41" w:rsidRPr="00580285" w:rsidRDefault="00394C41" w:rsidP="004B3952">
      <w:pPr>
        <w:spacing w:before="0" w:line="240" w:lineRule="auto"/>
        <w:rPr>
          <w:rFonts w:ascii="Times New Roman" w:hAnsi="Times New Roman" w:cs="Times New Roman"/>
          <w:color w:val="000000" w:themeColor="text1"/>
          <w:sz w:val="24"/>
          <w:szCs w:val="24"/>
        </w:rPr>
      </w:pPr>
    </w:p>
    <w:p w14:paraId="438F63CC" w14:textId="77777777" w:rsidR="00AC59ED" w:rsidRPr="00580285" w:rsidRDefault="008710E1"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Section 572E of the Act sets out when an infringement notice may be issued</w:t>
      </w:r>
      <w:r w:rsidR="00244A66" w:rsidRPr="00580285">
        <w:rPr>
          <w:rFonts w:ascii="Times New Roman" w:hAnsi="Times New Roman" w:cs="Times New Roman"/>
          <w:color w:val="000000" w:themeColor="text1"/>
          <w:sz w:val="24"/>
          <w:szCs w:val="24"/>
        </w:rPr>
        <w:t xml:space="preserve"> under Part 31B</w:t>
      </w:r>
      <w:r w:rsidR="00145222" w:rsidRPr="00580285">
        <w:rPr>
          <w:rFonts w:ascii="Times New Roman" w:hAnsi="Times New Roman" w:cs="Times New Roman"/>
          <w:color w:val="000000" w:themeColor="text1"/>
          <w:sz w:val="24"/>
          <w:szCs w:val="24"/>
        </w:rPr>
        <w:t>. It provides that an authorised infringement notice officer (defin</w:t>
      </w:r>
      <w:r w:rsidR="00495E1F" w:rsidRPr="00580285">
        <w:rPr>
          <w:rFonts w:ascii="Times New Roman" w:hAnsi="Times New Roman" w:cs="Times New Roman"/>
          <w:color w:val="000000" w:themeColor="text1"/>
          <w:sz w:val="24"/>
          <w:szCs w:val="24"/>
        </w:rPr>
        <w:t>ed</w:t>
      </w:r>
      <w:r w:rsidR="00614C2B" w:rsidRPr="00580285">
        <w:rPr>
          <w:rFonts w:ascii="Times New Roman" w:hAnsi="Times New Roman" w:cs="Times New Roman"/>
          <w:color w:val="000000" w:themeColor="text1"/>
          <w:sz w:val="24"/>
          <w:szCs w:val="24"/>
        </w:rPr>
        <w:t xml:space="preserve"> </w:t>
      </w:r>
      <w:r w:rsidR="00145222" w:rsidRPr="00580285">
        <w:rPr>
          <w:rFonts w:ascii="Times New Roman" w:hAnsi="Times New Roman" w:cs="Times New Roman"/>
          <w:color w:val="000000" w:themeColor="text1"/>
          <w:sz w:val="24"/>
          <w:szCs w:val="24"/>
        </w:rPr>
        <w:t>in section 7 of the Act</w:t>
      </w:r>
      <w:r w:rsidR="00394C41" w:rsidRPr="00580285">
        <w:rPr>
          <w:rFonts w:ascii="Times New Roman" w:hAnsi="Times New Roman" w:cs="Times New Roman"/>
          <w:color w:val="000000" w:themeColor="text1"/>
          <w:sz w:val="24"/>
          <w:szCs w:val="24"/>
        </w:rPr>
        <w:t xml:space="preserve"> </w:t>
      </w:r>
      <w:r w:rsidR="00EF2B34" w:rsidRPr="00580285">
        <w:rPr>
          <w:rFonts w:ascii="Times New Roman" w:hAnsi="Times New Roman" w:cs="Times New Roman"/>
          <w:color w:val="000000" w:themeColor="text1"/>
          <w:sz w:val="24"/>
          <w:szCs w:val="24"/>
        </w:rPr>
        <w:t>as</w:t>
      </w:r>
      <w:r w:rsidR="00394C41" w:rsidRPr="00580285">
        <w:rPr>
          <w:rFonts w:ascii="Times New Roman" w:hAnsi="Times New Roman" w:cs="Times New Roman"/>
          <w:color w:val="000000" w:themeColor="text1"/>
          <w:sz w:val="24"/>
          <w:szCs w:val="24"/>
        </w:rPr>
        <w:t xml:space="preserve"> either</w:t>
      </w:r>
      <w:r w:rsidR="00D53776" w:rsidRPr="00580285">
        <w:rPr>
          <w:rFonts w:ascii="Times New Roman" w:hAnsi="Times New Roman" w:cs="Times New Roman"/>
          <w:color w:val="000000" w:themeColor="text1"/>
          <w:sz w:val="24"/>
          <w:szCs w:val="24"/>
        </w:rPr>
        <w:t xml:space="preserve"> the Chair of the ACMA or a member of the staff of the ACMA appointed under section 572L of the Act</w:t>
      </w:r>
      <w:r w:rsidR="00145222" w:rsidRPr="00580285">
        <w:rPr>
          <w:rFonts w:ascii="Times New Roman" w:hAnsi="Times New Roman" w:cs="Times New Roman"/>
          <w:color w:val="000000" w:themeColor="text1"/>
          <w:sz w:val="24"/>
          <w:szCs w:val="24"/>
        </w:rPr>
        <w:t>)</w:t>
      </w:r>
      <w:r w:rsidR="00614C2B" w:rsidRPr="00580285">
        <w:rPr>
          <w:rFonts w:ascii="Times New Roman" w:hAnsi="Times New Roman" w:cs="Times New Roman"/>
          <w:color w:val="000000" w:themeColor="text1"/>
          <w:sz w:val="24"/>
          <w:szCs w:val="24"/>
        </w:rPr>
        <w:t xml:space="preserve"> may issue</w:t>
      </w:r>
      <w:r w:rsidR="00145222" w:rsidRPr="00580285">
        <w:rPr>
          <w:rFonts w:ascii="Times New Roman" w:hAnsi="Times New Roman" w:cs="Times New Roman"/>
          <w:color w:val="000000" w:themeColor="text1"/>
          <w:sz w:val="24"/>
          <w:szCs w:val="24"/>
        </w:rPr>
        <w:t xml:space="preserve"> </w:t>
      </w:r>
      <w:r w:rsidR="00614C2B" w:rsidRPr="00580285">
        <w:rPr>
          <w:rFonts w:ascii="Times New Roman" w:hAnsi="Times New Roman" w:cs="Times New Roman"/>
          <w:color w:val="000000" w:themeColor="text1"/>
          <w:sz w:val="24"/>
          <w:szCs w:val="24"/>
        </w:rPr>
        <w:t xml:space="preserve">an infringement notice </w:t>
      </w:r>
      <w:r w:rsidR="00145222" w:rsidRPr="00580285">
        <w:rPr>
          <w:rFonts w:ascii="Times New Roman" w:hAnsi="Times New Roman" w:cs="Times New Roman"/>
          <w:color w:val="000000" w:themeColor="text1"/>
          <w:sz w:val="24"/>
          <w:szCs w:val="24"/>
        </w:rPr>
        <w:t>if he or she has reasonable grounds to believe that a person has contravened a particular civil penalty provision</w:t>
      </w:r>
      <w:r w:rsidR="00614C2B" w:rsidRPr="00580285">
        <w:rPr>
          <w:rFonts w:ascii="Times New Roman" w:hAnsi="Times New Roman" w:cs="Times New Roman"/>
          <w:color w:val="000000" w:themeColor="text1"/>
          <w:sz w:val="24"/>
          <w:szCs w:val="24"/>
        </w:rPr>
        <w:t xml:space="preserve">, subject to certain exceptions </w:t>
      </w:r>
      <w:r w:rsidR="00AE079F" w:rsidRPr="00580285">
        <w:rPr>
          <w:rFonts w:ascii="Times New Roman" w:hAnsi="Times New Roman" w:cs="Times New Roman"/>
          <w:color w:val="000000" w:themeColor="text1"/>
          <w:sz w:val="24"/>
          <w:szCs w:val="24"/>
        </w:rPr>
        <w:t xml:space="preserve">set out </w:t>
      </w:r>
      <w:r w:rsidR="00614C2B" w:rsidRPr="00580285">
        <w:rPr>
          <w:rFonts w:ascii="Times New Roman" w:hAnsi="Times New Roman" w:cs="Times New Roman"/>
          <w:color w:val="000000" w:themeColor="text1"/>
          <w:sz w:val="24"/>
          <w:szCs w:val="24"/>
        </w:rPr>
        <w:t xml:space="preserve">in subsections 572E(3) </w:t>
      </w:r>
      <w:r w:rsidR="00AE079F" w:rsidRPr="00580285">
        <w:rPr>
          <w:rFonts w:ascii="Times New Roman" w:hAnsi="Times New Roman" w:cs="Times New Roman"/>
          <w:color w:val="000000" w:themeColor="text1"/>
          <w:sz w:val="24"/>
          <w:szCs w:val="24"/>
        </w:rPr>
        <w:t>to</w:t>
      </w:r>
      <w:r w:rsidR="00614C2B" w:rsidRPr="00580285">
        <w:rPr>
          <w:rFonts w:ascii="Times New Roman" w:hAnsi="Times New Roman" w:cs="Times New Roman"/>
          <w:color w:val="000000" w:themeColor="text1"/>
          <w:sz w:val="24"/>
          <w:szCs w:val="24"/>
        </w:rPr>
        <w:t xml:space="preserve"> (6)</w:t>
      </w:r>
      <w:r w:rsidRPr="00580285">
        <w:rPr>
          <w:rFonts w:ascii="Times New Roman" w:hAnsi="Times New Roman" w:cs="Times New Roman"/>
          <w:color w:val="000000" w:themeColor="text1"/>
          <w:sz w:val="24"/>
          <w:szCs w:val="24"/>
        </w:rPr>
        <w:t>.</w:t>
      </w:r>
      <w:r w:rsidR="004815DD" w:rsidRPr="00580285">
        <w:rPr>
          <w:rFonts w:ascii="Times New Roman" w:hAnsi="Times New Roman" w:cs="Times New Roman"/>
          <w:color w:val="000000" w:themeColor="text1"/>
          <w:sz w:val="24"/>
          <w:szCs w:val="24"/>
        </w:rPr>
        <w:t xml:space="preserve"> </w:t>
      </w:r>
    </w:p>
    <w:p w14:paraId="6EF46678" w14:textId="77777777" w:rsidR="00AC59ED" w:rsidRPr="00580285" w:rsidRDefault="00AC59ED" w:rsidP="004B3952">
      <w:pPr>
        <w:spacing w:before="0" w:line="240" w:lineRule="auto"/>
        <w:rPr>
          <w:rFonts w:ascii="Times New Roman" w:hAnsi="Times New Roman" w:cs="Times New Roman"/>
          <w:color w:val="000000" w:themeColor="text1"/>
          <w:sz w:val="24"/>
          <w:szCs w:val="24"/>
        </w:rPr>
      </w:pPr>
    </w:p>
    <w:p w14:paraId="310BEFDF" w14:textId="67B98C31" w:rsidR="00073453" w:rsidRPr="00580285" w:rsidRDefault="00AC59ED"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Subsection 572E(3) mirrors the operation of subsection 570(6)</w:t>
      </w:r>
      <w:r w:rsidR="0007617C" w:rsidRPr="00580285">
        <w:rPr>
          <w:rFonts w:ascii="Times New Roman" w:hAnsi="Times New Roman" w:cs="Times New Roman"/>
          <w:color w:val="000000" w:themeColor="text1"/>
          <w:sz w:val="24"/>
          <w:szCs w:val="24"/>
        </w:rPr>
        <w:t>. It</w:t>
      </w:r>
      <w:r w:rsidR="00244A66" w:rsidRPr="00580285">
        <w:rPr>
          <w:rFonts w:ascii="Times New Roman" w:hAnsi="Times New Roman" w:cs="Times New Roman"/>
          <w:color w:val="000000" w:themeColor="text1"/>
          <w:sz w:val="24"/>
          <w:szCs w:val="24"/>
        </w:rPr>
        <w:t xml:space="preserve"> provides that, if conduct constitutes a contravention of a carrier licence condition or a service provider rule (</w:t>
      </w:r>
      <w:r w:rsidR="00EF2B34" w:rsidRPr="00580285">
        <w:rPr>
          <w:rFonts w:ascii="Times New Roman" w:hAnsi="Times New Roman" w:cs="Times New Roman"/>
          <w:color w:val="000000" w:themeColor="text1"/>
          <w:sz w:val="24"/>
          <w:szCs w:val="24"/>
        </w:rPr>
        <w:t xml:space="preserve">that is, the conduct constitutes a contravention of </w:t>
      </w:r>
      <w:r w:rsidR="00244A66" w:rsidRPr="00580285">
        <w:rPr>
          <w:rFonts w:ascii="Times New Roman" w:hAnsi="Times New Roman" w:cs="Times New Roman"/>
          <w:color w:val="000000" w:themeColor="text1"/>
          <w:sz w:val="24"/>
          <w:szCs w:val="24"/>
        </w:rPr>
        <w:t xml:space="preserve">section 68 </w:t>
      </w:r>
      <w:r w:rsidR="00EF2B34" w:rsidRPr="00580285">
        <w:rPr>
          <w:rFonts w:ascii="Times New Roman" w:hAnsi="Times New Roman" w:cs="Times New Roman"/>
          <w:color w:val="000000" w:themeColor="text1"/>
          <w:sz w:val="24"/>
          <w:szCs w:val="24"/>
        </w:rPr>
        <w:t xml:space="preserve">or </w:t>
      </w:r>
      <w:r w:rsidR="00244A66" w:rsidRPr="00580285">
        <w:rPr>
          <w:rFonts w:ascii="Times New Roman" w:hAnsi="Times New Roman" w:cs="Times New Roman"/>
          <w:color w:val="000000" w:themeColor="text1"/>
          <w:sz w:val="24"/>
          <w:szCs w:val="24"/>
        </w:rPr>
        <w:t>101 of the Act) and one or mor</w:t>
      </w:r>
      <w:r w:rsidR="00A15DF1" w:rsidRPr="00580285">
        <w:rPr>
          <w:rFonts w:ascii="Times New Roman" w:hAnsi="Times New Roman" w:cs="Times New Roman"/>
          <w:color w:val="000000" w:themeColor="text1"/>
          <w:sz w:val="24"/>
          <w:szCs w:val="24"/>
        </w:rPr>
        <w:t>e other civil penalty provision</w:t>
      </w:r>
      <w:r w:rsidR="00FC6B95" w:rsidRPr="00580285">
        <w:rPr>
          <w:rFonts w:ascii="Times New Roman" w:hAnsi="Times New Roman" w:cs="Times New Roman"/>
          <w:color w:val="000000" w:themeColor="text1"/>
          <w:sz w:val="24"/>
          <w:szCs w:val="24"/>
        </w:rPr>
        <w:t>s</w:t>
      </w:r>
      <w:r w:rsidR="00244A66" w:rsidRPr="00580285">
        <w:rPr>
          <w:rFonts w:ascii="Times New Roman" w:hAnsi="Times New Roman" w:cs="Times New Roman"/>
          <w:color w:val="000000" w:themeColor="text1"/>
          <w:sz w:val="24"/>
          <w:szCs w:val="24"/>
        </w:rPr>
        <w:t>, an infringement notice must not be given to the person in relation to the contravention of section 68 or 101, as the case may be.</w:t>
      </w:r>
      <w:r w:rsidR="00073453" w:rsidRPr="00580285">
        <w:rPr>
          <w:rFonts w:ascii="Times New Roman" w:hAnsi="Times New Roman" w:cs="Times New Roman"/>
          <w:color w:val="000000" w:themeColor="text1"/>
          <w:sz w:val="24"/>
          <w:szCs w:val="24"/>
        </w:rPr>
        <w:t xml:space="preserve"> </w:t>
      </w:r>
    </w:p>
    <w:p w14:paraId="31FE159B" w14:textId="77777777" w:rsidR="00073453" w:rsidRPr="00580285" w:rsidRDefault="00073453" w:rsidP="004B3952">
      <w:pPr>
        <w:spacing w:before="0" w:line="240" w:lineRule="auto"/>
        <w:rPr>
          <w:rFonts w:ascii="Times New Roman" w:hAnsi="Times New Roman" w:cs="Times New Roman"/>
          <w:color w:val="000000" w:themeColor="text1"/>
          <w:sz w:val="24"/>
          <w:szCs w:val="24"/>
        </w:rPr>
      </w:pPr>
    </w:p>
    <w:p w14:paraId="7B8F9BBE" w14:textId="0E804612" w:rsidR="00052022" w:rsidRPr="00580285" w:rsidRDefault="00A3597D"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However</w:t>
      </w:r>
      <w:r w:rsidR="00A15DF1" w:rsidRPr="00580285">
        <w:rPr>
          <w:rFonts w:ascii="Times New Roman" w:hAnsi="Times New Roman" w:cs="Times New Roman"/>
          <w:color w:val="000000" w:themeColor="text1"/>
          <w:sz w:val="24"/>
          <w:szCs w:val="24"/>
        </w:rPr>
        <w:t>, s</w:t>
      </w:r>
      <w:r w:rsidR="004815DD" w:rsidRPr="00580285">
        <w:rPr>
          <w:rFonts w:ascii="Times New Roman" w:hAnsi="Times New Roman" w:cs="Times New Roman"/>
          <w:color w:val="000000" w:themeColor="text1"/>
          <w:sz w:val="24"/>
          <w:szCs w:val="24"/>
        </w:rPr>
        <w:t xml:space="preserve">ubsections 572E(5) and (6) </w:t>
      </w:r>
      <w:r>
        <w:rPr>
          <w:rFonts w:ascii="Times New Roman" w:hAnsi="Times New Roman" w:cs="Times New Roman"/>
          <w:color w:val="000000" w:themeColor="text1"/>
          <w:sz w:val="24"/>
          <w:szCs w:val="24"/>
        </w:rPr>
        <w:t xml:space="preserve">further </w:t>
      </w:r>
      <w:r w:rsidR="00495E1F" w:rsidRPr="00580285">
        <w:rPr>
          <w:rFonts w:ascii="Times New Roman" w:hAnsi="Times New Roman" w:cs="Times New Roman"/>
          <w:color w:val="000000" w:themeColor="text1"/>
          <w:sz w:val="24"/>
          <w:szCs w:val="24"/>
        </w:rPr>
        <w:t>provide that an infringe</w:t>
      </w:r>
      <w:r w:rsidR="00FE7C07" w:rsidRPr="00580285">
        <w:rPr>
          <w:rFonts w:ascii="Times New Roman" w:hAnsi="Times New Roman" w:cs="Times New Roman"/>
          <w:color w:val="000000" w:themeColor="text1"/>
          <w:sz w:val="24"/>
          <w:szCs w:val="24"/>
        </w:rPr>
        <w:t xml:space="preserve">ment notice must not be issued in relation to </w:t>
      </w:r>
      <w:r w:rsidR="00EA24B5" w:rsidRPr="00580285">
        <w:rPr>
          <w:rFonts w:ascii="Times New Roman" w:hAnsi="Times New Roman" w:cs="Times New Roman"/>
          <w:color w:val="000000" w:themeColor="text1"/>
          <w:sz w:val="24"/>
          <w:szCs w:val="24"/>
        </w:rPr>
        <w:t xml:space="preserve">conduct that is a </w:t>
      </w:r>
      <w:r w:rsidR="00FE7C07" w:rsidRPr="00580285">
        <w:rPr>
          <w:rFonts w:ascii="Times New Roman" w:hAnsi="Times New Roman" w:cs="Times New Roman"/>
          <w:color w:val="000000" w:themeColor="text1"/>
          <w:sz w:val="24"/>
          <w:szCs w:val="24"/>
        </w:rPr>
        <w:t xml:space="preserve">contravention of section 68 or 101 </w:t>
      </w:r>
      <w:r w:rsidR="0007617C" w:rsidRPr="00580285">
        <w:rPr>
          <w:rFonts w:ascii="Times New Roman" w:hAnsi="Times New Roman" w:cs="Times New Roman"/>
          <w:color w:val="000000" w:themeColor="text1"/>
          <w:sz w:val="24"/>
          <w:szCs w:val="24"/>
        </w:rPr>
        <w:t>as well as another</w:t>
      </w:r>
      <w:r w:rsidR="00034785" w:rsidRPr="00580285">
        <w:rPr>
          <w:rFonts w:ascii="Times New Roman" w:hAnsi="Times New Roman" w:cs="Times New Roman"/>
          <w:color w:val="000000" w:themeColor="text1"/>
          <w:sz w:val="24"/>
          <w:szCs w:val="24"/>
        </w:rPr>
        <w:t xml:space="preserve"> provision</w:t>
      </w:r>
      <w:r w:rsidR="00FE7C07" w:rsidRPr="00580285">
        <w:rPr>
          <w:rFonts w:ascii="Times New Roman" w:hAnsi="Times New Roman" w:cs="Times New Roman"/>
          <w:color w:val="000000" w:themeColor="text1"/>
          <w:sz w:val="24"/>
          <w:szCs w:val="24"/>
        </w:rPr>
        <w:t xml:space="preserve"> </w:t>
      </w:r>
      <w:r w:rsidR="00F01E7C" w:rsidRPr="00580285">
        <w:rPr>
          <w:rFonts w:ascii="Times New Roman" w:hAnsi="Times New Roman" w:cs="Times New Roman"/>
          <w:color w:val="000000" w:themeColor="text1"/>
          <w:sz w:val="24"/>
          <w:szCs w:val="24"/>
        </w:rPr>
        <w:t>(as specified in the subsection</w:t>
      </w:r>
      <w:r w:rsidR="00A15DF1" w:rsidRPr="00580285">
        <w:rPr>
          <w:rFonts w:ascii="Times New Roman" w:hAnsi="Times New Roman" w:cs="Times New Roman"/>
          <w:color w:val="000000" w:themeColor="text1"/>
          <w:sz w:val="24"/>
          <w:szCs w:val="24"/>
        </w:rPr>
        <w:t>s</w:t>
      </w:r>
      <w:r w:rsidR="00F01E7C" w:rsidRPr="00580285">
        <w:rPr>
          <w:rFonts w:ascii="Times New Roman" w:hAnsi="Times New Roman" w:cs="Times New Roman"/>
          <w:color w:val="000000" w:themeColor="text1"/>
          <w:sz w:val="24"/>
          <w:szCs w:val="24"/>
        </w:rPr>
        <w:t>)</w:t>
      </w:r>
      <w:r w:rsidR="000417F2" w:rsidRPr="00580285">
        <w:rPr>
          <w:rFonts w:ascii="Times New Roman" w:hAnsi="Times New Roman" w:cs="Times New Roman"/>
          <w:color w:val="000000" w:themeColor="text1"/>
          <w:sz w:val="24"/>
          <w:szCs w:val="24"/>
        </w:rPr>
        <w:t xml:space="preserve"> unless the </w:t>
      </w:r>
      <w:r w:rsidR="004F52B3" w:rsidRPr="00580285">
        <w:rPr>
          <w:rFonts w:ascii="Times New Roman" w:hAnsi="Times New Roman" w:cs="Times New Roman"/>
          <w:color w:val="000000" w:themeColor="text1"/>
          <w:sz w:val="24"/>
          <w:szCs w:val="24"/>
        </w:rPr>
        <w:t xml:space="preserve">other </w:t>
      </w:r>
      <w:r w:rsidR="000417F2" w:rsidRPr="00580285">
        <w:rPr>
          <w:rFonts w:ascii="Times New Roman" w:hAnsi="Times New Roman" w:cs="Times New Roman"/>
          <w:color w:val="000000" w:themeColor="text1"/>
          <w:sz w:val="24"/>
          <w:szCs w:val="24"/>
        </w:rPr>
        <w:t xml:space="preserve">provision has been declared </w:t>
      </w:r>
      <w:r w:rsidR="004F52B3" w:rsidRPr="00580285">
        <w:rPr>
          <w:rFonts w:ascii="Times New Roman" w:hAnsi="Times New Roman" w:cs="Times New Roman"/>
          <w:color w:val="000000" w:themeColor="text1"/>
          <w:sz w:val="24"/>
          <w:szCs w:val="24"/>
        </w:rPr>
        <w:t xml:space="preserve">to be </w:t>
      </w:r>
      <w:r w:rsidR="000417F2" w:rsidRPr="00580285">
        <w:rPr>
          <w:rFonts w:ascii="Times New Roman" w:hAnsi="Times New Roman" w:cs="Times New Roman"/>
          <w:color w:val="000000" w:themeColor="text1"/>
          <w:sz w:val="24"/>
          <w:szCs w:val="24"/>
        </w:rPr>
        <w:t xml:space="preserve">a </w:t>
      </w:r>
      <w:r w:rsidR="00A15DF1" w:rsidRPr="00580285">
        <w:rPr>
          <w:rFonts w:ascii="Times New Roman" w:hAnsi="Times New Roman" w:cs="Times New Roman"/>
          <w:color w:val="000000" w:themeColor="text1"/>
          <w:sz w:val="24"/>
          <w:szCs w:val="24"/>
        </w:rPr>
        <w:t>‘</w:t>
      </w:r>
      <w:r w:rsidR="000417F2" w:rsidRPr="00580285">
        <w:rPr>
          <w:rFonts w:ascii="Times New Roman" w:hAnsi="Times New Roman" w:cs="Times New Roman"/>
          <w:color w:val="000000" w:themeColor="text1"/>
          <w:sz w:val="24"/>
          <w:szCs w:val="24"/>
        </w:rPr>
        <w:t>listed infringement notice provision</w:t>
      </w:r>
      <w:r w:rsidR="00A15DF1" w:rsidRPr="00580285">
        <w:rPr>
          <w:rFonts w:ascii="Times New Roman" w:hAnsi="Times New Roman" w:cs="Times New Roman"/>
          <w:color w:val="000000" w:themeColor="text1"/>
          <w:sz w:val="24"/>
          <w:szCs w:val="24"/>
        </w:rPr>
        <w:t>’</w:t>
      </w:r>
      <w:r w:rsidR="000417F2" w:rsidRPr="00580285">
        <w:rPr>
          <w:rFonts w:ascii="Times New Roman" w:hAnsi="Times New Roman" w:cs="Times New Roman"/>
          <w:color w:val="000000" w:themeColor="text1"/>
          <w:sz w:val="24"/>
          <w:szCs w:val="24"/>
        </w:rPr>
        <w:t xml:space="preserve"> </w:t>
      </w:r>
      <w:r w:rsidR="00FC6B95" w:rsidRPr="00580285">
        <w:rPr>
          <w:rFonts w:ascii="Times New Roman" w:hAnsi="Times New Roman" w:cs="Times New Roman"/>
          <w:color w:val="000000" w:themeColor="text1"/>
          <w:sz w:val="24"/>
          <w:szCs w:val="24"/>
        </w:rPr>
        <w:t xml:space="preserve">and </w:t>
      </w:r>
      <w:r w:rsidR="000417F2" w:rsidRPr="00580285">
        <w:rPr>
          <w:rFonts w:ascii="Times New Roman" w:hAnsi="Times New Roman" w:cs="Times New Roman"/>
          <w:color w:val="000000" w:themeColor="text1"/>
          <w:sz w:val="24"/>
          <w:szCs w:val="24"/>
        </w:rPr>
        <w:t xml:space="preserve">has been </w:t>
      </w:r>
      <w:r w:rsidR="004F52B3" w:rsidRPr="00580285">
        <w:rPr>
          <w:rFonts w:ascii="Times New Roman" w:hAnsi="Times New Roman" w:cs="Times New Roman"/>
          <w:color w:val="000000" w:themeColor="text1"/>
          <w:sz w:val="24"/>
          <w:szCs w:val="24"/>
        </w:rPr>
        <w:t xml:space="preserve">a </w:t>
      </w:r>
      <w:r w:rsidR="000417F2" w:rsidRPr="00580285">
        <w:rPr>
          <w:rFonts w:ascii="Times New Roman" w:hAnsi="Times New Roman" w:cs="Times New Roman"/>
          <w:color w:val="000000" w:themeColor="text1"/>
          <w:sz w:val="24"/>
          <w:szCs w:val="24"/>
        </w:rPr>
        <w:t xml:space="preserve">listed </w:t>
      </w:r>
      <w:r w:rsidR="004F52B3" w:rsidRPr="00580285">
        <w:rPr>
          <w:rFonts w:ascii="Times New Roman" w:hAnsi="Times New Roman" w:cs="Times New Roman"/>
          <w:color w:val="000000" w:themeColor="text1"/>
          <w:sz w:val="24"/>
          <w:szCs w:val="24"/>
        </w:rPr>
        <w:t xml:space="preserve">infringement provision </w:t>
      </w:r>
      <w:r w:rsidR="000417F2" w:rsidRPr="00580285">
        <w:rPr>
          <w:rFonts w:ascii="Times New Roman" w:hAnsi="Times New Roman" w:cs="Times New Roman"/>
          <w:color w:val="000000" w:themeColor="text1"/>
          <w:sz w:val="24"/>
          <w:szCs w:val="24"/>
        </w:rPr>
        <w:t>for at least three months before the contravention is alleged to have taken place.</w:t>
      </w:r>
    </w:p>
    <w:p w14:paraId="4F56D051" w14:textId="77777777" w:rsidR="00052022" w:rsidRPr="00580285" w:rsidRDefault="00052022" w:rsidP="004B3952">
      <w:pPr>
        <w:spacing w:before="0" w:line="240" w:lineRule="auto"/>
        <w:rPr>
          <w:rFonts w:ascii="Times New Roman" w:hAnsi="Times New Roman" w:cs="Times New Roman"/>
          <w:color w:val="000000" w:themeColor="text1"/>
          <w:sz w:val="24"/>
          <w:szCs w:val="24"/>
        </w:rPr>
      </w:pPr>
    </w:p>
    <w:p w14:paraId="50829CD9" w14:textId="6A0CD00B" w:rsidR="0007570F" w:rsidRPr="00580285" w:rsidRDefault="00073453"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The effect of subsections 572E(5) and (6) is that an infringement notice can be issued to a person for a contravention of section 68 or 101 if the contravention involves the contravention of another provision of the telecommunications legislation which has been declared to be a ‘listed infringement notice provision’ by the ACMA under subsection 572E(7)</w:t>
      </w:r>
      <w:r w:rsidR="002D05E6" w:rsidRPr="00580285">
        <w:rPr>
          <w:rFonts w:ascii="Times New Roman" w:hAnsi="Times New Roman" w:cs="Times New Roman"/>
          <w:color w:val="000000" w:themeColor="text1"/>
          <w:sz w:val="24"/>
          <w:szCs w:val="24"/>
        </w:rPr>
        <w:t xml:space="preserve"> of the Act</w:t>
      </w:r>
      <w:r w:rsidRPr="00580285">
        <w:rPr>
          <w:rFonts w:ascii="Times New Roman" w:hAnsi="Times New Roman" w:cs="Times New Roman"/>
          <w:color w:val="000000" w:themeColor="text1"/>
          <w:sz w:val="24"/>
          <w:szCs w:val="24"/>
        </w:rPr>
        <w:t>.</w:t>
      </w:r>
      <w:r w:rsidR="008938EF" w:rsidRPr="00580285">
        <w:rPr>
          <w:rFonts w:ascii="Times New Roman" w:hAnsi="Times New Roman" w:cs="Times New Roman"/>
          <w:color w:val="000000" w:themeColor="text1"/>
          <w:sz w:val="24"/>
          <w:szCs w:val="24"/>
        </w:rPr>
        <w:t xml:space="preserve"> </w:t>
      </w:r>
      <w:r w:rsidR="00A3597D">
        <w:rPr>
          <w:rFonts w:ascii="Times New Roman" w:hAnsi="Times New Roman" w:cs="Times New Roman"/>
          <w:color w:val="000000" w:themeColor="text1"/>
          <w:sz w:val="24"/>
          <w:szCs w:val="24"/>
        </w:rPr>
        <w:t xml:space="preserve">The </w:t>
      </w:r>
      <w:r w:rsidR="00955D6B">
        <w:rPr>
          <w:rFonts w:ascii="Times New Roman" w:hAnsi="Times New Roman" w:cs="Times New Roman"/>
          <w:color w:val="000000" w:themeColor="text1"/>
          <w:sz w:val="24"/>
          <w:szCs w:val="24"/>
        </w:rPr>
        <w:t xml:space="preserve">ACMA </w:t>
      </w:r>
      <w:r w:rsidR="00A3597D">
        <w:rPr>
          <w:rFonts w:ascii="Times New Roman" w:hAnsi="Times New Roman" w:cs="Times New Roman"/>
          <w:color w:val="000000" w:themeColor="text1"/>
          <w:sz w:val="24"/>
          <w:szCs w:val="24"/>
        </w:rPr>
        <w:t xml:space="preserve">has </w:t>
      </w:r>
      <w:r w:rsidR="00955D6B">
        <w:rPr>
          <w:rFonts w:ascii="Times New Roman" w:hAnsi="Times New Roman" w:cs="Times New Roman"/>
          <w:color w:val="000000" w:themeColor="text1"/>
          <w:sz w:val="24"/>
          <w:szCs w:val="24"/>
        </w:rPr>
        <w:t xml:space="preserve">determined a </w:t>
      </w:r>
      <w:r w:rsidR="0023634D" w:rsidRPr="00580285">
        <w:rPr>
          <w:rFonts w:ascii="Times New Roman" w:hAnsi="Times New Roman" w:cs="Times New Roman"/>
          <w:color w:val="000000" w:themeColor="text1"/>
          <w:sz w:val="24"/>
          <w:szCs w:val="24"/>
        </w:rPr>
        <w:t>number of</w:t>
      </w:r>
      <w:r w:rsidR="00052022" w:rsidRPr="00580285">
        <w:rPr>
          <w:rFonts w:ascii="Times New Roman" w:hAnsi="Times New Roman" w:cs="Times New Roman"/>
          <w:color w:val="000000" w:themeColor="text1"/>
          <w:sz w:val="24"/>
          <w:szCs w:val="24"/>
        </w:rPr>
        <w:t xml:space="preserve"> listed infringement notice provisions </w:t>
      </w:r>
      <w:r w:rsidR="00955D6B">
        <w:rPr>
          <w:rFonts w:ascii="Times New Roman" w:hAnsi="Times New Roman" w:cs="Times New Roman"/>
          <w:color w:val="000000" w:themeColor="text1"/>
          <w:sz w:val="24"/>
          <w:szCs w:val="24"/>
        </w:rPr>
        <w:t xml:space="preserve">which are </w:t>
      </w:r>
      <w:r w:rsidR="00052022" w:rsidRPr="00580285">
        <w:rPr>
          <w:rFonts w:ascii="Times New Roman" w:hAnsi="Times New Roman" w:cs="Times New Roman"/>
          <w:color w:val="000000" w:themeColor="text1"/>
          <w:sz w:val="24"/>
          <w:szCs w:val="24"/>
        </w:rPr>
        <w:t xml:space="preserve">set out in </w:t>
      </w:r>
      <w:r w:rsidR="00FC6B95" w:rsidRPr="00580285">
        <w:rPr>
          <w:rFonts w:ascii="Times New Roman" w:hAnsi="Times New Roman" w:cs="Times New Roman"/>
          <w:color w:val="000000" w:themeColor="text1"/>
          <w:sz w:val="24"/>
          <w:szCs w:val="24"/>
        </w:rPr>
        <w:t xml:space="preserve">the </w:t>
      </w:r>
      <w:r w:rsidR="00052022" w:rsidRPr="00580285">
        <w:rPr>
          <w:rFonts w:ascii="Times New Roman" w:hAnsi="Times New Roman" w:cs="Times New Roman"/>
          <w:i/>
          <w:color w:val="000000" w:themeColor="text1"/>
          <w:sz w:val="24"/>
          <w:szCs w:val="24"/>
        </w:rPr>
        <w:t>Telecommunications (Listed Infringement Notice Provisions) Declaration 20</w:t>
      </w:r>
      <w:r w:rsidR="0007617C" w:rsidRPr="00580285">
        <w:rPr>
          <w:rFonts w:ascii="Times New Roman" w:hAnsi="Times New Roman" w:cs="Times New Roman"/>
          <w:i/>
          <w:color w:val="000000" w:themeColor="text1"/>
          <w:sz w:val="24"/>
          <w:szCs w:val="24"/>
        </w:rPr>
        <w:t>22</w:t>
      </w:r>
      <w:r w:rsidR="00E50B28" w:rsidRPr="00580285">
        <w:rPr>
          <w:rFonts w:ascii="Times New Roman" w:hAnsi="Times New Roman" w:cs="Times New Roman"/>
          <w:i/>
          <w:color w:val="000000" w:themeColor="text1"/>
          <w:sz w:val="24"/>
          <w:szCs w:val="24"/>
        </w:rPr>
        <w:t xml:space="preserve">. </w:t>
      </w:r>
      <w:r w:rsidR="00E50B28" w:rsidRPr="00580285">
        <w:rPr>
          <w:rFonts w:ascii="Times New Roman" w:hAnsi="Times New Roman" w:cs="Times New Roman"/>
          <w:color w:val="000000" w:themeColor="text1"/>
          <w:sz w:val="24"/>
          <w:szCs w:val="24"/>
        </w:rPr>
        <w:t>A</w:t>
      </w:r>
      <w:r w:rsidR="00ED4FA9" w:rsidRPr="00580285">
        <w:rPr>
          <w:rFonts w:ascii="Times New Roman" w:hAnsi="Times New Roman" w:cs="Times New Roman"/>
          <w:color w:val="000000" w:themeColor="text1"/>
          <w:sz w:val="24"/>
          <w:szCs w:val="24"/>
        </w:rPr>
        <w:t xml:space="preserve">ll </w:t>
      </w:r>
      <w:r w:rsidR="0007617C" w:rsidRPr="00580285">
        <w:rPr>
          <w:rFonts w:ascii="Times New Roman" w:hAnsi="Times New Roman" w:cs="Times New Roman"/>
          <w:color w:val="000000" w:themeColor="text1"/>
          <w:sz w:val="24"/>
          <w:szCs w:val="24"/>
        </w:rPr>
        <w:t xml:space="preserve">of </w:t>
      </w:r>
      <w:r w:rsidR="00ED4FA9" w:rsidRPr="00580285">
        <w:rPr>
          <w:rFonts w:ascii="Times New Roman" w:hAnsi="Times New Roman" w:cs="Times New Roman"/>
          <w:color w:val="000000" w:themeColor="text1"/>
          <w:sz w:val="24"/>
          <w:szCs w:val="24"/>
        </w:rPr>
        <w:t>the provisions listed in Schedule</w:t>
      </w:r>
      <w:r w:rsidR="00134BBD" w:rsidRPr="00580285">
        <w:rPr>
          <w:rFonts w:ascii="Times New Roman" w:hAnsi="Times New Roman" w:cs="Times New Roman"/>
          <w:color w:val="000000" w:themeColor="text1"/>
          <w:sz w:val="24"/>
          <w:szCs w:val="24"/>
        </w:rPr>
        <w:t>s</w:t>
      </w:r>
      <w:r w:rsidR="00ED4FA9" w:rsidRPr="00580285">
        <w:rPr>
          <w:rFonts w:ascii="Times New Roman" w:hAnsi="Times New Roman" w:cs="Times New Roman"/>
          <w:color w:val="000000" w:themeColor="text1"/>
          <w:sz w:val="24"/>
          <w:szCs w:val="24"/>
        </w:rPr>
        <w:t xml:space="preserve"> 1 and 2 of the Determination are listed</w:t>
      </w:r>
      <w:r w:rsidR="002A2411" w:rsidRPr="00580285">
        <w:rPr>
          <w:rFonts w:ascii="Times New Roman" w:hAnsi="Times New Roman" w:cs="Times New Roman"/>
          <w:color w:val="000000" w:themeColor="text1"/>
          <w:sz w:val="24"/>
          <w:szCs w:val="24"/>
        </w:rPr>
        <w:t xml:space="preserve"> infringement notice provisions</w:t>
      </w:r>
      <w:r w:rsidR="00052022" w:rsidRPr="00580285">
        <w:rPr>
          <w:rFonts w:ascii="Times New Roman" w:hAnsi="Times New Roman" w:cs="Times New Roman"/>
          <w:color w:val="000000" w:themeColor="text1"/>
          <w:sz w:val="24"/>
          <w:szCs w:val="24"/>
        </w:rPr>
        <w:t>.</w:t>
      </w:r>
    </w:p>
    <w:p w14:paraId="3DC8207A" w14:textId="77777777" w:rsidR="0007570F" w:rsidRPr="00580285" w:rsidRDefault="0007570F" w:rsidP="004B3952">
      <w:pPr>
        <w:spacing w:before="0" w:line="240" w:lineRule="auto"/>
        <w:rPr>
          <w:rFonts w:ascii="Times New Roman" w:hAnsi="Times New Roman" w:cs="Times New Roman"/>
          <w:color w:val="000000" w:themeColor="text1"/>
          <w:sz w:val="24"/>
          <w:szCs w:val="24"/>
        </w:rPr>
      </w:pPr>
    </w:p>
    <w:p w14:paraId="6145097F" w14:textId="089615FC" w:rsidR="000F38E5" w:rsidRPr="00580285" w:rsidRDefault="00955D6B"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832880" w:rsidRPr="00580285">
        <w:rPr>
          <w:rFonts w:ascii="Times New Roman" w:hAnsi="Times New Roman" w:cs="Times New Roman"/>
          <w:color w:val="000000" w:themeColor="text1"/>
          <w:sz w:val="24"/>
          <w:szCs w:val="24"/>
        </w:rPr>
        <w:t xml:space="preserve">ection 572G </w:t>
      </w:r>
      <w:r w:rsidR="005B2D89">
        <w:rPr>
          <w:rFonts w:ascii="Times New Roman" w:hAnsi="Times New Roman" w:cs="Times New Roman"/>
          <w:color w:val="000000" w:themeColor="text1"/>
          <w:sz w:val="24"/>
          <w:szCs w:val="24"/>
        </w:rPr>
        <w:t xml:space="preserve">of the Act </w:t>
      </w:r>
      <w:r>
        <w:rPr>
          <w:rFonts w:ascii="Times New Roman" w:hAnsi="Times New Roman" w:cs="Times New Roman"/>
          <w:color w:val="000000" w:themeColor="text1"/>
          <w:sz w:val="24"/>
          <w:szCs w:val="24"/>
        </w:rPr>
        <w:t>specifies the</w:t>
      </w:r>
      <w:r w:rsidR="00832880" w:rsidRPr="005802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amount of </w:t>
      </w:r>
      <w:r w:rsidR="005B2D89">
        <w:rPr>
          <w:rFonts w:ascii="Times New Roman" w:hAnsi="Times New Roman" w:cs="Times New Roman"/>
          <w:color w:val="000000" w:themeColor="text1"/>
          <w:sz w:val="24"/>
          <w:szCs w:val="24"/>
        </w:rPr>
        <w:t xml:space="preserve">pecuniary </w:t>
      </w:r>
      <w:r w:rsidR="00832880" w:rsidRPr="00580285">
        <w:rPr>
          <w:rFonts w:ascii="Times New Roman" w:hAnsi="Times New Roman" w:cs="Times New Roman"/>
          <w:color w:val="000000" w:themeColor="text1"/>
          <w:sz w:val="24"/>
          <w:szCs w:val="24"/>
        </w:rPr>
        <w:t>penalty that is to be set out in an infringement notice</w:t>
      </w:r>
      <w:r>
        <w:rPr>
          <w:rFonts w:ascii="Times New Roman" w:hAnsi="Times New Roman" w:cs="Times New Roman"/>
          <w:color w:val="000000" w:themeColor="text1"/>
          <w:sz w:val="24"/>
          <w:szCs w:val="24"/>
        </w:rPr>
        <w:t xml:space="preserve">. Subsection 572G(4) requires that the </w:t>
      </w:r>
      <w:r w:rsidRPr="00955D6B">
        <w:rPr>
          <w:rFonts w:ascii="Times New Roman" w:hAnsi="Times New Roman" w:cs="Times New Roman"/>
          <w:color w:val="000000" w:themeColor="text1"/>
          <w:sz w:val="24"/>
          <w:szCs w:val="24"/>
        </w:rPr>
        <w:t xml:space="preserve">penalty to be specified in an infringement notice given to </w:t>
      </w:r>
      <w:r w:rsidR="005B2D89">
        <w:rPr>
          <w:rFonts w:ascii="Times New Roman" w:hAnsi="Times New Roman" w:cs="Times New Roman"/>
          <w:color w:val="000000" w:themeColor="text1"/>
          <w:sz w:val="24"/>
          <w:szCs w:val="24"/>
        </w:rPr>
        <w:t xml:space="preserve">an individual </w:t>
      </w:r>
      <w:r w:rsidRPr="00955D6B">
        <w:rPr>
          <w:rFonts w:ascii="Times New Roman" w:hAnsi="Times New Roman" w:cs="Times New Roman"/>
          <w:color w:val="000000" w:themeColor="text1"/>
          <w:sz w:val="24"/>
          <w:szCs w:val="24"/>
        </w:rPr>
        <w:t>must be a pecuniary penalty equal to 12 penalty units</w:t>
      </w:r>
      <w:r w:rsidR="005B2D89">
        <w:rPr>
          <w:rFonts w:ascii="Times New Roman" w:hAnsi="Times New Roman" w:cs="Times New Roman"/>
          <w:color w:val="000000" w:themeColor="text1"/>
          <w:sz w:val="24"/>
          <w:szCs w:val="24"/>
        </w:rPr>
        <w:t>. S</w:t>
      </w:r>
      <w:r>
        <w:rPr>
          <w:rFonts w:ascii="Times New Roman" w:hAnsi="Times New Roman" w:cs="Times New Roman"/>
          <w:color w:val="000000" w:themeColor="text1"/>
          <w:sz w:val="24"/>
          <w:szCs w:val="24"/>
        </w:rPr>
        <w:t xml:space="preserve">ubsection 572G(1) </w:t>
      </w:r>
      <w:r w:rsidR="005B2D89">
        <w:rPr>
          <w:rFonts w:ascii="Times New Roman" w:hAnsi="Times New Roman" w:cs="Times New Roman"/>
          <w:color w:val="000000" w:themeColor="text1"/>
          <w:sz w:val="24"/>
          <w:szCs w:val="24"/>
        </w:rPr>
        <w:t xml:space="preserve">requires the </w:t>
      </w:r>
      <w:r w:rsidR="005B2D89" w:rsidRPr="00955D6B">
        <w:rPr>
          <w:rFonts w:ascii="Times New Roman" w:hAnsi="Times New Roman" w:cs="Times New Roman"/>
          <w:color w:val="000000" w:themeColor="text1"/>
          <w:sz w:val="24"/>
          <w:szCs w:val="24"/>
        </w:rPr>
        <w:t xml:space="preserve">penalty to be specified in an infringement notice given to a </w:t>
      </w:r>
      <w:r w:rsidRPr="00955D6B">
        <w:rPr>
          <w:rFonts w:ascii="Times New Roman" w:hAnsi="Times New Roman" w:cs="Times New Roman"/>
          <w:color w:val="000000" w:themeColor="text1"/>
          <w:sz w:val="24"/>
          <w:szCs w:val="24"/>
        </w:rPr>
        <w:t xml:space="preserve">body corporate must be </w:t>
      </w:r>
      <w:r w:rsidR="005B2D89">
        <w:rPr>
          <w:rFonts w:ascii="Times New Roman" w:hAnsi="Times New Roman" w:cs="Times New Roman"/>
          <w:color w:val="000000" w:themeColor="text1"/>
          <w:sz w:val="24"/>
          <w:szCs w:val="24"/>
        </w:rPr>
        <w:t xml:space="preserve">either </w:t>
      </w:r>
      <w:r w:rsidRPr="00955D6B">
        <w:rPr>
          <w:rFonts w:ascii="Times New Roman" w:hAnsi="Times New Roman" w:cs="Times New Roman"/>
          <w:color w:val="000000" w:themeColor="text1"/>
          <w:sz w:val="24"/>
          <w:szCs w:val="24"/>
        </w:rPr>
        <w:t xml:space="preserve">a pecuniary penalty equal to </w:t>
      </w:r>
      <w:r w:rsidR="005B2D89">
        <w:rPr>
          <w:rFonts w:ascii="Times New Roman" w:hAnsi="Times New Roman" w:cs="Times New Roman"/>
          <w:color w:val="000000" w:themeColor="text1"/>
          <w:sz w:val="24"/>
          <w:szCs w:val="24"/>
        </w:rPr>
        <w:t xml:space="preserve">60 </w:t>
      </w:r>
      <w:r w:rsidRPr="00955D6B">
        <w:rPr>
          <w:rFonts w:ascii="Times New Roman" w:hAnsi="Times New Roman" w:cs="Times New Roman"/>
          <w:color w:val="000000" w:themeColor="text1"/>
          <w:sz w:val="24"/>
          <w:szCs w:val="24"/>
        </w:rPr>
        <w:t>penalty units</w:t>
      </w:r>
      <w:r w:rsidR="005B2D89">
        <w:rPr>
          <w:rFonts w:ascii="Times New Roman" w:hAnsi="Times New Roman" w:cs="Times New Roman"/>
          <w:color w:val="000000" w:themeColor="text1"/>
          <w:sz w:val="24"/>
          <w:szCs w:val="24"/>
        </w:rPr>
        <w:t xml:space="preserve"> or an amount of pecuniary penalty determined in a</w:t>
      </w:r>
      <w:r w:rsidR="002361BB" w:rsidRPr="00580285">
        <w:rPr>
          <w:rFonts w:ascii="Times New Roman" w:hAnsi="Times New Roman" w:cs="Times New Roman"/>
          <w:color w:val="000000" w:themeColor="text1"/>
          <w:sz w:val="24"/>
          <w:szCs w:val="24"/>
        </w:rPr>
        <w:t xml:space="preserve"> legislative instrument </w:t>
      </w:r>
      <w:r w:rsidR="005B2D89">
        <w:rPr>
          <w:rFonts w:ascii="Times New Roman" w:hAnsi="Times New Roman" w:cs="Times New Roman"/>
          <w:color w:val="000000" w:themeColor="text1"/>
          <w:sz w:val="24"/>
          <w:szCs w:val="24"/>
        </w:rPr>
        <w:t xml:space="preserve">made by the Minister </w:t>
      </w:r>
      <w:r w:rsidR="00CE5FD9">
        <w:rPr>
          <w:rFonts w:ascii="Times New Roman" w:hAnsi="Times New Roman" w:cs="Times New Roman"/>
          <w:color w:val="000000" w:themeColor="text1"/>
          <w:sz w:val="24"/>
          <w:szCs w:val="24"/>
        </w:rPr>
        <w:t xml:space="preserve">under </w:t>
      </w:r>
      <w:r w:rsidR="005B2D89">
        <w:rPr>
          <w:rFonts w:ascii="Times New Roman" w:hAnsi="Times New Roman" w:cs="Times New Roman"/>
          <w:color w:val="000000" w:themeColor="text1"/>
          <w:sz w:val="24"/>
          <w:szCs w:val="24"/>
        </w:rPr>
        <w:t>Subsection 572G(2)</w:t>
      </w:r>
      <w:r w:rsidR="00CE5FD9">
        <w:rPr>
          <w:rFonts w:ascii="Times New Roman" w:hAnsi="Times New Roman" w:cs="Times New Roman"/>
          <w:color w:val="000000" w:themeColor="text1"/>
          <w:sz w:val="24"/>
          <w:szCs w:val="24"/>
        </w:rPr>
        <w:t xml:space="preserve">. The Determination accordingly </w:t>
      </w:r>
      <w:r w:rsidR="002361BB" w:rsidRPr="00580285">
        <w:rPr>
          <w:rFonts w:ascii="Times New Roman" w:hAnsi="Times New Roman" w:cs="Times New Roman"/>
          <w:color w:val="000000" w:themeColor="text1"/>
          <w:sz w:val="24"/>
          <w:szCs w:val="24"/>
        </w:rPr>
        <w:t xml:space="preserve">sets out one or more </w:t>
      </w:r>
      <w:r w:rsidR="00796C12" w:rsidRPr="00580285">
        <w:rPr>
          <w:rFonts w:ascii="Times New Roman" w:hAnsi="Times New Roman" w:cs="Times New Roman"/>
          <w:color w:val="000000" w:themeColor="text1"/>
          <w:sz w:val="24"/>
          <w:szCs w:val="24"/>
        </w:rPr>
        <w:t xml:space="preserve">kinds of </w:t>
      </w:r>
      <w:r w:rsidR="002361BB" w:rsidRPr="00580285">
        <w:rPr>
          <w:rFonts w:ascii="Times New Roman" w:hAnsi="Times New Roman" w:cs="Times New Roman"/>
          <w:color w:val="000000" w:themeColor="text1"/>
          <w:sz w:val="24"/>
          <w:szCs w:val="24"/>
        </w:rPr>
        <w:t>contraventions of sections 68 or 101 and</w:t>
      </w:r>
      <w:r w:rsidR="000B222E" w:rsidRPr="00580285">
        <w:rPr>
          <w:rFonts w:ascii="Times New Roman" w:hAnsi="Times New Roman" w:cs="Times New Roman"/>
          <w:color w:val="000000" w:themeColor="text1"/>
          <w:sz w:val="24"/>
          <w:szCs w:val="24"/>
        </w:rPr>
        <w:t xml:space="preserve"> specif</w:t>
      </w:r>
      <w:r w:rsidR="002361BB" w:rsidRPr="00580285">
        <w:rPr>
          <w:rFonts w:ascii="Times New Roman" w:hAnsi="Times New Roman" w:cs="Times New Roman"/>
          <w:color w:val="000000" w:themeColor="text1"/>
          <w:sz w:val="24"/>
          <w:szCs w:val="24"/>
        </w:rPr>
        <w:t xml:space="preserve">ies, for each kind of contravention, </w:t>
      </w:r>
      <w:r w:rsidR="00803B6B">
        <w:rPr>
          <w:rFonts w:ascii="Times New Roman" w:hAnsi="Times New Roman" w:cs="Times New Roman"/>
          <w:color w:val="000000" w:themeColor="text1"/>
          <w:sz w:val="24"/>
          <w:szCs w:val="24"/>
        </w:rPr>
        <w:t>a</w:t>
      </w:r>
      <w:r w:rsidR="00803B6B" w:rsidRPr="00580285">
        <w:rPr>
          <w:rFonts w:ascii="Times New Roman" w:hAnsi="Times New Roman" w:cs="Times New Roman"/>
          <w:color w:val="000000" w:themeColor="text1"/>
          <w:sz w:val="24"/>
          <w:szCs w:val="24"/>
        </w:rPr>
        <w:t xml:space="preserve"> </w:t>
      </w:r>
      <w:r w:rsidR="00803B6B">
        <w:rPr>
          <w:rFonts w:ascii="Times New Roman" w:hAnsi="Times New Roman" w:cs="Times New Roman"/>
          <w:color w:val="000000" w:themeColor="text1"/>
          <w:sz w:val="24"/>
          <w:szCs w:val="24"/>
        </w:rPr>
        <w:t xml:space="preserve">higher </w:t>
      </w:r>
      <w:r w:rsidR="000B222E" w:rsidRPr="00580285">
        <w:rPr>
          <w:rFonts w:ascii="Times New Roman" w:hAnsi="Times New Roman" w:cs="Times New Roman"/>
          <w:color w:val="000000" w:themeColor="text1"/>
          <w:sz w:val="24"/>
          <w:szCs w:val="24"/>
        </w:rPr>
        <w:t xml:space="preserve">number of penalty units that will apply. </w:t>
      </w:r>
    </w:p>
    <w:p w14:paraId="308A342A" w14:textId="77777777" w:rsidR="000F38E5" w:rsidRPr="00580285" w:rsidRDefault="000F38E5" w:rsidP="004B3952">
      <w:pPr>
        <w:spacing w:before="0" w:line="240" w:lineRule="auto"/>
        <w:rPr>
          <w:rFonts w:ascii="Times New Roman" w:hAnsi="Times New Roman" w:cs="Times New Roman"/>
          <w:color w:val="000000" w:themeColor="text1"/>
          <w:sz w:val="24"/>
          <w:szCs w:val="24"/>
        </w:rPr>
      </w:pPr>
    </w:p>
    <w:p w14:paraId="40FFFFBB" w14:textId="00D60BD0" w:rsidR="00F827DD" w:rsidRPr="00580285" w:rsidRDefault="00803B6B"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BE49E5" w:rsidRPr="00580285">
        <w:rPr>
          <w:rFonts w:ascii="Times New Roman" w:hAnsi="Times New Roman" w:cs="Times New Roman"/>
          <w:color w:val="000000" w:themeColor="text1"/>
          <w:sz w:val="24"/>
          <w:szCs w:val="24"/>
        </w:rPr>
        <w:t xml:space="preserve">he infringement notice penalties </w:t>
      </w:r>
      <w:r w:rsidR="00C97985" w:rsidRPr="00580285">
        <w:rPr>
          <w:rFonts w:ascii="Times New Roman" w:hAnsi="Times New Roman" w:cs="Times New Roman"/>
          <w:color w:val="000000" w:themeColor="text1"/>
          <w:sz w:val="24"/>
          <w:szCs w:val="24"/>
        </w:rPr>
        <w:t xml:space="preserve">specified in the Determination </w:t>
      </w:r>
      <w:r w:rsidR="00BE49E5" w:rsidRPr="00580285">
        <w:rPr>
          <w:rFonts w:ascii="Times New Roman" w:hAnsi="Times New Roman" w:cs="Times New Roman"/>
          <w:color w:val="000000" w:themeColor="text1"/>
          <w:sz w:val="24"/>
          <w:szCs w:val="24"/>
        </w:rPr>
        <w:t xml:space="preserve">are fixed penalties, not maximum penalties. </w:t>
      </w:r>
      <w:r w:rsidR="005B2D89">
        <w:rPr>
          <w:rFonts w:ascii="Times New Roman" w:hAnsi="Times New Roman" w:cs="Times New Roman"/>
          <w:color w:val="000000" w:themeColor="text1"/>
          <w:sz w:val="24"/>
          <w:szCs w:val="24"/>
        </w:rPr>
        <w:t>A</w:t>
      </w:r>
      <w:r w:rsidR="00C97985" w:rsidRPr="00580285">
        <w:rPr>
          <w:rFonts w:ascii="Times New Roman" w:hAnsi="Times New Roman" w:cs="Times New Roman"/>
          <w:color w:val="000000" w:themeColor="text1"/>
          <w:sz w:val="24"/>
          <w:szCs w:val="24"/>
        </w:rPr>
        <w:t>n authorised infringement notice officer</w:t>
      </w:r>
      <w:r w:rsidR="00BE49E5" w:rsidRPr="00580285">
        <w:rPr>
          <w:rFonts w:ascii="Times New Roman" w:hAnsi="Times New Roman" w:cs="Times New Roman"/>
          <w:color w:val="000000" w:themeColor="text1"/>
          <w:sz w:val="24"/>
          <w:szCs w:val="24"/>
        </w:rPr>
        <w:t xml:space="preserve"> ha</w:t>
      </w:r>
      <w:r w:rsidR="00C97985" w:rsidRPr="00580285">
        <w:rPr>
          <w:rFonts w:ascii="Times New Roman" w:hAnsi="Times New Roman" w:cs="Times New Roman"/>
          <w:color w:val="000000" w:themeColor="text1"/>
          <w:sz w:val="24"/>
          <w:szCs w:val="24"/>
        </w:rPr>
        <w:t>s</w:t>
      </w:r>
      <w:r w:rsidR="00BE49E5" w:rsidRPr="00580285">
        <w:rPr>
          <w:rFonts w:ascii="Times New Roman" w:hAnsi="Times New Roman" w:cs="Times New Roman"/>
          <w:color w:val="000000" w:themeColor="text1"/>
          <w:sz w:val="24"/>
          <w:szCs w:val="24"/>
        </w:rPr>
        <w:t xml:space="preserve"> no discretion to specify a lower penalty </w:t>
      </w:r>
      <w:r w:rsidR="00C97985" w:rsidRPr="00580285">
        <w:rPr>
          <w:rFonts w:ascii="Times New Roman" w:hAnsi="Times New Roman" w:cs="Times New Roman"/>
          <w:color w:val="000000" w:themeColor="text1"/>
          <w:sz w:val="24"/>
          <w:szCs w:val="24"/>
        </w:rPr>
        <w:t xml:space="preserve">amount </w:t>
      </w:r>
      <w:r w:rsidR="00BE49E5" w:rsidRPr="00580285">
        <w:rPr>
          <w:rFonts w:ascii="Times New Roman" w:hAnsi="Times New Roman" w:cs="Times New Roman"/>
          <w:color w:val="000000" w:themeColor="text1"/>
          <w:sz w:val="24"/>
          <w:szCs w:val="24"/>
        </w:rPr>
        <w:t>in an infringement notice.</w:t>
      </w:r>
    </w:p>
    <w:p w14:paraId="380285EC" w14:textId="77777777" w:rsidR="001C253E" w:rsidRPr="00580285" w:rsidRDefault="001C253E" w:rsidP="004B3952">
      <w:pPr>
        <w:spacing w:before="0" w:line="240" w:lineRule="auto"/>
        <w:rPr>
          <w:rFonts w:ascii="Times New Roman" w:hAnsi="Times New Roman" w:cs="Times New Roman"/>
          <w:color w:val="000000" w:themeColor="text1"/>
          <w:sz w:val="24"/>
          <w:szCs w:val="24"/>
        </w:rPr>
      </w:pPr>
    </w:p>
    <w:p w14:paraId="53D8722B" w14:textId="11FA71E2" w:rsidR="001C253E" w:rsidRPr="00580285" w:rsidRDefault="008938EF" w:rsidP="001C253E">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Pecuniary</w:t>
      </w:r>
      <w:r w:rsidR="001C253E" w:rsidRPr="00580285">
        <w:rPr>
          <w:rFonts w:ascii="Times New Roman" w:hAnsi="Times New Roman" w:cs="Times New Roman"/>
          <w:color w:val="000000" w:themeColor="text1"/>
          <w:sz w:val="24"/>
          <w:szCs w:val="24"/>
        </w:rPr>
        <w:t xml:space="preserve"> penalties are expressed in Commonwealth legislation as ‘penalty units’. At the time of commencement of the Determination, one penalty unit is equal to $</w:t>
      </w:r>
      <w:r w:rsidR="0007617C" w:rsidRPr="00580285">
        <w:rPr>
          <w:rFonts w:ascii="Times New Roman" w:hAnsi="Times New Roman" w:cs="Times New Roman"/>
          <w:color w:val="000000" w:themeColor="text1"/>
          <w:sz w:val="24"/>
          <w:szCs w:val="24"/>
        </w:rPr>
        <w:t>2</w:t>
      </w:r>
      <w:r w:rsidR="0023634D" w:rsidRPr="00580285">
        <w:rPr>
          <w:rFonts w:ascii="Times New Roman" w:hAnsi="Times New Roman" w:cs="Times New Roman"/>
          <w:color w:val="000000" w:themeColor="text1"/>
          <w:sz w:val="24"/>
          <w:szCs w:val="24"/>
        </w:rPr>
        <w:t>22</w:t>
      </w:r>
      <w:r w:rsidR="001C253E" w:rsidRPr="00580285">
        <w:rPr>
          <w:rFonts w:ascii="Times New Roman" w:hAnsi="Times New Roman" w:cs="Times New Roman"/>
          <w:color w:val="000000" w:themeColor="text1"/>
          <w:sz w:val="24"/>
          <w:szCs w:val="24"/>
        </w:rPr>
        <w:t xml:space="preserve"> (see subsection 4AA(1</w:t>
      </w:r>
      <w:r w:rsidR="0023634D" w:rsidRPr="00580285">
        <w:rPr>
          <w:rFonts w:ascii="Times New Roman" w:hAnsi="Times New Roman" w:cs="Times New Roman"/>
          <w:color w:val="000000" w:themeColor="text1"/>
          <w:sz w:val="24"/>
          <w:szCs w:val="24"/>
        </w:rPr>
        <w:t>A</w:t>
      </w:r>
      <w:r w:rsidR="001C253E" w:rsidRPr="00580285">
        <w:rPr>
          <w:rFonts w:ascii="Times New Roman" w:hAnsi="Times New Roman" w:cs="Times New Roman"/>
          <w:color w:val="000000" w:themeColor="text1"/>
          <w:sz w:val="24"/>
          <w:szCs w:val="24"/>
        </w:rPr>
        <w:t xml:space="preserve">) of the </w:t>
      </w:r>
      <w:r w:rsidR="001C253E" w:rsidRPr="00580285">
        <w:rPr>
          <w:rFonts w:ascii="Times New Roman" w:hAnsi="Times New Roman" w:cs="Times New Roman"/>
          <w:i/>
          <w:color w:val="000000" w:themeColor="text1"/>
          <w:sz w:val="24"/>
          <w:szCs w:val="24"/>
        </w:rPr>
        <w:t>Crimes Act 1914</w:t>
      </w:r>
      <w:r w:rsidR="001C253E" w:rsidRPr="00580285">
        <w:rPr>
          <w:rFonts w:ascii="Times New Roman" w:hAnsi="Times New Roman" w:cs="Times New Roman"/>
          <w:color w:val="000000" w:themeColor="text1"/>
          <w:sz w:val="24"/>
          <w:szCs w:val="24"/>
        </w:rPr>
        <w:t xml:space="preserve">). </w:t>
      </w:r>
    </w:p>
    <w:p w14:paraId="31A0C7BE" w14:textId="77777777" w:rsidR="00D871FF" w:rsidRPr="00580285" w:rsidRDefault="00D871FF" w:rsidP="004B3952">
      <w:pPr>
        <w:spacing w:before="0" w:line="240" w:lineRule="auto"/>
        <w:rPr>
          <w:rFonts w:ascii="Times New Roman" w:hAnsi="Times New Roman" w:cs="Times New Roman"/>
          <w:color w:val="000000" w:themeColor="text1"/>
          <w:sz w:val="24"/>
          <w:szCs w:val="24"/>
        </w:rPr>
      </w:pPr>
    </w:p>
    <w:p w14:paraId="001BA1FD" w14:textId="77777777" w:rsidR="00D871FF" w:rsidRPr="00580285" w:rsidRDefault="00591107" w:rsidP="008938EF">
      <w:pPr>
        <w:keepNext/>
        <w:spacing w:before="0" w:after="120" w:line="240" w:lineRule="auto"/>
        <w:rPr>
          <w:rFonts w:ascii="Times New Roman" w:hAnsi="Times New Roman" w:cs="Times New Roman"/>
          <w:i/>
          <w:color w:val="000000" w:themeColor="text1"/>
          <w:sz w:val="24"/>
          <w:szCs w:val="24"/>
        </w:rPr>
      </w:pPr>
      <w:r w:rsidRPr="00580285">
        <w:rPr>
          <w:rFonts w:ascii="Times New Roman" w:hAnsi="Times New Roman" w:cs="Times New Roman"/>
          <w:i/>
          <w:color w:val="000000" w:themeColor="text1"/>
          <w:sz w:val="24"/>
          <w:szCs w:val="24"/>
        </w:rPr>
        <w:t>Relevant considerations in determining the penalty amounts set out in the Determination</w:t>
      </w:r>
    </w:p>
    <w:p w14:paraId="6AD93176" w14:textId="5217BECB" w:rsidR="00156584" w:rsidRDefault="006F0564" w:rsidP="00CE5FD9">
      <w:pPr>
        <w:spacing w:before="0" w:line="240" w:lineRule="auto"/>
        <w:rPr>
          <w:rStyle w:val="Quotenormal1Char"/>
          <w:rFonts w:ascii="Times New Roman" w:hAnsi="Times New Roman" w:cs="Times New Roman"/>
          <w:i w:val="0"/>
          <w:sz w:val="24"/>
          <w:szCs w:val="24"/>
        </w:rPr>
      </w:pPr>
      <w:r w:rsidRPr="00580285">
        <w:rPr>
          <w:rFonts w:ascii="Times New Roman" w:hAnsi="Times New Roman" w:cs="Times New Roman"/>
          <w:color w:val="000000" w:themeColor="text1"/>
          <w:sz w:val="24"/>
          <w:szCs w:val="24"/>
        </w:rPr>
        <w:t>Part 7 of t</w:t>
      </w:r>
      <w:r w:rsidR="00D871FF" w:rsidRPr="00580285">
        <w:rPr>
          <w:rFonts w:ascii="Times New Roman" w:hAnsi="Times New Roman" w:cs="Times New Roman"/>
          <w:color w:val="000000" w:themeColor="text1"/>
          <w:sz w:val="24"/>
          <w:szCs w:val="24"/>
        </w:rPr>
        <w:t xml:space="preserve">he explanatory memorandum </w:t>
      </w:r>
      <w:r w:rsidR="00631F48" w:rsidRPr="00580285">
        <w:rPr>
          <w:rFonts w:ascii="Times New Roman" w:hAnsi="Times New Roman" w:cs="Times New Roman"/>
          <w:color w:val="000000" w:themeColor="text1"/>
          <w:sz w:val="24"/>
          <w:szCs w:val="24"/>
        </w:rPr>
        <w:t>to the</w:t>
      </w:r>
      <w:r w:rsidR="00D871FF" w:rsidRPr="00580285">
        <w:rPr>
          <w:rFonts w:ascii="Times New Roman" w:hAnsi="Times New Roman" w:cs="Times New Roman"/>
          <w:color w:val="000000" w:themeColor="text1"/>
          <w:sz w:val="24"/>
          <w:szCs w:val="24"/>
        </w:rPr>
        <w:t xml:space="preserve"> </w:t>
      </w:r>
      <w:r w:rsidR="00D871FF" w:rsidRPr="00580285">
        <w:rPr>
          <w:rFonts w:ascii="Times New Roman" w:hAnsi="Times New Roman" w:cs="Times New Roman"/>
          <w:i/>
          <w:color w:val="000000" w:themeColor="text1"/>
          <w:sz w:val="24"/>
          <w:szCs w:val="24"/>
        </w:rPr>
        <w:t xml:space="preserve">Telecommunications Legislation Amendment (Competition and Consumer Safeguards) </w:t>
      </w:r>
      <w:r w:rsidR="00631F48" w:rsidRPr="00580285">
        <w:rPr>
          <w:rFonts w:ascii="Times New Roman" w:hAnsi="Times New Roman" w:cs="Times New Roman"/>
          <w:i/>
          <w:color w:val="000000" w:themeColor="text1"/>
          <w:sz w:val="24"/>
          <w:szCs w:val="24"/>
        </w:rPr>
        <w:t>Bill</w:t>
      </w:r>
      <w:r w:rsidR="00D871FF" w:rsidRPr="00580285">
        <w:rPr>
          <w:rFonts w:ascii="Times New Roman" w:hAnsi="Times New Roman" w:cs="Times New Roman"/>
          <w:i/>
          <w:color w:val="000000" w:themeColor="text1"/>
          <w:sz w:val="24"/>
          <w:szCs w:val="24"/>
        </w:rPr>
        <w:t> 2010</w:t>
      </w:r>
      <w:r w:rsidR="00D871FF" w:rsidRPr="00580285">
        <w:rPr>
          <w:rFonts w:ascii="Times New Roman" w:hAnsi="Times New Roman" w:cs="Times New Roman"/>
          <w:color w:val="000000" w:themeColor="text1"/>
          <w:sz w:val="24"/>
          <w:szCs w:val="24"/>
        </w:rPr>
        <w:t xml:space="preserve"> (which added Part 31B to the Act) explains </w:t>
      </w:r>
      <w:r w:rsidR="00156584" w:rsidRPr="00580285">
        <w:rPr>
          <w:rStyle w:val="Quotenormal1Char"/>
          <w:rFonts w:ascii="Times New Roman" w:hAnsi="Times New Roman" w:cs="Times New Roman"/>
          <w:i w:val="0"/>
          <w:sz w:val="24"/>
          <w:szCs w:val="24"/>
        </w:rPr>
        <w:t>(at pages 249-250):</w:t>
      </w:r>
    </w:p>
    <w:p w14:paraId="73FF4729" w14:textId="77777777" w:rsidR="00CE5FD9" w:rsidRPr="00580285" w:rsidRDefault="00CE5FD9" w:rsidP="00CE5FD9">
      <w:pPr>
        <w:spacing w:before="0" w:line="240" w:lineRule="auto"/>
        <w:rPr>
          <w:rStyle w:val="Quotenormal1Char"/>
          <w:rFonts w:ascii="Times New Roman" w:hAnsi="Times New Roman" w:cs="Times New Roman"/>
          <w:i w:val="0"/>
          <w:sz w:val="24"/>
          <w:szCs w:val="24"/>
        </w:rPr>
      </w:pPr>
    </w:p>
    <w:p w14:paraId="294B7241" w14:textId="0BC43593" w:rsidR="00A30B52" w:rsidRPr="00580285" w:rsidRDefault="0002688A" w:rsidP="00D871FF">
      <w:pPr>
        <w:spacing w:before="0" w:line="240" w:lineRule="auto"/>
        <w:ind w:left="284"/>
        <w:rPr>
          <w:rStyle w:val="Quotenormal1Char"/>
          <w:rFonts w:ascii="Times New Roman" w:hAnsi="Times New Roman" w:cs="Times New Roman"/>
          <w:sz w:val="24"/>
          <w:szCs w:val="24"/>
        </w:rPr>
      </w:pPr>
      <w:r w:rsidRPr="00580285">
        <w:rPr>
          <w:rStyle w:val="Quotenormal1Char"/>
          <w:rFonts w:ascii="Times New Roman" w:hAnsi="Times New Roman" w:cs="Times New Roman"/>
          <w:sz w:val="24"/>
          <w:szCs w:val="24"/>
        </w:rPr>
        <w:t xml:space="preserve">If [an] infringement notice is given to a body corporate, and the alleged </w:t>
      </w:r>
      <w:r w:rsidR="00A30B52" w:rsidRPr="00580285">
        <w:rPr>
          <w:rStyle w:val="Quotenormal1Char"/>
          <w:rFonts w:ascii="Times New Roman" w:hAnsi="Times New Roman" w:cs="Times New Roman"/>
          <w:sz w:val="24"/>
          <w:szCs w:val="24"/>
        </w:rPr>
        <w:t>contravention is of a kind specified under...subsection 572G(2), the number of penalty units for the pecuniary penalty will be the number specified in the determination made under that subsection. Otherwise, if the penalty is not specified in the determination, the penalty is 60 penalty units</w:t>
      </w:r>
      <w:r w:rsidR="00C70D9D" w:rsidRPr="00580285">
        <w:rPr>
          <w:rStyle w:val="Quotenormal1Char"/>
          <w:rFonts w:ascii="Times New Roman" w:hAnsi="Times New Roman" w:cs="Times New Roman"/>
          <w:sz w:val="24"/>
          <w:szCs w:val="24"/>
        </w:rPr>
        <w:t>.</w:t>
      </w:r>
    </w:p>
    <w:p w14:paraId="4E6B0127" w14:textId="0F81BA16" w:rsidR="00D871FF" w:rsidRPr="00580285" w:rsidRDefault="00D871FF" w:rsidP="002B07BC">
      <w:pPr>
        <w:spacing w:before="120" w:line="240" w:lineRule="auto"/>
        <w:ind w:left="284"/>
        <w:rPr>
          <w:rFonts w:ascii="Times New Roman" w:hAnsi="Times New Roman" w:cs="Times New Roman"/>
          <w:color w:val="000000" w:themeColor="text1"/>
          <w:sz w:val="24"/>
          <w:szCs w:val="24"/>
        </w:rPr>
      </w:pPr>
      <w:r w:rsidRPr="00580285">
        <w:rPr>
          <w:rStyle w:val="Quotenormal1Char"/>
          <w:rFonts w:ascii="Times New Roman" w:hAnsi="Times New Roman" w:cs="Times New Roman"/>
          <w:sz w:val="24"/>
          <w:szCs w:val="24"/>
        </w:rPr>
        <w:t xml:space="preserve">It is intended that the Minister would specify the provisions to be subject to higher pecuniary penalty amounts where it is likely </w:t>
      </w:r>
      <w:r w:rsidRPr="006E14CE">
        <w:rPr>
          <w:rStyle w:val="Quotenormal1Char"/>
          <w:rFonts w:ascii="Times New Roman" w:hAnsi="Times New Roman" w:cs="Times New Roman"/>
          <w:sz w:val="24"/>
          <w:szCs w:val="24"/>
        </w:rPr>
        <w:t>that the lower amount of 60 penalty units would provide insufficient deterrent for large telecommunications carriers or [carriage service providers] to comply with the provision. It is standard practice for an infringement notice amount to not exceed one-fifth of the penalty otherwise applying. The</w:t>
      </w:r>
      <w:r w:rsidRPr="00552E1F">
        <w:rPr>
          <w:rStyle w:val="Quotenormal1Char"/>
          <w:rFonts w:ascii="Times New Roman" w:hAnsi="Times New Roman" w:cs="Times New Roman"/>
          <w:sz w:val="24"/>
          <w:szCs w:val="24"/>
        </w:rPr>
        <w:t xml:space="preserve"> maximum civil penalty for breach of a carrier licence condition or service provider rule is $10 million (see subsection 570(3)).</w:t>
      </w:r>
    </w:p>
    <w:p w14:paraId="7A181154" w14:textId="77777777" w:rsidR="00D871FF" w:rsidRPr="00580285" w:rsidRDefault="00D871FF" w:rsidP="00D871FF">
      <w:pPr>
        <w:spacing w:before="0" w:line="240" w:lineRule="auto"/>
        <w:rPr>
          <w:rFonts w:ascii="Times New Roman" w:hAnsi="Times New Roman" w:cs="Times New Roman"/>
          <w:color w:val="000000" w:themeColor="text1"/>
          <w:sz w:val="24"/>
          <w:szCs w:val="24"/>
        </w:rPr>
      </w:pPr>
    </w:p>
    <w:p w14:paraId="46E82039" w14:textId="38DE0C51" w:rsidR="00803B6B" w:rsidRDefault="000B5707" w:rsidP="00803B6B">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803B6B" w:rsidRPr="004A716A">
        <w:rPr>
          <w:rFonts w:ascii="Times New Roman" w:hAnsi="Times New Roman" w:cs="Times New Roman"/>
          <w:color w:val="000000" w:themeColor="text1"/>
          <w:sz w:val="24"/>
          <w:szCs w:val="24"/>
        </w:rPr>
        <w:t xml:space="preserve">nfringement notice schemes are typically used to deal with </w:t>
      </w:r>
      <w:r>
        <w:rPr>
          <w:rFonts w:ascii="Times New Roman" w:hAnsi="Times New Roman" w:cs="Times New Roman"/>
          <w:color w:val="000000" w:themeColor="text1"/>
          <w:sz w:val="24"/>
          <w:szCs w:val="24"/>
        </w:rPr>
        <w:t xml:space="preserve">relatively </w:t>
      </w:r>
      <w:r w:rsidR="00803B6B" w:rsidRPr="004A716A">
        <w:rPr>
          <w:rFonts w:ascii="Times New Roman" w:hAnsi="Times New Roman" w:cs="Times New Roman"/>
          <w:color w:val="000000" w:themeColor="text1"/>
          <w:sz w:val="24"/>
          <w:szCs w:val="24"/>
        </w:rPr>
        <w:t xml:space="preserve">minor </w:t>
      </w:r>
      <w:r>
        <w:rPr>
          <w:rFonts w:ascii="Times New Roman" w:hAnsi="Times New Roman" w:cs="Times New Roman"/>
          <w:color w:val="000000" w:themeColor="text1"/>
          <w:sz w:val="24"/>
          <w:szCs w:val="24"/>
        </w:rPr>
        <w:t>contraventions</w:t>
      </w:r>
      <w:r w:rsidR="00803B6B" w:rsidRPr="004A716A">
        <w:rPr>
          <w:rFonts w:ascii="Times New Roman" w:hAnsi="Times New Roman" w:cs="Times New Roman"/>
          <w:color w:val="000000" w:themeColor="text1"/>
          <w:sz w:val="24"/>
          <w:szCs w:val="24"/>
        </w:rPr>
        <w:t xml:space="preserve"> where instituting court proceedings would be disproportionately costly, and where </w:t>
      </w:r>
      <w:r w:rsidR="00803B6B" w:rsidRPr="004A716A">
        <w:rPr>
          <w:rFonts w:ascii="Times New Roman" w:hAnsi="Times New Roman" w:cs="Times New Roman"/>
          <w:color w:val="000000" w:themeColor="text1"/>
          <w:sz w:val="24"/>
          <w:szCs w:val="24"/>
        </w:rPr>
        <w:lastRenderedPageBreak/>
        <w:t xml:space="preserve">assessments concerning a </w:t>
      </w:r>
      <w:r>
        <w:rPr>
          <w:rFonts w:ascii="Times New Roman" w:hAnsi="Times New Roman" w:cs="Times New Roman"/>
          <w:color w:val="000000" w:themeColor="text1"/>
          <w:sz w:val="24"/>
          <w:szCs w:val="24"/>
        </w:rPr>
        <w:t>contravention</w:t>
      </w:r>
      <w:r w:rsidR="00803B6B" w:rsidRPr="004A716A">
        <w:rPr>
          <w:rFonts w:ascii="Times New Roman" w:hAnsi="Times New Roman" w:cs="Times New Roman"/>
          <w:color w:val="000000" w:themeColor="text1"/>
          <w:sz w:val="24"/>
          <w:szCs w:val="24"/>
        </w:rPr>
        <w:t xml:space="preserve"> can be based on straightforward and objective criteria rather than complex legal distinctions. However, in the case of the infringement scheme set out in the Act, the Minister has discretion to determine higher penalties where </w:t>
      </w:r>
      <w:r w:rsidR="004A716A">
        <w:rPr>
          <w:rFonts w:ascii="Times New Roman" w:hAnsi="Times New Roman" w:cs="Times New Roman"/>
          <w:color w:val="000000" w:themeColor="text1"/>
          <w:sz w:val="24"/>
          <w:szCs w:val="24"/>
        </w:rPr>
        <w:t xml:space="preserve">an </w:t>
      </w:r>
      <w:r w:rsidR="00803B6B" w:rsidRPr="004A716A">
        <w:rPr>
          <w:rFonts w:ascii="Times New Roman" w:hAnsi="Times New Roman" w:cs="Times New Roman"/>
          <w:color w:val="000000" w:themeColor="text1"/>
          <w:sz w:val="24"/>
          <w:szCs w:val="24"/>
        </w:rPr>
        <w:t xml:space="preserve">infringement notice </w:t>
      </w:r>
      <w:r w:rsidR="004A716A">
        <w:rPr>
          <w:rFonts w:ascii="Times New Roman" w:hAnsi="Times New Roman" w:cs="Times New Roman"/>
          <w:color w:val="000000" w:themeColor="text1"/>
          <w:sz w:val="24"/>
          <w:szCs w:val="24"/>
        </w:rPr>
        <w:t>is issued to a body corporate</w:t>
      </w:r>
      <w:r w:rsidR="00803B6B" w:rsidRPr="004A716A">
        <w:rPr>
          <w:rFonts w:ascii="Times New Roman" w:hAnsi="Times New Roman" w:cs="Times New Roman"/>
          <w:color w:val="000000" w:themeColor="text1"/>
          <w:sz w:val="24"/>
          <w:szCs w:val="24"/>
        </w:rPr>
        <w:t xml:space="preserve">. This was included because otherwise the penalties could be an insufficient deterrent for large telecommunications carriers or </w:t>
      </w:r>
      <w:r w:rsidR="004A716A">
        <w:rPr>
          <w:rFonts w:ascii="Times New Roman" w:hAnsi="Times New Roman" w:cs="Times New Roman"/>
          <w:color w:val="000000" w:themeColor="text1"/>
          <w:sz w:val="24"/>
          <w:szCs w:val="24"/>
        </w:rPr>
        <w:t>carriage service providers (</w:t>
      </w:r>
      <w:r w:rsidR="00803B6B" w:rsidRPr="004A716A">
        <w:rPr>
          <w:rFonts w:ascii="Times New Roman" w:hAnsi="Times New Roman" w:cs="Times New Roman"/>
          <w:color w:val="000000" w:themeColor="text1"/>
          <w:sz w:val="24"/>
          <w:szCs w:val="24"/>
        </w:rPr>
        <w:t>CSPs</w:t>
      </w:r>
      <w:r w:rsidR="004A71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with revenues in the hundreds of millions of dollars</w:t>
      </w:r>
      <w:r w:rsidR="00EA5284">
        <w:rPr>
          <w:rFonts w:ascii="Times New Roman" w:hAnsi="Times New Roman" w:cs="Times New Roman"/>
          <w:color w:val="000000" w:themeColor="text1"/>
          <w:sz w:val="24"/>
          <w:szCs w:val="24"/>
        </w:rPr>
        <w:t>,</w:t>
      </w:r>
      <w:bookmarkStart w:id="1" w:name="_GoBack"/>
      <w:bookmarkEnd w:id="1"/>
      <w:r>
        <w:rPr>
          <w:rFonts w:ascii="Times New Roman" w:hAnsi="Times New Roman" w:cs="Times New Roman"/>
          <w:color w:val="000000" w:themeColor="text1"/>
          <w:sz w:val="24"/>
          <w:szCs w:val="24"/>
        </w:rPr>
        <w:t xml:space="preserve"> </w:t>
      </w:r>
      <w:r w:rsidR="00803B6B" w:rsidRPr="004A716A">
        <w:rPr>
          <w:rFonts w:ascii="Times New Roman" w:hAnsi="Times New Roman" w:cs="Times New Roman"/>
          <w:color w:val="000000" w:themeColor="text1"/>
          <w:sz w:val="24"/>
          <w:szCs w:val="24"/>
        </w:rPr>
        <w:t>to comply with the provision.</w:t>
      </w:r>
      <w:r w:rsidR="004D2A58">
        <w:rPr>
          <w:rFonts w:ascii="Times New Roman" w:hAnsi="Times New Roman" w:cs="Times New Roman"/>
          <w:color w:val="000000" w:themeColor="text1"/>
          <w:sz w:val="24"/>
          <w:szCs w:val="24"/>
        </w:rPr>
        <w:t xml:space="preserve"> Recipients of infringement notices </w:t>
      </w:r>
      <w:r w:rsidR="00E21703">
        <w:rPr>
          <w:rFonts w:ascii="Times New Roman" w:hAnsi="Times New Roman" w:cs="Times New Roman"/>
          <w:color w:val="000000" w:themeColor="text1"/>
          <w:sz w:val="24"/>
          <w:szCs w:val="24"/>
        </w:rPr>
        <w:t xml:space="preserve">can seek the withdrawal of an infringement notice by the ACMA or </w:t>
      </w:r>
      <w:r w:rsidR="00614B3B">
        <w:rPr>
          <w:rFonts w:ascii="Times New Roman" w:hAnsi="Times New Roman" w:cs="Times New Roman"/>
          <w:color w:val="000000" w:themeColor="text1"/>
          <w:sz w:val="24"/>
          <w:szCs w:val="24"/>
        </w:rPr>
        <w:t>choose to not to pay the penalty</w:t>
      </w:r>
      <w:r w:rsidR="00BE5B6F">
        <w:rPr>
          <w:rFonts w:ascii="Times New Roman" w:hAnsi="Times New Roman" w:cs="Times New Roman"/>
          <w:color w:val="000000" w:themeColor="text1"/>
          <w:sz w:val="24"/>
          <w:szCs w:val="24"/>
        </w:rPr>
        <w:t>,</w:t>
      </w:r>
      <w:r w:rsidR="00614B3B">
        <w:rPr>
          <w:rFonts w:ascii="Times New Roman" w:hAnsi="Times New Roman" w:cs="Times New Roman"/>
          <w:color w:val="000000" w:themeColor="text1"/>
          <w:sz w:val="24"/>
          <w:szCs w:val="24"/>
        </w:rPr>
        <w:t xml:space="preserve"> in which case it leaves itself open to the ACMA instituting court proceedings</w:t>
      </w:r>
      <w:r w:rsidR="00FF754C">
        <w:rPr>
          <w:rFonts w:ascii="Times New Roman" w:hAnsi="Times New Roman" w:cs="Times New Roman"/>
          <w:color w:val="000000" w:themeColor="text1"/>
          <w:sz w:val="24"/>
          <w:szCs w:val="24"/>
        </w:rPr>
        <w:t xml:space="preserve"> </w:t>
      </w:r>
      <w:r w:rsidR="00614B3B">
        <w:rPr>
          <w:rFonts w:ascii="Times New Roman" w:hAnsi="Times New Roman" w:cs="Times New Roman"/>
          <w:color w:val="000000" w:themeColor="text1"/>
          <w:sz w:val="24"/>
          <w:szCs w:val="24"/>
        </w:rPr>
        <w:t>involving potentially higher penalties and costs.</w:t>
      </w:r>
    </w:p>
    <w:p w14:paraId="04FF2C25" w14:textId="77777777" w:rsidR="004D2A58" w:rsidRPr="004A716A" w:rsidRDefault="004D2A58" w:rsidP="004A716A">
      <w:pPr>
        <w:spacing w:before="0" w:line="240" w:lineRule="auto"/>
        <w:rPr>
          <w:rFonts w:ascii="Times New Roman" w:hAnsi="Times New Roman" w:cs="Times New Roman"/>
          <w:color w:val="000000" w:themeColor="text1"/>
          <w:sz w:val="16"/>
          <w:szCs w:val="16"/>
        </w:rPr>
      </w:pPr>
    </w:p>
    <w:p w14:paraId="085DAD65" w14:textId="0E7293B6" w:rsidR="007B785C" w:rsidRDefault="00552E1F" w:rsidP="00D871FF">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Determination specifies pecuniary penalties </w:t>
      </w:r>
      <w:r w:rsidR="003E6541">
        <w:rPr>
          <w:rFonts w:ascii="Times New Roman" w:hAnsi="Times New Roman" w:cs="Times New Roman"/>
          <w:color w:val="000000" w:themeColor="text1"/>
          <w:sz w:val="24"/>
          <w:szCs w:val="24"/>
        </w:rPr>
        <w:t xml:space="preserve">for different provisions </w:t>
      </w:r>
      <w:r>
        <w:rPr>
          <w:rFonts w:ascii="Times New Roman" w:hAnsi="Times New Roman" w:cs="Times New Roman"/>
          <w:color w:val="000000" w:themeColor="text1"/>
          <w:sz w:val="24"/>
          <w:szCs w:val="24"/>
        </w:rPr>
        <w:t xml:space="preserve">ranging from 300 to 9,000 penalty units. </w:t>
      </w:r>
      <w:r w:rsidR="003E654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highest </w:t>
      </w:r>
      <w:r w:rsidR="003E6541">
        <w:rPr>
          <w:rFonts w:ascii="Times New Roman" w:hAnsi="Times New Roman" w:cs="Times New Roman"/>
          <w:color w:val="000000" w:themeColor="text1"/>
          <w:sz w:val="24"/>
          <w:szCs w:val="24"/>
        </w:rPr>
        <w:t xml:space="preserve">penalties of 3,000, 6,000 and 9,000 penalty units relate to failures to </w:t>
      </w:r>
      <w:r w:rsidR="00614B3B">
        <w:rPr>
          <w:rFonts w:ascii="Times New Roman" w:hAnsi="Times New Roman" w:cs="Times New Roman"/>
          <w:color w:val="000000" w:themeColor="text1"/>
          <w:sz w:val="24"/>
          <w:szCs w:val="24"/>
        </w:rPr>
        <w:t xml:space="preserve">meet </w:t>
      </w:r>
      <w:r w:rsidR="003E6541">
        <w:rPr>
          <w:rFonts w:ascii="Times New Roman" w:hAnsi="Times New Roman" w:cs="Times New Roman"/>
          <w:color w:val="000000" w:themeColor="text1"/>
          <w:sz w:val="24"/>
          <w:szCs w:val="24"/>
        </w:rPr>
        <w:t xml:space="preserve">USO </w:t>
      </w:r>
      <w:r w:rsidR="00C1213D">
        <w:rPr>
          <w:rFonts w:ascii="Times New Roman" w:hAnsi="Times New Roman" w:cs="Times New Roman"/>
          <w:color w:val="000000" w:themeColor="text1"/>
          <w:sz w:val="24"/>
          <w:szCs w:val="24"/>
        </w:rPr>
        <w:t xml:space="preserve">payphone repair </w:t>
      </w:r>
      <w:r w:rsidR="003E6541">
        <w:rPr>
          <w:rFonts w:ascii="Times New Roman" w:hAnsi="Times New Roman" w:cs="Times New Roman"/>
          <w:color w:val="000000" w:themeColor="text1"/>
          <w:sz w:val="24"/>
          <w:szCs w:val="24"/>
        </w:rPr>
        <w:t xml:space="preserve">and CSG performance benchmarks, with the amount of penalty </w:t>
      </w:r>
      <w:r w:rsidR="00614B3B">
        <w:rPr>
          <w:rFonts w:ascii="Times New Roman" w:hAnsi="Times New Roman" w:cs="Times New Roman"/>
          <w:color w:val="000000" w:themeColor="text1"/>
          <w:sz w:val="24"/>
          <w:szCs w:val="24"/>
        </w:rPr>
        <w:t xml:space="preserve">increasing according </w:t>
      </w:r>
      <w:r w:rsidR="003E6541">
        <w:rPr>
          <w:rFonts w:ascii="Times New Roman" w:hAnsi="Times New Roman" w:cs="Times New Roman"/>
          <w:color w:val="000000" w:themeColor="text1"/>
          <w:sz w:val="24"/>
          <w:szCs w:val="24"/>
        </w:rPr>
        <w:t xml:space="preserve">to a set formula based on </w:t>
      </w:r>
      <w:r w:rsidR="00C1213D">
        <w:rPr>
          <w:rFonts w:ascii="Times New Roman" w:hAnsi="Times New Roman" w:cs="Times New Roman"/>
          <w:color w:val="000000" w:themeColor="text1"/>
          <w:sz w:val="24"/>
          <w:szCs w:val="24"/>
        </w:rPr>
        <w:t xml:space="preserve">the </w:t>
      </w:r>
      <w:r w:rsidR="00614B3B">
        <w:rPr>
          <w:rFonts w:ascii="Times New Roman" w:hAnsi="Times New Roman" w:cs="Times New Roman"/>
          <w:color w:val="000000" w:themeColor="text1"/>
          <w:sz w:val="24"/>
          <w:szCs w:val="24"/>
        </w:rPr>
        <w:t xml:space="preserve">increasing </w:t>
      </w:r>
      <w:r w:rsidR="00C1213D">
        <w:rPr>
          <w:rFonts w:ascii="Times New Roman" w:hAnsi="Times New Roman" w:cs="Times New Roman"/>
          <w:color w:val="000000" w:themeColor="text1"/>
          <w:sz w:val="24"/>
          <w:szCs w:val="24"/>
        </w:rPr>
        <w:t xml:space="preserve">margin </w:t>
      </w:r>
      <w:r w:rsidR="00614B3B">
        <w:rPr>
          <w:rFonts w:ascii="Times New Roman" w:hAnsi="Times New Roman" w:cs="Times New Roman"/>
          <w:color w:val="000000" w:themeColor="text1"/>
          <w:sz w:val="24"/>
          <w:szCs w:val="24"/>
        </w:rPr>
        <w:t xml:space="preserve">by which </w:t>
      </w:r>
      <w:r w:rsidR="00C1213D">
        <w:rPr>
          <w:rFonts w:ascii="Times New Roman" w:hAnsi="Times New Roman" w:cs="Times New Roman"/>
          <w:color w:val="000000" w:themeColor="text1"/>
          <w:sz w:val="24"/>
          <w:szCs w:val="24"/>
        </w:rPr>
        <w:t>a given</w:t>
      </w:r>
      <w:r w:rsidR="003E6541">
        <w:rPr>
          <w:rFonts w:ascii="Times New Roman" w:hAnsi="Times New Roman" w:cs="Times New Roman"/>
          <w:color w:val="000000" w:themeColor="text1"/>
          <w:sz w:val="24"/>
          <w:szCs w:val="24"/>
        </w:rPr>
        <w:t xml:space="preserve"> benchmark is not met. </w:t>
      </w:r>
      <w:r>
        <w:rPr>
          <w:rFonts w:ascii="Times New Roman" w:hAnsi="Times New Roman" w:cs="Times New Roman"/>
          <w:color w:val="000000" w:themeColor="text1"/>
          <w:sz w:val="24"/>
          <w:szCs w:val="24"/>
        </w:rPr>
        <w:t>Based on the current value of a penalty unit ($222), the maximum pecuniary penalty that could apply (9,000 penalty units</w:t>
      </w:r>
      <w:r w:rsidR="003E65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would be $</w:t>
      </w:r>
      <w:r w:rsidRPr="00552E1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552E1F">
        <w:rPr>
          <w:rFonts w:ascii="Times New Roman" w:hAnsi="Times New Roman" w:cs="Times New Roman"/>
          <w:color w:val="000000" w:themeColor="text1"/>
          <w:sz w:val="24"/>
          <w:szCs w:val="24"/>
        </w:rPr>
        <w:t>998</w:t>
      </w:r>
      <w:r>
        <w:rPr>
          <w:rFonts w:ascii="Times New Roman" w:hAnsi="Times New Roman" w:cs="Times New Roman"/>
          <w:color w:val="000000" w:themeColor="text1"/>
          <w:sz w:val="24"/>
          <w:szCs w:val="24"/>
        </w:rPr>
        <w:t>,</w:t>
      </w:r>
      <w:r w:rsidRPr="00552E1F">
        <w:rPr>
          <w:rFonts w:ascii="Times New Roman" w:hAnsi="Times New Roman" w:cs="Times New Roman"/>
          <w:color w:val="000000" w:themeColor="text1"/>
          <w:sz w:val="24"/>
          <w:szCs w:val="24"/>
        </w:rPr>
        <w:t>000</w:t>
      </w:r>
      <w:r w:rsidR="003E6541">
        <w:rPr>
          <w:rFonts w:ascii="Times New Roman" w:hAnsi="Times New Roman" w:cs="Times New Roman"/>
          <w:color w:val="000000" w:themeColor="text1"/>
          <w:sz w:val="24"/>
          <w:szCs w:val="24"/>
        </w:rPr>
        <w:t xml:space="preserve"> (less than one-fifth of the $10 million civil penalty that could be pursued through the courts).</w:t>
      </w:r>
    </w:p>
    <w:p w14:paraId="1A69453C" w14:textId="5391BBFA" w:rsidR="00D85777" w:rsidRPr="004A716A" w:rsidRDefault="00D85777" w:rsidP="00D871FF">
      <w:pPr>
        <w:spacing w:before="0" w:line="240" w:lineRule="auto"/>
        <w:rPr>
          <w:rFonts w:ascii="Times New Roman" w:hAnsi="Times New Roman" w:cs="Times New Roman"/>
          <w:color w:val="000000" w:themeColor="text1"/>
          <w:sz w:val="16"/>
          <w:szCs w:val="16"/>
        </w:rPr>
      </w:pPr>
    </w:p>
    <w:p w14:paraId="18E553F8" w14:textId="398B6208" w:rsidR="00D85777" w:rsidRPr="00580285" w:rsidRDefault="00D85777" w:rsidP="004A716A">
      <w:pPr>
        <w:spacing w:before="0" w:line="240" w:lineRule="auto"/>
        <w:ind w:right="-330"/>
        <w:rPr>
          <w:rFonts w:ascii="Times New Roman" w:hAnsi="Times New Roman" w:cs="Times New Roman"/>
          <w:color w:val="000000" w:themeColor="text1"/>
          <w:sz w:val="24"/>
          <w:szCs w:val="24"/>
        </w:rPr>
      </w:pPr>
      <w:r>
        <w:rPr>
          <w:rFonts w:ascii="Times New Roman" w:hAnsi="Times New Roman" w:cs="Times New Roman"/>
          <w:sz w:val="24"/>
          <w:szCs w:val="24"/>
        </w:rPr>
        <w:t>While payphones and the CSG, which applies to fixed voice services, are playing less of a practical role in the contemporary telecommunications environment with the take-up of mobiles and broadband, they still provide basic communications services for many users. For example, Telstra has over three million fixed voice</w:t>
      </w:r>
      <w:r w:rsidR="004A4997">
        <w:rPr>
          <w:rFonts w:ascii="Times New Roman" w:hAnsi="Times New Roman" w:cs="Times New Roman"/>
          <w:sz w:val="24"/>
          <w:szCs w:val="24"/>
        </w:rPr>
        <w:t xml:space="preserve"> services</w:t>
      </w:r>
      <w:r>
        <w:rPr>
          <w:rFonts w:ascii="Times New Roman" w:hAnsi="Times New Roman" w:cs="Times New Roman"/>
          <w:sz w:val="24"/>
          <w:szCs w:val="24"/>
        </w:rPr>
        <w:t xml:space="preserve"> subject to the CSG and it operates around 14,700 payphones</w:t>
      </w:r>
      <w:r w:rsidR="0050386F">
        <w:rPr>
          <w:rFonts w:ascii="Times New Roman" w:hAnsi="Times New Roman" w:cs="Times New Roman"/>
          <w:sz w:val="24"/>
          <w:szCs w:val="24"/>
        </w:rPr>
        <w:t xml:space="preserve"> nationally</w:t>
      </w:r>
      <w:r>
        <w:rPr>
          <w:rFonts w:ascii="Times New Roman" w:hAnsi="Times New Roman" w:cs="Times New Roman"/>
          <w:sz w:val="24"/>
          <w:szCs w:val="24"/>
        </w:rPr>
        <w:t>, used to make tens of thousands of calls per day</w:t>
      </w:r>
      <w:r w:rsidR="004A4997">
        <w:rPr>
          <w:rFonts w:ascii="Times New Roman" w:hAnsi="Times New Roman" w:cs="Times New Roman"/>
          <w:sz w:val="24"/>
          <w:szCs w:val="24"/>
        </w:rPr>
        <w:t>, including calls to the emergency call service</w:t>
      </w:r>
      <w:r>
        <w:rPr>
          <w:rFonts w:ascii="Times New Roman" w:hAnsi="Times New Roman" w:cs="Times New Roman"/>
          <w:sz w:val="24"/>
          <w:szCs w:val="24"/>
        </w:rPr>
        <w:t xml:space="preserve">. Telstra receives significant public funding to provide payphones and the fixed voice services to which the CSG applies under the Telstra Universal Service Obligation Performance Agreement (TUSOPA). </w:t>
      </w:r>
      <w:r w:rsidR="00CD3FB1">
        <w:rPr>
          <w:rFonts w:ascii="Times New Roman" w:hAnsi="Times New Roman" w:cs="Times New Roman"/>
          <w:sz w:val="24"/>
          <w:szCs w:val="24"/>
        </w:rPr>
        <w:t>M</w:t>
      </w:r>
      <w:r>
        <w:rPr>
          <w:rFonts w:ascii="Times New Roman" w:hAnsi="Times New Roman" w:cs="Times New Roman"/>
          <w:sz w:val="24"/>
          <w:szCs w:val="24"/>
        </w:rPr>
        <w:t xml:space="preserve">eeting </w:t>
      </w:r>
      <w:r w:rsidR="00CD3FB1">
        <w:rPr>
          <w:rFonts w:ascii="Times New Roman" w:hAnsi="Times New Roman" w:cs="Times New Roman"/>
          <w:sz w:val="24"/>
          <w:szCs w:val="24"/>
        </w:rPr>
        <w:t>the</w:t>
      </w:r>
      <w:r>
        <w:rPr>
          <w:rFonts w:ascii="Times New Roman" w:hAnsi="Times New Roman" w:cs="Times New Roman"/>
          <w:sz w:val="24"/>
          <w:szCs w:val="24"/>
        </w:rPr>
        <w:t xml:space="preserve"> payphone and CSG </w:t>
      </w:r>
      <w:r w:rsidR="00A60464">
        <w:rPr>
          <w:rFonts w:ascii="Times New Roman" w:hAnsi="Times New Roman" w:cs="Times New Roman"/>
          <w:sz w:val="24"/>
          <w:szCs w:val="24"/>
        </w:rPr>
        <w:t>benchmarks</w:t>
      </w:r>
      <w:r>
        <w:rPr>
          <w:rFonts w:ascii="Times New Roman" w:hAnsi="Times New Roman" w:cs="Times New Roman"/>
          <w:sz w:val="24"/>
          <w:szCs w:val="24"/>
        </w:rPr>
        <w:t xml:space="preserve">, which are set out in the </w:t>
      </w:r>
      <w:r w:rsidR="00A60464" w:rsidRPr="004A716A">
        <w:rPr>
          <w:rFonts w:ascii="Times New Roman" w:hAnsi="Times New Roman" w:cs="Times New Roman"/>
          <w:i/>
          <w:sz w:val="24"/>
          <w:szCs w:val="24"/>
        </w:rPr>
        <w:t>Telecommunications (Payphones) Determination 2022</w:t>
      </w:r>
      <w:r w:rsidR="00A60464">
        <w:rPr>
          <w:rFonts w:ascii="Times New Roman" w:hAnsi="Times New Roman" w:cs="Times New Roman"/>
          <w:sz w:val="24"/>
          <w:szCs w:val="24"/>
        </w:rPr>
        <w:t xml:space="preserve"> and </w:t>
      </w:r>
      <w:r w:rsidR="000B124B">
        <w:rPr>
          <w:rFonts w:ascii="Times New Roman" w:hAnsi="Times New Roman" w:cs="Times New Roman"/>
          <w:sz w:val="24"/>
          <w:szCs w:val="24"/>
        </w:rPr>
        <w:t xml:space="preserve">the </w:t>
      </w:r>
      <w:r w:rsidR="000B124B" w:rsidRPr="004A716A">
        <w:rPr>
          <w:rFonts w:ascii="Times New Roman" w:hAnsi="Times New Roman" w:cs="Times New Roman"/>
          <w:i/>
          <w:sz w:val="24"/>
          <w:szCs w:val="24"/>
        </w:rPr>
        <w:t>Telecommunications (Customer Service Guarantee – Retail Performance Benchmarks) Instrument (No. 1) 2011</w:t>
      </w:r>
      <w:r w:rsidR="000B124B">
        <w:rPr>
          <w:rFonts w:ascii="Times New Roman" w:hAnsi="Times New Roman" w:cs="Times New Roman"/>
          <w:sz w:val="24"/>
          <w:szCs w:val="24"/>
        </w:rPr>
        <w:t xml:space="preserve"> respectively</w:t>
      </w:r>
      <w:r w:rsidR="004A4997">
        <w:rPr>
          <w:rFonts w:ascii="Times New Roman" w:hAnsi="Times New Roman" w:cs="Times New Roman"/>
          <w:sz w:val="24"/>
          <w:szCs w:val="24"/>
        </w:rPr>
        <w:t>, are an important part of the TUSOPA</w:t>
      </w:r>
      <w:r w:rsidR="000B124B">
        <w:rPr>
          <w:rFonts w:ascii="Times New Roman" w:hAnsi="Times New Roman" w:cs="Times New Roman"/>
          <w:sz w:val="24"/>
          <w:szCs w:val="24"/>
        </w:rPr>
        <w:t>.</w:t>
      </w:r>
      <w:r>
        <w:rPr>
          <w:rFonts w:ascii="Times New Roman" w:hAnsi="Times New Roman" w:cs="Times New Roman"/>
          <w:sz w:val="24"/>
          <w:szCs w:val="24"/>
        </w:rPr>
        <w:t xml:space="preserve">   </w:t>
      </w:r>
    </w:p>
    <w:p w14:paraId="0CD1A222" w14:textId="77777777" w:rsidR="007B785C" w:rsidRPr="004A716A" w:rsidRDefault="007B785C" w:rsidP="00D871FF">
      <w:pPr>
        <w:spacing w:before="0" w:line="240" w:lineRule="auto"/>
        <w:rPr>
          <w:rFonts w:ascii="Times New Roman" w:hAnsi="Times New Roman" w:cs="Times New Roman"/>
          <w:color w:val="000000" w:themeColor="text1"/>
          <w:sz w:val="16"/>
          <w:szCs w:val="16"/>
        </w:rPr>
      </w:pPr>
    </w:p>
    <w:p w14:paraId="37572BA3" w14:textId="333CA83F" w:rsidR="000B124B" w:rsidRDefault="007B1E95" w:rsidP="007B1E95">
      <w:pPr>
        <w:spacing w:before="0" w:line="240" w:lineRule="auto"/>
        <w:rPr>
          <w:rFonts w:ascii="Times New Roman" w:hAnsi="Times New Roman" w:cs="Times New Roman"/>
          <w:bCs/>
          <w:sz w:val="24"/>
          <w:szCs w:val="24"/>
        </w:rPr>
      </w:pPr>
      <w:r w:rsidRPr="00580285">
        <w:rPr>
          <w:rFonts w:ascii="Times New Roman" w:hAnsi="Times New Roman" w:cs="Times New Roman"/>
          <w:color w:val="000000" w:themeColor="text1"/>
          <w:sz w:val="24"/>
          <w:szCs w:val="24"/>
        </w:rPr>
        <w:t xml:space="preserve">The 2012 Determination </w:t>
      </w:r>
      <w:r w:rsidR="003E6541">
        <w:rPr>
          <w:rFonts w:ascii="Times New Roman" w:hAnsi="Times New Roman" w:cs="Times New Roman"/>
          <w:color w:val="000000" w:themeColor="text1"/>
          <w:sz w:val="24"/>
          <w:szCs w:val="24"/>
        </w:rPr>
        <w:t xml:space="preserve">also </w:t>
      </w:r>
      <w:r w:rsidRPr="00580285">
        <w:rPr>
          <w:rFonts w:ascii="Times New Roman" w:hAnsi="Times New Roman" w:cs="Times New Roman"/>
          <w:color w:val="000000" w:themeColor="text1"/>
          <w:sz w:val="24"/>
          <w:szCs w:val="24"/>
        </w:rPr>
        <w:t xml:space="preserve">set out </w:t>
      </w:r>
      <w:r w:rsidR="00086129">
        <w:rPr>
          <w:rFonts w:ascii="Times New Roman" w:hAnsi="Times New Roman" w:cs="Times New Roman"/>
          <w:color w:val="000000" w:themeColor="text1"/>
          <w:sz w:val="24"/>
          <w:szCs w:val="24"/>
        </w:rPr>
        <w:t xml:space="preserve">higher </w:t>
      </w:r>
      <w:r w:rsidR="003E6541">
        <w:rPr>
          <w:rFonts w:ascii="Times New Roman" w:hAnsi="Times New Roman" w:cs="Times New Roman"/>
          <w:color w:val="000000" w:themeColor="text1"/>
          <w:sz w:val="24"/>
          <w:szCs w:val="24"/>
        </w:rPr>
        <w:t>pecuniary penalties</w:t>
      </w:r>
      <w:r w:rsidRPr="00580285">
        <w:rPr>
          <w:rFonts w:ascii="Times New Roman" w:hAnsi="Times New Roman" w:cs="Times New Roman"/>
          <w:color w:val="000000" w:themeColor="text1"/>
          <w:sz w:val="24"/>
          <w:szCs w:val="24"/>
        </w:rPr>
        <w:t xml:space="preserve"> in relation to the </w:t>
      </w:r>
      <w:r w:rsidRPr="00580285">
        <w:rPr>
          <w:rFonts w:ascii="Times New Roman" w:hAnsi="Times New Roman" w:cs="Times New Roman"/>
          <w:i/>
          <w:color w:val="000000" w:themeColor="text1"/>
          <w:sz w:val="24"/>
          <w:szCs w:val="24"/>
        </w:rPr>
        <w:t>Telecommunications Service Provider (Mobile Premium Services) Determination 2010 (No</w:t>
      </w:r>
      <w:r w:rsidR="00AC1FB2" w:rsidRPr="00580285">
        <w:rPr>
          <w:rFonts w:ascii="Times New Roman" w:hAnsi="Times New Roman" w:cs="Times New Roman"/>
          <w:i/>
          <w:color w:val="000000" w:themeColor="text1"/>
          <w:sz w:val="24"/>
          <w:szCs w:val="24"/>
        </w:rPr>
        <w:t>.</w:t>
      </w:r>
      <w:r w:rsidR="00AC1FB2">
        <w:rPr>
          <w:rFonts w:ascii="Times New Roman" w:hAnsi="Times New Roman" w:cs="Times New Roman"/>
          <w:i/>
          <w:color w:val="000000" w:themeColor="text1"/>
          <w:sz w:val="24"/>
          <w:szCs w:val="24"/>
        </w:rPr>
        <w:t> </w:t>
      </w:r>
      <w:r w:rsidRPr="00580285">
        <w:rPr>
          <w:rFonts w:ascii="Times New Roman" w:hAnsi="Times New Roman" w:cs="Times New Roman"/>
          <w:i/>
          <w:color w:val="000000" w:themeColor="text1"/>
          <w:sz w:val="24"/>
          <w:szCs w:val="24"/>
        </w:rPr>
        <w:t xml:space="preserve">1) </w:t>
      </w:r>
      <w:r w:rsidRPr="00580285">
        <w:rPr>
          <w:rFonts w:ascii="Times New Roman" w:hAnsi="Times New Roman" w:cs="Times New Roman"/>
          <w:color w:val="000000" w:themeColor="text1"/>
          <w:sz w:val="24"/>
          <w:szCs w:val="24"/>
        </w:rPr>
        <w:t xml:space="preserve">and </w:t>
      </w:r>
      <w:r w:rsidRPr="00580285">
        <w:rPr>
          <w:rFonts w:ascii="Times New Roman" w:hAnsi="Times New Roman" w:cs="Times New Roman"/>
          <w:bCs/>
          <w:sz w:val="24"/>
          <w:szCs w:val="24"/>
        </w:rPr>
        <w:t xml:space="preserve">the </w:t>
      </w:r>
      <w:r w:rsidRPr="00580285">
        <w:rPr>
          <w:rFonts w:ascii="Times New Roman" w:hAnsi="Times New Roman" w:cs="Times New Roman"/>
          <w:bCs/>
          <w:i/>
          <w:sz w:val="24"/>
          <w:szCs w:val="24"/>
        </w:rPr>
        <w:t>Telecommunications Service Provider (Mobile Premium Services) Determination 2010 (No. 2)</w:t>
      </w:r>
      <w:r w:rsidRPr="00580285">
        <w:rPr>
          <w:rFonts w:ascii="Times New Roman" w:hAnsi="Times New Roman" w:cs="Times New Roman"/>
          <w:bCs/>
          <w:sz w:val="24"/>
          <w:szCs w:val="24"/>
        </w:rPr>
        <w:t xml:space="preserve">. </w:t>
      </w:r>
      <w:r w:rsidR="005B2D89">
        <w:rPr>
          <w:rFonts w:ascii="Times New Roman" w:hAnsi="Times New Roman" w:cs="Times New Roman"/>
          <w:bCs/>
          <w:sz w:val="24"/>
          <w:szCs w:val="24"/>
        </w:rPr>
        <w:t>However, f</w:t>
      </w:r>
      <w:r w:rsidRPr="00580285">
        <w:rPr>
          <w:rFonts w:ascii="Times New Roman" w:hAnsi="Times New Roman" w:cs="Times New Roman"/>
          <w:bCs/>
          <w:sz w:val="24"/>
          <w:szCs w:val="24"/>
        </w:rPr>
        <w:t>ollowing a review by the ACMA</w:t>
      </w:r>
      <w:r w:rsidRPr="00580285">
        <w:rPr>
          <w:rStyle w:val="FootnoteReference"/>
          <w:rFonts w:ascii="Times New Roman" w:hAnsi="Times New Roman" w:cs="Times New Roman"/>
          <w:bCs/>
          <w:sz w:val="24"/>
          <w:szCs w:val="24"/>
        </w:rPr>
        <w:footnoteReference w:id="1"/>
      </w:r>
      <w:r w:rsidRPr="00580285">
        <w:rPr>
          <w:rFonts w:ascii="Times New Roman" w:hAnsi="Times New Roman" w:cs="Times New Roman"/>
          <w:bCs/>
          <w:sz w:val="24"/>
          <w:szCs w:val="24"/>
        </w:rPr>
        <w:t>, those two instruments sunset, or ceased, on 1 April 2021.</w:t>
      </w:r>
    </w:p>
    <w:p w14:paraId="64956A45" w14:textId="77777777" w:rsidR="000B124B" w:rsidRPr="004A716A" w:rsidRDefault="000B124B" w:rsidP="007B1E95">
      <w:pPr>
        <w:spacing w:before="0" w:line="240" w:lineRule="auto"/>
        <w:rPr>
          <w:rFonts w:ascii="Times New Roman" w:hAnsi="Times New Roman" w:cs="Times New Roman"/>
          <w:bCs/>
          <w:sz w:val="16"/>
          <w:szCs w:val="16"/>
        </w:rPr>
      </w:pPr>
    </w:p>
    <w:p w14:paraId="47CEC095" w14:textId="1E692E86" w:rsidR="000B124B" w:rsidRDefault="00C43FB8" w:rsidP="000B124B">
      <w:pPr>
        <w:spacing w:before="0" w:line="240"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t>Consultation</w:t>
      </w:r>
    </w:p>
    <w:p w14:paraId="76C17D7C" w14:textId="77777777" w:rsidR="000B124B" w:rsidRPr="00580285" w:rsidRDefault="000B124B" w:rsidP="004A716A">
      <w:pPr>
        <w:spacing w:before="0" w:line="240" w:lineRule="auto"/>
        <w:rPr>
          <w:rFonts w:ascii="Times New Roman" w:eastAsia="Times New Roman" w:hAnsi="Times New Roman" w:cs="Times New Roman"/>
          <w:sz w:val="24"/>
          <w:szCs w:val="24"/>
          <w:u w:val="single"/>
          <w:lang w:eastAsia="en-AU"/>
        </w:rPr>
      </w:pPr>
    </w:p>
    <w:p w14:paraId="4D98A02D" w14:textId="2BCEB3B5" w:rsidR="000B124B" w:rsidRDefault="00E54D3D" w:rsidP="000B124B">
      <w:pPr>
        <w:spacing w:before="0" w:line="240" w:lineRule="auto"/>
        <w:rPr>
          <w:rFonts w:ascii="Times New Roman" w:hAnsi="Times New Roman"/>
          <w:bCs/>
          <w:sz w:val="24"/>
          <w:szCs w:val="24"/>
        </w:rPr>
      </w:pPr>
      <w:r w:rsidRPr="005B2D89">
        <w:rPr>
          <w:rFonts w:ascii="Times New Roman" w:hAnsi="Times New Roman"/>
          <w:bCs/>
          <w:sz w:val="24"/>
          <w:szCs w:val="24"/>
          <w:highlight w:val="lightGray"/>
        </w:rPr>
        <w:t>Note: This section will be finalised subject to stakeholder views</w:t>
      </w:r>
      <w:r w:rsidR="007B1E95" w:rsidRPr="005B2D89">
        <w:rPr>
          <w:rFonts w:ascii="Times New Roman" w:hAnsi="Times New Roman"/>
          <w:bCs/>
          <w:sz w:val="24"/>
          <w:szCs w:val="24"/>
          <w:highlight w:val="lightGray"/>
        </w:rPr>
        <w:t>.</w:t>
      </w:r>
      <w:r w:rsidRPr="00580285">
        <w:rPr>
          <w:rFonts w:ascii="Times New Roman" w:hAnsi="Times New Roman"/>
          <w:bCs/>
          <w:sz w:val="24"/>
          <w:szCs w:val="24"/>
        </w:rPr>
        <w:t xml:space="preserve"> </w:t>
      </w:r>
    </w:p>
    <w:p w14:paraId="582A5368" w14:textId="77777777" w:rsidR="000B124B" w:rsidRPr="004A716A" w:rsidRDefault="000B124B" w:rsidP="004A716A">
      <w:pPr>
        <w:spacing w:before="0" w:line="240" w:lineRule="auto"/>
        <w:rPr>
          <w:rFonts w:ascii="Times New Roman" w:hAnsi="Times New Roman"/>
          <w:bCs/>
          <w:sz w:val="16"/>
          <w:szCs w:val="16"/>
        </w:rPr>
      </w:pPr>
    </w:p>
    <w:p w14:paraId="2B227E38" w14:textId="1A782E47" w:rsidR="000B124B" w:rsidRDefault="00C07036" w:rsidP="000B124B">
      <w:pPr>
        <w:spacing w:before="0" w:line="240"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t>Regulatory impact</w:t>
      </w:r>
    </w:p>
    <w:p w14:paraId="6F4E39ED" w14:textId="77777777" w:rsidR="000B124B" w:rsidRPr="00580285" w:rsidRDefault="000B124B" w:rsidP="004A716A">
      <w:pPr>
        <w:spacing w:before="0" w:line="240" w:lineRule="auto"/>
        <w:rPr>
          <w:rFonts w:ascii="Times New Roman" w:eastAsia="Times New Roman" w:hAnsi="Times New Roman" w:cs="Times New Roman"/>
          <w:sz w:val="24"/>
          <w:szCs w:val="24"/>
          <w:u w:val="single"/>
          <w:lang w:eastAsia="en-AU"/>
        </w:rPr>
      </w:pPr>
    </w:p>
    <w:p w14:paraId="0448BF77" w14:textId="3B1F8039" w:rsidR="000B124B" w:rsidRDefault="00E54D3D" w:rsidP="000B124B">
      <w:pPr>
        <w:spacing w:before="0" w:line="240" w:lineRule="auto"/>
        <w:rPr>
          <w:rFonts w:ascii="Times New Roman" w:hAnsi="Times New Roman"/>
          <w:sz w:val="24"/>
          <w:szCs w:val="24"/>
        </w:rPr>
      </w:pPr>
      <w:r w:rsidRPr="005B2D89">
        <w:rPr>
          <w:rFonts w:ascii="Times New Roman" w:hAnsi="Times New Roman"/>
          <w:sz w:val="24"/>
          <w:szCs w:val="24"/>
          <w:highlight w:val="lightGray"/>
        </w:rPr>
        <w:t>Note: The need for a regulatory impact statement will be confirmed with the Office of Best Practice Regulation (OBPR) following stakeholder consultation and before any final determination is made.</w:t>
      </w:r>
      <w:r w:rsidRPr="00580285">
        <w:rPr>
          <w:rFonts w:ascii="Times New Roman" w:hAnsi="Times New Roman"/>
          <w:sz w:val="24"/>
          <w:szCs w:val="24"/>
        </w:rPr>
        <w:t xml:space="preserve"> </w:t>
      </w:r>
    </w:p>
    <w:p w14:paraId="39603132" w14:textId="77777777" w:rsidR="000B124B" w:rsidRPr="004A716A" w:rsidRDefault="000B124B" w:rsidP="000B124B">
      <w:pPr>
        <w:spacing w:before="0" w:line="240" w:lineRule="auto"/>
        <w:rPr>
          <w:rFonts w:ascii="Times New Roman" w:hAnsi="Times New Roman"/>
          <w:bCs/>
          <w:sz w:val="16"/>
          <w:szCs w:val="16"/>
          <w:u w:val="single"/>
        </w:rPr>
      </w:pPr>
    </w:p>
    <w:p w14:paraId="34D518E6" w14:textId="77777777" w:rsidR="000B124B" w:rsidRPr="004A716A" w:rsidRDefault="00E54D3D" w:rsidP="000B124B">
      <w:pPr>
        <w:spacing w:before="0" w:line="240" w:lineRule="auto"/>
        <w:rPr>
          <w:rFonts w:ascii="Times New Roman" w:hAnsi="Times New Roman"/>
          <w:sz w:val="16"/>
          <w:szCs w:val="16"/>
        </w:rPr>
      </w:pPr>
      <w:r w:rsidRPr="00580285">
        <w:rPr>
          <w:rFonts w:ascii="Times New Roman" w:hAnsi="Times New Roman"/>
          <w:bCs/>
          <w:sz w:val="24"/>
          <w:szCs w:val="24"/>
          <w:u w:val="single"/>
        </w:rPr>
        <w:t>Statement of compatibility with human rights</w:t>
      </w:r>
      <w:r w:rsidRPr="00580285">
        <w:rPr>
          <w:rFonts w:ascii="Times New Roman" w:hAnsi="Times New Roman"/>
          <w:bCs/>
          <w:sz w:val="24"/>
          <w:szCs w:val="24"/>
          <w:u w:val="single"/>
        </w:rPr>
        <w:br/>
      </w:r>
    </w:p>
    <w:p w14:paraId="537C0175" w14:textId="00D81187" w:rsidR="00EF0E0F" w:rsidRPr="00580285" w:rsidRDefault="00E54D3D" w:rsidP="001C253E">
      <w:pPr>
        <w:spacing w:before="0" w:line="240" w:lineRule="auto"/>
        <w:rPr>
          <w:rFonts w:ascii="Times New Roman" w:hAnsi="Times New Roman" w:cs="Times New Roman"/>
          <w:b/>
          <w:color w:val="000000" w:themeColor="text1"/>
          <w:sz w:val="24"/>
          <w:szCs w:val="24"/>
        </w:rPr>
      </w:pPr>
      <w:r w:rsidRPr="00580285">
        <w:rPr>
          <w:rFonts w:ascii="Times New Roman" w:hAnsi="Times New Roman"/>
          <w:sz w:val="24"/>
          <w:szCs w:val="24"/>
        </w:rPr>
        <w:t xml:space="preserve">A statement of compatibility with human rights for the purposes of Part 3 of the </w:t>
      </w:r>
      <w:r w:rsidRPr="00580285">
        <w:rPr>
          <w:rFonts w:ascii="Times New Roman" w:hAnsi="Times New Roman"/>
          <w:i/>
          <w:sz w:val="24"/>
          <w:szCs w:val="24"/>
        </w:rPr>
        <w:t xml:space="preserve">Human Rights (Parliamentary Scrutiny) Act 2011 </w:t>
      </w:r>
      <w:r w:rsidRPr="00580285">
        <w:rPr>
          <w:rFonts w:ascii="Times New Roman" w:hAnsi="Times New Roman"/>
          <w:sz w:val="24"/>
          <w:szCs w:val="24"/>
        </w:rPr>
        <w:t xml:space="preserve">is set out at </w:t>
      </w:r>
      <w:r w:rsidRPr="00580285">
        <w:rPr>
          <w:rFonts w:ascii="Times New Roman" w:hAnsi="Times New Roman"/>
          <w:sz w:val="24"/>
          <w:szCs w:val="24"/>
          <w:u w:val="single"/>
        </w:rPr>
        <w:t>Attachment B</w:t>
      </w:r>
      <w:r w:rsidRPr="00580285">
        <w:rPr>
          <w:rFonts w:ascii="Times New Roman" w:hAnsi="Times New Roman"/>
          <w:sz w:val="24"/>
          <w:szCs w:val="24"/>
        </w:rPr>
        <w:t>.</w:t>
      </w:r>
    </w:p>
    <w:p w14:paraId="0ECA7F71" w14:textId="221E6978" w:rsidR="00E50290" w:rsidRPr="00580285" w:rsidRDefault="00F62942" w:rsidP="004A716A">
      <w:pPr>
        <w:spacing w:before="0" w:after="200" w:line="276" w:lineRule="auto"/>
        <w:jc w:val="right"/>
        <w:rPr>
          <w:rFonts w:ascii="Times New Roman" w:eastAsia="Times New Roman" w:hAnsi="Times New Roman" w:cs="Times New Roman"/>
          <w:b/>
          <w:sz w:val="28"/>
          <w:szCs w:val="28"/>
          <w:lang w:eastAsia="en-AU"/>
        </w:rPr>
      </w:pPr>
      <w:r w:rsidRPr="00580285">
        <w:rPr>
          <w:rFonts w:ascii="Times New Roman" w:hAnsi="Times New Roman" w:cs="Times New Roman"/>
          <w:b/>
          <w:color w:val="000000" w:themeColor="text1"/>
          <w:sz w:val="24"/>
          <w:szCs w:val="24"/>
        </w:rPr>
        <w:br w:type="page"/>
      </w:r>
      <w:r w:rsidR="00E50290" w:rsidRPr="00580285">
        <w:rPr>
          <w:rFonts w:ascii="Times New Roman" w:eastAsia="Times New Roman" w:hAnsi="Times New Roman" w:cs="Times New Roman"/>
          <w:b/>
          <w:sz w:val="28"/>
          <w:szCs w:val="28"/>
          <w:lang w:eastAsia="en-AU"/>
        </w:rPr>
        <w:lastRenderedPageBreak/>
        <w:t>Attachment A</w:t>
      </w:r>
    </w:p>
    <w:p w14:paraId="0987C694" w14:textId="4351937B" w:rsidR="00E50290" w:rsidRPr="00580285" w:rsidRDefault="00E50290" w:rsidP="00E54D3D">
      <w:pPr>
        <w:pStyle w:val="ShortT"/>
        <w:rPr>
          <w:i/>
          <w:sz w:val="28"/>
          <w:szCs w:val="28"/>
          <w:u w:val="single"/>
        </w:rPr>
      </w:pPr>
      <w:r w:rsidRPr="00580285">
        <w:rPr>
          <w:i/>
          <w:sz w:val="28"/>
          <w:szCs w:val="28"/>
          <w:u w:val="single"/>
        </w:rPr>
        <w:t>Details of the Telecommunications (Infringement Notice Penalties) Determination 2022</w:t>
      </w:r>
    </w:p>
    <w:p w14:paraId="69CAD859" w14:textId="16A17F25" w:rsidR="00E54D3D" w:rsidRPr="00580285" w:rsidRDefault="00E54D3D" w:rsidP="00E54D3D">
      <w:pPr>
        <w:shd w:val="clear" w:color="auto" w:fill="FFFFFF"/>
        <w:spacing w:before="400" w:after="120" w:line="299" w:lineRule="atLeast"/>
        <w:ind w:left="360" w:hanging="360"/>
        <w:rPr>
          <w:rFonts w:ascii="Times" w:hAnsi="Times" w:cs="Times"/>
          <w:b/>
          <w:bCs/>
          <w:color w:val="000000"/>
          <w:sz w:val="26"/>
          <w:szCs w:val="26"/>
        </w:rPr>
      </w:pPr>
      <w:r w:rsidRPr="00580285">
        <w:rPr>
          <w:rFonts w:ascii="Times New Roman" w:hAnsi="Times New Roman"/>
          <w:b/>
          <w:bCs/>
          <w:color w:val="000000"/>
        </w:rPr>
        <w:t>1</w:t>
      </w:r>
      <w:r w:rsidRPr="00580285">
        <w:rPr>
          <w:rFonts w:ascii="Times New Roman" w:hAnsi="Times New Roman"/>
          <w:b/>
          <w:bCs/>
          <w:color w:val="000000"/>
          <w:sz w:val="14"/>
          <w:szCs w:val="14"/>
        </w:rPr>
        <w:t>        </w:t>
      </w:r>
      <w:r w:rsidRPr="00580285">
        <w:rPr>
          <w:rFonts w:ascii="Times New Roman" w:hAnsi="Times New Roman"/>
          <w:b/>
          <w:bCs/>
          <w:color w:val="000000"/>
        </w:rPr>
        <w:t>Name</w:t>
      </w:r>
    </w:p>
    <w:p w14:paraId="31C393E1" w14:textId="6FB2EFAA" w:rsidR="00AB4684" w:rsidRPr="00580285" w:rsidRDefault="00E54D3D" w:rsidP="00CC5F6C">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w:t>
      </w:r>
      <w:r w:rsidR="00CC5F6C" w:rsidRPr="00580285">
        <w:rPr>
          <w:rFonts w:ascii="Times New Roman" w:hAnsi="Times New Roman" w:cs="Times New Roman"/>
          <w:color w:val="000000" w:themeColor="text1"/>
          <w:sz w:val="24"/>
          <w:szCs w:val="24"/>
        </w:rPr>
        <w:t>he name</w:t>
      </w:r>
      <w:r w:rsidR="009C7562" w:rsidRPr="00580285">
        <w:rPr>
          <w:rFonts w:ascii="Times New Roman" w:hAnsi="Times New Roman" w:cs="Times New Roman"/>
          <w:color w:val="000000" w:themeColor="text1"/>
          <w:sz w:val="24"/>
          <w:szCs w:val="24"/>
        </w:rPr>
        <w:t xml:space="preserve"> </w:t>
      </w:r>
      <w:r w:rsidR="00AB4684" w:rsidRPr="00580285">
        <w:rPr>
          <w:rFonts w:ascii="Times New Roman" w:hAnsi="Times New Roman" w:cs="Times New Roman"/>
          <w:color w:val="000000" w:themeColor="text1"/>
          <w:sz w:val="24"/>
          <w:szCs w:val="24"/>
        </w:rPr>
        <w:t xml:space="preserve">of the Determination is the </w:t>
      </w:r>
      <w:r w:rsidR="00AB4684" w:rsidRPr="00580285">
        <w:rPr>
          <w:rFonts w:ascii="Times New Roman" w:hAnsi="Times New Roman" w:cs="Times New Roman"/>
          <w:i/>
          <w:color w:val="000000" w:themeColor="text1"/>
          <w:sz w:val="24"/>
          <w:szCs w:val="24"/>
        </w:rPr>
        <w:t xml:space="preserve">Telecommunications (Infringement Notice Penalties) Determination </w:t>
      </w:r>
      <w:r w:rsidR="001F0B2D" w:rsidRPr="00580285">
        <w:rPr>
          <w:rFonts w:ascii="Times New Roman" w:hAnsi="Times New Roman" w:cs="Times New Roman"/>
          <w:i/>
          <w:color w:val="000000" w:themeColor="text1"/>
          <w:sz w:val="24"/>
          <w:szCs w:val="24"/>
        </w:rPr>
        <w:t>20</w:t>
      </w:r>
      <w:r w:rsidR="00E50290" w:rsidRPr="00580285">
        <w:rPr>
          <w:rFonts w:ascii="Times New Roman" w:hAnsi="Times New Roman" w:cs="Times New Roman"/>
          <w:i/>
          <w:color w:val="000000" w:themeColor="text1"/>
          <w:sz w:val="24"/>
          <w:szCs w:val="24"/>
        </w:rPr>
        <w:t>2</w:t>
      </w:r>
      <w:r w:rsidR="001F0B2D" w:rsidRPr="00580285">
        <w:rPr>
          <w:rFonts w:ascii="Times New Roman" w:hAnsi="Times New Roman" w:cs="Times New Roman"/>
          <w:i/>
          <w:color w:val="000000" w:themeColor="text1"/>
          <w:sz w:val="24"/>
          <w:szCs w:val="24"/>
        </w:rPr>
        <w:t>2</w:t>
      </w:r>
      <w:r w:rsidR="00AB4684" w:rsidRPr="00580285">
        <w:rPr>
          <w:rFonts w:ascii="Times New Roman" w:hAnsi="Times New Roman" w:cs="Times New Roman"/>
          <w:i/>
          <w:color w:val="000000" w:themeColor="text1"/>
          <w:sz w:val="24"/>
          <w:szCs w:val="24"/>
        </w:rPr>
        <w:t>.</w:t>
      </w:r>
    </w:p>
    <w:p w14:paraId="4226E26C" w14:textId="77777777"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2</w:t>
      </w:r>
      <w:r w:rsidRPr="00580285">
        <w:rPr>
          <w:rFonts w:ascii="Times New Roman" w:hAnsi="Times New Roman"/>
          <w:b/>
          <w:bCs/>
          <w:color w:val="000000"/>
          <w:sz w:val="14"/>
          <w:szCs w:val="14"/>
        </w:rPr>
        <w:t>        </w:t>
      </w:r>
      <w:r w:rsidRPr="00580285">
        <w:rPr>
          <w:rFonts w:ascii="Times New Roman" w:hAnsi="Times New Roman"/>
          <w:b/>
          <w:bCs/>
          <w:color w:val="000000"/>
        </w:rPr>
        <w:t>Commencement</w:t>
      </w:r>
    </w:p>
    <w:p w14:paraId="04369F25" w14:textId="060BB052" w:rsidR="00AB4684" w:rsidRPr="00580285" w:rsidRDefault="00E54D3D"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w:t>
      </w:r>
      <w:r w:rsidR="00AB4684" w:rsidRPr="00580285">
        <w:rPr>
          <w:rFonts w:ascii="Times New Roman" w:hAnsi="Times New Roman" w:cs="Times New Roman"/>
          <w:color w:val="000000" w:themeColor="text1"/>
          <w:sz w:val="24"/>
          <w:szCs w:val="24"/>
        </w:rPr>
        <w:t xml:space="preserve">he Determination commences </w:t>
      </w:r>
      <w:r w:rsidR="005735E4" w:rsidRPr="00580285">
        <w:rPr>
          <w:rFonts w:ascii="Times New Roman" w:hAnsi="Times New Roman" w:cs="Times New Roman"/>
          <w:color w:val="000000" w:themeColor="text1"/>
          <w:sz w:val="24"/>
          <w:szCs w:val="24"/>
        </w:rPr>
        <w:t>on the day after it is registered on the Federal Register of Legislative Instruments</w:t>
      </w:r>
      <w:r w:rsidR="00BE49E5" w:rsidRPr="00580285">
        <w:rPr>
          <w:rFonts w:ascii="Times New Roman" w:hAnsi="Times New Roman" w:cs="Times New Roman"/>
          <w:color w:val="000000" w:themeColor="text1"/>
          <w:sz w:val="24"/>
          <w:szCs w:val="24"/>
        </w:rPr>
        <w:t>.</w:t>
      </w:r>
    </w:p>
    <w:p w14:paraId="01B39644" w14:textId="77777777"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3</w:t>
      </w:r>
      <w:r w:rsidRPr="00580285">
        <w:rPr>
          <w:rFonts w:ascii="Times New Roman" w:hAnsi="Times New Roman"/>
          <w:b/>
          <w:bCs/>
          <w:color w:val="000000"/>
          <w:sz w:val="14"/>
          <w:szCs w:val="14"/>
        </w:rPr>
        <w:t>        </w:t>
      </w:r>
      <w:r w:rsidRPr="00580285">
        <w:rPr>
          <w:rFonts w:ascii="Times New Roman" w:hAnsi="Times New Roman"/>
          <w:b/>
          <w:bCs/>
          <w:color w:val="000000"/>
        </w:rPr>
        <w:t>Authority</w:t>
      </w:r>
    </w:p>
    <w:p w14:paraId="00336C12" w14:textId="2BC7E9BC" w:rsidR="00E50290" w:rsidRPr="00580285" w:rsidRDefault="00E54D3D" w:rsidP="004B3952">
      <w:pPr>
        <w:spacing w:before="0" w:line="240" w:lineRule="auto"/>
        <w:rPr>
          <w:rFonts w:ascii="Times New Roman" w:hAnsi="Times New Roman" w:cs="Times New Roman"/>
          <w:i/>
          <w:color w:val="000000" w:themeColor="text1"/>
          <w:sz w:val="24"/>
          <w:szCs w:val="24"/>
        </w:rPr>
      </w:pPr>
      <w:r w:rsidRPr="00580285">
        <w:rPr>
          <w:rFonts w:ascii="Times New Roman" w:hAnsi="Times New Roman" w:cs="Times New Roman"/>
          <w:color w:val="000000" w:themeColor="text1"/>
          <w:sz w:val="24"/>
          <w:szCs w:val="24"/>
        </w:rPr>
        <w:t>T</w:t>
      </w:r>
      <w:r w:rsidR="00E50290" w:rsidRPr="00580285">
        <w:rPr>
          <w:rFonts w:ascii="Times New Roman" w:hAnsi="Times New Roman" w:cs="Times New Roman"/>
          <w:color w:val="000000" w:themeColor="text1"/>
          <w:sz w:val="24"/>
          <w:szCs w:val="24"/>
        </w:rPr>
        <w:t xml:space="preserve">he Determination is made under subsection 572G(2) of the </w:t>
      </w:r>
      <w:r w:rsidR="00E50290" w:rsidRPr="00580285">
        <w:rPr>
          <w:rFonts w:ascii="Times New Roman" w:hAnsi="Times New Roman" w:cs="Times New Roman"/>
          <w:i/>
          <w:color w:val="000000" w:themeColor="text1"/>
          <w:sz w:val="24"/>
          <w:szCs w:val="24"/>
        </w:rPr>
        <w:t xml:space="preserve">Telecommunications Act 1997. </w:t>
      </w:r>
    </w:p>
    <w:p w14:paraId="09EABE7A" w14:textId="77777777"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4</w:t>
      </w:r>
      <w:r w:rsidRPr="00580285">
        <w:rPr>
          <w:rFonts w:ascii="Times New Roman" w:hAnsi="Times New Roman"/>
          <w:b/>
          <w:bCs/>
          <w:color w:val="000000"/>
          <w:sz w:val="14"/>
          <w:szCs w:val="14"/>
        </w:rPr>
        <w:t>        </w:t>
      </w:r>
      <w:r w:rsidRPr="00580285">
        <w:rPr>
          <w:rFonts w:ascii="Times New Roman" w:hAnsi="Times New Roman"/>
          <w:b/>
          <w:bCs/>
          <w:color w:val="000000"/>
        </w:rPr>
        <w:t>Interpretation</w:t>
      </w:r>
    </w:p>
    <w:p w14:paraId="6919883D" w14:textId="3B5885C3" w:rsidR="00CB6D25" w:rsidRPr="00580285" w:rsidRDefault="00E50290"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Section 4 </w:t>
      </w:r>
      <w:r w:rsidR="00BE49E5" w:rsidRPr="00580285">
        <w:rPr>
          <w:rFonts w:ascii="Times New Roman" w:hAnsi="Times New Roman" w:cs="Times New Roman"/>
          <w:color w:val="000000" w:themeColor="text1"/>
          <w:sz w:val="24"/>
          <w:szCs w:val="24"/>
        </w:rPr>
        <w:t>sets out the definitions of certain terms that are used in the Determination.</w:t>
      </w:r>
    </w:p>
    <w:p w14:paraId="0F3C7E7C" w14:textId="77777777"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5</w:t>
      </w:r>
      <w:r w:rsidRPr="00580285">
        <w:rPr>
          <w:rFonts w:ascii="Times New Roman" w:hAnsi="Times New Roman"/>
          <w:b/>
          <w:bCs/>
          <w:color w:val="000000"/>
          <w:sz w:val="14"/>
          <w:szCs w:val="14"/>
        </w:rPr>
        <w:t>        </w:t>
      </w:r>
      <w:r w:rsidRPr="00580285">
        <w:rPr>
          <w:rFonts w:ascii="Times New Roman" w:hAnsi="Times New Roman"/>
          <w:b/>
          <w:bCs/>
          <w:color w:val="000000"/>
        </w:rPr>
        <w:t>Schedules</w:t>
      </w:r>
    </w:p>
    <w:p w14:paraId="41EC59FB" w14:textId="670A6EE0" w:rsidR="00E50290" w:rsidRPr="00580285" w:rsidRDefault="00BE49E5"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Section </w:t>
      </w:r>
      <w:r w:rsidR="00E50290" w:rsidRPr="00580285">
        <w:rPr>
          <w:rFonts w:ascii="Times New Roman" w:hAnsi="Times New Roman" w:cs="Times New Roman"/>
          <w:color w:val="000000" w:themeColor="text1"/>
          <w:sz w:val="24"/>
          <w:szCs w:val="24"/>
        </w:rPr>
        <w:t xml:space="preserve">5 provides that each instrument that is specified in a Schedule to the Determination is amended or repealed as set out in the applicable items in the Schedule concerned, and any other item in a Schedule to the Determination has effect according to its terms. </w:t>
      </w:r>
    </w:p>
    <w:p w14:paraId="2E5B4902" w14:textId="2C7361F9" w:rsidR="00E54D3D" w:rsidRPr="00580285" w:rsidRDefault="00E54D3D" w:rsidP="00E54D3D">
      <w:pPr>
        <w:shd w:val="clear" w:color="auto" w:fill="FFFFFF"/>
        <w:spacing w:before="240" w:after="120" w:line="299" w:lineRule="atLeast"/>
        <w:ind w:left="357" w:hanging="357"/>
        <w:rPr>
          <w:rFonts w:ascii="Times New Roman" w:hAnsi="Times New Roman"/>
          <w:b/>
          <w:bCs/>
          <w:color w:val="000000"/>
        </w:rPr>
      </w:pPr>
      <w:bookmarkStart w:id="2" w:name="_Toc117786793"/>
      <w:r w:rsidRPr="00580285">
        <w:rPr>
          <w:rFonts w:ascii="Times New Roman" w:hAnsi="Times New Roman"/>
          <w:b/>
          <w:bCs/>
          <w:color w:val="000000"/>
          <w:sz w:val="24"/>
          <w:szCs w:val="24"/>
        </w:rPr>
        <w:t>6</w:t>
      </w:r>
      <w:r w:rsidRPr="00580285">
        <w:rPr>
          <w:rFonts w:ascii="Times New Roman" w:hAnsi="Times New Roman"/>
          <w:b/>
          <w:bCs/>
          <w:color w:val="000000"/>
          <w:sz w:val="14"/>
          <w:szCs w:val="14"/>
        </w:rPr>
        <w:t>        </w:t>
      </w:r>
      <w:r w:rsidRPr="00580285">
        <w:rPr>
          <w:rFonts w:ascii="Times New Roman" w:hAnsi="Times New Roman"/>
          <w:b/>
          <w:bCs/>
          <w:color w:val="000000"/>
        </w:rPr>
        <w:t>Contraventions and related penalties</w:t>
      </w:r>
      <w:bookmarkEnd w:id="2"/>
    </w:p>
    <w:p w14:paraId="58E9DE27" w14:textId="23347438" w:rsidR="00E04A84" w:rsidRPr="00580285" w:rsidRDefault="00E50290"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Section 6</w:t>
      </w:r>
      <w:r w:rsidRPr="00580285">
        <w:rPr>
          <w:rFonts w:ascii="Times New Roman" w:hAnsi="Times New Roman" w:cs="Times New Roman"/>
          <w:b/>
          <w:color w:val="000000" w:themeColor="text1"/>
          <w:sz w:val="24"/>
          <w:szCs w:val="24"/>
        </w:rPr>
        <w:t xml:space="preserve"> </w:t>
      </w:r>
      <w:r w:rsidRPr="00580285">
        <w:rPr>
          <w:rFonts w:ascii="Times New Roman" w:hAnsi="Times New Roman" w:cs="Times New Roman"/>
          <w:color w:val="000000" w:themeColor="text1"/>
          <w:sz w:val="24"/>
          <w:szCs w:val="24"/>
        </w:rPr>
        <w:t xml:space="preserve">relates to the tables set out in Schedule 1 and Schedule 2 of the Determination. Subsection 6(1) </w:t>
      </w:r>
      <w:r w:rsidR="007F0523" w:rsidRPr="00580285">
        <w:rPr>
          <w:rFonts w:ascii="Times New Roman" w:hAnsi="Times New Roman" w:cs="Times New Roman"/>
          <w:color w:val="000000" w:themeColor="text1"/>
          <w:sz w:val="24"/>
          <w:szCs w:val="24"/>
        </w:rPr>
        <w:t>provides that for each kind of contravention of section 68 of the Act set out at an item in column 1 of the table, the associated number of penalty units for that item in column 2 of the table is specified as the penalty amount for that kind of contravention of section 68.</w:t>
      </w:r>
      <w:r w:rsidRPr="00580285">
        <w:rPr>
          <w:rFonts w:ascii="Times New Roman" w:hAnsi="Times New Roman" w:cs="Times New Roman"/>
          <w:color w:val="000000" w:themeColor="text1"/>
          <w:sz w:val="24"/>
          <w:szCs w:val="24"/>
        </w:rPr>
        <w:t xml:space="preserve"> Subsection 6(2) </w:t>
      </w:r>
      <w:r w:rsidR="00D0773C" w:rsidRPr="00580285">
        <w:rPr>
          <w:rFonts w:ascii="Times New Roman" w:hAnsi="Times New Roman" w:cs="Times New Roman"/>
          <w:color w:val="000000" w:themeColor="text1"/>
          <w:sz w:val="24"/>
          <w:szCs w:val="24"/>
        </w:rPr>
        <w:t>provides that for each kind of contravention of section 101 of the Act set out at an item in column 1 of the table, the associated number of penalty units for that item in column 2 of the table is specified as the penalty amount for that kind of contravention of section 101.</w:t>
      </w:r>
    </w:p>
    <w:p w14:paraId="0570DBD3" w14:textId="19981444" w:rsidR="00E50290" w:rsidRPr="00580285" w:rsidRDefault="00E50290" w:rsidP="00E54D3D">
      <w:pPr>
        <w:shd w:val="clear" w:color="auto" w:fill="FFFFFF"/>
        <w:spacing w:before="240" w:after="120" w:line="299" w:lineRule="atLeast"/>
        <w:ind w:left="357" w:hanging="357"/>
        <w:rPr>
          <w:rFonts w:ascii="Times New Roman" w:hAnsi="Times New Roman"/>
          <w:b/>
          <w:bCs/>
          <w:color w:val="000000"/>
        </w:rPr>
      </w:pPr>
      <w:r w:rsidRPr="00580285">
        <w:rPr>
          <w:rFonts w:ascii="Times New Roman" w:hAnsi="Times New Roman"/>
          <w:b/>
          <w:bCs/>
          <w:color w:val="000000"/>
        </w:rPr>
        <w:t>Schedule 1</w:t>
      </w:r>
      <w:r w:rsidR="00E54D3D" w:rsidRPr="00580285">
        <w:rPr>
          <w:rFonts w:ascii="Times New Roman" w:hAnsi="Times New Roman"/>
          <w:b/>
          <w:bCs/>
          <w:color w:val="000000"/>
        </w:rPr>
        <w:t xml:space="preserve"> - Contraventions and penalties (section 68)</w:t>
      </w:r>
    </w:p>
    <w:p w14:paraId="08961FF7" w14:textId="5868F7D5" w:rsidR="007723CF" w:rsidRDefault="00BE49E5" w:rsidP="00506B9E">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Schedule 1</w:t>
      </w:r>
      <w:r w:rsidR="00CB31B2" w:rsidRPr="00580285">
        <w:rPr>
          <w:rFonts w:ascii="Times New Roman" w:hAnsi="Times New Roman" w:cs="Times New Roman"/>
          <w:color w:val="000000" w:themeColor="text1"/>
          <w:sz w:val="24"/>
          <w:szCs w:val="24"/>
        </w:rPr>
        <w:t xml:space="preserve"> </w:t>
      </w:r>
      <w:r w:rsidR="00EA415E" w:rsidRPr="00580285">
        <w:rPr>
          <w:rFonts w:ascii="Times New Roman" w:hAnsi="Times New Roman" w:cs="Times New Roman"/>
          <w:color w:val="000000" w:themeColor="text1"/>
          <w:sz w:val="24"/>
          <w:szCs w:val="24"/>
        </w:rPr>
        <w:t xml:space="preserve">contains </w:t>
      </w:r>
      <w:r w:rsidR="00CB330A" w:rsidRPr="00580285">
        <w:rPr>
          <w:rFonts w:ascii="Times New Roman" w:hAnsi="Times New Roman" w:cs="Times New Roman"/>
          <w:color w:val="000000" w:themeColor="text1"/>
          <w:sz w:val="24"/>
          <w:szCs w:val="24"/>
        </w:rPr>
        <w:t xml:space="preserve">a table that </w:t>
      </w:r>
      <w:r w:rsidR="00CB31B2" w:rsidRPr="00580285">
        <w:rPr>
          <w:rFonts w:ascii="Times New Roman" w:hAnsi="Times New Roman" w:cs="Times New Roman"/>
          <w:color w:val="000000" w:themeColor="text1"/>
          <w:sz w:val="24"/>
          <w:szCs w:val="24"/>
        </w:rPr>
        <w:t>specifies penalty amounts for certain kinds of contraventions of section 68 of the Act.</w:t>
      </w:r>
      <w:r w:rsidR="00E72037">
        <w:rPr>
          <w:rFonts w:ascii="Times New Roman" w:hAnsi="Times New Roman" w:cs="Times New Roman"/>
          <w:color w:val="000000" w:themeColor="text1"/>
          <w:sz w:val="24"/>
          <w:szCs w:val="24"/>
        </w:rPr>
        <w:t xml:space="preserve"> </w:t>
      </w:r>
      <w:r w:rsidR="00E72037" w:rsidRPr="00506B9E">
        <w:rPr>
          <w:rFonts w:ascii="Times New Roman" w:hAnsi="Times New Roman" w:cs="Times New Roman"/>
          <w:color w:val="000000" w:themeColor="text1"/>
          <w:sz w:val="24"/>
          <w:szCs w:val="24"/>
        </w:rPr>
        <w:t xml:space="preserve">Section 68 of the Act is a civil penalty provision. </w:t>
      </w:r>
      <w:r w:rsidR="007723CF" w:rsidRPr="00506B9E">
        <w:rPr>
          <w:rFonts w:ascii="Times New Roman" w:hAnsi="Times New Roman" w:cs="Times New Roman"/>
          <w:color w:val="000000" w:themeColor="text1"/>
          <w:sz w:val="24"/>
          <w:szCs w:val="24"/>
        </w:rPr>
        <w:t xml:space="preserve">Section 68 sets out that carrier must not contravene a condition of the carrier licence held by the carrier. </w:t>
      </w:r>
      <w:r w:rsidR="00506B9E" w:rsidRPr="00506B9E">
        <w:rPr>
          <w:rFonts w:ascii="Times New Roman" w:hAnsi="Times New Roman" w:cs="Times New Roman"/>
          <w:color w:val="000000" w:themeColor="text1"/>
          <w:sz w:val="24"/>
          <w:szCs w:val="24"/>
        </w:rPr>
        <w:t>Standard c</w:t>
      </w:r>
      <w:r w:rsidR="007723CF" w:rsidRPr="00506B9E">
        <w:rPr>
          <w:rFonts w:ascii="Times New Roman" w:hAnsi="Times New Roman" w:cs="Times New Roman"/>
          <w:color w:val="000000" w:themeColor="text1"/>
          <w:sz w:val="24"/>
          <w:szCs w:val="24"/>
        </w:rPr>
        <w:t xml:space="preserve">arrier licence conditions are set out in Schedule 1 to the Act and </w:t>
      </w:r>
      <w:r w:rsidR="00506B9E" w:rsidRPr="00506B9E">
        <w:rPr>
          <w:rFonts w:ascii="Times New Roman" w:hAnsi="Times New Roman" w:cs="Times New Roman"/>
          <w:color w:val="000000" w:themeColor="text1"/>
          <w:sz w:val="24"/>
          <w:szCs w:val="24"/>
        </w:rPr>
        <w:t xml:space="preserve">the Minister may make further conditions through </w:t>
      </w:r>
      <w:r w:rsidR="007723CF" w:rsidRPr="00506B9E">
        <w:rPr>
          <w:rFonts w:ascii="Times New Roman" w:hAnsi="Times New Roman" w:cs="Times New Roman"/>
          <w:color w:val="000000" w:themeColor="text1"/>
          <w:sz w:val="24"/>
          <w:szCs w:val="24"/>
        </w:rPr>
        <w:t>declarations made under section 63 of the Act. Clause 1 of Schedule 1 to the Act provides that a carrier must comply with the Act,</w:t>
      </w:r>
      <w:r w:rsidR="00506B9E" w:rsidRPr="00506B9E">
        <w:rPr>
          <w:rFonts w:ascii="Times New Roman" w:hAnsi="Times New Roman" w:cs="Times New Roman"/>
          <w:color w:val="000000" w:themeColor="text1"/>
          <w:sz w:val="24"/>
          <w:szCs w:val="24"/>
        </w:rPr>
        <w:t xml:space="preserve"> </w:t>
      </w:r>
      <w:r w:rsidR="007723CF" w:rsidRPr="00506B9E">
        <w:rPr>
          <w:rFonts w:ascii="Times New Roman" w:hAnsi="Times New Roman" w:cs="Times New Roman"/>
          <w:color w:val="000000" w:themeColor="text1"/>
          <w:sz w:val="24"/>
          <w:szCs w:val="24"/>
        </w:rPr>
        <w:t xml:space="preserve">the </w:t>
      </w:r>
      <w:r w:rsidR="00506B9E">
        <w:rPr>
          <w:rFonts w:ascii="Times New Roman" w:hAnsi="Times New Roman" w:cs="Times New Roman"/>
          <w:color w:val="000000" w:themeColor="text1"/>
          <w:sz w:val="24"/>
          <w:szCs w:val="24"/>
        </w:rPr>
        <w:t>Consumer Protection Act and the Interception</w:t>
      </w:r>
      <w:r w:rsidR="007723CF" w:rsidRPr="00506B9E">
        <w:rPr>
          <w:rFonts w:ascii="Times New Roman" w:hAnsi="Times New Roman" w:cs="Times New Roman"/>
          <w:color w:val="000000" w:themeColor="text1"/>
          <w:sz w:val="24"/>
          <w:szCs w:val="24"/>
        </w:rPr>
        <w:t xml:space="preserve"> Act.</w:t>
      </w:r>
    </w:p>
    <w:p w14:paraId="7D03746B" w14:textId="77777777" w:rsidR="007723CF" w:rsidRPr="00580285" w:rsidRDefault="007723CF" w:rsidP="004B3952">
      <w:pPr>
        <w:spacing w:before="0" w:line="240" w:lineRule="auto"/>
        <w:rPr>
          <w:rFonts w:ascii="Times New Roman" w:hAnsi="Times New Roman" w:cs="Times New Roman"/>
          <w:color w:val="000000" w:themeColor="text1"/>
          <w:sz w:val="24"/>
          <w:szCs w:val="24"/>
        </w:rPr>
      </w:pPr>
    </w:p>
    <w:p w14:paraId="0C773858" w14:textId="404F52A0" w:rsidR="009B7417" w:rsidRPr="006F7800" w:rsidRDefault="00732F58"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Items 1 to 3 </w:t>
      </w:r>
      <w:r w:rsidR="00280AE7">
        <w:rPr>
          <w:rFonts w:ascii="Times New Roman" w:hAnsi="Times New Roman" w:cs="Times New Roman"/>
          <w:color w:val="000000" w:themeColor="text1"/>
          <w:sz w:val="24"/>
          <w:szCs w:val="24"/>
        </w:rPr>
        <w:t xml:space="preserve">of Schedule 1 </w:t>
      </w:r>
      <w:r w:rsidRPr="00580285">
        <w:rPr>
          <w:rFonts w:ascii="Times New Roman" w:hAnsi="Times New Roman" w:cs="Times New Roman"/>
          <w:color w:val="000000" w:themeColor="text1"/>
          <w:sz w:val="24"/>
          <w:szCs w:val="24"/>
        </w:rPr>
        <w:t xml:space="preserve">specify graduated penalty amounts for contraventions of subsection 12EE(9) of the Consumer Protection Act. Subsection 12EE(9) requires a primary universal service provider to meet or exceed any minimum benchmarks that are set out in an </w:t>
      </w:r>
      <w:r w:rsidRPr="00580285">
        <w:rPr>
          <w:rFonts w:ascii="Times New Roman" w:hAnsi="Times New Roman" w:cs="Times New Roman"/>
          <w:color w:val="000000" w:themeColor="text1"/>
          <w:sz w:val="24"/>
          <w:szCs w:val="24"/>
        </w:rPr>
        <w:lastRenderedPageBreak/>
        <w:t xml:space="preserve">instrument made under subsection 12EE(6). </w:t>
      </w:r>
      <w:r w:rsidR="00F001C9" w:rsidRPr="00580285">
        <w:rPr>
          <w:rFonts w:ascii="Times New Roman" w:hAnsi="Times New Roman" w:cs="Times New Roman"/>
          <w:color w:val="000000" w:themeColor="text1"/>
          <w:sz w:val="24"/>
          <w:szCs w:val="24"/>
        </w:rPr>
        <w:t xml:space="preserve">Part 3 of </w:t>
      </w:r>
      <w:r w:rsidR="00F001C9">
        <w:rPr>
          <w:rFonts w:ascii="Times New Roman" w:hAnsi="Times New Roman" w:cs="Times New Roman"/>
          <w:color w:val="000000" w:themeColor="text1"/>
          <w:sz w:val="24"/>
          <w:szCs w:val="24"/>
        </w:rPr>
        <w:t>t</w:t>
      </w:r>
      <w:r w:rsidRPr="00580285">
        <w:rPr>
          <w:rFonts w:ascii="Times New Roman" w:hAnsi="Times New Roman" w:cs="Times New Roman"/>
          <w:color w:val="000000" w:themeColor="text1"/>
          <w:sz w:val="24"/>
          <w:szCs w:val="24"/>
        </w:rPr>
        <w:t xml:space="preserve">he </w:t>
      </w:r>
      <w:r w:rsidR="00F001C9" w:rsidRPr="00580285">
        <w:rPr>
          <w:rFonts w:ascii="Times New Roman" w:hAnsi="Times New Roman" w:cs="Times New Roman"/>
          <w:i/>
          <w:color w:val="000000" w:themeColor="text1"/>
          <w:sz w:val="24"/>
          <w:szCs w:val="24"/>
        </w:rPr>
        <w:t>Telecommunications (Payphones) Determination 2022</w:t>
      </w:r>
      <w:r w:rsidR="00F001C9">
        <w:rPr>
          <w:rFonts w:ascii="Times New Roman" w:hAnsi="Times New Roman" w:cs="Times New Roman"/>
          <w:i/>
          <w:color w:val="000000" w:themeColor="text1"/>
          <w:sz w:val="24"/>
          <w:szCs w:val="24"/>
        </w:rPr>
        <w:t xml:space="preserve"> </w:t>
      </w:r>
      <w:r w:rsidR="00F001C9" w:rsidRPr="004A716A">
        <w:rPr>
          <w:rFonts w:ascii="Times New Roman" w:hAnsi="Times New Roman" w:cs="Times New Roman"/>
          <w:color w:val="000000" w:themeColor="text1"/>
          <w:sz w:val="24"/>
          <w:szCs w:val="24"/>
        </w:rPr>
        <w:t>contains minimum benchmarks</w:t>
      </w:r>
      <w:r w:rsidR="00F001C9" w:rsidRPr="00F001C9">
        <w:rPr>
          <w:rFonts w:ascii="Times New Roman" w:hAnsi="Times New Roman" w:cs="Times New Roman"/>
          <w:i/>
          <w:color w:val="000000" w:themeColor="text1"/>
          <w:sz w:val="24"/>
          <w:szCs w:val="24"/>
        </w:rPr>
        <w:t xml:space="preserve"> </w:t>
      </w:r>
      <w:r w:rsidR="00F001C9">
        <w:rPr>
          <w:rFonts w:ascii="Times New Roman" w:hAnsi="Times New Roman" w:cs="Times New Roman"/>
          <w:color w:val="000000" w:themeColor="text1"/>
          <w:sz w:val="24"/>
          <w:szCs w:val="24"/>
        </w:rPr>
        <w:t xml:space="preserve">for the purpose of </w:t>
      </w:r>
      <w:r w:rsidR="00F001C9" w:rsidRPr="004A716A">
        <w:rPr>
          <w:rFonts w:ascii="Times New Roman" w:hAnsi="Times New Roman" w:cs="Times New Roman"/>
          <w:color w:val="000000" w:themeColor="text1"/>
          <w:sz w:val="24"/>
          <w:szCs w:val="24"/>
        </w:rPr>
        <w:t>subsection 12EE(6).</w:t>
      </w:r>
      <w:r w:rsidR="00F001C9" w:rsidRPr="00F001C9">
        <w:rPr>
          <w:rFonts w:ascii="Times New Roman" w:hAnsi="Times New Roman" w:cs="Times New Roman"/>
          <w:i/>
          <w:color w:val="000000" w:themeColor="text1"/>
          <w:sz w:val="24"/>
          <w:szCs w:val="24"/>
        </w:rPr>
        <w:t xml:space="preserve"> </w:t>
      </w:r>
      <w:r w:rsidR="00F001C9">
        <w:rPr>
          <w:rFonts w:ascii="Times New Roman" w:hAnsi="Times New Roman" w:cs="Times New Roman"/>
          <w:color w:val="000000" w:themeColor="text1"/>
          <w:sz w:val="24"/>
          <w:szCs w:val="24"/>
        </w:rPr>
        <w:t>P</w:t>
      </w:r>
      <w:r w:rsidR="006F7800" w:rsidRPr="006F7800">
        <w:rPr>
          <w:rFonts w:ascii="Times New Roman" w:hAnsi="Times New Roman" w:cs="Times New Roman"/>
          <w:color w:val="000000" w:themeColor="text1"/>
          <w:sz w:val="24"/>
          <w:szCs w:val="24"/>
        </w:rPr>
        <w:t>resently</w:t>
      </w:r>
      <w:r w:rsidR="006F7800">
        <w:rPr>
          <w:rFonts w:ascii="Times New Roman" w:hAnsi="Times New Roman" w:cs="Times New Roman"/>
          <w:color w:val="000000" w:themeColor="text1"/>
          <w:sz w:val="24"/>
          <w:szCs w:val="24"/>
        </w:rPr>
        <w:t xml:space="preserve"> </w:t>
      </w:r>
      <w:r w:rsidR="00F001C9">
        <w:rPr>
          <w:rFonts w:ascii="Times New Roman" w:hAnsi="Times New Roman" w:cs="Times New Roman"/>
          <w:color w:val="000000" w:themeColor="text1"/>
          <w:sz w:val="24"/>
          <w:szCs w:val="24"/>
        </w:rPr>
        <w:t>there are</w:t>
      </w:r>
      <w:r w:rsidR="006F7800">
        <w:rPr>
          <w:rFonts w:ascii="Times New Roman" w:hAnsi="Times New Roman" w:cs="Times New Roman"/>
          <w:color w:val="000000" w:themeColor="text1"/>
          <w:sz w:val="24"/>
          <w:szCs w:val="24"/>
        </w:rPr>
        <w:t xml:space="preserve"> three benchmarks: </w:t>
      </w:r>
      <w:r w:rsidR="006F7800" w:rsidRPr="006F7800">
        <w:rPr>
          <w:rFonts w:ascii="Times New Roman" w:hAnsi="Times New Roman" w:cs="Times New Roman"/>
          <w:color w:val="000000" w:themeColor="text1"/>
          <w:sz w:val="24"/>
          <w:szCs w:val="24"/>
        </w:rPr>
        <w:t xml:space="preserve">a 90% annual benchmark for </w:t>
      </w:r>
      <w:r w:rsidR="006F7800">
        <w:rPr>
          <w:rFonts w:ascii="Times New Roman" w:hAnsi="Times New Roman" w:cs="Times New Roman"/>
          <w:color w:val="000000" w:themeColor="text1"/>
          <w:sz w:val="24"/>
          <w:szCs w:val="24"/>
        </w:rPr>
        <w:t xml:space="preserve">repair of payphones in </w:t>
      </w:r>
      <w:r w:rsidR="006F7800" w:rsidRPr="006F7800">
        <w:rPr>
          <w:rFonts w:ascii="Times New Roman" w:hAnsi="Times New Roman" w:cs="Times New Roman"/>
          <w:color w:val="000000" w:themeColor="text1"/>
          <w:sz w:val="24"/>
          <w:szCs w:val="24"/>
        </w:rPr>
        <w:t xml:space="preserve">urban </w:t>
      </w:r>
      <w:r w:rsidR="006F7800">
        <w:rPr>
          <w:rFonts w:ascii="Times New Roman" w:hAnsi="Times New Roman" w:cs="Times New Roman"/>
          <w:color w:val="000000" w:themeColor="text1"/>
          <w:sz w:val="24"/>
          <w:szCs w:val="24"/>
        </w:rPr>
        <w:t xml:space="preserve">areas; a 90% annual benchmark for repair of payphones in </w:t>
      </w:r>
      <w:r w:rsidR="006F7800" w:rsidRPr="006F7800">
        <w:rPr>
          <w:rFonts w:ascii="Times New Roman" w:hAnsi="Times New Roman" w:cs="Times New Roman"/>
          <w:color w:val="000000" w:themeColor="text1"/>
          <w:sz w:val="24"/>
          <w:szCs w:val="24"/>
        </w:rPr>
        <w:t>rural areas</w:t>
      </w:r>
      <w:r w:rsidR="006F7800">
        <w:rPr>
          <w:rFonts w:ascii="Times New Roman" w:hAnsi="Times New Roman" w:cs="Times New Roman"/>
          <w:color w:val="000000" w:themeColor="text1"/>
          <w:sz w:val="24"/>
          <w:szCs w:val="24"/>
        </w:rPr>
        <w:t>;</w:t>
      </w:r>
      <w:r w:rsidR="006F7800" w:rsidRPr="006F7800">
        <w:rPr>
          <w:rFonts w:ascii="Times New Roman" w:hAnsi="Times New Roman" w:cs="Times New Roman"/>
          <w:color w:val="000000" w:themeColor="text1"/>
          <w:sz w:val="24"/>
          <w:szCs w:val="24"/>
        </w:rPr>
        <w:t xml:space="preserve"> and an 80% benchmark for </w:t>
      </w:r>
      <w:r w:rsidR="006F7800">
        <w:rPr>
          <w:rFonts w:ascii="Times New Roman" w:hAnsi="Times New Roman" w:cs="Times New Roman"/>
          <w:color w:val="000000" w:themeColor="text1"/>
          <w:sz w:val="24"/>
          <w:szCs w:val="24"/>
        </w:rPr>
        <w:t xml:space="preserve">repair of </w:t>
      </w:r>
      <w:r w:rsidR="006F7800" w:rsidRPr="006F7800">
        <w:rPr>
          <w:rFonts w:ascii="Times New Roman" w:hAnsi="Times New Roman" w:cs="Times New Roman"/>
          <w:color w:val="000000" w:themeColor="text1"/>
          <w:sz w:val="24"/>
          <w:szCs w:val="24"/>
        </w:rPr>
        <w:t>payphone</w:t>
      </w:r>
      <w:r w:rsidR="006F7800">
        <w:rPr>
          <w:rFonts w:ascii="Times New Roman" w:hAnsi="Times New Roman" w:cs="Times New Roman"/>
          <w:color w:val="000000" w:themeColor="text1"/>
          <w:sz w:val="24"/>
          <w:szCs w:val="24"/>
        </w:rPr>
        <w:t>s in remote areas</w:t>
      </w:r>
      <w:r w:rsidR="006F7800" w:rsidRPr="006F7800">
        <w:rPr>
          <w:rFonts w:ascii="Times New Roman" w:hAnsi="Times New Roman" w:cs="Times New Roman"/>
          <w:color w:val="000000" w:themeColor="text1"/>
          <w:sz w:val="24"/>
          <w:szCs w:val="24"/>
        </w:rPr>
        <w:t>.</w:t>
      </w:r>
    </w:p>
    <w:p w14:paraId="54B93C1E" w14:textId="77777777" w:rsidR="009B7417" w:rsidRPr="00580285" w:rsidRDefault="009B7417" w:rsidP="004B3952">
      <w:pPr>
        <w:spacing w:before="0" w:line="240" w:lineRule="auto"/>
        <w:rPr>
          <w:rFonts w:ascii="Times New Roman" w:hAnsi="Times New Roman" w:cs="Times New Roman"/>
          <w:color w:val="000000" w:themeColor="text1"/>
          <w:sz w:val="24"/>
          <w:szCs w:val="24"/>
        </w:rPr>
      </w:pPr>
    </w:p>
    <w:p w14:paraId="614434EC" w14:textId="5E04F962" w:rsidR="00CB31B2" w:rsidRPr="00580285" w:rsidRDefault="00732F58"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The graduated penalty amounts for contraventions of subsection 12EE(9) operate so that</w:t>
      </w:r>
      <w:r w:rsidR="004A716A">
        <w:rPr>
          <w:rFonts w:ascii="Times New Roman" w:hAnsi="Times New Roman" w:cs="Times New Roman"/>
          <w:color w:val="000000" w:themeColor="text1"/>
          <w:sz w:val="24"/>
          <w:szCs w:val="24"/>
        </w:rPr>
        <w:t xml:space="preserve"> </w:t>
      </w:r>
      <w:r w:rsidRPr="00580285">
        <w:rPr>
          <w:rFonts w:ascii="Times New Roman" w:hAnsi="Times New Roman" w:cs="Times New Roman"/>
          <w:color w:val="000000" w:themeColor="text1"/>
          <w:sz w:val="24"/>
          <w:szCs w:val="24"/>
        </w:rPr>
        <w:t>if a primary universal service provider fails to meet a minimum benchmark by less than two percentage points, the penalty amount specified in the infringement notice will be equal to 3,000 penalty units (currently $</w:t>
      </w:r>
      <w:r w:rsidR="00696AC0" w:rsidRPr="00580285">
        <w:rPr>
          <w:rFonts w:ascii="Times New Roman" w:hAnsi="Times New Roman" w:cs="Times New Roman"/>
          <w:color w:val="000000" w:themeColor="text1"/>
          <w:sz w:val="24"/>
          <w:szCs w:val="24"/>
        </w:rPr>
        <w:t>6</w:t>
      </w:r>
      <w:r w:rsidR="007B1E95" w:rsidRPr="00580285">
        <w:rPr>
          <w:rFonts w:ascii="Times New Roman" w:hAnsi="Times New Roman" w:cs="Times New Roman"/>
          <w:color w:val="000000" w:themeColor="text1"/>
          <w:sz w:val="24"/>
          <w:szCs w:val="24"/>
        </w:rPr>
        <w:t>66</w:t>
      </w:r>
      <w:r w:rsidRPr="00580285">
        <w:rPr>
          <w:rFonts w:ascii="Times New Roman" w:hAnsi="Times New Roman" w:cs="Times New Roman"/>
          <w:color w:val="000000" w:themeColor="text1"/>
          <w:sz w:val="24"/>
          <w:szCs w:val="24"/>
        </w:rPr>
        <w:t xml:space="preserve">,000) (see </w:t>
      </w:r>
      <w:r w:rsidR="00CE5FD9">
        <w:rPr>
          <w:rFonts w:ascii="Times New Roman" w:hAnsi="Times New Roman" w:cs="Times New Roman"/>
          <w:color w:val="000000" w:themeColor="text1"/>
          <w:sz w:val="24"/>
          <w:szCs w:val="24"/>
        </w:rPr>
        <w:t>i</w:t>
      </w:r>
      <w:r w:rsidRPr="00580285">
        <w:rPr>
          <w:rFonts w:ascii="Times New Roman" w:hAnsi="Times New Roman" w:cs="Times New Roman"/>
          <w:color w:val="000000" w:themeColor="text1"/>
          <w:sz w:val="24"/>
          <w:szCs w:val="24"/>
        </w:rPr>
        <w:t>tem 1</w:t>
      </w:r>
      <w:r w:rsidR="00CE5FD9">
        <w:rPr>
          <w:rFonts w:ascii="Times New Roman" w:hAnsi="Times New Roman" w:cs="Times New Roman"/>
          <w:color w:val="000000" w:themeColor="text1"/>
          <w:sz w:val="24"/>
          <w:szCs w:val="24"/>
        </w:rPr>
        <w:t xml:space="preserve"> of </w:t>
      </w:r>
      <w:r w:rsidR="00280AE7">
        <w:rPr>
          <w:rFonts w:ascii="Times New Roman" w:hAnsi="Times New Roman" w:cs="Times New Roman"/>
          <w:color w:val="000000" w:themeColor="text1"/>
          <w:sz w:val="24"/>
          <w:szCs w:val="24"/>
        </w:rPr>
        <w:t>S</w:t>
      </w:r>
      <w:r w:rsidR="00CE5FD9">
        <w:rPr>
          <w:rFonts w:ascii="Times New Roman" w:hAnsi="Times New Roman" w:cs="Times New Roman"/>
          <w:color w:val="000000" w:themeColor="text1"/>
          <w:sz w:val="24"/>
          <w:szCs w:val="24"/>
        </w:rPr>
        <w:t>chedule 1</w:t>
      </w:r>
      <w:r w:rsidRPr="00580285">
        <w:rPr>
          <w:rFonts w:ascii="Times New Roman" w:hAnsi="Times New Roman" w:cs="Times New Roman"/>
          <w:color w:val="000000" w:themeColor="text1"/>
          <w:sz w:val="24"/>
          <w:szCs w:val="24"/>
        </w:rPr>
        <w:t xml:space="preserve">). </w:t>
      </w:r>
      <w:r w:rsidR="00F001C9">
        <w:rPr>
          <w:rFonts w:ascii="Times New Roman" w:hAnsi="Times New Roman" w:cs="Times New Roman"/>
          <w:color w:val="000000" w:themeColor="text1"/>
          <w:sz w:val="24"/>
          <w:szCs w:val="24"/>
        </w:rPr>
        <w:t>I</w:t>
      </w:r>
      <w:r w:rsidR="00F001C9" w:rsidRPr="00580285">
        <w:rPr>
          <w:rFonts w:ascii="Times New Roman" w:hAnsi="Times New Roman" w:cs="Times New Roman"/>
          <w:color w:val="000000" w:themeColor="text1"/>
          <w:sz w:val="24"/>
          <w:szCs w:val="24"/>
        </w:rPr>
        <w:t xml:space="preserve">f a primary universal service provider fails to meet a minimum benchmark by </w:t>
      </w:r>
      <w:r w:rsidR="00F001C9">
        <w:rPr>
          <w:rFonts w:ascii="Times New Roman" w:hAnsi="Times New Roman" w:cs="Times New Roman"/>
          <w:color w:val="000000" w:themeColor="text1"/>
          <w:sz w:val="24"/>
          <w:szCs w:val="24"/>
        </w:rPr>
        <w:t xml:space="preserve">more </w:t>
      </w:r>
      <w:r w:rsidR="00F001C9" w:rsidRPr="00580285">
        <w:rPr>
          <w:rFonts w:ascii="Times New Roman" w:hAnsi="Times New Roman" w:cs="Times New Roman"/>
          <w:color w:val="000000" w:themeColor="text1"/>
          <w:sz w:val="24"/>
          <w:szCs w:val="24"/>
        </w:rPr>
        <w:t xml:space="preserve">than two </w:t>
      </w:r>
      <w:r w:rsidR="00F001C9">
        <w:rPr>
          <w:rFonts w:ascii="Times New Roman" w:hAnsi="Times New Roman" w:cs="Times New Roman"/>
          <w:color w:val="000000" w:themeColor="text1"/>
          <w:sz w:val="24"/>
          <w:szCs w:val="24"/>
        </w:rPr>
        <w:t xml:space="preserve">but less than five </w:t>
      </w:r>
      <w:r w:rsidR="00F001C9" w:rsidRPr="00580285">
        <w:rPr>
          <w:rFonts w:ascii="Times New Roman" w:hAnsi="Times New Roman" w:cs="Times New Roman"/>
          <w:color w:val="000000" w:themeColor="text1"/>
          <w:sz w:val="24"/>
          <w:szCs w:val="24"/>
        </w:rPr>
        <w:t xml:space="preserve">percentage points, the penalty amount specified in the infringement notice will be equal to </w:t>
      </w:r>
      <w:r w:rsidR="00F001C9">
        <w:rPr>
          <w:rFonts w:ascii="Times New Roman" w:hAnsi="Times New Roman" w:cs="Times New Roman"/>
          <w:color w:val="000000" w:themeColor="text1"/>
          <w:sz w:val="24"/>
          <w:szCs w:val="24"/>
        </w:rPr>
        <w:t>6</w:t>
      </w:r>
      <w:r w:rsidR="00F001C9" w:rsidRPr="00580285">
        <w:rPr>
          <w:rFonts w:ascii="Times New Roman" w:hAnsi="Times New Roman" w:cs="Times New Roman"/>
          <w:color w:val="000000" w:themeColor="text1"/>
          <w:sz w:val="24"/>
          <w:szCs w:val="24"/>
        </w:rPr>
        <w:t>,000 penalty units (currently $</w:t>
      </w:r>
      <w:r w:rsidR="00F001C9">
        <w:rPr>
          <w:rFonts w:ascii="Times New Roman" w:hAnsi="Times New Roman" w:cs="Times New Roman"/>
          <w:color w:val="000000" w:themeColor="text1"/>
          <w:sz w:val="24"/>
          <w:szCs w:val="24"/>
        </w:rPr>
        <w:t>1,332,</w:t>
      </w:r>
      <w:r w:rsidR="00F001C9" w:rsidRPr="00580285">
        <w:rPr>
          <w:rFonts w:ascii="Times New Roman" w:hAnsi="Times New Roman" w:cs="Times New Roman"/>
          <w:color w:val="000000" w:themeColor="text1"/>
          <w:sz w:val="24"/>
          <w:szCs w:val="24"/>
        </w:rPr>
        <w:t xml:space="preserve">000) (see </w:t>
      </w:r>
      <w:r w:rsidR="00F001C9">
        <w:rPr>
          <w:rFonts w:ascii="Times New Roman" w:hAnsi="Times New Roman" w:cs="Times New Roman"/>
          <w:color w:val="000000" w:themeColor="text1"/>
          <w:sz w:val="24"/>
          <w:szCs w:val="24"/>
        </w:rPr>
        <w:t>i</w:t>
      </w:r>
      <w:r w:rsidR="00F001C9" w:rsidRPr="00580285">
        <w:rPr>
          <w:rFonts w:ascii="Times New Roman" w:hAnsi="Times New Roman" w:cs="Times New Roman"/>
          <w:color w:val="000000" w:themeColor="text1"/>
          <w:sz w:val="24"/>
          <w:szCs w:val="24"/>
        </w:rPr>
        <w:t xml:space="preserve">tem </w:t>
      </w:r>
      <w:r w:rsidR="00F001C9">
        <w:rPr>
          <w:rFonts w:ascii="Times New Roman" w:hAnsi="Times New Roman" w:cs="Times New Roman"/>
          <w:color w:val="000000" w:themeColor="text1"/>
          <w:sz w:val="24"/>
          <w:szCs w:val="24"/>
        </w:rPr>
        <w:t>2 of Schedule 1</w:t>
      </w:r>
      <w:r w:rsidR="00F001C9" w:rsidRPr="00580285">
        <w:rPr>
          <w:rFonts w:ascii="Times New Roman" w:hAnsi="Times New Roman" w:cs="Times New Roman"/>
          <w:color w:val="000000" w:themeColor="text1"/>
          <w:sz w:val="24"/>
          <w:szCs w:val="24"/>
        </w:rPr>
        <w:t xml:space="preserve">). </w:t>
      </w:r>
      <w:r w:rsidR="004A716A">
        <w:rPr>
          <w:rFonts w:ascii="Times New Roman" w:hAnsi="Times New Roman" w:cs="Times New Roman"/>
          <w:color w:val="000000" w:themeColor="text1"/>
          <w:sz w:val="24"/>
          <w:szCs w:val="24"/>
        </w:rPr>
        <w:t>I</w:t>
      </w:r>
      <w:r w:rsidRPr="00580285">
        <w:rPr>
          <w:rFonts w:ascii="Times New Roman" w:hAnsi="Times New Roman" w:cs="Times New Roman"/>
          <w:color w:val="000000" w:themeColor="text1"/>
          <w:sz w:val="24"/>
          <w:szCs w:val="24"/>
        </w:rPr>
        <w:t xml:space="preserve">f a primary universal service provider fails to meet a minimum benchmark by five percentage points or more, the penalty amount specified in the infringement notice will be equal to 9,000 penalty units (currently </w:t>
      </w:r>
      <w:r w:rsidR="00696AC0" w:rsidRPr="00580285">
        <w:rPr>
          <w:rFonts w:ascii="Times New Roman" w:hAnsi="Times New Roman" w:cs="Times New Roman"/>
          <w:color w:val="000000" w:themeColor="text1"/>
          <w:sz w:val="24"/>
          <w:szCs w:val="24"/>
        </w:rPr>
        <w:t>$1,</w:t>
      </w:r>
      <w:r w:rsidR="00580285" w:rsidRPr="00580285">
        <w:rPr>
          <w:rFonts w:ascii="Times New Roman" w:hAnsi="Times New Roman" w:cs="Times New Roman"/>
          <w:color w:val="000000" w:themeColor="text1"/>
          <w:sz w:val="24"/>
          <w:szCs w:val="24"/>
        </w:rPr>
        <w:t>998</w:t>
      </w:r>
      <w:r w:rsidRPr="00580285">
        <w:rPr>
          <w:rFonts w:ascii="Times New Roman" w:hAnsi="Times New Roman" w:cs="Times New Roman"/>
          <w:color w:val="000000" w:themeColor="text1"/>
          <w:sz w:val="24"/>
          <w:szCs w:val="24"/>
        </w:rPr>
        <w:t xml:space="preserve">,000) (see </w:t>
      </w:r>
      <w:r w:rsidR="00CE5FD9">
        <w:rPr>
          <w:rFonts w:ascii="Times New Roman" w:hAnsi="Times New Roman" w:cs="Times New Roman"/>
          <w:color w:val="000000" w:themeColor="text1"/>
          <w:sz w:val="24"/>
          <w:szCs w:val="24"/>
        </w:rPr>
        <w:t>i</w:t>
      </w:r>
      <w:r w:rsidRPr="00580285">
        <w:rPr>
          <w:rFonts w:ascii="Times New Roman" w:hAnsi="Times New Roman" w:cs="Times New Roman"/>
          <w:color w:val="000000" w:themeColor="text1"/>
          <w:sz w:val="24"/>
          <w:szCs w:val="24"/>
        </w:rPr>
        <w:t>tem 3</w:t>
      </w:r>
      <w:r w:rsidR="00CE5FD9">
        <w:rPr>
          <w:rFonts w:ascii="Times New Roman" w:hAnsi="Times New Roman" w:cs="Times New Roman"/>
          <w:color w:val="000000" w:themeColor="text1"/>
          <w:sz w:val="24"/>
          <w:szCs w:val="24"/>
        </w:rPr>
        <w:t xml:space="preserve"> of </w:t>
      </w:r>
      <w:r w:rsidR="00280AE7">
        <w:rPr>
          <w:rFonts w:ascii="Times New Roman" w:hAnsi="Times New Roman" w:cs="Times New Roman"/>
          <w:color w:val="000000" w:themeColor="text1"/>
          <w:sz w:val="24"/>
          <w:szCs w:val="24"/>
        </w:rPr>
        <w:t>S</w:t>
      </w:r>
      <w:r w:rsidR="00CE5FD9">
        <w:rPr>
          <w:rFonts w:ascii="Times New Roman" w:hAnsi="Times New Roman" w:cs="Times New Roman"/>
          <w:color w:val="000000" w:themeColor="text1"/>
          <w:sz w:val="24"/>
          <w:szCs w:val="24"/>
        </w:rPr>
        <w:t>chedule 1</w:t>
      </w:r>
      <w:r w:rsidRPr="00580285">
        <w:rPr>
          <w:rFonts w:ascii="Times New Roman" w:hAnsi="Times New Roman" w:cs="Times New Roman"/>
          <w:color w:val="000000" w:themeColor="text1"/>
          <w:sz w:val="24"/>
          <w:szCs w:val="24"/>
        </w:rPr>
        <w:t xml:space="preserve">). </w:t>
      </w:r>
      <w:r w:rsidRPr="00580285">
        <w:rPr>
          <w:rFonts w:ascii="Times New Roman" w:hAnsi="Times New Roman" w:cs="Times New Roman"/>
          <w:i/>
          <w:color w:val="000000" w:themeColor="text1"/>
          <w:sz w:val="24"/>
          <w:szCs w:val="24"/>
        </w:rPr>
        <w:t xml:space="preserve"> </w:t>
      </w:r>
    </w:p>
    <w:p w14:paraId="10AF1C67" w14:textId="77777777" w:rsidR="00E04A84" w:rsidRPr="00580285" w:rsidRDefault="00E04A84" w:rsidP="004B3952">
      <w:pPr>
        <w:spacing w:before="0" w:line="240" w:lineRule="auto"/>
        <w:rPr>
          <w:rFonts w:ascii="Times New Roman" w:hAnsi="Times New Roman" w:cs="Times New Roman"/>
          <w:color w:val="000000" w:themeColor="text1"/>
          <w:sz w:val="24"/>
          <w:szCs w:val="24"/>
        </w:rPr>
      </w:pPr>
    </w:p>
    <w:p w14:paraId="28E146A7" w14:textId="35022C36" w:rsidR="003C0589" w:rsidRPr="00580285" w:rsidRDefault="00732F58"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Providing graduated penalty amounts for contraventions of this provision is intended to encourage a primary universal service provider </w:t>
      </w:r>
      <w:r w:rsidR="00DD343E">
        <w:rPr>
          <w:rFonts w:ascii="Times New Roman" w:hAnsi="Times New Roman" w:cs="Times New Roman"/>
          <w:color w:val="000000" w:themeColor="text1"/>
          <w:sz w:val="24"/>
          <w:szCs w:val="24"/>
        </w:rPr>
        <w:t>to comply fully with the benchmarks or</w:t>
      </w:r>
      <w:r w:rsidR="00862623">
        <w:rPr>
          <w:rFonts w:ascii="Times New Roman" w:hAnsi="Times New Roman" w:cs="Times New Roman"/>
          <w:color w:val="000000" w:themeColor="text1"/>
          <w:sz w:val="24"/>
          <w:szCs w:val="24"/>
        </w:rPr>
        <w:t>,</w:t>
      </w:r>
      <w:r w:rsidR="00DD343E">
        <w:rPr>
          <w:rFonts w:ascii="Times New Roman" w:hAnsi="Times New Roman" w:cs="Times New Roman"/>
          <w:color w:val="000000" w:themeColor="text1"/>
          <w:sz w:val="24"/>
          <w:szCs w:val="24"/>
        </w:rPr>
        <w:t xml:space="preserve"> if this is not possible</w:t>
      </w:r>
      <w:r w:rsidR="00862623">
        <w:rPr>
          <w:rFonts w:ascii="Times New Roman" w:hAnsi="Times New Roman" w:cs="Times New Roman"/>
          <w:color w:val="000000" w:themeColor="text1"/>
          <w:sz w:val="24"/>
          <w:szCs w:val="24"/>
        </w:rPr>
        <w:t>,</w:t>
      </w:r>
      <w:r w:rsidR="00DD343E">
        <w:rPr>
          <w:rFonts w:ascii="Times New Roman" w:hAnsi="Times New Roman" w:cs="Times New Roman"/>
          <w:color w:val="000000" w:themeColor="text1"/>
          <w:sz w:val="24"/>
          <w:szCs w:val="24"/>
        </w:rPr>
        <w:t xml:space="preserve"> to</w:t>
      </w:r>
      <w:r w:rsidRPr="00580285">
        <w:rPr>
          <w:rFonts w:ascii="Times New Roman" w:hAnsi="Times New Roman" w:cs="Times New Roman"/>
          <w:color w:val="000000" w:themeColor="text1"/>
          <w:sz w:val="24"/>
          <w:szCs w:val="24"/>
        </w:rPr>
        <w:t xml:space="preserve"> strive to minimise the extent of th</w:t>
      </w:r>
      <w:r w:rsidR="00DD343E">
        <w:rPr>
          <w:rFonts w:ascii="Times New Roman" w:hAnsi="Times New Roman" w:cs="Times New Roman"/>
          <w:color w:val="000000" w:themeColor="text1"/>
          <w:sz w:val="24"/>
          <w:szCs w:val="24"/>
        </w:rPr>
        <w:t>e non-compliance, with the penalty calibrated to the increasing non-com</w:t>
      </w:r>
      <w:r w:rsidR="00862623">
        <w:rPr>
          <w:rFonts w:ascii="Times New Roman" w:hAnsi="Times New Roman" w:cs="Times New Roman"/>
          <w:color w:val="000000" w:themeColor="text1"/>
          <w:sz w:val="24"/>
          <w:szCs w:val="24"/>
        </w:rPr>
        <w:t>p</w:t>
      </w:r>
      <w:r w:rsidR="00DD343E">
        <w:rPr>
          <w:rFonts w:ascii="Times New Roman" w:hAnsi="Times New Roman" w:cs="Times New Roman"/>
          <w:color w:val="000000" w:themeColor="text1"/>
          <w:sz w:val="24"/>
          <w:szCs w:val="24"/>
        </w:rPr>
        <w:t>liance</w:t>
      </w:r>
      <w:r w:rsidR="00862623">
        <w:rPr>
          <w:rFonts w:ascii="Times New Roman" w:hAnsi="Times New Roman" w:cs="Times New Roman"/>
          <w:color w:val="000000" w:themeColor="text1"/>
          <w:sz w:val="24"/>
          <w:szCs w:val="24"/>
        </w:rPr>
        <w:t xml:space="preserve"> and potential harm.</w:t>
      </w:r>
    </w:p>
    <w:p w14:paraId="65604716" w14:textId="77777777" w:rsidR="00EF4D92" w:rsidRPr="00580285" w:rsidRDefault="00EF4D92" w:rsidP="004B3952">
      <w:pPr>
        <w:spacing w:before="0" w:line="240" w:lineRule="auto"/>
        <w:rPr>
          <w:rFonts w:ascii="Times New Roman" w:hAnsi="Times New Roman" w:cs="Times New Roman"/>
          <w:color w:val="000000" w:themeColor="text1"/>
          <w:sz w:val="24"/>
          <w:szCs w:val="24"/>
        </w:rPr>
      </w:pPr>
    </w:p>
    <w:p w14:paraId="39940FB4" w14:textId="075E0B48" w:rsidR="006B693C" w:rsidRPr="00580285" w:rsidRDefault="006B693C"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 </w:t>
      </w:r>
      <w:r w:rsidR="0054254A" w:rsidRPr="00580285">
        <w:rPr>
          <w:rFonts w:ascii="Times New Roman" w:hAnsi="Times New Roman" w:cs="Times New Roman"/>
          <w:color w:val="000000" w:themeColor="text1"/>
          <w:sz w:val="24"/>
          <w:szCs w:val="24"/>
        </w:rPr>
        <w:t>4</w:t>
      </w:r>
      <w:r w:rsidR="00CE5FD9">
        <w:rPr>
          <w:rFonts w:ascii="Times New Roman" w:hAnsi="Times New Roman" w:cs="Times New Roman"/>
          <w:color w:val="000000" w:themeColor="text1"/>
          <w:sz w:val="24"/>
          <w:szCs w:val="24"/>
        </w:rPr>
        <w:t xml:space="preserve"> of Schedule 1</w:t>
      </w:r>
      <w:r w:rsidRPr="00580285">
        <w:rPr>
          <w:rFonts w:ascii="Times New Roman" w:hAnsi="Times New Roman" w:cs="Times New Roman"/>
          <w:color w:val="000000" w:themeColor="text1"/>
          <w:sz w:val="24"/>
          <w:szCs w:val="24"/>
        </w:rPr>
        <w:t xml:space="preserve"> specifies that the penalty amount for </w:t>
      </w:r>
      <w:r w:rsidR="0023212A" w:rsidRPr="00580285">
        <w:rPr>
          <w:rFonts w:ascii="Times New Roman" w:hAnsi="Times New Roman" w:cs="Times New Roman"/>
          <w:color w:val="000000" w:themeColor="text1"/>
          <w:sz w:val="24"/>
          <w:szCs w:val="24"/>
        </w:rPr>
        <w:t>a contravention</w:t>
      </w:r>
      <w:r w:rsidRPr="00580285">
        <w:rPr>
          <w:rFonts w:ascii="Times New Roman" w:hAnsi="Times New Roman" w:cs="Times New Roman"/>
          <w:color w:val="000000" w:themeColor="text1"/>
          <w:sz w:val="24"/>
          <w:szCs w:val="24"/>
        </w:rPr>
        <w:t xml:space="preserve"> of subsection 12EF(2) of the Consumer Protection Act is equal to 600 penalty units</w:t>
      </w:r>
      <w:r w:rsidR="00162622" w:rsidRPr="00580285">
        <w:rPr>
          <w:rFonts w:ascii="Times New Roman" w:hAnsi="Times New Roman" w:cs="Times New Roman"/>
          <w:color w:val="000000" w:themeColor="text1"/>
          <w:sz w:val="24"/>
          <w:szCs w:val="24"/>
        </w:rPr>
        <w:t xml:space="preserve"> (currently $</w:t>
      </w:r>
      <w:r w:rsidR="00E6259A" w:rsidRPr="00580285">
        <w:rPr>
          <w:rFonts w:ascii="Times New Roman" w:hAnsi="Times New Roman" w:cs="Times New Roman"/>
          <w:color w:val="000000" w:themeColor="text1"/>
          <w:sz w:val="24"/>
          <w:szCs w:val="24"/>
        </w:rPr>
        <w:t>1</w:t>
      </w:r>
      <w:r w:rsidR="00580285" w:rsidRPr="00580285">
        <w:rPr>
          <w:rFonts w:ascii="Times New Roman" w:hAnsi="Times New Roman" w:cs="Times New Roman"/>
          <w:color w:val="000000" w:themeColor="text1"/>
          <w:sz w:val="24"/>
          <w:szCs w:val="24"/>
        </w:rPr>
        <w:t>33</w:t>
      </w:r>
      <w:r w:rsidR="00162622" w:rsidRPr="00580285">
        <w:rPr>
          <w:rFonts w:ascii="Times New Roman" w:hAnsi="Times New Roman" w:cs="Times New Roman"/>
          <w:color w:val="000000" w:themeColor="text1"/>
          <w:sz w:val="24"/>
          <w:szCs w:val="24"/>
        </w:rPr>
        <w:t>,</w:t>
      </w:r>
      <w:r w:rsidR="00580285" w:rsidRPr="00580285">
        <w:rPr>
          <w:rFonts w:ascii="Times New Roman" w:hAnsi="Times New Roman" w:cs="Times New Roman"/>
          <w:color w:val="000000" w:themeColor="text1"/>
          <w:sz w:val="24"/>
          <w:szCs w:val="24"/>
        </w:rPr>
        <w:t>2</w:t>
      </w:r>
      <w:r w:rsidR="00162622" w:rsidRPr="00580285">
        <w:rPr>
          <w:rFonts w:ascii="Times New Roman" w:hAnsi="Times New Roman" w:cs="Times New Roman"/>
          <w:color w:val="000000" w:themeColor="text1"/>
          <w:sz w:val="24"/>
          <w:szCs w:val="24"/>
        </w:rPr>
        <w:t>00)</w:t>
      </w:r>
      <w:r w:rsidRPr="00580285">
        <w:rPr>
          <w:rFonts w:ascii="Times New Roman" w:hAnsi="Times New Roman" w:cs="Times New Roman"/>
          <w:color w:val="000000" w:themeColor="text1"/>
          <w:sz w:val="24"/>
          <w:szCs w:val="24"/>
        </w:rPr>
        <w:t>. Subsection 12EF(2) requires a primary universal service provider to comply with a determination made</w:t>
      </w:r>
      <w:r w:rsidR="00284FF1" w:rsidRPr="00580285">
        <w:rPr>
          <w:rFonts w:ascii="Times New Roman" w:hAnsi="Times New Roman" w:cs="Times New Roman"/>
          <w:color w:val="000000" w:themeColor="text1"/>
          <w:sz w:val="24"/>
          <w:szCs w:val="24"/>
        </w:rPr>
        <w:t xml:space="preserve"> by the Minister</w:t>
      </w:r>
      <w:r w:rsidRPr="00580285">
        <w:rPr>
          <w:rFonts w:ascii="Times New Roman" w:hAnsi="Times New Roman" w:cs="Times New Roman"/>
          <w:color w:val="000000" w:themeColor="text1"/>
          <w:sz w:val="24"/>
          <w:szCs w:val="24"/>
        </w:rPr>
        <w:t xml:space="preserve"> under subsection 12EF(1)</w:t>
      </w:r>
      <w:r w:rsidR="00284FF1" w:rsidRPr="00580285">
        <w:rPr>
          <w:rFonts w:ascii="Times New Roman" w:hAnsi="Times New Roman" w:cs="Times New Roman"/>
          <w:color w:val="000000" w:themeColor="text1"/>
          <w:sz w:val="24"/>
          <w:szCs w:val="24"/>
        </w:rPr>
        <w:t>, which</w:t>
      </w:r>
      <w:r w:rsidRPr="00580285">
        <w:rPr>
          <w:rFonts w:ascii="Times New Roman" w:hAnsi="Times New Roman" w:cs="Times New Roman"/>
          <w:color w:val="000000" w:themeColor="text1"/>
          <w:sz w:val="24"/>
          <w:szCs w:val="24"/>
        </w:rPr>
        <w:t xml:space="preserve"> sets out rules to be complied with in relation to the places or areas in which payphones are to be located. </w:t>
      </w:r>
      <w:r w:rsidR="001D1B63" w:rsidRPr="00580285">
        <w:rPr>
          <w:rFonts w:ascii="Times New Roman" w:hAnsi="Times New Roman" w:cs="Times New Roman"/>
          <w:color w:val="000000" w:themeColor="text1"/>
          <w:sz w:val="24"/>
          <w:szCs w:val="24"/>
        </w:rPr>
        <w:t xml:space="preserve">Currently, </w:t>
      </w:r>
      <w:r w:rsidR="00101791" w:rsidRPr="00580285">
        <w:rPr>
          <w:rFonts w:ascii="Times New Roman" w:hAnsi="Times New Roman" w:cs="Times New Roman"/>
          <w:color w:val="000000" w:themeColor="text1"/>
          <w:sz w:val="24"/>
          <w:szCs w:val="24"/>
        </w:rPr>
        <w:t xml:space="preserve">Part 4 of </w:t>
      </w:r>
      <w:r w:rsidR="001D1B63" w:rsidRPr="00580285">
        <w:rPr>
          <w:rFonts w:ascii="Times New Roman" w:hAnsi="Times New Roman" w:cs="Times New Roman"/>
          <w:color w:val="000000" w:themeColor="text1"/>
          <w:sz w:val="24"/>
          <w:szCs w:val="24"/>
        </w:rPr>
        <w:t xml:space="preserve">the </w:t>
      </w:r>
      <w:r w:rsidR="00101791" w:rsidRPr="00580285">
        <w:rPr>
          <w:rFonts w:ascii="Times New Roman" w:hAnsi="Times New Roman" w:cs="Times New Roman"/>
          <w:bCs/>
          <w:i/>
          <w:iCs/>
          <w:sz w:val="24"/>
          <w:szCs w:val="24"/>
        </w:rPr>
        <w:t>Telecommunications (Payphones) Determination 2022</w:t>
      </w:r>
      <w:r w:rsidRPr="00580285">
        <w:rPr>
          <w:rFonts w:ascii="Times New Roman" w:hAnsi="Times New Roman" w:cs="Times New Roman"/>
          <w:color w:val="000000" w:themeColor="text1"/>
          <w:sz w:val="24"/>
          <w:szCs w:val="24"/>
        </w:rPr>
        <w:t xml:space="preserve"> sets out the relevant rules.</w:t>
      </w:r>
    </w:p>
    <w:p w14:paraId="002B37C6" w14:textId="77777777" w:rsidR="006B693C" w:rsidRPr="00580285" w:rsidRDefault="006B693C" w:rsidP="004B3952">
      <w:pPr>
        <w:spacing w:before="0" w:line="240" w:lineRule="auto"/>
        <w:rPr>
          <w:rFonts w:ascii="Times New Roman" w:hAnsi="Times New Roman" w:cs="Times New Roman"/>
          <w:color w:val="000000" w:themeColor="text1"/>
          <w:sz w:val="24"/>
          <w:szCs w:val="24"/>
        </w:rPr>
      </w:pPr>
    </w:p>
    <w:p w14:paraId="15075011" w14:textId="1999A38C" w:rsidR="006B693C" w:rsidRPr="00580285" w:rsidRDefault="00ED1DEE"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 </w:t>
      </w:r>
      <w:r w:rsidR="0054254A" w:rsidRPr="00580285">
        <w:rPr>
          <w:rFonts w:ascii="Times New Roman" w:hAnsi="Times New Roman" w:cs="Times New Roman"/>
          <w:color w:val="000000" w:themeColor="text1"/>
          <w:sz w:val="24"/>
          <w:szCs w:val="24"/>
        </w:rPr>
        <w:t>5</w:t>
      </w:r>
      <w:r w:rsidR="00CE5FD9">
        <w:rPr>
          <w:rFonts w:ascii="Times New Roman" w:hAnsi="Times New Roman" w:cs="Times New Roman"/>
          <w:color w:val="000000" w:themeColor="text1"/>
          <w:sz w:val="24"/>
          <w:szCs w:val="24"/>
        </w:rPr>
        <w:t xml:space="preserve"> of Schedule 1</w:t>
      </w:r>
      <w:r w:rsidRPr="00580285">
        <w:rPr>
          <w:rFonts w:ascii="Times New Roman" w:hAnsi="Times New Roman" w:cs="Times New Roman"/>
          <w:color w:val="000000" w:themeColor="text1"/>
          <w:sz w:val="24"/>
          <w:szCs w:val="24"/>
        </w:rPr>
        <w:t xml:space="preserve"> specifies that the penalty amount for </w:t>
      </w:r>
      <w:r w:rsidR="0023212A" w:rsidRPr="00580285">
        <w:rPr>
          <w:rFonts w:ascii="Times New Roman" w:hAnsi="Times New Roman" w:cs="Times New Roman"/>
          <w:color w:val="000000" w:themeColor="text1"/>
          <w:sz w:val="24"/>
          <w:szCs w:val="24"/>
        </w:rPr>
        <w:t>a contravention</w:t>
      </w:r>
      <w:r w:rsidRPr="00580285">
        <w:rPr>
          <w:rFonts w:ascii="Times New Roman" w:hAnsi="Times New Roman" w:cs="Times New Roman"/>
          <w:color w:val="000000" w:themeColor="text1"/>
          <w:sz w:val="24"/>
          <w:szCs w:val="24"/>
        </w:rPr>
        <w:t xml:space="preserve"> of subsection 12EI(6) of the Consumer Protection Act is equal to </w:t>
      </w:r>
      <w:r w:rsidR="004E31C7" w:rsidRPr="00580285">
        <w:rPr>
          <w:rFonts w:ascii="Times New Roman" w:hAnsi="Times New Roman" w:cs="Times New Roman"/>
          <w:color w:val="000000" w:themeColor="text1"/>
          <w:sz w:val="24"/>
          <w:szCs w:val="24"/>
        </w:rPr>
        <w:t>900 penalty units</w:t>
      </w:r>
      <w:r w:rsidR="00162622" w:rsidRPr="00580285">
        <w:rPr>
          <w:rFonts w:ascii="Times New Roman" w:hAnsi="Times New Roman" w:cs="Times New Roman"/>
          <w:color w:val="000000" w:themeColor="text1"/>
          <w:sz w:val="24"/>
          <w:szCs w:val="24"/>
        </w:rPr>
        <w:t xml:space="preserve"> (currently $</w:t>
      </w:r>
      <w:r w:rsidR="00E6259A" w:rsidRPr="00580285">
        <w:rPr>
          <w:rFonts w:ascii="Times New Roman" w:hAnsi="Times New Roman" w:cs="Times New Roman"/>
          <w:color w:val="000000" w:themeColor="text1"/>
          <w:sz w:val="24"/>
          <w:szCs w:val="24"/>
        </w:rPr>
        <w:t>1</w:t>
      </w:r>
      <w:r w:rsidR="00580285" w:rsidRPr="00580285">
        <w:rPr>
          <w:rFonts w:ascii="Times New Roman" w:hAnsi="Times New Roman" w:cs="Times New Roman"/>
          <w:color w:val="000000" w:themeColor="text1"/>
          <w:sz w:val="24"/>
          <w:szCs w:val="24"/>
        </w:rPr>
        <w:t>9</w:t>
      </w:r>
      <w:r w:rsidR="00162622" w:rsidRPr="00580285">
        <w:rPr>
          <w:rFonts w:ascii="Times New Roman" w:hAnsi="Times New Roman" w:cs="Times New Roman"/>
          <w:color w:val="000000" w:themeColor="text1"/>
          <w:sz w:val="24"/>
          <w:szCs w:val="24"/>
        </w:rPr>
        <w:t>9,</w:t>
      </w:r>
      <w:r w:rsidR="00580285" w:rsidRPr="00580285">
        <w:rPr>
          <w:rFonts w:ascii="Times New Roman" w:hAnsi="Times New Roman" w:cs="Times New Roman"/>
          <w:color w:val="000000" w:themeColor="text1"/>
          <w:sz w:val="24"/>
          <w:szCs w:val="24"/>
        </w:rPr>
        <w:t>8</w:t>
      </w:r>
      <w:r w:rsidR="00162622" w:rsidRPr="00580285">
        <w:rPr>
          <w:rFonts w:ascii="Times New Roman" w:hAnsi="Times New Roman" w:cs="Times New Roman"/>
          <w:color w:val="000000" w:themeColor="text1"/>
          <w:sz w:val="24"/>
          <w:szCs w:val="24"/>
        </w:rPr>
        <w:t>00)</w:t>
      </w:r>
      <w:r w:rsidR="004E31C7" w:rsidRPr="00580285">
        <w:rPr>
          <w:rFonts w:ascii="Times New Roman" w:hAnsi="Times New Roman" w:cs="Times New Roman"/>
          <w:color w:val="000000" w:themeColor="text1"/>
          <w:sz w:val="24"/>
          <w:szCs w:val="24"/>
        </w:rPr>
        <w:t>. Subsection 12EI(6) requires a primary universal service provider to comply with a direction under subsection 12EI(2) or (3). Subsections 12EI(2) and (3) give the ACMA the power to issue written directions to a primary universal service provider in relation to the removal of</w:t>
      </w:r>
      <w:r w:rsidR="00B233BD" w:rsidRPr="00580285">
        <w:rPr>
          <w:rFonts w:ascii="Times New Roman" w:hAnsi="Times New Roman" w:cs="Times New Roman"/>
          <w:color w:val="000000" w:themeColor="text1"/>
          <w:sz w:val="24"/>
          <w:szCs w:val="24"/>
        </w:rPr>
        <w:t xml:space="preserve"> </w:t>
      </w:r>
      <w:r w:rsidR="004E31C7" w:rsidRPr="00580285">
        <w:rPr>
          <w:rFonts w:ascii="Times New Roman" w:hAnsi="Times New Roman" w:cs="Times New Roman"/>
          <w:color w:val="000000" w:themeColor="text1"/>
          <w:sz w:val="24"/>
          <w:szCs w:val="24"/>
        </w:rPr>
        <w:t>payphone</w:t>
      </w:r>
      <w:r w:rsidR="00D97ECC" w:rsidRPr="00580285">
        <w:rPr>
          <w:rFonts w:ascii="Times New Roman" w:hAnsi="Times New Roman" w:cs="Times New Roman"/>
          <w:color w:val="000000" w:themeColor="text1"/>
          <w:sz w:val="24"/>
          <w:szCs w:val="24"/>
        </w:rPr>
        <w:t>s</w:t>
      </w:r>
      <w:r w:rsidR="004E31C7" w:rsidRPr="00580285">
        <w:rPr>
          <w:rFonts w:ascii="Times New Roman" w:hAnsi="Times New Roman" w:cs="Times New Roman"/>
          <w:color w:val="000000" w:themeColor="text1"/>
          <w:sz w:val="24"/>
          <w:szCs w:val="24"/>
        </w:rPr>
        <w:t xml:space="preserve"> from particular location</w:t>
      </w:r>
      <w:r w:rsidR="00D97ECC" w:rsidRPr="00580285">
        <w:rPr>
          <w:rFonts w:ascii="Times New Roman" w:hAnsi="Times New Roman" w:cs="Times New Roman"/>
          <w:color w:val="000000" w:themeColor="text1"/>
          <w:sz w:val="24"/>
          <w:szCs w:val="24"/>
        </w:rPr>
        <w:t>s</w:t>
      </w:r>
      <w:r w:rsidR="00CE5FD9">
        <w:rPr>
          <w:rFonts w:ascii="Times New Roman" w:hAnsi="Times New Roman" w:cs="Times New Roman"/>
          <w:color w:val="000000" w:themeColor="text1"/>
          <w:sz w:val="24"/>
          <w:szCs w:val="24"/>
        </w:rPr>
        <w:t>. ACMA may make directions under 12EI either to not remove a payphone, or to re-install a payphone if it has already been removed.</w:t>
      </w:r>
    </w:p>
    <w:p w14:paraId="087D3457" w14:textId="1669FED5" w:rsidR="00E54D3D" w:rsidRPr="00580285" w:rsidRDefault="00E50290" w:rsidP="00E54D3D">
      <w:pPr>
        <w:shd w:val="clear" w:color="auto" w:fill="FFFFFF"/>
        <w:spacing w:before="240" w:after="120" w:line="299" w:lineRule="atLeast"/>
        <w:ind w:left="357" w:hanging="357"/>
        <w:rPr>
          <w:rFonts w:ascii="Times New Roman" w:hAnsi="Times New Roman"/>
          <w:b/>
          <w:bCs/>
          <w:color w:val="000000"/>
        </w:rPr>
      </w:pPr>
      <w:r w:rsidRPr="00580285">
        <w:rPr>
          <w:rFonts w:ascii="Times New Roman" w:hAnsi="Times New Roman"/>
          <w:b/>
          <w:bCs/>
          <w:color w:val="000000"/>
        </w:rPr>
        <w:t>Schedule 2</w:t>
      </w:r>
      <w:r w:rsidR="00E54D3D" w:rsidRPr="00580285">
        <w:rPr>
          <w:rFonts w:ascii="Times New Roman" w:hAnsi="Times New Roman"/>
          <w:b/>
          <w:bCs/>
          <w:color w:val="000000"/>
        </w:rPr>
        <w:t xml:space="preserve"> - Contraventions and penalties (section 101)</w:t>
      </w:r>
    </w:p>
    <w:p w14:paraId="0B8A8529" w14:textId="7B904F6E" w:rsidR="00506B9E" w:rsidRDefault="00D534CE" w:rsidP="00506B9E">
      <w:pPr>
        <w:spacing w:before="0" w:line="240" w:lineRule="auto"/>
        <w:rPr>
          <w:rFonts w:ascii="Times New Roman" w:hAnsi="Times New Roman" w:cs="Times New Roman"/>
          <w:color w:val="000000" w:themeColor="text1"/>
          <w:sz w:val="24"/>
          <w:szCs w:val="24"/>
        </w:rPr>
      </w:pPr>
      <w:r w:rsidRPr="002B00EE">
        <w:rPr>
          <w:rFonts w:ascii="Times New Roman" w:hAnsi="Times New Roman" w:cs="Times New Roman"/>
          <w:color w:val="000000" w:themeColor="text1"/>
          <w:sz w:val="24"/>
          <w:szCs w:val="24"/>
        </w:rPr>
        <w:t>Schedule 2</w:t>
      </w:r>
      <w:r w:rsidR="00562639" w:rsidRPr="002B00EE">
        <w:rPr>
          <w:rFonts w:ascii="Times New Roman" w:hAnsi="Times New Roman" w:cs="Times New Roman"/>
          <w:color w:val="000000" w:themeColor="text1"/>
          <w:sz w:val="24"/>
          <w:szCs w:val="24"/>
        </w:rPr>
        <w:t xml:space="preserve"> </w:t>
      </w:r>
      <w:r w:rsidR="008A05C1" w:rsidRPr="002B00EE">
        <w:rPr>
          <w:rFonts w:ascii="Times New Roman" w:hAnsi="Times New Roman" w:cs="Times New Roman"/>
          <w:color w:val="000000" w:themeColor="text1"/>
          <w:sz w:val="24"/>
          <w:szCs w:val="24"/>
        </w:rPr>
        <w:t xml:space="preserve">contains </w:t>
      </w:r>
      <w:r w:rsidR="00CB330A" w:rsidRPr="002B00EE">
        <w:rPr>
          <w:rFonts w:ascii="Times New Roman" w:hAnsi="Times New Roman" w:cs="Times New Roman"/>
          <w:color w:val="000000" w:themeColor="text1"/>
          <w:sz w:val="24"/>
          <w:szCs w:val="24"/>
        </w:rPr>
        <w:t xml:space="preserve">a table that </w:t>
      </w:r>
      <w:r w:rsidR="00562639" w:rsidRPr="002B00EE">
        <w:rPr>
          <w:rFonts w:ascii="Times New Roman" w:hAnsi="Times New Roman" w:cs="Times New Roman"/>
          <w:color w:val="000000" w:themeColor="text1"/>
          <w:sz w:val="24"/>
          <w:szCs w:val="24"/>
        </w:rPr>
        <w:t>specifies penalty amounts for certain kinds of contraventions of section 101 of the Act</w:t>
      </w:r>
      <w:r w:rsidR="002B00EE" w:rsidRPr="002B00EE">
        <w:rPr>
          <w:rFonts w:ascii="Times New Roman" w:hAnsi="Times New Roman" w:cs="Times New Roman"/>
          <w:color w:val="000000" w:themeColor="text1"/>
          <w:sz w:val="24"/>
          <w:szCs w:val="24"/>
        </w:rPr>
        <w:t xml:space="preserve">. </w:t>
      </w:r>
      <w:r w:rsidR="00506B9E" w:rsidRPr="00506B9E">
        <w:rPr>
          <w:rFonts w:ascii="Times New Roman" w:hAnsi="Times New Roman" w:cs="Times New Roman"/>
          <w:color w:val="000000" w:themeColor="text1"/>
          <w:sz w:val="24"/>
          <w:szCs w:val="24"/>
        </w:rPr>
        <w:t xml:space="preserve">Section </w:t>
      </w:r>
      <w:r w:rsidR="00506B9E">
        <w:rPr>
          <w:rFonts w:ascii="Times New Roman" w:hAnsi="Times New Roman" w:cs="Times New Roman"/>
          <w:color w:val="000000" w:themeColor="text1"/>
          <w:sz w:val="24"/>
          <w:szCs w:val="24"/>
        </w:rPr>
        <w:t>101</w:t>
      </w:r>
      <w:r w:rsidR="00506B9E" w:rsidRPr="00506B9E">
        <w:rPr>
          <w:rFonts w:ascii="Times New Roman" w:hAnsi="Times New Roman" w:cs="Times New Roman"/>
          <w:color w:val="000000" w:themeColor="text1"/>
          <w:sz w:val="24"/>
          <w:szCs w:val="24"/>
        </w:rPr>
        <w:t xml:space="preserve"> of the Act is a civil penalty provision.</w:t>
      </w:r>
      <w:r w:rsidR="00506B9E">
        <w:rPr>
          <w:rFonts w:ascii="Times New Roman" w:hAnsi="Times New Roman" w:cs="Times New Roman"/>
          <w:color w:val="000000" w:themeColor="text1"/>
          <w:sz w:val="24"/>
          <w:szCs w:val="24"/>
        </w:rPr>
        <w:t xml:space="preserve"> </w:t>
      </w:r>
      <w:r w:rsidR="008257D0" w:rsidRPr="007723CF">
        <w:rPr>
          <w:rFonts w:ascii="Times New Roman" w:hAnsi="Times New Roman" w:cs="Times New Roman"/>
          <w:color w:val="000000" w:themeColor="text1"/>
          <w:sz w:val="24"/>
          <w:szCs w:val="24"/>
        </w:rPr>
        <w:t xml:space="preserve">Section 101 of the Act requires carriage service providers and content service providers to comply with relevant service provider rules. Standard service provider rules are set out in Schedule 2 to the Act and the ACMA or the Minister </w:t>
      </w:r>
      <w:r w:rsidR="007723CF" w:rsidRPr="007723CF">
        <w:rPr>
          <w:rFonts w:ascii="Times New Roman" w:hAnsi="Times New Roman" w:cs="Times New Roman"/>
          <w:color w:val="000000" w:themeColor="text1"/>
          <w:sz w:val="24"/>
          <w:szCs w:val="24"/>
        </w:rPr>
        <w:t xml:space="preserve">can make further rules through </w:t>
      </w:r>
      <w:r w:rsidR="008257D0" w:rsidRPr="007723CF">
        <w:rPr>
          <w:rFonts w:ascii="Times New Roman" w:hAnsi="Times New Roman" w:cs="Times New Roman"/>
          <w:color w:val="000000" w:themeColor="text1"/>
          <w:sz w:val="24"/>
          <w:szCs w:val="24"/>
        </w:rPr>
        <w:t>service provider determations section 99 of the Act. Clause 1 of Schedule 2 to the Act provides that a service provider must</w:t>
      </w:r>
      <w:r w:rsidR="00506B9E" w:rsidRPr="00506B9E">
        <w:rPr>
          <w:rFonts w:ascii="Times New Roman" w:hAnsi="Times New Roman" w:cs="Times New Roman"/>
          <w:color w:val="000000" w:themeColor="text1"/>
          <w:sz w:val="24"/>
          <w:szCs w:val="24"/>
        </w:rPr>
        <w:t xml:space="preserve"> comply with the Act, the </w:t>
      </w:r>
      <w:r w:rsidR="00506B9E">
        <w:rPr>
          <w:rFonts w:ascii="Times New Roman" w:hAnsi="Times New Roman" w:cs="Times New Roman"/>
          <w:color w:val="000000" w:themeColor="text1"/>
          <w:sz w:val="24"/>
          <w:szCs w:val="24"/>
        </w:rPr>
        <w:t>Consumer Protection Act and the Interception</w:t>
      </w:r>
      <w:r w:rsidR="00506B9E" w:rsidRPr="00506B9E">
        <w:rPr>
          <w:rFonts w:ascii="Times New Roman" w:hAnsi="Times New Roman" w:cs="Times New Roman"/>
          <w:color w:val="000000" w:themeColor="text1"/>
          <w:sz w:val="24"/>
          <w:szCs w:val="24"/>
        </w:rPr>
        <w:t xml:space="preserve"> Act.</w:t>
      </w:r>
    </w:p>
    <w:p w14:paraId="09A42C25" w14:textId="7C90A8E4" w:rsidR="005B404F" w:rsidRPr="00580285" w:rsidRDefault="00732F58" w:rsidP="008257D0">
      <w:pPr>
        <w:shd w:val="clear" w:color="auto" w:fill="FFFFFF"/>
        <w:spacing w:before="240" w:line="299" w:lineRule="atLeast"/>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Items 1 to </w:t>
      </w:r>
      <w:r w:rsidR="006F7800">
        <w:rPr>
          <w:rFonts w:ascii="Times New Roman" w:hAnsi="Times New Roman" w:cs="Times New Roman"/>
          <w:color w:val="000000" w:themeColor="text1"/>
          <w:sz w:val="24"/>
          <w:szCs w:val="24"/>
        </w:rPr>
        <w:t>5</w:t>
      </w:r>
      <w:r w:rsidRPr="00580285">
        <w:rPr>
          <w:rFonts w:ascii="Times New Roman" w:hAnsi="Times New Roman" w:cs="Times New Roman"/>
          <w:color w:val="000000" w:themeColor="text1"/>
          <w:sz w:val="24"/>
          <w:szCs w:val="24"/>
        </w:rPr>
        <w:t xml:space="preserve"> </w:t>
      </w:r>
      <w:r w:rsidR="00CE5FD9">
        <w:rPr>
          <w:rFonts w:ascii="Times New Roman" w:hAnsi="Times New Roman" w:cs="Times New Roman"/>
          <w:color w:val="000000" w:themeColor="text1"/>
          <w:sz w:val="24"/>
          <w:szCs w:val="24"/>
        </w:rPr>
        <w:t xml:space="preserve">of Schedule 2 </w:t>
      </w:r>
      <w:r w:rsidR="006F7800">
        <w:rPr>
          <w:rFonts w:ascii="Times New Roman" w:hAnsi="Times New Roman" w:cs="Times New Roman"/>
          <w:color w:val="000000" w:themeColor="text1"/>
          <w:sz w:val="24"/>
          <w:szCs w:val="24"/>
        </w:rPr>
        <w:t>contain the same provisions as</w:t>
      </w:r>
      <w:r w:rsidRPr="00580285">
        <w:rPr>
          <w:rFonts w:ascii="Times New Roman" w:hAnsi="Times New Roman" w:cs="Times New Roman"/>
          <w:color w:val="000000" w:themeColor="text1"/>
          <w:sz w:val="24"/>
          <w:szCs w:val="24"/>
        </w:rPr>
        <w:t xml:space="preserve"> </w:t>
      </w:r>
      <w:r w:rsidR="006F7800">
        <w:rPr>
          <w:rFonts w:ascii="Times New Roman" w:hAnsi="Times New Roman" w:cs="Times New Roman"/>
          <w:color w:val="000000" w:themeColor="text1"/>
          <w:sz w:val="24"/>
          <w:szCs w:val="24"/>
        </w:rPr>
        <w:t xml:space="preserve">set out in items </w:t>
      </w:r>
      <w:r w:rsidR="00280AE7">
        <w:rPr>
          <w:rFonts w:ascii="Times New Roman" w:hAnsi="Times New Roman" w:cs="Times New Roman"/>
          <w:color w:val="000000" w:themeColor="text1"/>
          <w:sz w:val="24"/>
          <w:szCs w:val="24"/>
        </w:rPr>
        <w:t xml:space="preserve">1 to </w:t>
      </w:r>
      <w:r w:rsidR="006F7800">
        <w:rPr>
          <w:rFonts w:ascii="Times New Roman" w:hAnsi="Times New Roman" w:cs="Times New Roman"/>
          <w:color w:val="000000" w:themeColor="text1"/>
          <w:sz w:val="24"/>
          <w:szCs w:val="24"/>
        </w:rPr>
        <w:t>5</w:t>
      </w:r>
      <w:r w:rsidRPr="00580285">
        <w:rPr>
          <w:rFonts w:ascii="Times New Roman" w:hAnsi="Times New Roman" w:cs="Times New Roman"/>
          <w:color w:val="000000" w:themeColor="text1"/>
          <w:sz w:val="24"/>
          <w:szCs w:val="24"/>
        </w:rPr>
        <w:t xml:space="preserve"> of Schedule</w:t>
      </w:r>
      <w:r w:rsidR="006F7800">
        <w:rPr>
          <w:rFonts w:ascii="Times New Roman" w:hAnsi="Times New Roman" w:cs="Times New Roman"/>
          <w:color w:val="000000" w:themeColor="text1"/>
          <w:sz w:val="24"/>
          <w:szCs w:val="24"/>
        </w:rPr>
        <w:t> </w:t>
      </w:r>
      <w:r w:rsidRPr="00580285">
        <w:rPr>
          <w:rFonts w:ascii="Times New Roman" w:hAnsi="Times New Roman" w:cs="Times New Roman"/>
          <w:color w:val="000000" w:themeColor="text1"/>
          <w:sz w:val="24"/>
          <w:szCs w:val="24"/>
        </w:rPr>
        <w:t>1.</w:t>
      </w:r>
      <w:r w:rsidR="006F7800">
        <w:rPr>
          <w:rFonts w:ascii="Times New Roman" w:hAnsi="Times New Roman" w:cs="Times New Roman"/>
          <w:color w:val="000000" w:themeColor="text1"/>
          <w:sz w:val="24"/>
          <w:szCs w:val="24"/>
        </w:rPr>
        <w:t xml:space="preserve"> Telstra, as the current primary universal service provider, has historically held a </w:t>
      </w:r>
      <w:r w:rsidR="006F7800">
        <w:rPr>
          <w:rFonts w:ascii="Times New Roman" w:hAnsi="Times New Roman" w:cs="Times New Roman"/>
          <w:color w:val="000000" w:themeColor="text1"/>
          <w:sz w:val="24"/>
          <w:szCs w:val="24"/>
        </w:rPr>
        <w:lastRenderedPageBreak/>
        <w:t>carrier licence</w:t>
      </w:r>
      <w:r w:rsidR="008257D0">
        <w:rPr>
          <w:rFonts w:ascii="Times New Roman" w:hAnsi="Times New Roman" w:cs="Times New Roman"/>
          <w:color w:val="000000" w:themeColor="text1"/>
          <w:sz w:val="24"/>
          <w:szCs w:val="24"/>
        </w:rPr>
        <w:t xml:space="preserve">. </w:t>
      </w:r>
      <w:r w:rsidR="00506B9E">
        <w:rPr>
          <w:rFonts w:ascii="Times New Roman" w:hAnsi="Times New Roman" w:cs="Times New Roman"/>
          <w:color w:val="000000" w:themeColor="text1"/>
          <w:sz w:val="24"/>
          <w:szCs w:val="24"/>
        </w:rPr>
        <w:t>However, t</w:t>
      </w:r>
      <w:r w:rsidR="008257D0">
        <w:rPr>
          <w:rFonts w:ascii="Times New Roman" w:hAnsi="Times New Roman" w:cs="Times New Roman"/>
          <w:color w:val="000000" w:themeColor="text1"/>
          <w:sz w:val="24"/>
          <w:szCs w:val="24"/>
        </w:rPr>
        <w:t xml:space="preserve">he inclusion of these provisions in both Schedule 1 and 2 provides </w:t>
      </w:r>
      <w:r w:rsidR="004A4997">
        <w:rPr>
          <w:rFonts w:ascii="Times New Roman" w:hAnsi="Times New Roman" w:cs="Times New Roman"/>
          <w:color w:val="000000" w:themeColor="text1"/>
          <w:sz w:val="24"/>
          <w:szCs w:val="24"/>
        </w:rPr>
        <w:t xml:space="preserve">cover </w:t>
      </w:r>
      <w:r w:rsidR="008257D0">
        <w:rPr>
          <w:rFonts w:ascii="Times New Roman" w:hAnsi="Times New Roman" w:cs="Times New Roman"/>
          <w:color w:val="000000" w:themeColor="text1"/>
          <w:sz w:val="24"/>
          <w:szCs w:val="24"/>
        </w:rPr>
        <w:t xml:space="preserve">should </w:t>
      </w:r>
      <w:r w:rsidR="00862623">
        <w:rPr>
          <w:rFonts w:ascii="Times New Roman" w:hAnsi="Times New Roman" w:cs="Times New Roman"/>
          <w:color w:val="000000" w:themeColor="text1"/>
          <w:sz w:val="24"/>
          <w:szCs w:val="24"/>
        </w:rPr>
        <w:t>a universal service provider’s non-compliance be attributable to its operation as a CSP rather than a carr</w:t>
      </w:r>
      <w:r w:rsidR="001528FF">
        <w:rPr>
          <w:rFonts w:ascii="Times New Roman" w:hAnsi="Times New Roman" w:cs="Times New Roman"/>
          <w:color w:val="000000" w:themeColor="text1"/>
          <w:sz w:val="24"/>
          <w:szCs w:val="24"/>
        </w:rPr>
        <w:t>i</w:t>
      </w:r>
      <w:r w:rsidR="00862623">
        <w:rPr>
          <w:rFonts w:ascii="Times New Roman" w:hAnsi="Times New Roman" w:cs="Times New Roman"/>
          <w:color w:val="000000" w:themeColor="text1"/>
          <w:sz w:val="24"/>
          <w:szCs w:val="24"/>
        </w:rPr>
        <w:t xml:space="preserve">er. </w:t>
      </w:r>
      <w:r w:rsidR="004A4997">
        <w:rPr>
          <w:rFonts w:ascii="Times New Roman" w:hAnsi="Times New Roman" w:cs="Times New Roman"/>
          <w:color w:val="000000" w:themeColor="text1"/>
          <w:sz w:val="24"/>
          <w:szCs w:val="24"/>
        </w:rPr>
        <w:t xml:space="preserve">It also provides cover should </w:t>
      </w:r>
      <w:r w:rsidR="006E7360">
        <w:rPr>
          <w:rFonts w:ascii="Times New Roman" w:hAnsi="Times New Roman" w:cs="Times New Roman"/>
          <w:color w:val="000000" w:themeColor="text1"/>
          <w:sz w:val="24"/>
          <w:szCs w:val="24"/>
        </w:rPr>
        <w:t xml:space="preserve">a </w:t>
      </w:r>
      <w:r w:rsidR="004A4997">
        <w:rPr>
          <w:rFonts w:ascii="Times New Roman" w:hAnsi="Times New Roman" w:cs="Times New Roman"/>
          <w:color w:val="000000" w:themeColor="text1"/>
          <w:sz w:val="24"/>
          <w:szCs w:val="24"/>
        </w:rPr>
        <w:t>primary universal provider</w:t>
      </w:r>
      <w:r w:rsidR="006E7360">
        <w:rPr>
          <w:rFonts w:ascii="Times New Roman" w:hAnsi="Times New Roman" w:cs="Times New Roman"/>
          <w:color w:val="000000" w:themeColor="text1"/>
          <w:sz w:val="24"/>
          <w:szCs w:val="24"/>
        </w:rPr>
        <w:t xml:space="preserve">’s corporate structure change and it fulfils its payphone obligation solely as a CSP. </w:t>
      </w:r>
    </w:p>
    <w:p w14:paraId="7A3E4BB3" w14:textId="77777777" w:rsidR="005B404F" w:rsidRPr="00580285" w:rsidRDefault="005B404F" w:rsidP="005B404F">
      <w:pPr>
        <w:spacing w:before="0" w:line="240" w:lineRule="auto"/>
        <w:rPr>
          <w:rFonts w:ascii="Times New Roman" w:hAnsi="Times New Roman" w:cs="Times New Roman"/>
          <w:color w:val="000000" w:themeColor="text1"/>
          <w:sz w:val="24"/>
          <w:szCs w:val="24"/>
        </w:rPr>
      </w:pPr>
    </w:p>
    <w:p w14:paraId="65B72574" w14:textId="54AC31C1" w:rsidR="00715BA0" w:rsidRDefault="00732F58" w:rsidP="00C73C17">
      <w:pPr>
        <w:spacing w:before="0" w:line="240" w:lineRule="auto"/>
        <w:rPr>
          <w:rFonts w:ascii="Times New Roman" w:eastAsia="Times New Roman" w:hAnsi="Times New Roman" w:cs="Times New Roman"/>
          <w:color w:val="000000"/>
          <w:lang w:eastAsia="en-AU"/>
        </w:rPr>
      </w:pPr>
      <w:r w:rsidRPr="00580285">
        <w:rPr>
          <w:rFonts w:ascii="Times New Roman" w:hAnsi="Times New Roman" w:cs="Times New Roman"/>
          <w:color w:val="000000" w:themeColor="text1"/>
          <w:sz w:val="24"/>
          <w:szCs w:val="24"/>
        </w:rPr>
        <w:t>Items 6 to 8</w:t>
      </w:r>
      <w:r w:rsidR="00280AE7">
        <w:rPr>
          <w:rFonts w:ascii="Times New Roman" w:hAnsi="Times New Roman" w:cs="Times New Roman"/>
          <w:color w:val="000000" w:themeColor="text1"/>
          <w:sz w:val="24"/>
          <w:szCs w:val="24"/>
        </w:rPr>
        <w:t xml:space="preserve"> of Schedule 2</w:t>
      </w:r>
      <w:r w:rsidRPr="00580285">
        <w:rPr>
          <w:rFonts w:ascii="Times New Roman" w:hAnsi="Times New Roman" w:cs="Times New Roman"/>
          <w:color w:val="000000" w:themeColor="text1"/>
          <w:sz w:val="24"/>
          <w:szCs w:val="24"/>
        </w:rPr>
        <w:t xml:space="preserve"> specify graduated penalty amounts for contraventions of subsection 117C(2) of the Consumer Protection Act. Subsection 117C(2) requires a carriage service provider (to which a Ministerial instrument made under section 117B applies) to meet or exceed the minimum benchmarks set out in that instrument. </w:t>
      </w:r>
      <w:r w:rsidR="00EC6E07">
        <w:rPr>
          <w:rFonts w:ascii="Times New Roman" w:hAnsi="Times New Roman" w:cs="Times New Roman"/>
          <w:color w:val="000000" w:themeColor="text1"/>
          <w:sz w:val="24"/>
          <w:szCs w:val="24"/>
        </w:rPr>
        <w:t>T</w:t>
      </w:r>
      <w:r w:rsidRPr="00580285">
        <w:rPr>
          <w:rFonts w:ascii="Times New Roman" w:hAnsi="Times New Roman" w:cs="Times New Roman"/>
          <w:color w:val="000000" w:themeColor="text1"/>
          <w:sz w:val="24"/>
          <w:szCs w:val="24"/>
        </w:rPr>
        <w:t xml:space="preserve">he </w:t>
      </w:r>
      <w:r w:rsidRPr="00580285">
        <w:rPr>
          <w:rFonts w:ascii="Times New Roman" w:hAnsi="Times New Roman" w:cs="Times New Roman"/>
          <w:i/>
          <w:color w:val="000000" w:themeColor="text1"/>
          <w:sz w:val="24"/>
          <w:szCs w:val="24"/>
        </w:rPr>
        <w:t>Telecommunications (Customer Service Guarantee – Retail Performance Benchmarks) Instrument (No. 1) 2011</w:t>
      </w:r>
      <w:r w:rsidRPr="00580285">
        <w:rPr>
          <w:rFonts w:ascii="Times New Roman" w:hAnsi="Times New Roman" w:cs="Times New Roman"/>
          <w:color w:val="000000" w:themeColor="text1"/>
          <w:sz w:val="24"/>
          <w:szCs w:val="24"/>
        </w:rPr>
        <w:t xml:space="preserve"> </w:t>
      </w:r>
      <w:r w:rsidR="00EC6E07">
        <w:rPr>
          <w:rFonts w:ascii="Times New Roman" w:hAnsi="Times New Roman" w:cs="Times New Roman"/>
          <w:color w:val="000000" w:themeColor="text1"/>
          <w:sz w:val="24"/>
          <w:szCs w:val="24"/>
        </w:rPr>
        <w:t xml:space="preserve">is made under </w:t>
      </w:r>
      <w:r w:rsidR="00EC6E07" w:rsidRPr="00580285">
        <w:rPr>
          <w:rFonts w:ascii="Times New Roman" w:hAnsi="Times New Roman" w:cs="Times New Roman"/>
          <w:color w:val="000000" w:themeColor="text1"/>
          <w:sz w:val="24"/>
          <w:szCs w:val="24"/>
        </w:rPr>
        <w:t>section 117B</w:t>
      </w:r>
      <w:r w:rsidR="00EC6E07">
        <w:rPr>
          <w:rFonts w:ascii="Times New Roman" w:hAnsi="Times New Roman" w:cs="Times New Roman"/>
          <w:color w:val="000000" w:themeColor="text1"/>
          <w:sz w:val="24"/>
          <w:szCs w:val="24"/>
        </w:rPr>
        <w:t>. Part 2 of this instrument</w:t>
      </w:r>
      <w:r w:rsidR="00EC6E07" w:rsidRPr="00580285">
        <w:rPr>
          <w:rFonts w:ascii="Times New Roman" w:hAnsi="Times New Roman" w:cs="Times New Roman"/>
          <w:color w:val="000000" w:themeColor="text1"/>
          <w:sz w:val="24"/>
          <w:szCs w:val="24"/>
        </w:rPr>
        <w:t xml:space="preserve"> </w:t>
      </w:r>
      <w:r w:rsidRPr="00580285">
        <w:rPr>
          <w:rFonts w:ascii="Times New Roman" w:hAnsi="Times New Roman" w:cs="Times New Roman"/>
          <w:color w:val="000000" w:themeColor="text1"/>
          <w:sz w:val="24"/>
          <w:szCs w:val="24"/>
        </w:rPr>
        <w:t>sets out the relevant minimum benchmarks.</w:t>
      </w:r>
      <w:r w:rsidR="00580285" w:rsidRPr="00580285">
        <w:rPr>
          <w:rFonts w:ascii="Times New Roman" w:hAnsi="Times New Roman" w:cs="Times New Roman"/>
          <w:color w:val="000000" w:themeColor="text1"/>
          <w:sz w:val="24"/>
          <w:szCs w:val="24"/>
        </w:rPr>
        <w:t xml:space="preserve"> </w:t>
      </w:r>
      <w:r w:rsidR="00506B9E">
        <w:rPr>
          <w:rFonts w:ascii="Times New Roman" w:hAnsi="Times New Roman" w:cs="Times New Roman"/>
          <w:color w:val="000000" w:themeColor="text1"/>
          <w:sz w:val="24"/>
          <w:szCs w:val="24"/>
        </w:rPr>
        <w:t>Q</w:t>
      </w:r>
      <w:r w:rsidR="00506B9E" w:rsidRPr="00E35345">
        <w:rPr>
          <w:rFonts w:ascii="Times New Roman" w:eastAsia="Times New Roman" w:hAnsi="Times New Roman" w:cs="Times New Roman"/>
          <w:color w:val="000000"/>
          <w:lang w:eastAsia="en-AU"/>
        </w:rPr>
        <w:t>ualifying carriage service provider</w:t>
      </w:r>
      <w:r w:rsidR="00506B9E">
        <w:rPr>
          <w:rFonts w:ascii="Times New Roman" w:eastAsia="Times New Roman" w:hAnsi="Times New Roman" w:cs="Times New Roman"/>
          <w:color w:val="000000"/>
          <w:lang w:eastAsia="en-AU"/>
        </w:rPr>
        <w:t>s</w:t>
      </w:r>
      <w:r w:rsidR="00506B9E" w:rsidRPr="00F607AA">
        <w:rPr>
          <w:rFonts w:ascii="Times New Roman" w:eastAsia="Times New Roman" w:hAnsi="Times New Roman" w:cs="Times New Roman"/>
          <w:color w:val="000000"/>
          <w:lang w:eastAsia="en-AU"/>
        </w:rPr>
        <w:t xml:space="preserve"> </w:t>
      </w:r>
      <w:r w:rsidR="00506B9E">
        <w:rPr>
          <w:rFonts w:ascii="Times New Roman" w:eastAsia="Times New Roman" w:hAnsi="Times New Roman" w:cs="Times New Roman"/>
          <w:color w:val="000000"/>
          <w:lang w:eastAsia="en-AU"/>
        </w:rPr>
        <w:t xml:space="preserve">(with more than 100,000 CSG services) are </w:t>
      </w:r>
      <w:r w:rsidR="00715BA0">
        <w:rPr>
          <w:rFonts w:ascii="Times New Roman" w:eastAsia="Times New Roman" w:hAnsi="Times New Roman" w:cs="Times New Roman"/>
          <w:color w:val="000000"/>
          <w:lang w:eastAsia="en-AU"/>
        </w:rPr>
        <w:t xml:space="preserve">generally </w:t>
      </w:r>
      <w:r w:rsidR="00506B9E">
        <w:rPr>
          <w:rFonts w:ascii="Times New Roman" w:eastAsia="Times New Roman" w:hAnsi="Times New Roman" w:cs="Times New Roman"/>
          <w:color w:val="000000"/>
          <w:lang w:eastAsia="en-AU"/>
        </w:rPr>
        <w:t>required to meet</w:t>
      </w:r>
      <w:r w:rsidR="00715BA0">
        <w:rPr>
          <w:rFonts w:ascii="Times New Roman" w:eastAsia="Times New Roman" w:hAnsi="Times New Roman" w:cs="Times New Roman"/>
          <w:color w:val="000000"/>
          <w:lang w:eastAsia="en-AU"/>
        </w:rPr>
        <w:t xml:space="preserve"> or exceed </w:t>
      </w:r>
      <w:r w:rsidR="00C1213D">
        <w:rPr>
          <w:rFonts w:ascii="Times New Roman" w:eastAsia="Times New Roman" w:hAnsi="Times New Roman" w:cs="Times New Roman"/>
          <w:color w:val="000000"/>
          <w:lang w:eastAsia="en-AU"/>
        </w:rPr>
        <w:t xml:space="preserve">performance </w:t>
      </w:r>
      <w:r w:rsidR="00715BA0">
        <w:rPr>
          <w:rFonts w:ascii="Times New Roman" w:eastAsia="Times New Roman" w:hAnsi="Times New Roman" w:cs="Times New Roman"/>
          <w:color w:val="000000"/>
          <w:lang w:eastAsia="en-AU"/>
        </w:rPr>
        <w:t>benchmarks, currently set at 90% for:</w:t>
      </w:r>
      <w:r w:rsidR="00506B9E">
        <w:rPr>
          <w:rFonts w:ascii="Times New Roman" w:eastAsia="Times New Roman" w:hAnsi="Times New Roman" w:cs="Times New Roman"/>
          <w:color w:val="000000"/>
          <w:lang w:eastAsia="en-AU"/>
        </w:rPr>
        <w:t xml:space="preserve"> </w:t>
      </w:r>
    </w:p>
    <w:p w14:paraId="37766869" w14:textId="6CFDADED" w:rsidR="00715BA0" w:rsidRDefault="00506B9E" w:rsidP="00715BA0">
      <w:pPr>
        <w:pStyle w:val="ListParagraph"/>
        <w:numPr>
          <w:ilvl w:val="0"/>
          <w:numId w:val="5"/>
        </w:num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in</w:t>
      </w:r>
      <w:r w:rsidR="00EC6E07">
        <w:rPr>
          <w:rFonts w:ascii="Times New Roman" w:hAnsi="Times New Roman" w:cs="Times New Roman"/>
          <w:color w:val="000000" w:themeColor="text1"/>
          <w:sz w:val="24"/>
          <w:szCs w:val="24"/>
        </w:rPr>
        <w:t>-</w:t>
      </w:r>
      <w:r w:rsidRPr="00715BA0">
        <w:rPr>
          <w:rFonts w:ascii="Times New Roman" w:hAnsi="Times New Roman" w:cs="Times New Roman"/>
          <w:color w:val="000000" w:themeColor="text1"/>
          <w:sz w:val="24"/>
          <w:szCs w:val="24"/>
        </w:rPr>
        <w:t>place connections</w:t>
      </w:r>
      <w:r w:rsidR="00EC6E07">
        <w:rPr>
          <w:rFonts w:ascii="Times New Roman" w:hAnsi="Times New Roman" w:cs="Times New Roman"/>
          <w:color w:val="000000" w:themeColor="text1"/>
          <w:sz w:val="24"/>
          <w:szCs w:val="24"/>
        </w:rPr>
        <w:t>,</w:t>
      </w:r>
    </w:p>
    <w:p w14:paraId="040DDCAF" w14:textId="5B306C45" w:rsidR="00715BA0" w:rsidRDefault="00506B9E" w:rsidP="00715BA0">
      <w:pPr>
        <w:pStyle w:val="ListParagraph"/>
        <w:numPr>
          <w:ilvl w:val="0"/>
          <w:numId w:val="5"/>
        </w:num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 xml:space="preserve">new connections </w:t>
      </w:r>
      <w:r w:rsidR="00715BA0" w:rsidRPr="00715BA0">
        <w:rPr>
          <w:rFonts w:ascii="Times New Roman" w:hAnsi="Times New Roman" w:cs="Times New Roman"/>
          <w:color w:val="000000" w:themeColor="text1"/>
          <w:sz w:val="24"/>
          <w:szCs w:val="24"/>
        </w:rPr>
        <w:t xml:space="preserve">(in </w:t>
      </w:r>
      <w:r w:rsidRPr="00715BA0">
        <w:rPr>
          <w:rFonts w:ascii="Times New Roman" w:hAnsi="Times New Roman" w:cs="Times New Roman"/>
          <w:color w:val="000000" w:themeColor="text1"/>
          <w:sz w:val="24"/>
          <w:szCs w:val="24"/>
        </w:rPr>
        <w:t>urban, major rural, minor rural and remote areas</w:t>
      </w:r>
      <w:r w:rsidR="00715BA0" w:rsidRPr="00715BA0">
        <w:rPr>
          <w:rFonts w:ascii="Times New Roman" w:hAnsi="Times New Roman" w:cs="Times New Roman"/>
          <w:color w:val="000000" w:themeColor="text1"/>
          <w:sz w:val="24"/>
          <w:szCs w:val="24"/>
        </w:rPr>
        <w:t>)</w:t>
      </w:r>
      <w:r w:rsidR="00715BA0">
        <w:rPr>
          <w:rFonts w:ascii="Times New Roman" w:hAnsi="Times New Roman" w:cs="Times New Roman"/>
          <w:color w:val="000000" w:themeColor="text1"/>
          <w:sz w:val="24"/>
          <w:szCs w:val="24"/>
        </w:rPr>
        <w:t xml:space="preserve">, </w:t>
      </w:r>
    </w:p>
    <w:p w14:paraId="57D6E024" w14:textId="6BB6816F" w:rsidR="00715BA0" w:rsidRDefault="00715BA0" w:rsidP="00715BA0">
      <w:pPr>
        <w:pStyle w:val="ListParagraph"/>
        <w:numPr>
          <w:ilvl w:val="0"/>
          <w:numId w:val="5"/>
        </w:num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fault repairs </w:t>
      </w:r>
      <w:r w:rsidRPr="00715BA0">
        <w:rPr>
          <w:rFonts w:ascii="Times New Roman" w:hAnsi="Times New Roman" w:cs="Times New Roman"/>
          <w:color w:val="000000" w:themeColor="text1"/>
          <w:sz w:val="24"/>
          <w:szCs w:val="24"/>
        </w:rPr>
        <w:t>(in urban, major rural, minor rural and remote areas)</w:t>
      </w:r>
      <w:r w:rsidR="00EC6E07">
        <w:rPr>
          <w:rFonts w:ascii="Times New Roman" w:hAnsi="Times New Roman" w:cs="Times New Roman"/>
          <w:color w:val="000000" w:themeColor="text1"/>
          <w:sz w:val="24"/>
          <w:szCs w:val="24"/>
        </w:rPr>
        <w:t>,</w:t>
      </w:r>
      <w:r w:rsidR="00506B9E" w:rsidRPr="00715BA0">
        <w:rPr>
          <w:rFonts w:ascii="Times New Roman" w:hAnsi="Times New Roman" w:cs="Times New Roman"/>
          <w:color w:val="000000" w:themeColor="text1"/>
          <w:sz w:val="24"/>
          <w:szCs w:val="24"/>
        </w:rPr>
        <w:t xml:space="preserve"> </w:t>
      </w:r>
      <w:r w:rsidR="00EC6E07">
        <w:rPr>
          <w:rFonts w:ascii="Times New Roman" w:hAnsi="Times New Roman" w:cs="Times New Roman"/>
          <w:color w:val="000000" w:themeColor="text1"/>
          <w:sz w:val="24"/>
          <w:szCs w:val="24"/>
        </w:rPr>
        <w:t>and</w:t>
      </w:r>
    </w:p>
    <w:p w14:paraId="37678806" w14:textId="12F2C60F" w:rsidR="00EC6E07" w:rsidRDefault="00EC6E07" w:rsidP="00EC6E07">
      <w:pPr>
        <w:pStyle w:val="ListParagraph"/>
        <w:numPr>
          <w:ilvl w:val="0"/>
          <w:numId w:val="5"/>
        </w:num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appointment keeping</w:t>
      </w:r>
      <w:r>
        <w:rPr>
          <w:rFonts w:ascii="Times New Roman" w:hAnsi="Times New Roman" w:cs="Times New Roman"/>
          <w:color w:val="000000" w:themeColor="text1"/>
          <w:sz w:val="24"/>
          <w:szCs w:val="24"/>
        </w:rPr>
        <w:t>.</w:t>
      </w:r>
    </w:p>
    <w:p w14:paraId="1766D977" w14:textId="77777777" w:rsidR="00715BA0" w:rsidRDefault="00715BA0" w:rsidP="00715BA0">
      <w:pPr>
        <w:spacing w:before="0" w:line="240" w:lineRule="auto"/>
        <w:rPr>
          <w:rFonts w:ascii="Times New Roman" w:hAnsi="Times New Roman" w:cs="Times New Roman"/>
          <w:color w:val="000000" w:themeColor="text1"/>
          <w:sz w:val="24"/>
          <w:szCs w:val="24"/>
        </w:rPr>
      </w:pPr>
    </w:p>
    <w:p w14:paraId="31CB955F" w14:textId="0D447C72" w:rsidR="00DB2C37" w:rsidRPr="00715BA0" w:rsidRDefault="00732F58" w:rsidP="00715BA0">
      <w:p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 xml:space="preserve">The graduated penalty amounts </w:t>
      </w:r>
      <w:r w:rsidR="00580285" w:rsidRPr="00715BA0">
        <w:rPr>
          <w:rFonts w:ascii="Times New Roman" w:hAnsi="Times New Roman" w:cs="Times New Roman"/>
          <w:color w:val="000000" w:themeColor="text1"/>
          <w:sz w:val="24"/>
          <w:szCs w:val="24"/>
        </w:rPr>
        <w:t xml:space="preserve">here </w:t>
      </w:r>
      <w:r w:rsidRPr="00715BA0">
        <w:rPr>
          <w:rFonts w:ascii="Times New Roman" w:hAnsi="Times New Roman" w:cs="Times New Roman"/>
          <w:color w:val="000000" w:themeColor="text1"/>
          <w:sz w:val="24"/>
          <w:szCs w:val="24"/>
        </w:rPr>
        <w:t xml:space="preserve">operate in the same way </w:t>
      </w:r>
      <w:r w:rsidR="00C73C17" w:rsidRPr="00715BA0">
        <w:rPr>
          <w:rFonts w:ascii="Times New Roman" w:hAnsi="Times New Roman" w:cs="Times New Roman"/>
          <w:color w:val="000000" w:themeColor="text1"/>
          <w:sz w:val="24"/>
          <w:szCs w:val="24"/>
        </w:rPr>
        <w:t xml:space="preserve">and for the same reasons </w:t>
      </w:r>
      <w:r w:rsidRPr="00715BA0">
        <w:rPr>
          <w:rFonts w:ascii="Times New Roman" w:hAnsi="Times New Roman" w:cs="Times New Roman"/>
          <w:color w:val="000000" w:themeColor="text1"/>
          <w:sz w:val="24"/>
          <w:szCs w:val="24"/>
        </w:rPr>
        <w:t xml:space="preserve">as </w:t>
      </w:r>
      <w:r w:rsidR="00C73C17" w:rsidRPr="00715BA0">
        <w:rPr>
          <w:rFonts w:ascii="Times New Roman" w:hAnsi="Times New Roman" w:cs="Times New Roman"/>
          <w:color w:val="000000" w:themeColor="text1"/>
          <w:sz w:val="24"/>
          <w:szCs w:val="24"/>
        </w:rPr>
        <w:t xml:space="preserve">set out for the </w:t>
      </w:r>
      <w:r w:rsidRPr="00715BA0">
        <w:rPr>
          <w:rFonts w:ascii="Times New Roman" w:hAnsi="Times New Roman" w:cs="Times New Roman"/>
          <w:color w:val="000000" w:themeColor="text1"/>
          <w:sz w:val="24"/>
          <w:szCs w:val="24"/>
        </w:rPr>
        <w:t xml:space="preserve">graduated penalty amounts described above for </w:t>
      </w:r>
      <w:r w:rsidR="00280AE7" w:rsidRPr="00715BA0">
        <w:rPr>
          <w:rFonts w:ascii="Times New Roman" w:hAnsi="Times New Roman" w:cs="Times New Roman"/>
          <w:color w:val="000000" w:themeColor="text1"/>
          <w:sz w:val="24"/>
          <w:szCs w:val="24"/>
        </w:rPr>
        <w:t>i</w:t>
      </w:r>
      <w:r w:rsidRPr="00715BA0">
        <w:rPr>
          <w:rFonts w:ascii="Times New Roman" w:hAnsi="Times New Roman" w:cs="Times New Roman"/>
          <w:color w:val="000000" w:themeColor="text1"/>
          <w:sz w:val="24"/>
          <w:szCs w:val="24"/>
        </w:rPr>
        <w:t>tems 1 to 3 of Schedule 1.</w:t>
      </w:r>
    </w:p>
    <w:p w14:paraId="139BFA5A" w14:textId="7E4F1CB1" w:rsidR="00BC5148" w:rsidRPr="00580285" w:rsidRDefault="000C728A" w:rsidP="0082688E">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 </w:t>
      </w:r>
    </w:p>
    <w:p w14:paraId="064FDAB3" w14:textId="77777777" w:rsidR="00E54D3D" w:rsidRPr="00580285" w:rsidRDefault="00E54D3D">
      <w:pPr>
        <w:spacing w:before="0" w:after="200" w:line="276" w:lineRule="auto"/>
        <w:rPr>
          <w:rFonts w:ascii="Times New Roman" w:hAnsi="Times New Roman" w:cs="Times New Roman"/>
          <w:b/>
          <w:color w:val="000000" w:themeColor="text1"/>
          <w:sz w:val="24"/>
          <w:szCs w:val="24"/>
        </w:rPr>
      </w:pPr>
      <w:r w:rsidRPr="00580285">
        <w:rPr>
          <w:rFonts w:ascii="Times New Roman" w:hAnsi="Times New Roman" w:cs="Times New Roman"/>
          <w:b/>
          <w:color w:val="000000" w:themeColor="text1"/>
          <w:sz w:val="24"/>
          <w:szCs w:val="24"/>
        </w:rPr>
        <w:br w:type="page"/>
      </w:r>
    </w:p>
    <w:p w14:paraId="79B7AAE2" w14:textId="3398C1CE" w:rsidR="00E54D3D" w:rsidRPr="00580285" w:rsidRDefault="00E54D3D" w:rsidP="00E54D3D">
      <w:pPr>
        <w:spacing w:before="0" w:after="120" w:line="240" w:lineRule="auto"/>
        <w:jc w:val="right"/>
        <w:rPr>
          <w:rFonts w:ascii="Times New Roman" w:hAnsi="Times New Roman" w:cs="Times New Roman"/>
          <w:b/>
          <w:color w:val="000000" w:themeColor="text1"/>
          <w:sz w:val="24"/>
          <w:szCs w:val="24"/>
        </w:rPr>
      </w:pPr>
      <w:r w:rsidRPr="00580285">
        <w:rPr>
          <w:rFonts w:ascii="Times New Roman" w:hAnsi="Times New Roman" w:cs="Times New Roman"/>
          <w:b/>
          <w:color w:val="000000" w:themeColor="text1"/>
          <w:sz w:val="24"/>
          <w:szCs w:val="24"/>
        </w:rPr>
        <w:lastRenderedPageBreak/>
        <w:t>Attachment B</w:t>
      </w:r>
    </w:p>
    <w:p w14:paraId="16239DE9" w14:textId="77777777" w:rsidR="00E54D3D" w:rsidRPr="00580285" w:rsidRDefault="00E54D3D" w:rsidP="00E54D3D">
      <w:pPr>
        <w:pStyle w:val="Heading2"/>
        <w:keepNext w:val="0"/>
        <w:keepLines w:val="0"/>
        <w:spacing w:before="360" w:after="120" w:line="240" w:lineRule="auto"/>
        <w:jc w:val="center"/>
        <w:rPr>
          <w:rFonts w:ascii="Times New Roman" w:eastAsiaTheme="minorHAnsi" w:hAnsi="Times New Roman" w:cstheme="minorBidi"/>
          <w:b/>
          <w:color w:val="auto"/>
          <w:sz w:val="28"/>
          <w:szCs w:val="28"/>
        </w:rPr>
      </w:pPr>
      <w:r w:rsidRPr="00580285">
        <w:rPr>
          <w:rFonts w:ascii="Times New Roman" w:eastAsiaTheme="minorHAnsi" w:hAnsi="Times New Roman" w:cstheme="minorBidi"/>
          <w:b/>
          <w:color w:val="auto"/>
          <w:sz w:val="28"/>
          <w:szCs w:val="28"/>
        </w:rPr>
        <w:t>Statement of Compatibility with Human Rights</w:t>
      </w:r>
    </w:p>
    <w:p w14:paraId="7549105C" w14:textId="6F6DA638" w:rsidR="00E54D3D" w:rsidRPr="00580285" w:rsidRDefault="00E54D3D" w:rsidP="00E54D3D">
      <w:pPr>
        <w:spacing w:before="240" w:after="240" w:line="240" w:lineRule="auto"/>
        <w:jc w:val="center"/>
        <w:rPr>
          <w:rFonts w:ascii="Times New Roman" w:eastAsia="Times New Roman" w:hAnsi="Times New Roman" w:cs="Times New Roman"/>
          <w:i/>
          <w:sz w:val="24"/>
          <w:szCs w:val="24"/>
          <w:lang w:eastAsia="en-AU"/>
        </w:rPr>
      </w:pPr>
      <w:r w:rsidRPr="00580285">
        <w:rPr>
          <w:rFonts w:ascii="Times New Roman" w:eastAsia="Times New Roman" w:hAnsi="Times New Roman" w:cs="Times New Roman"/>
          <w:i/>
          <w:sz w:val="24"/>
          <w:szCs w:val="24"/>
          <w:lang w:eastAsia="en-AU"/>
        </w:rPr>
        <w:t>Prepared in accordance with Part 3 of the Human Rights (Parliamentary Scrutiny) Act 2011</w:t>
      </w:r>
    </w:p>
    <w:p w14:paraId="659DA2D3" w14:textId="061F0E98" w:rsidR="00E54D3D" w:rsidRPr="00580285" w:rsidRDefault="00E54D3D" w:rsidP="00E54D3D">
      <w:pPr>
        <w:shd w:val="clear" w:color="auto" w:fill="FFFFFF"/>
        <w:spacing w:before="100" w:beforeAutospacing="1" w:after="160"/>
        <w:contextualSpacing/>
        <w:jc w:val="center"/>
        <w:rPr>
          <w:rFonts w:ascii="Times New Roman" w:hAnsi="Times New Roman"/>
          <w:b/>
          <w:sz w:val="28"/>
          <w:szCs w:val="28"/>
        </w:rPr>
      </w:pPr>
      <w:r w:rsidRPr="00580285">
        <w:rPr>
          <w:rFonts w:ascii="Times New Roman" w:hAnsi="Times New Roman"/>
          <w:b/>
          <w:iCs/>
          <w:color w:val="000000"/>
          <w:sz w:val="28"/>
          <w:szCs w:val="28"/>
        </w:rPr>
        <w:t>Telecommunications (Infringement Notice Penalties) Determination 2022</w:t>
      </w:r>
    </w:p>
    <w:p w14:paraId="6ACBD552" w14:textId="77777777" w:rsidR="00E54D3D" w:rsidRPr="00580285" w:rsidRDefault="00E54D3D" w:rsidP="00FC2155">
      <w:pPr>
        <w:spacing w:before="240"/>
        <w:rPr>
          <w:rFonts w:ascii="Times New Roman" w:hAnsi="Times New Roman"/>
          <w:b/>
          <w:i/>
          <w:sz w:val="24"/>
        </w:rPr>
      </w:pPr>
      <w:r w:rsidRPr="00580285">
        <w:rPr>
          <w:rFonts w:ascii="Times New Roman" w:hAnsi="Times New Roman"/>
          <w:b/>
          <w:i/>
          <w:sz w:val="24"/>
        </w:rPr>
        <w:t xml:space="preserve">Overview </w:t>
      </w:r>
    </w:p>
    <w:p w14:paraId="3D8EC8D5" w14:textId="77777777" w:rsidR="00E54D3D" w:rsidRPr="00580285" w:rsidRDefault="00E54D3D" w:rsidP="00E54D3D">
      <w:pPr>
        <w:spacing w:before="0" w:line="240" w:lineRule="auto"/>
        <w:rPr>
          <w:rFonts w:ascii="Times New Roman" w:hAnsi="Times New Roman" w:cs="Times New Roman"/>
          <w:bCs/>
          <w:sz w:val="24"/>
          <w:szCs w:val="24"/>
        </w:rPr>
      </w:pPr>
      <w:r w:rsidRPr="00580285">
        <w:rPr>
          <w:rFonts w:ascii="Times New Roman" w:hAnsi="Times New Roman" w:cs="Times New Roman"/>
          <w:sz w:val="24"/>
          <w:szCs w:val="24"/>
        </w:rPr>
        <w:t xml:space="preserve">The </w:t>
      </w:r>
      <w:r w:rsidRPr="00580285">
        <w:rPr>
          <w:rFonts w:ascii="Times New Roman" w:hAnsi="Times New Roman" w:cs="Times New Roman"/>
          <w:bCs/>
          <w:i/>
          <w:sz w:val="24"/>
          <w:szCs w:val="24"/>
        </w:rPr>
        <w:t>Telecommunications (Infringement Notice Penalties) Determination 2022</w:t>
      </w:r>
      <w:r w:rsidRPr="00580285">
        <w:rPr>
          <w:rFonts w:ascii="Times New Roman" w:hAnsi="Times New Roman" w:cs="Times New Roman"/>
          <w:bCs/>
          <w:sz w:val="24"/>
          <w:szCs w:val="24"/>
        </w:rPr>
        <w:t xml:space="preserve"> (the Determination) is made by the Minister for Communications under subsection 572G(2) of the </w:t>
      </w:r>
      <w:r w:rsidRPr="00580285">
        <w:rPr>
          <w:rFonts w:ascii="Times New Roman" w:hAnsi="Times New Roman" w:cs="Times New Roman"/>
          <w:bCs/>
          <w:i/>
          <w:sz w:val="24"/>
          <w:szCs w:val="24"/>
        </w:rPr>
        <w:t>Telecommunications Act 1997</w:t>
      </w:r>
      <w:r w:rsidRPr="00580285">
        <w:rPr>
          <w:rFonts w:ascii="Times New Roman" w:hAnsi="Times New Roman" w:cs="Times New Roman"/>
          <w:bCs/>
          <w:sz w:val="24"/>
          <w:szCs w:val="24"/>
        </w:rPr>
        <w:t xml:space="preserve"> (the Act). </w:t>
      </w:r>
      <w:r w:rsidRPr="00580285">
        <w:rPr>
          <w:rFonts w:ascii="Times New Roman" w:hAnsi="Times New Roman" w:cs="Times New Roman"/>
          <w:bCs/>
          <w:sz w:val="24"/>
          <w:szCs w:val="24"/>
        </w:rPr>
        <w:br/>
      </w:r>
    </w:p>
    <w:p w14:paraId="29BB6FB1" w14:textId="1324DD07" w:rsidR="00E54D3D" w:rsidRPr="00580285" w:rsidRDefault="00E54D3D" w:rsidP="00E54D3D">
      <w:pPr>
        <w:spacing w:before="0" w:line="240" w:lineRule="auto"/>
        <w:rPr>
          <w:rFonts w:ascii="Times New Roman" w:hAnsi="Times New Roman" w:cs="Times New Roman"/>
          <w:bCs/>
          <w:sz w:val="24"/>
          <w:szCs w:val="24"/>
        </w:rPr>
      </w:pPr>
      <w:r w:rsidRPr="00580285">
        <w:rPr>
          <w:rFonts w:ascii="Times New Roman" w:hAnsi="Times New Roman" w:cs="Times New Roman"/>
          <w:bCs/>
          <w:sz w:val="24"/>
          <w:szCs w:val="24"/>
        </w:rPr>
        <w:t xml:space="preserve">The purpose of the Determination is to specify a higher number of penalty units that apply to certain kinds of contraventions by a body corporate of the civil penalty provisions in sections 68 or 101 of the Act. </w:t>
      </w:r>
      <w:r w:rsidR="00086129">
        <w:rPr>
          <w:rFonts w:ascii="Times New Roman" w:hAnsi="Times New Roman" w:cs="Times New Roman"/>
          <w:bCs/>
          <w:sz w:val="24"/>
          <w:szCs w:val="24"/>
        </w:rPr>
        <w:t>Generally, i</w:t>
      </w:r>
      <w:r w:rsidRPr="00580285">
        <w:rPr>
          <w:rFonts w:ascii="Times New Roman" w:hAnsi="Times New Roman" w:cs="Times New Roman"/>
          <w:bCs/>
          <w:sz w:val="24"/>
          <w:szCs w:val="24"/>
        </w:rPr>
        <w:t xml:space="preserve">n relation to such contraventions, an authorised infringement notice officer of the Australian Communications and Media Authority (the ACMA) may issue an infringement notice. </w:t>
      </w:r>
      <w:r w:rsidR="00086129">
        <w:rPr>
          <w:rFonts w:ascii="Times New Roman" w:hAnsi="Times New Roman" w:cs="Times New Roman"/>
          <w:bCs/>
          <w:sz w:val="24"/>
          <w:szCs w:val="24"/>
        </w:rPr>
        <w:t>By default,</w:t>
      </w:r>
      <w:r w:rsidRPr="00580285">
        <w:rPr>
          <w:rFonts w:ascii="Times New Roman" w:hAnsi="Times New Roman" w:cs="Times New Roman"/>
          <w:bCs/>
          <w:sz w:val="24"/>
          <w:szCs w:val="24"/>
        </w:rPr>
        <w:t xml:space="preserve"> </w:t>
      </w:r>
      <w:r w:rsidR="00086129">
        <w:rPr>
          <w:rFonts w:ascii="Times New Roman" w:hAnsi="Times New Roman" w:cs="Times New Roman"/>
          <w:bCs/>
          <w:sz w:val="24"/>
          <w:szCs w:val="24"/>
        </w:rPr>
        <w:t xml:space="preserve">an ACMA </w:t>
      </w:r>
      <w:r w:rsidRPr="00580285">
        <w:rPr>
          <w:rFonts w:ascii="Times New Roman" w:hAnsi="Times New Roman" w:cs="Times New Roman"/>
          <w:bCs/>
          <w:sz w:val="24"/>
          <w:szCs w:val="24"/>
        </w:rPr>
        <w:t xml:space="preserve">authorised infringement notice officer may only issue an infringement notice for </w:t>
      </w:r>
      <w:r w:rsidRPr="00580285">
        <w:rPr>
          <w:rFonts w:ascii="Times New Roman" w:hAnsi="Times New Roman" w:cs="Times New Roman"/>
          <w:color w:val="000000" w:themeColor="text1"/>
          <w:sz w:val="24"/>
          <w:szCs w:val="24"/>
        </w:rPr>
        <w:t xml:space="preserve">60 penalty units </w:t>
      </w:r>
      <w:r w:rsidR="00086129">
        <w:rPr>
          <w:rFonts w:ascii="Times New Roman" w:hAnsi="Times New Roman" w:cs="Times New Roman"/>
          <w:color w:val="000000" w:themeColor="text1"/>
          <w:sz w:val="24"/>
          <w:szCs w:val="24"/>
        </w:rPr>
        <w:t>to</w:t>
      </w:r>
      <w:r w:rsidRPr="00580285">
        <w:rPr>
          <w:rFonts w:ascii="Times New Roman" w:hAnsi="Times New Roman" w:cs="Times New Roman"/>
          <w:color w:val="000000" w:themeColor="text1"/>
          <w:sz w:val="24"/>
          <w:szCs w:val="24"/>
        </w:rPr>
        <w:t xml:space="preserve"> a body corporate.</w:t>
      </w:r>
    </w:p>
    <w:p w14:paraId="044F8741" w14:textId="77777777" w:rsidR="00E54D3D" w:rsidRPr="00580285" w:rsidRDefault="00E54D3D" w:rsidP="00E54D3D">
      <w:pPr>
        <w:shd w:val="clear" w:color="auto" w:fill="FFFFFF"/>
        <w:spacing w:before="120"/>
        <w:rPr>
          <w:rFonts w:ascii="Times New Roman" w:hAnsi="Times New Roman"/>
          <w:color w:val="000000"/>
          <w:szCs w:val="20"/>
        </w:rPr>
      </w:pPr>
      <w:r w:rsidRPr="00580285">
        <w:rPr>
          <w:rFonts w:ascii="Times New Roman" w:hAnsi="Times New Roman"/>
          <w:b/>
          <w:bCs/>
          <w:i/>
          <w:iCs/>
          <w:color w:val="000000"/>
          <w:sz w:val="24"/>
        </w:rPr>
        <w:t>Human rights implications</w:t>
      </w:r>
    </w:p>
    <w:p w14:paraId="4CEA0DB6" w14:textId="4D947C82" w:rsidR="00086129" w:rsidRPr="00086129" w:rsidRDefault="00E06A00" w:rsidP="00086129">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w:t>
      </w:r>
      <w:r w:rsidRPr="00E06A00">
        <w:rPr>
          <w:rFonts w:ascii="Times New Roman" w:hAnsi="Times New Roman" w:cs="Times New Roman"/>
          <w:color w:val="000000" w:themeColor="text1"/>
          <w:sz w:val="24"/>
          <w:szCs w:val="24"/>
        </w:rPr>
        <w:t>authorised infringement notice officer of the ACMA may, if they have reasonable grounds to believe that a person has contravened a particular civil penalty provision give the person an infringement notice relating to the alleged contravention(s).</w:t>
      </w:r>
      <w:r w:rsidRPr="00580285">
        <w:rPr>
          <w:rFonts w:ascii="Times New Roman" w:hAnsi="Times New Roman" w:cs="Times New Roman"/>
          <w:color w:val="000000" w:themeColor="text1"/>
          <w:sz w:val="24"/>
          <w:szCs w:val="24"/>
        </w:rPr>
        <w:t xml:space="preserve"> </w:t>
      </w:r>
      <w:r w:rsidR="00086129" w:rsidRPr="00086129">
        <w:rPr>
          <w:rFonts w:ascii="Times New Roman" w:hAnsi="Times New Roman" w:cs="Times New Roman"/>
          <w:color w:val="000000" w:themeColor="text1"/>
          <w:sz w:val="24"/>
          <w:szCs w:val="24"/>
        </w:rPr>
        <w:t xml:space="preserve">The ACMA’s </w:t>
      </w:r>
      <w:r w:rsidR="00955D6B">
        <w:rPr>
          <w:rFonts w:ascii="Times New Roman" w:hAnsi="Times New Roman" w:cs="Times New Roman"/>
          <w:color w:val="000000" w:themeColor="text1"/>
          <w:sz w:val="24"/>
          <w:szCs w:val="24"/>
        </w:rPr>
        <w:t xml:space="preserve">overall </w:t>
      </w:r>
      <w:r w:rsidR="00086129" w:rsidRPr="00086129">
        <w:rPr>
          <w:rFonts w:ascii="Times New Roman" w:hAnsi="Times New Roman" w:cs="Times New Roman"/>
          <w:color w:val="000000" w:themeColor="text1"/>
          <w:sz w:val="24"/>
          <w:szCs w:val="24"/>
        </w:rPr>
        <w:t xml:space="preserve">approach to the </w:t>
      </w:r>
      <w:r w:rsidR="00955D6B">
        <w:rPr>
          <w:rFonts w:ascii="Times New Roman" w:hAnsi="Times New Roman" w:cs="Times New Roman"/>
          <w:color w:val="000000" w:themeColor="text1"/>
          <w:sz w:val="24"/>
          <w:szCs w:val="24"/>
        </w:rPr>
        <w:t>use of</w:t>
      </w:r>
      <w:r w:rsidR="00086129" w:rsidRPr="00086129">
        <w:rPr>
          <w:rFonts w:ascii="Times New Roman" w:hAnsi="Times New Roman" w:cs="Times New Roman"/>
          <w:color w:val="000000" w:themeColor="text1"/>
          <w:sz w:val="24"/>
          <w:szCs w:val="24"/>
        </w:rPr>
        <w:t xml:space="preserve"> infringement notices is set out in the </w:t>
      </w:r>
      <w:hyperlink r:id="rId11" w:history="1">
        <w:r w:rsidR="00086129" w:rsidRPr="00086129">
          <w:rPr>
            <w:rFonts w:ascii="Times New Roman" w:hAnsi="Times New Roman" w:cs="Times New Roman"/>
            <w:i/>
            <w:color w:val="000000" w:themeColor="text1"/>
            <w:sz w:val="24"/>
            <w:szCs w:val="24"/>
          </w:rPr>
          <w:t>Telecommunications (Infringement Notices) Guidelines 2022</w:t>
        </w:r>
      </w:hyperlink>
      <w:r w:rsidR="00086129">
        <w:rPr>
          <w:rFonts w:ascii="Times New Roman" w:hAnsi="Times New Roman" w:cs="Times New Roman"/>
          <w:i/>
          <w:color w:val="000000" w:themeColor="text1"/>
          <w:sz w:val="24"/>
          <w:szCs w:val="24"/>
        </w:rPr>
        <w:t>.</w:t>
      </w:r>
      <w:r w:rsidR="00086129">
        <w:rPr>
          <w:rStyle w:val="FootnoteReference"/>
          <w:rFonts w:ascii="Times New Roman" w:hAnsi="Times New Roman" w:cs="Times New Roman"/>
          <w:i/>
          <w:color w:val="000000" w:themeColor="text1"/>
          <w:sz w:val="24"/>
          <w:szCs w:val="24"/>
        </w:rPr>
        <w:footnoteReference w:id="2"/>
      </w:r>
    </w:p>
    <w:p w14:paraId="25D08E26" w14:textId="77777777" w:rsidR="00086129" w:rsidRDefault="00086129" w:rsidP="00E06A00">
      <w:pPr>
        <w:spacing w:before="0" w:line="240" w:lineRule="auto"/>
        <w:rPr>
          <w:rFonts w:ascii="Times New Roman" w:hAnsi="Times New Roman" w:cs="Times New Roman"/>
          <w:color w:val="000000" w:themeColor="text1"/>
          <w:sz w:val="24"/>
          <w:szCs w:val="24"/>
        </w:rPr>
      </w:pPr>
    </w:p>
    <w:p w14:paraId="112BCA90" w14:textId="37AFD4FA" w:rsidR="00E54D3D" w:rsidRDefault="00E06A00" w:rsidP="00E54D3D">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w:t>
      </w:r>
      <w:r w:rsidRPr="00580285">
        <w:rPr>
          <w:rFonts w:ascii="Times New Roman" w:hAnsi="Times New Roman" w:cs="Times New Roman"/>
          <w:color w:val="000000" w:themeColor="text1"/>
          <w:sz w:val="24"/>
          <w:szCs w:val="24"/>
        </w:rPr>
        <w:t xml:space="preserve"> Determination </w:t>
      </w:r>
      <w:r>
        <w:rPr>
          <w:rFonts w:ascii="Times New Roman" w:hAnsi="Times New Roman" w:cs="Times New Roman"/>
          <w:color w:val="000000" w:themeColor="text1"/>
          <w:sz w:val="24"/>
          <w:szCs w:val="24"/>
        </w:rPr>
        <w:t>provides</w:t>
      </w:r>
      <w:r w:rsidR="00086129">
        <w:rPr>
          <w:rFonts w:ascii="Times New Roman" w:hAnsi="Times New Roman" w:cs="Times New Roman"/>
          <w:color w:val="000000" w:themeColor="text1"/>
          <w:sz w:val="24"/>
          <w:szCs w:val="24"/>
        </w:rPr>
        <w:t xml:space="preserve">, in relation to specific provisions, </w:t>
      </w:r>
      <w:r w:rsidRPr="00580285">
        <w:rPr>
          <w:rFonts w:ascii="Times New Roman" w:hAnsi="Times New Roman" w:cs="Times New Roman"/>
          <w:color w:val="000000" w:themeColor="text1"/>
          <w:sz w:val="24"/>
          <w:szCs w:val="24"/>
        </w:rPr>
        <w:t xml:space="preserve">higher pecuniary penalty amounts that are to be specified in </w:t>
      </w:r>
      <w:r w:rsidR="00086129">
        <w:rPr>
          <w:rFonts w:ascii="Times New Roman" w:hAnsi="Times New Roman" w:cs="Times New Roman"/>
          <w:color w:val="000000" w:themeColor="text1"/>
          <w:sz w:val="24"/>
          <w:szCs w:val="24"/>
        </w:rPr>
        <w:t xml:space="preserve">relation to </w:t>
      </w:r>
      <w:r w:rsidRPr="00580285">
        <w:rPr>
          <w:rFonts w:ascii="Times New Roman" w:hAnsi="Times New Roman" w:cs="Times New Roman"/>
          <w:color w:val="000000" w:themeColor="text1"/>
          <w:sz w:val="24"/>
          <w:szCs w:val="24"/>
        </w:rPr>
        <w:t>infringement notices issued by the ACMA to body corporates</w:t>
      </w:r>
      <w:r>
        <w:rPr>
          <w:rFonts w:ascii="Times New Roman" w:hAnsi="Times New Roman" w:cs="Times New Roman"/>
          <w:color w:val="000000" w:themeColor="text1"/>
          <w:sz w:val="24"/>
          <w:szCs w:val="24"/>
        </w:rPr>
        <w:t xml:space="preserve">. </w:t>
      </w:r>
      <w:r w:rsidR="00E54D3D" w:rsidRPr="00580285">
        <w:rPr>
          <w:rFonts w:ascii="Times New Roman" w:hAnsi="Times New Roman" w:cs="Times New Roman"/>
          <w:color w:val="000000" w:themeColor="text1"/>
          <w:sz w:val="24"/>
          <w:szCs w:val="24"/>
        </w:rPr>
        <w:t xml:space="preserve">There is no </w:t>
      </w:r>
      <w:r w:rsidR="00221D4A">
        <w:rPr>
          <w:rFonts w:ascii="Times New Roman" w:hAnsi="Times New Roman" w:cs="Times New Roman"/>
          <w:color w:val="000000" w:themeColor="text1"/>
          <w:sz w:val="24"/>
          <w:szCs w:val="24"/>
        </w:rPr>
        <w:t>requirement</w:t>
      </w:r>
      <w:r w:rsidR="00221D4A" w:rsidRPr="00580285">
        <w:rPr>
          <w:rFonts w:ascii="Times New Roman" w:hAnsi="Times New Roman" w:cs="Times New Roman"/>
          <w:color w:val="000000" w:themeColor="text1"/>
          <w:sz w:val="24"/>
          <w:szCs w:val="24"/>
        </w:rPr>
        <w:t xml:space="preserve"> </w:t>
      </w:r>
      <w:r w:rsidR="00E54D3D" w:rsidRPr="00580285">
        <w:rPr>
          <w:rFonts w:ascii="Times New Roman" w:hAnsi="Times New Roman" w:cs="Times New Roman"/>
          <w:color w:val="000000" w:themeColor="text1"/>
          <w:sz w:val="24"/>
          <w:szCs w:val="24"/>
        </w:rPr>
        <w:t>to pay the penalty specified in an infringement notice. If the recipient of an infringement notice does not pay the penalty specified in the notice, the ACMA may commence court proceedings in relation to the alleged contravention.</w:t>
      </w:r>
    </w:p>
    <w:p w14:paraId="133955B9" w14:textId="77777777" w:rsidR="00E54D3D" w:rsidRPr="00580285" w:rsidRDefault="00E54D3D" w:rsidP="00E54D3D">
      <w:pPr>
        <w:spacing w:before="0" w:line="240" w:lineRule="auto"/>
        <w:rPr>
          <w:rFonts w:ascii="Times New Roman" w:hAnsi="Times New Roman" w:cs="Times New Roman"/>
          <w:color w:val="000000" w:themeColor="text1"/>
          <w:sz w:val="24"/>
          <w:szCs w:val="24"/>
        </w:rPr>
      </w:pPr>
    </w:p>
    <w:p w14:paraId="5336D44D" w14:textId="54398ECF" w:rsidR="00E54D3D" w:rsidRPr="00580285" w:rsidRDefault="00E54D3D" w:rsidP="00E54D3D">
      <w:pPr>
        <w:spacing w:before="0" w:line="240" w:lineRule="auto"/>
        <w:rPr>
          <w:rFonts w:ascii="Times New Roman" w:hAnsi="Times New Roman"/>
          <w:color w:val="000000"/>
          <w:sz w:val="24"/>
          <w:szCs w:val="24"/>
        </w:rPr>
      </w:pPr>
      <w:r w:rsidRPr="00325120">
        <w:rPr>
          <w:rFonts w:ascii="Times New Roman" w:hAnsi="Times New Roman"/>
          <w:color w:val="000000"/>
          <w:sz w:val="24"/>
          <w:szCs w:val="24"/>
          <w:highlight w:val="lightGray"/>
        </w:rPr>
        <w:t>No human rights issues were raised during the consultation process.</w:t>
      </w:r>
      <w:r w:rsidRPr="00580285">
        <w:rPr>
          <w:rFonts w:ascii="Times New Roman" w:hAnsi="Times New Roman"/>
          <w:color w:val="000000"/>
          <w:sz w:val="24"/>
          <w:szCs w:val="24"/>
        </w:rPr>
        <w:t xml:space="preserve"> The Determination does not engage any of the applicable rights or freedoms, and is compatible with the rights and freedoms recognised or declared by the international instruments listed in subsection 3(1) of the </w:t>
      </w:r>
      <w:r w:rsidRPr="00580285">
        <w:rPr>
          <w:rFonts w:ascii="Times New Roman" w:hAnsi="Times New Roman"/>
          <w:i/>
          <w:iCs/>
          <w:color w:val="000000"/>
          <w:sz w:val="24"/>
          <w:szCs w:val="24"/>
        </w:rPr>
        <w:t>Human Rights (Parliamentary Scrutiny) Act 2011</w:t>
      </w:r>
      <w:r w:rsidRPr="00580285">
        <w:rPr>
          <w:rFonts w:ascii="Times New Roman" w:hAnsi="Times New Roman"/>
          <w:color w:val="000000"/>
          <w:sz w:val="24"/>
          <w:szCs w:val="24"/>
        </w:rPr>
        <w:t> as they apply to Australia.</w:t>
      </w:r>
    </w:p>
    <w:p w14:paraId="5CC56449" w14:textId="77777777" w:rsidR="00E54D3D" w:rsidRPr="00580285" w:rsidRDefault="00E54D3D" w:rsidP="00E54D3D">
      <w:pPr>
        <w:shd w:val="clear" w:color="auto" w:fill="FFFFFF"/>
        <w:spacing w:before="120" w:after="120"/>
        <w:rPr>
          <w:rFonts w:ascii="Times New Roman" w:hAnsi="Times New Roman"/>
          <w:color w:val="000000"/>
          <w:szCs w:val="20"/>
        </w:rPr>
      </w:pPr>
      <w:r w:rsidRPr="00580285">
        <w:rPr>
          <w:rFonts w:ascii="Times New Roman" w:hAnsi="Times New Roman"/>
          <w:b/>
          <w:bCs/>
          <w:i/>
          <w:iCs/>
          <w:color w:val="000000"/>
          <w:sz w:val="24"/>
        </w:rPr>
        <w:t>Conclusion</w:t>
      </w:r>
    </w:p>
    <w:p w14:paraId="1BA52A33" w14:textId="77777777" w:rsidR="00E54D3D" w:rsidRPr="00E54D3D" w:rsidRDefault="00E54D3D" w:rsidP="00086129">
      <w:pPr>
        <w:shd w:val="clear" w:color="auto" w:fill="FFFFFF"/>
        <w:spacing w:after="120" w:line="240" w:lineRule="auto"/>
        <w:ind w:right="91"/>
        <w:rPr>
          <w:rFonts w:ascii="Times New Roman" w:hAnsi="Times New Roman"/>
          <w:color w:val="000000"/>
          <w:szCs w:val="20"/>
        </w:rPr>
      </w:pPr>
      <w:r w:rsidRPr="00580285">
        <w:rPr>
          <w:rFonts w:ascii="Times New Roman" w:hAnsi="Times New Roman"/>
          <w:color w:val="000000"/>
          <w:sz w:val="24"/>
        </w:rPr>
        <w:t>The Determination is compatible with human rights as it does not raise any human rights issues.</w:t>
      </w:r>
    </w:p>
    <w:p w14:paraId="0611325A" w14:textId="77777777" w:rsidR="00E54D3D" w:rsidRPr="00BC5148" w:rsidRDefault="00E54D3D" w:rsidP="0082688E">
      <w:pPr>
        <w:spacing w:before="0" w:line="240" w:lineRule="auto"/>
        <w:rPr>
          <w:rFonts w:ascii="Times New Roman" w:hAnsi="Times New Roman" w:cs="Times New Roman"/>
          <w:color w:val="000000" w:themeColor="text1"/>
          <w:sz w:val="24"/>
          <w:szCs w:val="24"/>
        </w:rPr>
      </w:pPr>
    </w:p>
    <w:sectPr w:rsidR="00E54D3D" w:rsidRPr="00BC5148" w:rsidSect="0026179B">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2FD4" w14:textId="77777777" w:rsidR="00134BBD" w:rsidRDefault="00134BBD" w:rsidP="0026179B">
      <w:pPr>
        <w:spacing w:before="0" w:line="240" w:lineRule="auto"/>
      </w:pPr>
      <w:r>
        <w:separator/>
      </w:r>
    </w:p>
  </w:endnote>
  <w:endnote w:type="continuationSeparator" w:id="0">
    <w:p w14:paraId="1450D555" w14:textId="77777777" w:rsidR="00134BBD" w:rsidRDefault="00134BBD" w:rsidP="002617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5102"/>
      <w:docPartObj>
        <w:docPartGallery w:val="Page Numbers (Top of Page)"/>
        <w:docPartUnique/>
      </w:docPartObj>
    </w:sdtPr>
    <w:sdtEndPr>
      <w:rPr>
        <w:sz w:val="23"/>
        <w:szCs w:val="23"/>
      </w:rPr>
    </w:sdtEndPr>
    <w:sdtContent>
      <w:p w14:paraId="4E1A4588" w14:textId="77777777" w:rsidR="00955D6B" w:rsidRPr="00840BF2" w:rsidRDefault="00955D6B" w:rsidP="00955D6B">
        <w:pPr>
          <w:pStyle w:val="Header"/>
          <w:jc w:val="center"/>
          <w:rPr>
            <w:sz w:val="23"/>
            <w:szCs w:val="23"/>
          </w:rPr>
        </w:pPr>
        <w:r w:rsidRPr="00840BF2">
          <w:rPr>
            <w:rFonts w:ascii="Times New Roman" w:hAnsi="Times New Roman" w:cs="Times New Roman"/>
            <w:sz w:val="23"/>
            <w:szCs w:val="23"/>
          </w:rPr>
          <w:fldChar w:fldCharType="begin"/>
        </w:r>
        <w:r w:rsidRPr="00840BF2">
          <w:rPr>
            <w:rFonts w:ascii="Times New Roman" w:hAnsi="Times New Roman" w:cs="Times New Roman"/>
            <w:sz w:val="23"/>
            <w:szCs w:val="23"/>
          </w:rPr>
          <w:instrText xml:space="preserve"> PAGE   \* MERGEFORMAT </w:instrText>
        </w:r>
        <w:r w:rsidRPr="00840BF2">
          <w:rPr>
            <w:rFonts w:ascii="Times New Roman" w:hAnsi="Times New Roman" w:cs="Times New Roman"/>
            <w:sz w:val="23"/>
            <w:szCs w:val="23"/>
          </w:rPr>
          <w:fldChar w:fldCharType="separate"/>
        </w:r>
        <w:r>
          <w:rPr>
            <w:rFonts w:ascii="Times New Roman" w:hAnsi="Times New Roman" w:cs="Times New Roman"/>
            <w:sz w:val="23"/>
            <w:szCs w:val="23"/>
          </w:rPr>
          <w:t>3</w:t>
        </w:r>
        <w:r w:rsidRPr="00840BF2">
          <w:rPr>
            <w:rFonts w:ascii="Times New Roman" w:hAnsi="Times New Roman" w:cs="Times New Roman"/>
            <w:sz w:val="23"/>
            <w:szCs w:val="23"/>
          </w:rPr>
          <w:fldChar w:fldCharType="end"/>
        </w:r>
      </w:p>
    </w:sdtContent>
  </w:sdt>
  <w:p w14:paraId="720D0E26" w14:textId="41677F44" w:rsidR="00955D6B" w:rsidRDefault="00B34173" w:rsidP="00E10D58">
    <w:pPr>
      <w:pStyle w:val="Header"/>
      <w:spacing w:before="0"/>
      <w:jc w:val="center"/>
    </w:pPr>
    <w:r w:rsidRPr="00B11A74">
      <w:rPr>
        <w:rFonts w:ascii="Times New Roman" w:hAnsi="Times New Roman" w:cs="Times New Roman"/>
        <w:b/>
        <w:sz w:val="24"/>
        <w:szCs w:val="24"/>
        <w:lang w:val="en-US"/>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8B87" w14:textId="26E95BC1" w:rsidR="00B34173" w:rsidRDefault="00B34173" w:rsidP="00E10D58">
    <w:pPr>
      <w:pStyle w:val="Header"/>
      <w:jc w:val="center"/>
    </w:pPr>
    <w:r w:rsidRPr="00B11A74">
      <w:rPr>
        <w:rFonts w:ascii="Times New Roman" w:hAnsi="Times New Roman" w:cs="Times New Roman"/>
        <w:b/>
        <w:sz w:val="24"/>
        <w:szCs w:val="24"/>
        <w:lang w:val="en-US"/>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9424" w14:textId="77777777" w:rsidR="00134BBD" w:rsidRDefault="00134BBD" w:rsidP="0026179B">
      <w:pPr>
        <w:spacing w:before="0" w:line="240" w:lineRule="auto"/>
      </w:pPr>
      <w:r>
        <w:separator/>
      </w:r>
    </w:p>
  </w:footnote>
  <w:footnote w:type="continuationSeparator" w:id="0">
    <w:p w14:paraId="15568BFC" w14:textId="77777777" w:rsidR="00134BBD" w:rsidRDefault="00134BBD" w:rsidP="0026179B">
      <w:pPr>
        <w:spacing w:before="0" w:line="240" w:lineRule="auto"/>
      </w:pPr>
      <w:r>
        <w:continuationSeparator/>
      </w:r>
    </w:p>
  </w:footnote>
  <w:footnote w:id="1">
    <w:p w14:paraId="5BF07CD8" w14:textId="2FA5F3DE" w:rsidR="007B1E95" w:rsidRPr="007B1E95" w:rsidRDefault="007B1E95">
      <w:pPr>
        <w:pStyle w:val="FootnoteText"/>
        <w:rPr>
          <w:lang w:val="en-US"/>
        </w:rPr>
      </w:pPr>
      <w:r>
        <w:rPr>
          <w:rStyle w:val="FootnoteReference"/>
        </w:rPr>
        <w:footnoteRef/>
      </w:r>
      <w:r>
        <w:t xml:space="preserve"> </w:t>
      </w:r>
      <w:hyperlink r:id="rId1" w:history="1">
        <w:r w:rsidRPr="007B1E95">
          <w:rPr>
            <w:rStyle w:val="Hyperlink"/>
            <w:rFonts w:ascii="Times New Roman" w:hAnsi="Times New Roman" w:cs="Times New Roman"/>
          </w:rPr>
          <w:t>www.acma.gov.au/consultations/2020-11/sunset-review-mps-determinations-consultation-362020</w:t>
        </w:r>
      </w:hyperlink>
      <w:r>
        <w:t xml:space="preserve"> </w:t>
      </w:r>
    </w:p>
  </w:footnote>
  <w:footnote w:id="2">
    <w:p w14:paraId="2ABD2D66" w14:textId="00E26053" w:rsidR="00086129" w:rsidRPr="00086129" w:rsidRDefault="00086129">
      <w:pPr>
        <w:pStyle w:val="FootnoteText"/>
        <w:rPr>
          <w:lang w:val="en-US"/>
        </w:rPr>
      </w:pPr>
      <w:r>
        <w:rPr>
          <w:rStyle w:val="FootnoteReference"/>
        </w:rPr>
        <w:footnoteRef/>
      </w:r>
      <w:r>
        <w:t xml:space="preserve"> </w:t>
      </w:r>
      <w:r w:rsidRPr="00086129">
        <w:rPr>
          <w:rFonts w:ascii="Times New Roman" w:hAnsi="Times New Roman" w:cs="Times New Roman"/>
          <w:i/>
        </w:rPr>
        <w:t>www.legislation.gov.au/Details/F2022L00250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A2AE" w14:textId="000676CA" w:rsidR="00B34173" w:rsidRDefault="00B34173" w:rsidP="00E10D58">
    <w:pPr>
      <w:pStyle w:val="Header"/>
      <w:jc w:val="center"/>
    </w:pPr>
    <w:r w:rsidRPr="00B11A74">
      <w:rPr>
        <w:rFonts w:ascii="Times New Roman" w:hAnsi="Times New Roman" w:cs="Times New Roman"/>
        <w:b/>
        <w:sz w:val="24"/>
        <w:szCs w:val="24"/>
        <w:lang w:val="en-US"/>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AA72" w14:textId="23F32170" w:rsidR="00B34173" w:rsidRPr="00E10D58" w:rsidRDefault="00B34173" w:rsidP="00E10D58">
    <w:pPr>
      <w:pStyle w:val="Header"/>
      <w:jc w:val="center"/>
      <w:rPr>
        <w:rFonts w:ascii="Times New Roman" w:hAnsi="Times New Roman" w:cs="Times New Roman"/>
        <w:b/>
        <w:sz w:val="24"/>
        <w:szCs w:val="24"/>
        <w:lang w:val="en-US"/>
      </w:rPr>
    </w:pPr>
    <w:bookmarkStart w:id="3" w:name="_Hlk118452798"/>
    <w:bookmarkStart w:id="4" w:name="_Hlk118452799"/>
    <w:r w:rsidRPr="00E10D58">
      <w:rPr>
        <w:rFonts w:ascii="Times New Roman" w:hAnsi="Times New Roman" w:cs="Times New Roman"/>
        <w:b/>
        <w:sz w:val="24"/>
        <w:szCs w:val="24"/>
        <w:lang w:val="en-US"/>
      </w:rPr>
      <w:t>DRAFT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C6B"/>
    <w:multiLevelType w:val="hybridMultilevel"/>
    <w:tmpl w:val="6174199E"/>
    <w:lvl w:ilvl="0" w:tplc="D2F6D650">
      <w:start w:val="8"/>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425A0"/>
    <w:multiLevelType w:val="hybridMultilevel"/>
    <w:tmpl w:val="3C6C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42E0E"/>
    <w:multiLevelType w:val="hybridMultilevel"/>
    <w:tmpl w:val="5D505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C1E4B"/>
    <w:multiLevelType w:val="hybridMultilevel"/>
    <w:tmpl w:val="C0E4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24236D"/>
    <w:multiLevelType w:val="hybridMultilevel"/>
    <w:tmpl w:val="A6C8D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B5744D"/>
    <w:multiLevelType w:val="hybridMultilevel"/>
    <w:tmpl w:val="F6C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38"/>
    <w:rsid w:val="000017BB"/>
    <w:rsid w:val="00016C2E"/>
    <w:rsid w:val="0002688A"/>
    <w:rsid w:val="000331DA"/>
    <w:rsid w:val="00034785"/>
    <w:rsid w:val="000417F2"/>
    <w:rsid w:val="00042B9A"/>
    <w:rsid w:val="00047C88"/>
    <w:rsid w:val="00052022"/>
    <w:rsid w:val="00060B76"/>
    <w:rsid w:val="000626BB"/>
    <w:rsid w:val="00063C36"/>
    <w:rsid w:val="00070B09"/>
    <w:rsid w:val="00073453"/>
    <w:rsid w:val="0007570F"/>
    <w:rsid w:val="0007617C"/>
    <w:rsid w:val="000801D3"/>
    <w:rsid w:val="00086129"/>
    <w:rsid w:val="00095889"/>
    <w:rsid w:val="000A0B03"/>
    <w:rsid w:val="000A7856"/>
    <w:rsid w:val="000B124B"/>
    <w:rsid w:val="000B222E"/>
    <w:rsid w:val="000B5707"/>
    <w:rsid w:val="000B63C7"/>
    <w:rsid w:val="000C38BB"/>
    <w:rsid w:val="000C728A"/>
    <w:rsid w:val="000D2F71"/>
    <w:rsid w:val="000F38E5"/>
    <w:rsid w:val="00101791"/>
    <w:rsid w:val="00103C68"/>
    <w:rsid w:val="001041A8"/>
    <w:rsid w:val="00114E76"/>
    <w:rsid w:val="001177F1"/>
    <w:rsid w:val="00126472"/>
    <w:rsid w:val="00134BBD"/>
    <w:rsid w:val="00141118"/>
    <w:rsid w:val="00142289"/>
    <w:rsid w:val="00145222"/>
    <w:rsid w:val="00145E4C"/>
    <w:rsid w:val="00146721"/>
    <w:rsid w:val="00151115"/>
    <w:rsid w:val="001528FF"/>
    <w:rsid w:val="00156584"/>
    <w:rsid w:val="00157DBF"/>
    <w:rsid w:val="00162192"/>
    <w:rsid w:val="00162622"/>
    <w:rsid w:val="0016331D"/>
    <w:rsid w:val="00173CA2"/>
    <w:rsid w:val="00174AD5"/>
    <w:rsid w:val="00181641"/>
    <w:rsid w:val="00187F0A"/>
    <w:rsid w:val="001919AB"/>
    <w:rsid w:val="00194A04"/>
    <w:rsid w:val="00194F8B"/>
    <w:rsid w:val="001B11BF"/>
    <w:rsid w:val="001B4668"/>
    <w:rsid w:val="001C253E"/>
    <w:rsid w:val="001C42A4"/>
    <w:rsid w:val="001C509F"/>
    <w:rsid w:val="001D1B63"/>
    <w:rsid w:val="001D3960"/>
    <w:rsid w:val="001F0B2D"/>
    <w:rsid w:val="00202541"/>
    <w:rsid w:val="00203A49"/>
    <w:rsid w:val="002105AC"/>
    <w:rsid w:val="00211573"/>
    <w:rsid w:val="00212939"/>
    <w:rsid w:val="00212BEE"/>
    <w:rsid w:val="00213326"/>
    <w:rsid w:val="00216245"/>
    <w:rsid w:val="002162BC"/>
    <w:rsid w:val="00221D4A"/>
    <w:rsid w:val="002240C3"/>
    <w:rsid w:val="0023212A"/>
    <w:rsid w:val="002361BB"/>
    <w:rsid w:val="0023634D"/>
    <w:rsid w:val="00243F82"/>
    <w:rsid w:val="00244A66"/>
    <w:rsid w:val="00255680"/>
    <w:rsid w:val="00257C03"/>
    <w:rsid w:val="0026179B"/>
    <w:rsid w:val="002638D9"/>
    <w:rsid w:val="00266226"/>
    <w:rsid w:val="002738B8"/>
    <w:rsid w:val="002738EA"/>
    <w:rsid w:val="00280AE7"/>
    <w:rsid w:val="00281616"/>
    <w:rsid w:val="00281759"/>
    <w:rsid w:val="00284FF1"/>
    <w:rsid w:val="002963B2"/>
    <w:rsid w:val="002A12E1"/>
    <w:rsid w:val="002A21DE"/>
    <w:rsid w:val="002A2411"/>
    <w:rsid w:val="002A277B"/>
    <w:rsid w:val="002B00EE"/>
    <w:rsid w:val="002B07BC"/>
    <w:rsid w:val="002C105C"/>
    <w:rsid w:val="002C377B"/>
    <w:rsid w:val="002C429E"/>
    <w:rsid w:val="002D05E6"/>
    <w:rsid w:val="002D677D"/>
    <w:rsid w:val="002E45DA"/>
    <w:rsid w:val="002E50E4"/>
    <w:rsid w:val="002F1D62"/>
    <w:rsid w:val="002F2A18"/>
    <w:rsid w:val="00301D05"/>
    <w:rsid w:val="003035FC"/>
    <w:rsid w:val="003039B7"/>
    <w:rsid w:val="00303E58"/>
    <w:rsid w:val="00305A65"/>
    <w:rsid w:val="00306AA9"/>
    <w:rsid w:val="00306B1E"/>
    <w:rsid w:val="00311EB9"/>
    <w:rsid w:val="0031491C"/>
    <w:rsid w:val="00314E48"/>
    <w:rsid w:val="00317492"/>
    <w:rsid w:val="00325120"/>
    <w:rsid w:val="003277D0"/>
    <w:rsid w:val="00331452"/>
    <w:rsid w:val="00336A1D"/>
    <w:rsid w:val="00341A6C"/>
    <w:rsid w:val="003432FD"/>
    <w:rsid w:val="00344FC7"/>
    <w:rsid w:val="00347885"/>
    <w:rsid w:val="0035494D"/>
    <w:rsid w:val="00360EBA"/>
    <w:rsid w:val="003644BC"/>
    <w:rsid w:val="00364A49"/>
    <w:rsid w:val="00365938"/>
    <w:rsid w:val="00367925"/>
    <w:rsid w:val="00367D89"/>
    <w:rsid w:val="00375454"/>
    <w:rsid w:val="003762AD"/>
    <w:rsid w:val="00383A4E"/>
    <w:rsid w:val="00385708"/>
    <w:rsid w:val="00394C41"/>
    <w:rsid w:val="003960A4"/>
    <w:rsid w:val="003C0589"/>
    <w:rsid w:val="003C2EC4"/>
    <w:rsid w:val="003C2FC5"/>
    <w:rsid w:val="003C48F7"/>
    <w:rsid w:val="003D0B3D"/>
    <w:rsid w:val="003D4EBA"/>
    <w:rsid w:val="003E6541"/>
    <w:rsid w:val="003F10DE"/>
    <w:rsid w:val="003F6124"/>
    <w:rsid w:val="003F6FA9"/>
    <w:rsid w:val="0040072D"/>
    <w:rsid w:val="004071FF"/>
    <w:rsid w:val="00422F74"/>
    <w:rsid w:val="00425D29"/>
    <w:rsid w:val="00427D7C"/>
    <w:rsid w:val="00431395"/>
    <w:rsid w:val="004334A5"/>
    <w:rsid w:val="0044299E"/>
    <w:rsid w:val="00447348"/>
    <w:rsid w:val="00450F3F"/>
    <w:rsid w:val="00460BBF"/>
    <w:rsid w:val="004634E6"/>
    <w:rsid w:val="0046445A"/>
    <w:rsid w:val="00464D76"/>
    <w:rsid w:val="004815DD"/>
    <w:rsid w:val="004854FE"/>
    <w:rsid w:val="0048602E"/>
    <w:rsid w:val="00491A35"/>
    <w:rsid w:val="00491BB7"/>
    <w:rsid w:val="00495E1F"/>
    <w:rsid w:val="004974B3"/>
    <w:rsid w:val="004A1544"/>
    <w:rsid w:val="004A1BEC"/>
    <w:rsid w:val="004A2251"/>
    <w:rsid w:val="004A4997"/>
    <w:rsid w:val="004A6D45"/>
    <w:rsid w:val="004A716A"/>
    <w:rsid w:val="004B3952"/>
    <w:rsid w:val="004B57CE"/>
    <w:rsid w:val="004C1073"/>
    <w:rsid w:val="004D056B"/>
    <w:rsid w:val="004D1355"/>
    <w:rsid w:val="004D151B"/>
    <w:rsid w:val="004D2A58"/>
    <w:rsid w:val="004D2AE1"/>
    <w:rsid w:val="004E051E"/>
    <w:rsid w:val="004E31C7"/>
    <w:rsid w:val="004F0D59"/>
    <w:rsid w:val="004F52B3"/>
    <w:rsid w:val="004F5B42"/>
    <w:rsid w:val="0050386F"/>
    <w:rsid w:val="0050510C"/>
    <w:rsid w:val="0050597D"/>
    <w:rsid w:val="00506B9E"/>
    <w:rsid w:val="0051272B"/>
    <w:rsid w:val="0051382E"/>
    <w:rsid w:val="00525DFE"/>
    <w:rsid w:val="00527C3D"/>
    <w:rsid w:val="00530B7A"/>
    <w:rsid w:val="00530FC3"/>
    <w:rsid w:val="0054171B"/>
    <w:rsid w:val="00542427"/>
    <w:rsid w:val="0054254A"/>
    <w:rsid w:val="00552E1F"/>
    <w:rsid w:val="00552F08"/>
    <w:rsid w:val="0055608F"/>
    <w:rsid w:val="00562639"/>
    <w:rsid w:val="005675A0"/>
    <w:rsid w:val="00567F5E"/>
    <w:rsid w:val="00570C29"/>
    <w:rsid w:val="005735E4"/>
    <w:rsid w:val="00580285"/>
    <w:rsid w:val="005807E7"/>
    <w:rsid w:val="00582899"/>
    <w:rsid w:val="005879C0"/>
    <w:rsid w:val="00591107"/>
    <w:rsid w:val="005A7556"/>
    <w:rsid w:val="005B0D26"/>
    <w:rsid w:val="005B2D89"/>
    <w:rsid w:val="005B404F"/>
    <w:rsid w:val="005B5C2C"/>
    <w:rsid w:val="005C1E89"/>
    <w:rsid w:val="005C4C6B"/>
    <w:rsid w:val="005D1EAC"/>
    <w:rsid w:val="005D2447"/>
    <w:rsid w:val="005D3C08"/>
    <w:rsid w:val="005E28FA"/>
    <w:rsid w:val="005E4375"/>
    <w:rsid w:val="005E6AF6"/>
    <w:rsid w:val="005F1FD9"/>
    <w:rsid w:val="005F256C"/>
    <w:rsid w:val="00600FD0"/>
    <w:rsid w:val="00614B3B"/>
    <w:rsid w:val="00614B3E"/>
    <w:rsid w:val="00614C2B"/>
    <w:rsid w:val="006153B2"/>
    <w:rsid w:val="0062481B"/>
    <w:rsid w:val="00631F48"/>
    <w:rsid w:val="00652C90"/>
    <w:rsid w:val="0066287C"/>
    <w:rsid w:val="006712F4"/>
    <w:rsid w:val="00672E95"/>
    <w:rsid w:val="00674746"/>
    <w:rsid w:val="00675C7E"/>
    <w:rsid w:val="006854AB"/>
    <w:rsid w:val="00696AC0"/>
    <w:rsid w:val="00696D9E"/>
    <w:rsid w:val="006B2A30"/>
    <w:rsid w:val="006B3051"/>
    <w:rsid w:val="006B693C"/>
    <w:rsid w:val="006C0563"/>
    <w:rsid w:val="006C0703"/>
    <w:rsid w:val="006C5E39"/>
    <w:rsid w:val="006D3279"/>
    <w:rsid w:val="006D51A1"/>
    <w:rsid w:val="006E14CE"/>
    <w:rsid w:val="006E2117"/>
    <w:rsid w:val="006E40EA"/>
    <w:rsid w:val="006E7360"/>
    <w:rsid w:val="006F0564"/>
    <w:rsid w:val="006F7800"/>
    <w:rsid w:val="0070720A"/>
    <w:rsid w:val="00710046"/>
    <w:rsid w:val="00714494"/>
    <w:rsid w:val="00715BA0"/>
    <w:rsid w:val="00724712"/>
    <w:rsid w:val="00732F58"/>
    <w:rsid w:val="00734BD3"/>
    <w:rsid w:val="007411DB"/>
    <w:rsid w:val="007475B8"/>
    <w:rsid w:val="0075090E"/>
    <w:rsid w:val="00751AA3"/>
    <w:rsid w:val="00753284"/>
    <w:rsid w:val="00756DD6"/>
    <w:rsid w:val="00763222"/>
    <w:rsid w:val="00764D31"/>
    <w:rsid w:val="00765614"/>
    <w:rsid w:val="00767B04"/>
    <w:rsid w:val="007723CF"/>
    <w:rsid w:val="00777053"/>
    <w:rsid w:val="00787204"/>
    <w:rsid w:val="00787311"/>
    <w:rsid w:val="00796C12"/>
    <w:rsid w:val="00797620"/>
    <w:rsid w:val="007A15E5"/>
    <w:rsid w:val="007B1E95"/>
    <w:rsid w:val="007B26FA"/>
    <w:rsid w:val="007B6391"/>
    <w:rsid w:val="007B785C"/>
    <w:rsid w:val="007C2BB3"/>
    <w:rsid w:val="007C2F83"/>
    <w:rsid w:val="007D3980"/>
    <w:rsid w:val="007E1065"/>
    <w:rsid w:val="007F0346"/>
    <w:rsid w:val="007F0523"/>
    <w:rsid w:val="007F2AF3"/>
    <w:rsid w:val="00803B6B"/>
    <w:rsid w:val="00807DB0"/>
    <w:rsid w:val="0081252A"/>
    <w:rsid w:val="00816345"/>
    <w:rsid w:val="0082120B"/>
    <w:rsid w:val="008257D0"/>
    <w:rsid w:val="0082688E"/>
    <w:rsid w:val="00832880"/>
    <w:rsid w:val="00840BF2"/>
    <w:rsid w:val="00845BB3"/>
    <w:rsid w:val="00862623"/>
    <w:rsid w:val="00862C52"/>
    <w:rsid w:val="00863EB7"/>
    <w:rsid w:val="008710E1"/>
    <w:rsid w:val="00871637"/>
    <w:rsid w:val="00875151"/>
    <w:rsid w:val="00883D7F"/>
    <w:rsid w:val="008846A7"/>
    <w:rsid w:val="008938EF"/>
    <w:rsid w:val="008A05C1"/>
    <w:rsid w:val="008A50F1"/>
    <w:rsid w:val="008B288E"/>
    <w:rsid w:val="008B7B84"/>
    <w:rsid w:val="008C0B60"/>
    <w:rsid w:val="008C2460"/>
    <w:rsid w:val="008C335A"/>
    <w:rsid w:val="008D00C4"/>
    <w:rsid w:val="008E053A"/>
    <w:rsid w:val="008E0AA1"/>
    <w:rsid w:val="008F3ED8"/>
    <w:rsid w:val="008F57ED"/>
    <w:rsid w:val="008F6EA7"/>
    <w:rsid w:val="00903BC8"/>
    <w:rsid w:val="00912430"/>
    <w:rsid w:val="00914514"/>
    <w:rsid w:val="009162AE"/>
    <w:rsid w:val="00920F76"/>
    <w:rsid w:val="00931A58"/>
    <w:rsid w:val="00932AC5"/>
    <w:rsid w:val="00933584"/>
    <w:rsid w:val="00934FC1"/>
    <w:rsid w:val="0093539C"/>
    <w:rsid w:val="009413F9"/>
    <w:rsid w:val="00952802"/>
    <w:rsid w:val="00952F5D"/>
    <w:rsid w:val="00955D6B"/>
    <w:rsid w:val="00963AC2"/>
    <w:rsid w:val="00974448"/>
    <w:rsid w:val="009855D3"/>
    <w:rsid w:val="00987FB2"/>
    <w:rsid w:val="00991EB6"/>
    <w:rsid w:val="00992393"/>
    <w:rsid w:val="009A0C5E"/>
    <w:rsid w:val="009A3D58"/>
    <w:rsid w:val="009A4209"/>
    <w:rsid w:val="009B3AD6"/>
    <w:rsid w:val="009B7417"/>
    <w:rsid w:val="009C1B88"/>
    <w:rsid w:val="009C6740"/>
    <w:rsid w:val="009C7562"/>
    <w:rsid w:val="009D7DC8"/>
    <w:rsid w:val="009E50E7"/>
    <w:rsid w:val="009F49EE"/>
    <w:rsid w:val="009F661A"/>
    <w:rsid w:val="00A01677"/>
    <w:rsid w:val="00A04567"/>
    <w:rsid w:val="00A04C03"/>
    <w:rsid w:val="00A0514C"/>
    <w:rsid w:val="00A15DF1"/>
    <w:rsid w:val="00A20B24"/>
    <w:rsid w:val="00A27A37"/>
    <w:rsid w:val="00A30B52"/>
    <w:rsid w:val="00A3597D"/>
    <w:rsid w:val="00A36782"/>
    <w:rsid w:val="00A36DFF"/>
    <w:rsid w:val="00A457FF"/>
    <w:rsid w:val="00A56B1C"/>
    <w:rsid w:val="00A57F49"/>
    <w:rsid w:val="00A60464"/>
    <w:rsid w:val="00A71690"/>
    <w:rsid w:val="00A71AE0"/>
    <w:rsid w:val="00A80798"/>
    <w:rsid w:val="00A86B1C"/>
    <w:rsid w:val="00A87F45"/>
    <w:rsid w:val="00A963A7"/>
    <w:rsid w:val="00AA5B7D"/>
    <w:rsid w:val="00AB1BAB"/>
    <w:rsid w:val="00AB4199"/>
    <w:rsid w:val="00AB4684"/>
    <w:rsid w:val="00AB613D"/>
    <w:rsid w:val="00AC1FB2"/>
    <w:rsid w:val="00AC3D80"/>
    <w:rsid w:val="00AC59ED"/>
    <w:rsid w:val="00AD113E"/>
    <w:rsid w:val="00AD46F9"/>
    <w:rsid w:val="00AE079F"/>
    <w:rsid w:val="00AE4545"/>
    <w:rsid w:val="00AE7E29"/>
    <w:rsid w:val="00AF50E3"/>
    <w:rsid w:val="00AF5EA2"/>
    <w:rsid w:val="00B10312"/>
    <w:rsid w:val="00B10900"/>
    <w:rsid w:val="00B1166A"/>
    <w:rsid w:val="00B12548"/>
    <w:rsid w:val="00B233BD"/>
    <w:rsid w:val="00B26501"/>
    <w:rsid w:val="00B34173"/>
    <w:rsid w:val="00B425E3"/>
    <w:rsid w:val="00B45D05"/>
    <w:rsid w:val="00B46FA0"/>
    <w:rsid w:val="00B52292"/>
    <w:rsid w:val="00B530FF"/>
    <w:rsid w:val="00B5426A"/>
    <w:rsid w:val="00B6011E"/>
    <w:rsid w:val="00B65010"/>
    <w:rsid w:val="00B73086"/>
    <w:rsid w:val="00B8159E"/>
    <w:rsid w:val="00B834F1"/>
    <w:rsid w:val="00B837DC"/>
    <w:rsid w:val="00B840C1"/>
    <w:rsid w:val="00B85D57"/>
    <w:rsid w:val="00B873AA"/>
    <w:rsid w:val="00B90C64"/>
    <w:rsid w:val="00B95775"/>
    <w:rsid w:val="00BA2760"/>
    <w:rsid w:val="00BA5AA1"/>
    <w:rsid w:val="00BB2C55"/>
    <w:rsid w:val="00BB71AC"/>
    <w:rsid w:val="00BC3223"/>
    <w:rsid w:val="00BC5148"/>
    <w:rsid w:val="00BD5D5A"/>
    <w:rsid w:val="00BE0FBA"/>
    <w:rsid w:val="00BE49E5"/>
    <w:rsid w:val="00BE5B6F"/>
    <w:rsid w:val="00BF318E"/>
    <w:rsid w:val="00BF4638"/>
    <w:rsid w:val="00C02763"/>
    <w:rsid w:val="00C06E4E"/>
    <w:rsid w:val="00C07036"/>
    <w:rsid w:val="00C11ADF"/>
    <w:rsid w:val="00C1213D"/>
    <w:rsid w:val="00C150D2"/>
    <w:rsid w:val="00C163BF"/>
    <w:rsid w:val="00C20D21"/>
    <w:rsid w:val="00C25528"/>
    <w:rsid w:val="00C302DB"/>
    <w:rsid w:val="00C36E26"/>
    <w:rsid w:val="00C43FB8"/>
    <w:rsid w:val="00C44589"/>
    <w:rsid w:val="00C535BB"/>
    <w:rsid w:val="00C60CBB"/>
    <w:rsid w:val="00C611A4"/>
    <w:rsid w:val="00C65F23"/>
    <w:rsid w:val="00C66EAF"/>
    <w:rsid w:val="00C70D9D"/>
    <w:rsid w:val="00C73C17"/>
    <w:rsid w:val="00C84445"/>
    <w:rsid w:val="00C86B6B"/>
    <w:rsid w:val="00C876DE"/>
    <w:rsid w:val="00C92281"/>
    <w:rsid w:val="00C92EF0"/>
    <w:rsid w:val="00C94977"/>
    <w:rsid w:val="00C97985"/>
    <w:rsid w:val="00C97F59"/>
    <w:rsid w:val="00CA1153"/>
    <w:rsid w:val="00CA764C"/>
    <w:rsid w:val="00CB0CA5"/>
    <w:rsid w:val="00CB2C9C"/>
    <w:rsid w:val="00CB31B2"/>
    <w:rsid w:val="00CB330A"/>
    <w:rsid w:val="00CB6D25"/>
    <w:rsid w:val="00CB7865"/>
    <w:rsid w:val="00CC3335"/>
    <w:rsid w:val="00CC5F6C"/>
    <w:rsid w:val="00CD3FB1"/>
    <w:rsid w:val="00CD64AF"/>
    <w:rsid w:val="00CD7ECE"/>
    <w:rsid w:val="00CE0807"/>
    <w:rsid w:val="00CE1736"/>
    <w:rsid w:val="00CE5FD9"/>
    <w:rsid w:val="00CF308F"/>
    <w:rsid w:val="00CF3594"/>
    <w:rsid w:val="00D00681"/>
    <w:rsid w:val="00D0354B"/>
    <w:rsid w:val="00D03D8E"/>
    <w:rsid w:val="00D0773C"/>
    <w:rsid w:val="00D10094"/>
    <w:rsid w:val="00D22A3E"/>
    <w:rsid w:val="00D274F8"/>
    <w:rsid w:val="00D32E11"/>
    <w:rsid w:val="00D36F07"/>
    <w:rsid w:val="00D401F1"/>
    <w:rsid w:val="00D420A2"/>
    <w:rsid w:val="00D448A4"/>
    <w:rsid w:val="00D46A4D"/>
    <w:rsid w:val="00D47451"/>
    <w:rsid w:val="00D50212"/>
    <w:rsid w:val="00D52159"/>
    <w:rsid w:val="00D534CE"/>
    <w:rsid w:val="00D53776"/>
    <w:rsid w:val="00D66478"/>
    <w:rsid w:val="00D673CF"/>
    <w:rsid w:val="00D716C5"/>
    <w:rsid w:val="00D8084E"/>
    <w:rsid w:val="00D85777"/>
    <w:rsid w:val="00D871FF"/>
    <w:rsid w:val="00D87A5D"/>
    <w:rsid w:val="00D929AE"/>
    <w:rsid w:val="00D97ECC"/>
    <w:rsid w:val="00DA5781"/>
    <w:rsid w:val="00DB173B"/>
    <w:rsid w:val="00DB2C37"/>
    <w:rsid w:val="00DB3162"/>
    <w:rsid w:val="00DC5203"/>
    <w:rsid w:val="00DD020E"/>
    <w:rsid w:val="00DD343E"/>
    <w:rsid w:val="00DD44C6"/>
    <w:rsid w:val="00DD618A"/>
    <w:rsid w:val="00DE353B"/>
    <w:rsid w:val="00E01D79"/>
    <w:rsid w:val="00E04A84"/>
    <w:rsid w:val="00E06A00"/>
    <w:rsid w:val="00E07162"/>
    <w:rsid w:val="00E10D58"/>
    <w:rsid w:val="00E21703"/>
    <w:rsid w:val="00E26078"/>
    <w:rsid w:val="00E40940"/>
    <w:rsid w:val="00E44346"/>
    <w:rsid w:val="00E46117"/>
    <w:rsid w:val="00E50290"/>
    <w:rsid w:val="00E50B28"/>
    <w:rsid w:val="00E51ED0"/>
    <w:rsid w:val="00E54D3D"/>
    <w:rsid w:val="00E6259A"/>
    <w:rsid w:val="00E676C2"/>
    <w:rsid w:val="00E67AD8"/>
    <w:rsid w:val="00E7016A"/>
    <w:rsid w:val="00E72037"/>
    <w:rsid w:val="00E73D58"/>
    <w:rsid w:val="00E84572"/>
    <w:rsid w:val="00E85018"/>
    <w:rsid w:val="00EA24B5"/>
    <w:rsid w:val="00EA290B"/>
    <w:rsid w:val="00EA415E"/>
    <w:rsid w:val="00EA5284"/>
    <w:rsid w:val="00EB296F"/>
    <w:rsid w:val="00EB4402"/>
    <w:rsid w:val="00EB44FC"/>
    <w:rsid w:val="00EC079B"/>
    <w:rsid w:val="00EC1FAF"/>
    <w:rsid w:val="00EC6E07"/>
    <w:rsid w:val="00ED037F"/>
    <w:rsid w:val="00ED1DEE"/>
    <w:rsid w:val="00ED4C3F"/>
    <w:rsid w:val="00ED4FA9"/>
    <w:rsid w:val="00EE25AE"/>
    <w:rsid w:val="00EE4327"/>
    <w:rsid w:val="00EE47B9"/>
    <w:rsid w:val="00EE7FB1"/>
    <w:rsid w:val="00EF0E0F"/>
    <w:rsid w:val="00EF2B34"/>
    <w:rsid w:val="00EF4D92"/>
    <w:rsid w:val="00EF726C"/>
    <w:rsid w:val="00F001C9"/>
    <w:rsid w:val="00F01E7C"/>
    <w:rsid w:val="00F04EA3"/>
    <w:rsid w:val="00F068D0"/>
    <w:rsid w:val="00F20535"/>
    <w:rsid w:val="00F276DD"/>
    <w:rsid w:val="00F37356"/>
    <w:rsid w:val="00F37AE9"/>
    <w:rsid w:val="00F43C74"/>
    <w:rsid w:val="00F52993"/>
    <w:rsid w:val="00F62942"/>
    <w:rsid w:val="00F65E46"/>
    <w:rsid w:val="00F7389D"/>
    <w:rsid w:val="00F75648"/>
    <w:rsid w:val="00F827DD"/>
    <w:rsid w:val="00F914E2"/>
    <w:rsid w:val="00F97861"/>
    <w:rsid w:val="00FA26ED"/>
    <w:rsid w:val="00FA402D"/>
    <w:rsid w:val="00FB3508"/>
    <w:rsid w:val="00FC2155"/>
    <w:rsid w:val="00FC4CC4"/>
    <w:rsid w:val="00FC6B95"/>
    <w:rsid w:val="00FD0132"/>
    <w:rsid w:val="00FD434D"/>
    <w:rsid w:val="00FD5112"/>
    <w:rsid w:val="00FD5F55"/>
    <w:rsid w:val="00FD66AE"/>
    <w:rsid w:val="00FD71BD"/>
    <w:rsid w:val="00FD7B27"/>
    <w:rsid w:val="00FE3FE0"/>
    <w:rsid w:val="00FE7C07"/>
    <w:rsid w:val="00FF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FC1D1B"/>
  <w15:docId w15:val="{8AE67E1A-C31A-4909-965B-13CE564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79B"/>
    <w:pPr>
      <w:spacing w:before="200" w:after="0" w:line="288" w:lineRule="auto"/>
    </w:pPr>
    <w:rPr>
      <w:rFonts w:cstheme="minorHAnsi"/>
    </w:rPr>
  </w:style>
  <w:style w:type="paragraph" w:styleId="Heading2">
    <w:name w:val="heading 2"/>
    <w:basedOn w:val="Normal"/>
    <w:next w:val="Normal"/>
    <w:link w:val="Heading2Char"/>
    <w:uiPriority w:val="9"/>
    <w:unhideWhenUsed/>
    <w:qFormat/>
    <w:rsid w:val="00E54D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179B"/>
    <w:pPr>
      <w:keepNext/>
      <w:keepLines/>
      <w:outlineLvl w:val="2"/>
    </w:pPr>
    <w:rPr>
      <w:rFonts w:asciiTheme="majorHAnsi" w:eastAsiaTheme="majorEastAsia" w:hAnsiTheme="majorHAnsi" w:cstheme="majorBidi"/>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9B"/>
    <w:pPr>
      <w:tabs>
        <w:tab w:val="center" w:pos="4513"/>
        <w:tab w:val="right" w:pos="9026"/>
      </w:tabs>
      <w:spacing w:line="240" w:lineRule="auto"/>
    </w:pPr>
  </w:style>
  <w:style w:type="character" w:customStyle="1" w:styleId="HeaderChar">
    <w:name w:val="Header Char"/>
    <w:basedOn w:val="DefaultParagraphFont"/>
    <w:link w:val="Header"/>
    <w:uiPriority w:val="99"/>
    <w:rsid w:val="0026179B"/>
  </w:style>
  <w:style w:type="paragraph" w:styleId="Footer">
    <w:name w:val="footer"/>
    <w:basedOn w:val="Normal"/>
    <w:link w:val="FooterChar"/>
    <w:uiPriority w:val="99"/>
    <w:unhideWhenUsed/>
    <w:rsid w:val="0026179B"/>
    <w:pPr>
      <w:tabs>
        <w:tab w:val="center" w:pos="4513"/>
        <w:tab w:val="right" w:pos="9026"/>
      </w:tabs>
      <w:spacing w:line="240" w:lineRule="auto"/>
    </w:pPr>
  </w:style>
  <w:style w:type="character" w:customStyle="1" w:styleId="FooterChar">
    <w:name w:val="Footer Char"/>
    <w:basedOn w:val="DefaultParagraphFont"/>
    <w:link w:val="Footer"/>
    <w:uiPriority w:val="99"/>
    <w:rsid w:val="0026179B"/>
  </w:style>
  <w:style w:type="character" w:customStyle="1" w:styleId="Heading3Char">
    <w:name w:val="Heading 3 Char"/>
    <w:basedOn w:val="DefaultParagraphFont"/>
    <w:link w:val="Heading3"/>
    <w:uiPriority w:val="9"/>
    <w:rsid w:val="0026179B"/>
    <w:rPr>
      <w:rFonts w:asciiTheme="majorHAnsi" w:eastAsiaTheme="majorEastAsia" w:hAnsiTheme="majorHAnsi" w:cstheme="majorBidi"/>
      <w:b/>
      <w:bCs/>
      <w:color w:val="244061" w:themeColor="accent1" w:themeShade="80"/>
    </w:rPr>
  </w:style>
  <w:style w:type="character" w:styleId="FootnoteReference">
    <w:name w:val="footnote reference"/>
    <w:basedOn w:val="DefaultParagraphFont"/>
    <w:uiPriority w:val="99"/>
    <w:semiHidden/>
    <w:unhideWhenUsed/>
    <w:rsid w:val="0026179B"/>
    <w:rPr>
      <w:vertAlign w:val="superscript"/>
    </w:rPr>
  </w:style>
  <w:style w:type="character" w:styleId="Hyperlink">
    <w:name w:val="Hyperlink"/>
    <w:basedOn w:val="DefaultParagraphFont"/>
    <w:uiPriority w:val="99"/>
    <w:unhideWhenUsed/>
    <w:rsid w:val="0026179B"/>
    <w:rPr>
      <w:color w:val="0000FF" w:themeColor="hyperlink"/>
      <w:u w:val="single"/>
    </w:rPr>
  </w:style>
  <w:style w:type="paragraph" w:customStyle="1" w:styleId="Footnote1">
    <w:name w:val="Footnote1"/>
    <w:basedOn w:val="FootnoteText"/>
    <w:link w:val="Footnote1Char"/>
    <w:qFormat/>
    <w:rsid w:val="0026179B"/>
    <w:pPr>
      <w:spacing w:before="60"/>
    </w:pPr>
    <w:rPr>
      <w:sz w:val="18"/>
      <w:szCs w:val="18"/>
    </w:rPr>
  </w:style>
  <w:style w:type="character" w:customStyle="1" w:styleId="Footnote1Char">
    <w:name w:val="Footnote1 Char"/>
    <w:basedOn w:val="FootnoteTextChar"/>
    <w:link w:val="Footnote1"/>
    <w:rsid w:val="0026179B"/>
    <w:rPr>
      <w:rFonts w:cstheme="minorHAnsi"/>
      <w:sz w:val="18"/>
      <w:szCs w:val="18"/>
    </w:rPr>
  </w:style>
  <w:style w:type="paragraph" w:customStyle="1" w:styleId="Quotenormal1">
    <w:name w:val="Quote normal 1"/>
    <w:basedOn w:val="Quote"/>
    <w:link w:val="Quotenormal1Char"/>
    <w:qFormat/>
    <w:rsid w:val="0026179B"/>
    <w:pPr>
      <w:ind w:left="284"/>
    </w:pPr>
    <w:rPr>
      <w:i w:val="0"/>
      <w:sz w:val="20"/>
      <w:szCs w:val="20"/>
    </w:rPr>
  </w:style>
  <w:style w:type="character" w:customStyle="1" w:styleId="Quotenormal1Char">
    <w:name w:val="Quote normal 1 Char"/>
    <w:basedOn w:val="QuoteChar"/>
    <w:link w:val="Quotenormal1"/>
    <w:rsid w:val="0026179B"/>
    <w:rPr>
      <w:rFonts w:cstheme="minorHAnsi"/>
      <w:i/>
      <w:iCs/>
      <w:color w:val="000000" w:themeColor="text1"/>
      <w:sz w:val="20"/>
      <w:szCs w:val="20"/>
    </w:rPr>
  </w:style>
  <w:style w:type="paragraph" w:styleId="FootnoteText">
    <w:name w:val="footnote text"/>
    <w:basedOn w:val="Normal"/>
    <w:link w:val="FootnoteTextChar"/>
    <w:uiPriority w:val="99"/>
    <w:semiHidden/>
    <w:unhideWhenUsed/>
    <w:rsid w:val="0026179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179B"/>
    <w:rPr>
      <w:rFonts w:cstheme="minorHAnsi"/>
      <w:sz w:val="20"/>
      <w:szCs w:val="20"/>
    </w:rPr>
  </w:style>
  <w:style w:type="paragraph" w:styleId="Quote">
    <w:name w:val="Quote"/>
    <w:basedOn w:val="Normal"/>
    <w:next w:val="Normal"/>
    <w:link w:val="QuoteChar"/>
    <w:uiPriority w:val="29"/>
    <w:qFormat/>
    <w:rsid w:val="0026179B"/>
    <w:rPr>
      <w:i/>
      <w:iCs/>
      <w:color w:val="000000" w:themeColor="text1"/>
    </w:rPr>
  </w:style>
  <w:style w:type="character" w:customStyle="1" w:styleId="QuoteChar">
    <w:name w:val="Quote Char"/>
    <w:basedOn w:val="DefaultParagraphFont"/>
    <w:link w:val="Quote"/>
    <w:uiPriority w:val="29"/>
    <w:rsid w:val="0026179B"/>
    <w:rPr>
      <w:rFonts w:cstheme="minorHAnsi"/>
      <w:i/>
      <w:iCs/>
      <w:color w:val="000000" w:themeColor="text1"/>
    </w:rPr>
  </w:style>
  <w:style w:type="paragraph" w:styleId="ListParagraph">
    <w:name w:val="List Paragraph"/>
    <w:basedOn w:val="Normal"/>
    <w:uiPriority w:val="34"/>
    <w:qFormat/>
    <w:rsid w:val="00CD7ECE"/>
    <w:pPr>
      <w:ind w:left="720"/>
      <w:contextualSpacing/>
    </w:pPr>
  </w:style>
  <w:style w:type="table" w:styleId="TableGrid">
    <w:name w:val="Table Grid"/>
    <w:basedOn w:val="TableNormal"/>
    <w:uiPriority w:val="59"/>
    <w:rsid w:val="00D1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52"/>
    <w:rPr>
      <w:rFonts w:ascii="Tahoma" w:hAnsi="Tahoma" w:cs="Tahoma"/>
      <w:sz w:val="16"/>
      <w:szCs w:val="16"/>
    </w:rPr>
  </w:style>
  <w:style w:type="paragraph" w:styleId="Revision">
    <w:name w:val="Revision"/>
    <w:hidden/>
    <w:uiPriority w:val="99"/>
    <w:semiHidden/>
    <w:rsid w:val="00614B3E"/>
    <w:pPr>
      <w:spacing w:after="0" w:line="240" w:lineRule="auto"/>
    </w:pPr>
    <w:rPr>
      <w:rFonts w:cstheme="minorHAnsi"/>
    </w:rPr>
  </w:style>
  <w:style w:type="character" w:styleId="CommentReference">
    <w:name w:val="annotation reference"/>
    <w:basedOn w:val="DefaultParagraphFont"/>
    <w:uiPriority w:val="99"/>
    <w:semiHidden/>
    <w:unhideWhenUsed/>
    <w:rsid w:val="0066287C"/>
    <w:rPr>
      <w:sz w:val="16"/>
      <w:szCs w:val="16"/>
    </w:rPr>
  </w:style>
  <w:style w:type="paragraph" w:styleId="CommentText">
    <w:name w:val="annotation text"/>
    <w:basedOn w:val="Normal"/>
    <w:link w:val="CommentTextChar"/>
    <w:uiPriority w:val="99"/>
    <w:semiHidden/>
    <w:unhideWhenUsed/>
    <w:rsid w:val="0066287C"/>
    <w:pPr>
      <w:spacing w:line="240" w:lineRule="auto"/>
    </w:pPr>
    <w:rPr>
      <w:sz w:val="20"/>
      <w:szCs w:val="20"/>
    </w:rPr>
  </w:style>
  <w:style w:type="character" w:customStyle="1" w:styleId="CommentTextChar">
    <w:name w:val="Comment Text Char"/>
    <w:basedOn w:val="DefaultParagraphFont"/>
    <w:link w:val="CommentText"/>
    <w:uiPriority w:val="99"/>
    <w:semiHidden/>
    <w:rsid w:val="0066287C"/>
    <w:rPr>
      <w:rFonts w:cstheme="minorHAnsi"/>
      <w:sz w:val="20"/>
      <w:szCs w:val="20"/>
    </w:rPr>
  </w:style>
  <w:style w:type="paragraph" w:styleId="CommentSubject">
    <w:name w:val="annotation subject"/>
    <w:basedOn w:val="CommentText"/>
    <w:next w:val="CommentText"/>
    <w:link w:val="CommentSubjectChar"/>
    <w:uiPriority w:val="99"/>
    <w:semiHidden/>
    <w:unhideWhenUsed/>
    <w:rsid w:val="0066287C"/>
    <w:rPr>
      <w:b/>
      <w:bCs/>
    </w:rPr>
  </w:style>
  <w:style w:type="character" w:customStyle="1" w:styleId="CommentSubjectChar">
    <w:name w:val="Comment Subject Char"/>
    <w:basedOn w:val="CommentTextChar"/>
    <w:link w:val="CommentSubject"/>
    <w:uiPriority w:val="99"/>
    <w:semiHidden/>
    <w:rsid w:val="0066287C"/>
    <w:rPr>
      <w:rFonts w:cstheme="minorHAnsi"/>
      <w:b/>
      <w:bCs/>
      <w:sz w:val="20"/>
      <w:szCs w:val="20"/>
    </w:rPr>
  </w:style>
  <w:style w:type="paragraph" w:customStyle="1" w:styleId="paragraph">
    <w:name w:val="paragraph"/>
    <w:basedOn w:val="Normal"/>
    <w:rsid w:val="00394C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0B7A"/>
  </w:style>
  <w:style w:type="paragraph" w:customStyle="1" w:styleId="r1">
    <w:name w:val="r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BC51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Bold">
    <w:name w:val="Normal Bold"/>
    <w:basedOn w:val="Normal"/>
    <w:link w:val="NormalBoldChar"/>
    <w:qFormat/>
    <w:rsid w:val="00B1166A"/>
    <w:pPr>
      <w:spacing w:before="0" w:after="240" w:line="240" w:lineRule="auto"/>
    </w:pPr>
    <w:rPr>
      <w:rFonts w:eastAsia="Times New Roman" w:cs="Arial"/>
      <w:b/>
      <w:sz w:val="24"/>
      <w:lang w:eastAsia="en-AU"/>
    </w:rPr>
  </w:style>
  <w:style w:type="character" w:customStyle="1" w:styleId="NormalBoldChar">
    <w:name w:val="Normal Bold Char"/>
    <w:basedOn w:val="DefaultParagraphFont"/>
    <w:link w:val="NormalBold"/>
    <w:rsid w:val="00B1166A"/>
    <w:rPr>
      <w:rFonts w:eastAsia="Times New Roman" w:cs="Arial"/>
      <w:b/>
      <w:sz w:val="24"/>
      <w:lang w:eastAsia="en-AU"/>
    </w:rPr>
  </w:style>
  <w:style w:type="character" w:styleId="FollowedHyperlink">
    <w:name w:val="FollowedHyperlink"/>
    <w:basedOn w:val="DefaultParagraphFont"/>
    <w:uiPriority w:val="99"/>
    <w:semiHidden/>
    <w:unhideWhenUsed/>
    <w:rsid w:val="00EB4402"/>
    <w:rPr>
      <w:color w:val="800080" w:themeColor="followedHyperlink"/>
      <w:u w:val="single"/>
    </w:rPr>
  </w:style>
  <w:style w:type="character" w:styleId="UnresolvedMention">
    <w:name w:val="Unresolved Mention"/>
    <w:basedOn w:val="DefaultParagraphFont"/>
    <w:uiPriority w:val="99"/>
    <w:semiHidden/>
    <w:unhideWhenUsed/>
    <w:rsid w:val="00EB4402"/>
    <w:rPr>
      <w:color w:val="605E5C"/>
      <w:shd w:val="clear" w:color="auto" w:fill="E1DFDD"/>
    </w:rPr>
  </w:style>
  <w:style w:type="paragraph" w:customStyle="1" w:styleId="ShortT">
    <w:name w:val="ShortT"/>
    <w:basedOn w:val="Normal"/>
    <w:next w:val="Normal"/>
    <w:qFormat/>
    <w:rsid w:val="00E54D3D"/>
    <w:pPr>
      <w:spacing w:before="0" w:after="120" w:line="240" w:lineRule="auto"/>
    </w:pPr>
    <w:rPr>
      <w:rFonts w:ascii="Times New Roman" w:eastAsia="Times New Roman" w:hAnsi="Times New Roman" w:cs="Times New Roman"/>
      <w:b/>
      <w:sz w:val="40"/>
      <w:szCs w:val="20"/>
      <w:lang w:eastAsia="en-AU"/>
    </w:rPr>
  </w:style>
  <w:style w:type="character" w:customStyle="1" w:styleId="Heading2Char">
    <w:name w:val="Heading 2 Char"/>
    <w:basedOn w:val="DefaultParagraphFont"/>
    <w:link w:val="Heading2"/>
    <w:uiPriority w:val="9"/>
    <w:rsid w:val="00E54D3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235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93">
          <w:marLeft w:val="0"/>
          <w:marRight w:val="0"/>
          <w:marTop w:val="0"/>
          <w:marBottom w:val="0"/>
          <w:divBdr>
            <w:top w:val="none" w:sz="0" w:space="0" w:color="auto"/>
            <w:left w:val="none" w:sz="0" w:space="0" w:color="auto"/>
            <w:bottom w:val="none" w:sz="0" w:space="0" w:color="auto"/>
            <w:right w:val="none" w:sz="0" w:space="0" w:color="auto"/>
          </w:divBdr>
          <w:divsChild>
            <w:div w:id="17778089">
              <w:marLeft w:val="0"/>
              <w:marRight w:val="0"/>
              <w:marTop w:val="0"/>
              <w:marBottom w:val="0"/>
              <w:divBdr>
                <w:top w:val="none" w:sz="0" w:space="0" w:color="auto"/>
                <w:left w:val="none" w:sz="0" w:space="0" w:color="auto"/>
                <w:bottom w:val="none" w:sz="0" w:space="0" w:color="auto"/>
                <w:right w:val="none" w:sz="0" w:space="0" w:color="auto"/>
              </w:divBdr>
              <w:divsChild>
                <w:div w:id="749888165">
                  <w:marLeft w:val="0"/>
                  <w:marRight w:val="0"/>
                  <w:marTop w:val="0"/>
                  <w:marBottom w:val="0"/>
                  <w:divBdr>
                    <w:top w:val="none" w:sz="0" w:space="0" w:color="auto"/>
                    <w:left w:val="none" w:sz="0" w:space="0" w:color="auto"/>
                    <w:bottom w:val="none" w:sz="0" w:space="0" w:color="auto"/>
                    <w:right w:val="none" w:sz="0" w:space="0" w:color="auto"/>
                  </w:divBdr>
                  <w:divsChild>
                    <w:div w:id="1610383016">
                      <w:marLeft w:val="0"/>
                      <w:marRight w:val="0"/>
                      <w:marTop w:val="0"/>
                      <w:marBottom w:val="0"/>
                      <w:divBdr>
                        <w:top w:val="none" w:sz="0" w:space="0" w:color="auto"/>
                        <w:left w:val="none" w:sz="0" w:space="0" w:color="auto"/>
                        <w:bottom w:val="none" w:sz="0" w:space="0" w:color="auto"/>
                        <w:right w:val="none" w:sz="0" w:space="0" w:color="auto"/>
                      </w:divBdr>
                      <w:divsChild>
                        <w:div w:id="382949138">
                          <w:marLeft w:val="0"/>
                          <w:marRight w:val="0"/>
                          <w:marTop w:val="0"/>
                          <w:marBottom w:val="0"/>
                          <w:divBdr>
                            <w:top w:val="single" w:sz="6" w:space="0" w:color="828282"/>
                            <w:left w:val="single" w:sz="6" w:space="0" w:color="828282"/>
                            <w:bottom w:val="single" w:sz="6" w:space="0" w:color="828282"/>
                            <w:right w:val="single" w:sz="6" w:space="0" w:color="828282"/>
                          </w:divBdr>
                          <w:divsChild>
                            <w:div w:id="33699037">
                              <w:marLeft w:val="0"/>
                              <w:marRight w:val="0"/>
                              <w:marTop w:val="0"/>
                              <w:marBottom w:val="0"/>
                              <w:divBdr>
                                <w:top w:val="none" w:sz="0" w:space="0" w:color="auto"/>
                                <w:left w:val="none" w:sz="0" w:space="0" w:color="auto"/>
                                <w:bottom w:val="none" w:sz="0" w:space="0" w:color="auto"/>
                                <w:right w:val="none" w:sz="0" w:space="0" w:color="auto"/>
                              </w:divBdr>
                              <w:divsChild>
                                <w:div w:id="946235142">
                                  <w:marLeft w:val="0"/>
                                  <w:marRight w:val="0"/>
                                  <w:marTop w:val="0"/>
                                  <w:marBottom w:val="0"/>
                                  <w:divBdr>
                                    <w:top w:val="none" w:sz="0" w:space="0" w:color="auto"/>
                                    <w:left w:val="none" w:sz="0" w:space="0" w:color="auto"/>
                                    <w:bottom w:val="none" w:sz="0" w:space="0" w:color="auto"/>
                                    <w:right w:val="none" w:sz="0" w:space="0" w:color="auto"/>
                                  </w:divBdr>
                                  <w:divsChild>
                                    <w:div w:id="1735736692">
                                      <w:marLeft w:val="0"/>
                                      <w:marRight w:val="0"/>
                                      <w:marTop w:val="0"/>
                                      <w:marBottom w:val="0"/>
                                      <w:divBdr>
                                        <w:top w:val="none" w:sz="0" w:space="0" w:color="auto"/>
                                        <w:left w:val="none" w:sz="0" w:space="0" w:color="auto"/>
                                        <w:bottom w:val="none" w:sz="0" w:space="0" w:color="auto"/>
                                        <w:right w:val="none" w:sz="0" w:space="0" w:color="auto"/>
                                      </w:divBdr>
                                      <w:divsChild>
                                        <w:div w:id="1751196043">
                                          <w:marLeft w:val="0"/>
                                          <w:marRight w:val="0"/>
                                          <w:marTop w:val="0"/>
                                          <w:marBottom w:val="0"/>
                                          <w:divBdr>
                                            <w:top w:val="none" w:sz="0" w:space="0" w:color="auto"/>
                                            <w:left w:val="none" w:sz="0" w:space="0" w:color="auto"/>
                                            <w:bottom w:val="none" w:sz="0" w:space="0" w:color="auto"/>
                                            <w:right w:val="none" w:sz="0" w:space="0" w:color="auto"/>
                                          </w:divBdr>
                                          <w:divsChild>
                                            <w:div w:id="798105498">
                                              <w:marLeft w:val="0"/>
                                              <w:marRight w:val="0"/>
                                              <w:marTop w:val="0"/>
                                              <w:marBottom w:val="0"/>
                                              <w:divBdr>
                                                <w:top w:val="none" w:sz="0" w:space="0" w:color="auto"/>
                                                <w:left w:val="none" w:sz="0" w:space="0" w:color="auto"/>
                                                <w:bottom w:val="none" w:sz="0" w:space="0" w:color="auto"/>
                                                <w:right w:val="none" w:sz="0" w:space="0" w:color="auto"/>
                                              </w:divBdr>
                                              <w:divsChild>
                                                <w:div w:id="2117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20067">
      <w:bodyDiv w:val="1"/>
      <w:marLeft w:val="0"/>
      <w:marRight w:val="0"/>
      <w:marTop w:val="0"/>
      <w:marBottom w:val="0"/>
      <w:divBdr>
        <w:top w:val="none" w:sz="0" w:space="0" w:color="auto"/>
        <w:left w:val="none" w:sz="0" w:space="0" w:color="auto"/>
        <w:bottom w:val="none" w:sz="0" w:space="0" w:color="auto"/>
        <w:right w:val="none" w:sz="0" w:space="0" w:color="auto"/>
      </w:divBdr>
      <w:divsChild>
        <w:div w:id="698549256">
          <w:marLeft w:val="0"/>
          <w:marRight w:val="0"/>
          <w:marTop w:val="0"/>
          <w:marBottom w:val="0"/>
          <w:divBdr>
            <w:top w:val="none" w:sz="0" w:space="0" w:color="auto"/>
            <w:left w:val="none" w:sz="0" w:space="0" w:color="auto"/>
            <w:bottom w:val="none" w:sz="0" w:space="0" w:color="auto"/>
            <w:right w:val="none" w:sz="0" w:space="0" w:color="auto"/>
          </w:divBdr>
          <w:divsChild>
            <w:div w:id="2019962851">
              <w:marLeft w:val="0"/>
              <w:marRight w:val="0"/>
              <w:marTop w:val="0"/>
              <w:marBottom w:val="0"/>
              <w:divBdr>
                <w:top w:val="none" w:sz="0" w:space="0" w:color="auto"/>
                <w:left w:val="none" w:sz="0" w:space="0" w:color="auto"/>
                <w:bottom w:val="none" w:sz="0" w:space="0" w:color="auto"/>
                <w:right w:val="none" w:sz="0" w:space="0" w:color="auto"/>
              </w:divBdr>
              <w:divsChild>
                <w:div w:id="436099101">
                  <w:marLeft w:val="0"/>
                  <w:marRight w:val="0"/>
                  <w:marTop w:val="0"/>
                  <w:marBottom w:val="0"/>
                  <w:divBdr>
                    <w:top w:val="none" w:sz="0" w:space="0" w:color="auto"/>
                    <w:left w:val="none" w:sz="0" w:space="0" w:color="auto"/>
                    <w:bottom w:val="none" w:sz="0" w:space="0" w:color="auto"/>
                    <w:right w:val="none" w:sz="0" w:space="0" w:color="auto"/>
                  </w:divBdr>
                  <w:divsChild>
                    <w:div w:id="1548835026">
                      <w:marLeft w:val="0"/>
                      <w:marRight w:val="0"/>
                      <w:marTop w:val="0"/>
                      <w:marBottom w:val="0"/>
                      <w:divBdr>
                        <w:top w:val="none" w:sz="0" w:space="0" w:color="auto"/>
                        <w:left w:val="none" w:sz="0" w:space="0" w:color="auto"/>
                        <w:bottom w:val="none" w:sz="0" w:space="0" w:color="auto"/>
                        <w:right w:val="none" w:sz="0" w:space="0" w:color="auto"/>
                      </w:divBdr>
                      <w:divsChild>
                        <w:div w:id="1317883295">
                          <w:marLeft w:val="0"/>
                          <w:marRight w:val="0"/>
                          <w:marTop w:val="0"/>
                          <w:marBottom w:val="0"/>
                          <w:divBdr>
                            <w:top w:val="single" w:sz="6" w:space="0" w:color="828282"/>
                            <w:left w:val="single" w:sz="6" w:space="0" w:color="828282"/>
                            <w:bottom w:val="single" w:sz="6" w:space="0" w:color="828282"/>
                            <w:right w:val="single" w:sz="6" w:space="0" w:color="828282"/>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176232982">
                                  <w:marLeft w:val="0"/>
                                  <w:marRight w:val="0"/>
                                  <w:marTop w:val="0"/>
                                  <w:marBottom w:val="0"/>
                                  <w:divBdr>
                                    <w:top w:val="none" w:sz="0" w:space="0" w:color="auto"/>
                                    <w:left w:val="none" w:sz="0" w:space="0" w:color="auto"/>
                                    <w:bottom w:val="none" w:sz="0" w:space="0" w:color="auto"/>
                                    <w:right w:val="none" w:sz="0" w:space="0" w:color="auto"/>
                                  </w:divBdr>
                                  <w:divsChild>
                                    <w:div w:id="847255560">
                                      <w:marLeft w:val="0"/>
                                      <w:marRight w:val="0"/>
                                      <w:marTop w:val="0"/>
                                      <w:marBottom w:val="0"/>
                                      <w:divBdr>
                                        <w:top w:val="none" w:sz="0" w:space="0" w:color="auto"/>
                                        <w:left w:val="none" w:sz="0" w:space="0" w:color="auto"/>
                                        <w:bottom w:val="none" w:sz="0" w:space="0" w:color="auto"/>
                                        <w:right w:val="none" w:sz="0" w:space="0" w:color="auto"/>
                                      </w:divBdr>
                                      <w:divsChild>
                                        <w:div w:id="85464587">
                                          <w:marLeft w:val="0"/>
                                          <w:marRight w:val="0"/>
                                          <w:marTop w:val="0"/>
                                          <w:marBottom w:val="0"/>
                                          <w:divBdr>
                                            <w:top w:val="none" w:sz="0" w:space="0" w:color="auto"/>
                                            <w:left w:val="none" w:sz="0" w:space="0" w:color="auto"/>
                                            <w:bottom w:val="none" w:sz="0" w:space="0" w:color="auto"/>
                                            <w:right w:val="none" w:sz="0" w:space="0" w:color="auto"/>
                                          </w:divBdr>
                                          <w:divsChild>
                                            <w:div w:id="2091148488">
                                              <w:marLeft w:val="0"/>
                                              <w:marRight w:val="0"/>
                                              <w:marTop w:val="0"/>
                                              <w:marBottom w:val="0"/>
                                              <w:divBdr>
                                                <w:top w:val="none" w:sz="0" w:space="0" w:color="auto"/>
                                                <w:left w:val="none" w:sz="0" w:space="0" w:color="auto"/>
                                                <w:bottom w:val="none" w:sz="0" w:space="0" w:color="auto"/>
                                                <w:right w:val="none" w:sz="0" w:space="0" w:color="auto"/>
                                              </w:divBdr>
                                              <w:divsChild>
                                                <w:div w:id="4562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30329">
      <w:bodyDiv w:val="1"/>
      <w:marLeft w:val="0"/>
      <w:marRight w:val="0"/>
      <w:marTop w:val="0"/>
      <w:marBottom w:val="0"/>
      <w:divBdr>
        <w:top w:val="none" w:sz="0" w:space="0" w:color="auto"/>
        <w:left w:val="none" w:sz="0" w:space="0" w:color="auto"/>
        <w:bottom w:val="none" w:sz="0" w:space="0" w:color="auto"/>
        <w:right w:val="none" w:sz="0" w:space="0" w:color="auto"/>
      </w:divBdr>
    </w:div>
    <w:div w:id="964970270">
      <w:bodyDiv w:val="1"/>
      <w:marLeft w:val="0"/>
      <w:marRight w:val="0"/>
      <w:marTop w:val="0"/>
      <w:marBottom w:val="0"/>
      <w:divBdr>
        <w:top w:val="none" w:sz="0" w:space="0" w:color="auto"/>
        <w:left w:val="none" w:sz="0" w:space="0" w:color="auto"/>
        <w:bottom w:val="none" w:sz="0" w:space="0" w:color="auto"/>
        <w:right w:val="none" w:sz="0" w:space="0" w:color="auto"/>
      </w:divBdr>
      <w:divsChild>
        <w:div w:id="330643972">
          <w:marLeft w:val="0"/>
          <w:marRight w:val="0"/>
          <w:marTop w:val="0"/>
          <w:marBottom w:val="0"/>
          <w:divBdr>
            <w:top w:val="none" w:sz="0" w:space="0" w:color="auto"/>
            <w:left w:val="none" w:sz="0" w:space="0" w:color="auto"/>
            <w:bottom w:val="none" w:sz="0" w:space="0" w:color="auto"/>
            <w:right w:val="none" w:sz="0" w:space="0" w:color="auto"/>
          </w:divBdr>
          <w:divsChild>
            <w:div w:id="784887396">
              <w:marLeft w:val="0"/>
              <w:marRight w:val="0"/>
              <w:marTop w:val="0"/>
              <w:marBottom w:val="0"/>
              <w:divBdr>
                <w:top w:val="none" w:sz="0" w:space="0" w:color="auto"/>
                <w:left w:val="none" w:sz="0" w:space="0" w:color="auto"/>
                <w:bottom w:val="none" w:sz="0" w:space="0" w:color="auto"/>
                <w:right w:val="none" w:sz="0" w:space="0" w:color="auto"/>
              </w:divBdr>
              <w:divsChild>
                <w:div w:id="303044094">
                  <w:marLeft w:val="0"/>
                  <w:marRight w:val="0"/>
                  <w:marTop w:val="0"/>
                  <w:marBottom w:val="0"/>
                  <w:divBdr>
                    <w:top w:val="none" w:sz="0" w:space="0" w:color="auto"/>
                    <w:left w:val="none" w:sz="0" w:space="0" w:color="auto"/>
                    <w:bottom w:val="none" w:sz="0" w:space="0" w:color="auto"/>
                    <w:right w:val="none" w:sz="0" w:space="0" w:color="auto"/>
                  </w:divBdr>
                  <w:divsChild>
                    <w:div w:id="1698386063">
                      <w:marLeft w:val="0"/>
                      <w:marRight w:val="0"/>
                      <w:marTop w:val="0"/>
                      <w:marBottom w:val="0"/>
                      <w:divBdr>
                        <w:top w:val="none" w:sz="0" w:space="0" w:color="auto"/>
                        <w:left w:val="none" w:sz="0" w:space="0" w:color="auto"/>
                        <w:bottom w:val="none" w:sz="0" w:space="0" w:color="auto"/>
                        <w:right w:val="none" w:sz="0" w:space="0" w:color="auto"/>
                      </w:divBdr>
                      <w:divsChild>
                        <w:div w:id="1106461596">
                          <w:marLeft w:val="0"/>
                          <w:marRight w:val="0"/>
                          <w:marTop w:val="0"/>
                          <w:marBottom w:val="0"/>
                          <w:divBdr>
                            <w:top w:val="single" w:sz="6" w:space="0" w:color="828282"/>
                            <w:left w:val="single" w:sz="6" w:space="0" w:color="828282"/>
                            <w:bottom w:val="single" w:sz="6" w:space="0" w:color="828282"/>
                            <w:right w:val="single" w:sz="6" w:space="0" w:color="828282"/>
                          </w:divBdr>
                          <w:divsChild>
                            <w:div w:id="1599563308">
                              <w:marLeft w:val="0"/>
                              <w:marRight w:val="0"/>
                              <w:marTop w:val="0"/>
                              <w:marBottom w:val="0"/>
                              <w:divBdr>
                                <w:top w:val="none" w:sz="0" w:space="0" w:color="auto"/>
                                <w:left w:val="none" w:sz="0" w:space="0" w:color="auto"/>
                                <w:bottom w:val="none" w:sz="0" w:space="0" w:color="auto"/>
                                <w:right w:val="none" w:sz="0" w:space="0" w:color="auto"/>
                              </w:divBdr>
                              <w:divsChild>
                                <w:div w:id="1259485470">
                                  <w:marLeft w:val="0"/>
                                  <w:marRight w:val="0"/>
                                  <w:marTop w:val="0"/>
                                  <w:marBottom w:val="0"/>
                                  <w:divBdr>
                                    <w:top w:val="none" w:sz="0" w:space="0" w:color="auto"/>
                                    <w:left w:val="none" w:sz="0" w:space="0" w:color="auto"/>
                                    <w:bottom w:val="none" w:sz="0" w:space="0" w:color="auto"/>
                                    <w:right w:val="none" w:sz="0" w:space="0" w:color="auto"/>
                                  </w:divBdr>
                                  <w:divsChild>
                                    <w:div w:id="391269056">
                                      <w:marLeft w:val="0"/>
                                      <w:marRight w:val="0"/>
                                      <w:marTop w:val="0"/>
                                      <w:marBottom w:val="0"/>
                                      <w:divBdr>
                                        <w:top w:val="none" w:sz="0" w:space="0" w:color="auto"/>
                                        <w:left w:val="none" w:sz="0" w:space="0" w:color="auto"/>
                                        <w:bottom w:val="none" w:sz="0" w:space="0" w:color="auto"/>
                                        <w:right w:val="none" w:sz="0" w:space="0" w:color="auto"/>
                                      </w:divBdr>
                                      <w:divsChild>
                                        <w:div w:id="2096241259">
                                          <w:marLeft w:val="0"/>
                                          <w:marRight w:val="0"/>
                                          <w:marTop w:val="0"/>
                                          <w:marBottom w:val="0"/>
                                          <w:divBdr>
                                            <w:top w:val="none" w:sz="0" w:space="0" w:color="auto"/>
                                            <w:left w:val="none" w:sz="0" w:space="0" w:color="auto"/>
                                            <w:bottom w:val="none" w:sz="0" w:space="0" w:color="auto"/>
                                            <w:right w:val="none" w:sz="0" w:space="0" w:color="auto"/>
                                          </w:divBdr>
                                          <w:divsChild>
                                            <w:div w:id="551159411">
                                              <w:marLeft w:val="0"/>
                                              <w:marRight w:val="0"/>
                                              <w:marTop w:val="0"/>
                                              <w:marBottom w:val="0"/>
                                              <w:divBdr>
                                                <w:top w:val="none" w:sz="0" w:space="0" w:color="auto"/>
                                                <w:left w:val="none" w:sz="0" w:space="0" w:color="auto"/>
                                                <w:bottom w:val="none" w:sz="0" w:space="0" w:color="auto"/>
                                                <w:right w:val="none" w:sz="0" w:space="0" w:color="auto"/>
                                              </w:divBdr>
                                              <w:divsChild>
                                                <w:div w:id="128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677296">
      <w:bodyDiv w:val="1"/>
      <w:marLeft w:val="0"/>
      <w:marRight w:val="0"/>
      <w:marTop w:val="0"/>
      <w:marBottom w:val="0"/>
      <w:divBdr>
        <w:top w:val="none" w:sz="0" w:space="0" w:color="auto"/>
        <w:left w:val="none" w:sz="0" w:space="0" w:color="auto"/>
        <w:bottom w:val="none" w:sz="0" w:space="0" w:color="auto"/>
        <w:right w:val="none" w:sz="0" w:space="0" w:color="auto"/>
      </w:divBdr>
    </w:div>
    <w:div w:id="1345592316">
      <w:bodyDiv w:val="1"/>
      <w:marLeft w:val="0"/>
      <w:marRight w:val="0"/>
      <w:marTop w:val="0"/>
      <w:marBottom w:val="0"/>
      <w:divBdr>
        <w:top w:val="none" w:sz="0" w:space="0" w:color="auto"/>
        <w:left w:val="none" w:sz="0" w:space="0" w:color="auto"/>
        <w:bottom w:val="none" w:sz="0" w:space="0" w:color="auto"/>
        <w:right w:val="none" w:sz="0" w:space="0" w:color="auto"/>
      </w:divBdr>
    </w:div>
    <w:div w:id="1439644293">
      <w:bodyDiv w:val="1"/>
      <w:marLeft w:val="0"/>
      <w:marRight w:val="0"/>
      <w:marTop w:val="0"/>
      <w:marBottom w:val="0"/>
      <w:divBdr>
        <w:top w:val="none" w:sz="0" w:space="0" w:color="auto"/>
        <w:left w:val="none" w:sz="0" w:space="0" w:color="auto"/>
        <w:bottom w:val="none" w:sz="0" w:space="0" w:color="auto"/>
        <w:right w:val="none" w:sz="0" w:space="0" w:color="auto"/>
      </w:divBdr>
      <w:divsChild>
        <w:div w:id="428165638">
          <w:marLeft w:val="0"/>
          <w:marRight w:val="0"/>
          <w:marTop w:val="0"/>
          <w:marBottom w:val="0"/>
          <w:divBdr>
            <w:top w:val="none" w:sz="0" w:space="0" w:color="auto"/>
            <w:left w:val="none" w:sz="0" w:space="0" w:color="auto"/>
            <w:bottom w:val="none" w:sz="0" w:space="0" w:color="auto"/>
            <w:right w:val="none" w:sz="0" w:space="0" w:color="auto"/>
          </w:divBdr>
          <w:divsChild>
            <w:div w:id="2020503624">
              <w:marLeft w:val="0"/>
              <w:marRight w:val="0"/>
              <w:marTop w:val="0"/>
              <w:marBottom w:val="0"/>
              <w:divBdr>
                <w:top w:val="none" w:sz="0" w:space="0" w:color="auto"/>
                <w:left w:val="none" w:sz="0" w:space="0" w:color="auto"/>
                <w:bottom w:val="none" w:sz="0" w:space="0" w:color="auto"/>
                <w:right w:val="none" w:sz="0" w:space="0" w:color="auto"/>
              </w:divBdr>
              <w:divsChild>
                <w:div w:id="1870533339">
                  <w:marLeft w:val="0"/>
                  <w:marRight w:val="0"/>
                  <w:marTop w:val="0"/>
                  <w:marBottom w:val="0"/>
                  <w:divBdr>
                    <w:top w:val="none" w:sz="0" w:space="0" w:color="auto"/>
                    <w:left w:val="none" w:sz="0" w:space="0" w:color="auto"/>
                    <w:bottom w:val="none" w:sz="0" w:space="0" w:color="auto"/>
                    <w:right w:val="none" w:sz="0" w:space="0" w:color="auto"/>
                  </w:divBdr>
                  <w:divsChild>
                    <w:div w:id="3095519">
                      <w:marLeft w:val="0"/>
                      <w:marRight w:val="0"/>
                      <w:marTop w:val="0"/>
                      <w:marBottom w:val="0"/>
                      <w:divBdr>
                        <w:top w:val="none" w:sz="0" w:space="0" w:color="auto"/>
                        <w:left w:val="none" w:sz="0" w:space="0" w:color="auto"/>
                        <w:bottom w:val="none" w:sz="0" w:space="0" w:color="auto"/>
                        <w:right w:val="none" w:sz="0" w:space="0" w:color="auto"/>
                      </w:divBdr>
                      <w:divsChild>
                        <w:div w:id="575241642">
                          <w:marLeft w:val="0"/>
                          <w:marRight w:val="0"/>
                          <w:marTop w:val="0"/>
                          <w:marBottom w:val="0"/>
                          <w:divBdr>
                            <w:top w:val="single" w:sz="6" w:space="0" w:color="828282"/>
                            <w:left w:val="single" w:sz="6" w:space="0" w:color="828282"/>
                            <w:bottom w:val="single" w:sz="6" w:space="0" w:color="828282"/>
                            <w:right w:val="single" w:sz="6" w:space="0" w:color="828282"/>
                          </w:divBdr>
                          <w:divsChild>
                            <w:div w:id="1529834618">
                              <w:marLeft w:val="0"/>
                              <w:marRight w:val="0"/>
                              <w:marTop w:val="0"/>
                              <w:marBottom w:val="0"/>
                              <w:divBdr>
                                <w:top w:val="none" w:sz="0" w:space="0" w:color="auto"/>
                                <w:left w:val="none" w:sz="0" w:space="0" w:color="auto"/>
                                <w:bottom w:val="none" w:sz="0" w:space="0" w:color="auto"/>
                                <w:right w:val="none" w:sz="0" w:space="0" w:color="auto"/>
                              </w:divBdr>
                              <w:divsChild>
                                <w:div w:id="235435572">
                                  <w:marLeft w:val="0"/>
                                  <w:marRight w:val="0"/>
                                  <w:marTop w:val="0"/>
                                  <w:marBottom w:val="0"/>
                                  <w:divBdr>
                                    <w:top w:val="none" w:sz="0" w:space="0" w:color="auto"/>
                                    <w:left w:val="none" w:sz="0" w:space="0" w:color="auto"/>
                                    <w:bottom w:val="none" w:sz="0" w:space="0" w:color="auto"/>
                                    <w:right w:val="none" w:sz="0" w:space="0" w:color="auto"/>
                                  </w:divBdr>
                                  <w:divsChild>
                                    <w:div w:id="2030141032">
                                      <w:marLeft w:val="0"/>
                                      <w:marRight w:val="0"/>
                                      <w:marTop w:val="0"/>
                                      <w:marBottom w:val="0"/>
                                      <w:divBdr>
                                        <w:top w:val="none" w:sz="0" w:space="0" w:color="auto"/>
                                        <w:left w:val="none" w:sz="0" w:space="0" w:color="auto"/>
                                        <w:bottom w:val="none" w:sz="0" w:space="0" w:color="auto"/>
                                        <w:right w:val="none" w:sz="0" w:space="0" w:color="auto"/>
                                      </w:divBdr>
                                      <w:divsChild>
                                        <w:div w:id="12414593">
                                          <w:marLeft w:val="0"/>
                                          <w:marRight w:val="0"/>
                                          <w:marTop w:val="0"/>
                                          <w:marBottom w:val="0"/>
                                          <w:divBdr>
                                            <w:top w:val="none" w:sz="0" w:space="0" w:color="auto"/>
                                            <w:left w:val="none" w:sz="0" w:space="0" w:color="auto"/>
                                            <w:bottom w:val="none" w:sz="0" w:space="0" w:color="auto"/>
                                            <w:right w:val="none" w:sz="0" w:space="0" w:color="auto"/>
                                          </w:divBdr>
                                          <w:divsChild>
                                            <w:div w:id="881861598">
                                              <w:marLeft w:val="0"/>
                                              <w:marRight w:val="0"/>
                                              <w:marTop w:val="0"/>
                                              <w:marBottom w:val="0"/>
                                              <w:divBdr>
                                                <w:top w:val="none" w:sz="0" w:space="0" w:color="auto"/>
                                                <w:left w:val="none" w:sz="0" w:space="0" w:color="auto"/>
                                                <w:bottom w:val="none" w:sz="0" w:space="0" w:color="auto"/>
                                                <w:right w:val="none" w:sz="0" w:space="0" w:color="auto"/>
                                              </w:divBdr>
                                              <w:divsChild>
                                                <w:div w:id="1618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008515">
      <w:bodyDiv w:val="1"/>
      <w:marLeft w:val="0"/>
      <w:marRight w:val="0"/>
      <w:marTop w:val="0"/>
      <w:marBottom w:val="0"/>
      <w:divBdr>
        <w:top w:val="none" w:sz="0" w:space="0" w:color="auto"/>
        <w:left w:val="none" w:sz="0" w:space="0" w:color="auto"/>
        <w:bottom w:val="none" w:sz="0" w:space="0" w:color="auto"/>
        <w:right w:val="none" w:sz="0" w:space="0" w:color="auto"/>
      </w:divBdr>
      <w:divsChild>
        <w:div w:id="2135321680">
          <w:marLeft w:val="0"/>
          <w:marRight w:val="0"/>
          <w:marTop w:val="0"/>
          <w:marBottom w:val="0"/>
          <w:divBdr>
            <w:top w:val="none" w:sz="0" w:space="0" w:color="auto"/>
            <w:left w:val="none" w:sz="0" w:space="0" w:color="auto"/>
            <w:bottom w:val="none" w:sz="0" w:space="0" w:color="auto"/>
            <w:right w:val="none" w:sz="0" w:space="0" w:color="auto"/>
          </w:divBdr>
          <w:divsChild>
            <w:div w:id="1602100776">
              <w:marLeft w:val="0"/>
              <w:marRight w:val="0"/>
              <w:marTop w:val="0"/>
              <w:marBottom w:val="0"/>
              <w:divBdr>
                <w:top w:val="none" w:sz="0" w:space="0" w:color="auto"/>
                <w:left w:val="none" w:sz="0" w:space="0" w:color="auto"/>
                <w:bottom w:val="none" w:sz="0" w:space="0" w:color="auto"/>
                <w:right w:val="none" w:sz="0" w:space="0" w:color="auto"/>
              </w:divBdr>
              <w:divsChild>
                <w:div w:id="203060952">
                  <w:marLeft w:val="0"/>
                  <w:marRight w:val="0"/>
                  <w:marTop w:val="0"/>
                  <w:marBottom w:val="0"/>
                  <w:divBdr>
                    <w:top w:val="none" w:sz="0" w:space="0" w:color="auto"/>
                    <w:left w:val="none" w:sz="0" w:space="0" w:color="auto"/>
                    <w:bottom w:val="none" w:sz="0" w:space="0" w:color="auto"/>
                    <w:right w:val="none" w:sz="0" w:space="0" w:color="auto"/>
                  </w:divBdr>
                  <w:divsChild>
                    <w:div w:id="1925408145">
                      <w:marLeft w:val="0"/>
                      <w:marRight w:val="0"/>
                      <w:marTop w:val="0"/>
                      <w:marBottom w:val="0"/>
                      <w:divBdr>
                        <w:top w:val="none" w:sz="0" w:space="0" w:color="auto"/>
                        <w:left w:val="none" w:sz="0" w:space="0" w:color="auto"/>
                        <w:bottom w:val="none" w:sz="0" w:space="0" w:color="auto"/>
                        <w:right w:val="none" w:sz="0" w:space="0" w:color="auto"/>
                      </w:divBdr>
                      <w:divsChild>
                        <w:div w:id="664624181">
                          <w:marLeft w:val="0"/>
                          <w:marRight w:val="0"/>
                          <w:marTop w:val="0"/>
                          <w:marBottom w:val="0"/>
                          <w:divBdr>
                            <w:top w:val="single" w:sz="6" w:space="0" w:color="828282"/>
                            <w:left w:val="single" w:sz="6" w:space="0" w:color="828282"/>
                            <w:bottom w:val="single" w:sz="6" w:space="0" w:color="828282"/>
                            <w:right w:val="single" w:sz="6" w:space="0" w:color="828282"/>
                          </w:divBdr>
                          <w:divsChild>
                            <w:div w:id="866021221">
                              <w:marLeft w:val="0"/>
                              <w:marRight w:val="0"/>
                              <w:marTop w:val="0"/>
                              <w:marBottom w:val="0"/>
                              <w:divBdr>
                                <w:top w:val="none" w:sz="0" w:space="0" w:color="auto"/>
                                <w:left w:val="none" w:sz="0" w:space="0" w:color="auto"/>
                                <w:bottom w:val="none" w:sz="0" w:space="0" w:color="auto"/>
                                <w:right w:val="none" w:sz="0" w:space="0" w:color="auto"/>
                              </w:divBdr>
                              <w:divsChild>
                                <w:div w:id="1769960601">
                                  <w:marLeft w:val="0"/>
                                  <w:marRight w:val="0"/>
                                  <w:marTop w:val="0"/>
                                  <w:marBottom w:val="0"/>
                                  <w:divBdr>
                                    <w:top w:val="none" w:sz="0" w:space="0" w:color="auto"/>
                                    <w:left w:val="none" w:sz="0" w:space="0" w:color="auto"/>
                                    <w:bottom w:val="none" w:sz="0" w:space="0" w:color="auto"/>
                                    <w:right w:val="none" w:sz="0" w:space="0" w:color="auto"/>
                                  </w:divBdr>
                                  <w:divsChild>
                                    <w:div w:id="1003513923">
                                      <w:marLeft w:val="0"/>
                                      <w:marRight w:val="0"/>
                                      <w:marTop w:val="0"/>
                                      <w:marBottom w:val="0"/>
                                      <w:divBdr>
                                        <w:top w:val="none" w:sz="0" w:space="0" w:color="auto"/>
                                        <w:left w:val="none" w:sz="0" w:space="0" w:color="auto"/>
                                        <w:bottom w:val="none" w:sz="0" w:space="0" w:color="auto"/>
                                        <w:right w:val="none" w:sz="0" w:space="0" w:color="auto"/>
                                      </w:divBdr>
                                      <w:divsChild>
                                        <w:div w:id="1871145386">
                                          <w:marLeft w:val="0"/>
                                          <w:marRight w:val="0"/>
                                          <w:marTop w:val="0"/>
                                          <w:marBottom w:val="0"/>
                                          <w:divBdr>
                                            <w:top w:val="none" w:sz="0" w:space="0" w:color="auto"/>
                                            <w:left w:val="none" w:sz="0" w:space="0" w:color="auto"/>
                                            <w:bottom w:val="none" w:sz="0" w:space="0" w:color="auto"/>
                                            <w:right w:val="none" w:sz="0" w:space="0" w:color="auto"/>
                                          </w:divBdr>
                                          <w:divsChild>
                                            <w:div w:id="1317303407">
                                              <w:marLeft w:val="0"/>
                                              <w:marRight w:val="0"/>
                                              <w:marTop w:val="0"/>
                                              <w:marBottom w:val="0"/>
                                              <w:divBdr>
                                                <w:top w:val="none" w:sz="0" w:space="0" w:color="auto"/>
                                                <w:left w:val="none" w:sz="0" w:space="0" w:color="auto"/>
                                                <w:bottom w:val="none" w:sz="0" w:space="0" w:color="auto"/>
                                                <w:right w:val="none" w:sz="0" w:space="0" w:color="auto"/>
                                              </w:divBdr>
                                              <w:divsChild>
                                                <w:div w:id="8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004391">
      <w:bodyDiv w:val="1"/>
      <w:marLeft w:val="0"/>
      <w:marRight w:val="0"/>
      <w:marTop w:val="0"/>
      <w:marBottom w:val="0"/>
      <w:divBdr>
        <w:top w:val="none" w:sz="0" w:space="0" w:color="auto"/>
        <w:left w:val="none" w:sz="0" w:space="0" w:color="auto"/>
        <w:bottom w:val="none" w:sz="0" w:space="0" w:color="auto"/>
        <w:right w:val="none" w:sz="0" w:space="0" w:color="auto"/>
      </w:divBdr>
      <w:divsChild>
        <w:div w:id="2031444604">
          <w:marLeft w:val="0"/>
          <w:marRight w:val="0"/>
          <w:marTop w:val="0"/>
          <w:marBottom w:val="0"/>
          <w:divBdr>
            <w:top w:val="none" w:sz="0" w:space="0" w:color="auto"/>
            <w:left w:val="none" w:sz="0" w:space="0" w:color="auto"/>
            <w:bottom w:val="none" w:sz="0" w:space="0" w:color="auto"/>
            <w:right w:val="none" w:sz="0" w:space="0" w:color="auto"/>
          </w:divBdr>
          <w:divsChild>
            <w:div w:id="1228807283">
              <w:marLeft w:val="0"/>
              <w:marRight w:val="0"/>
              <w:marTop w:val="0"/>
              <w:marBottom w:val="0"/>
              <w:divBdr>
                <w:top w:val="none" w:sz="0" w:space="0" w:color="auto"/>
                <w:left w:val="none" w:sz="0" w:space="0" w:color="auto"/>
                <w:bottom w:val="none" w:sz="0" w:space="0" w:color="auto"/>
                <w:right w:val="none" w:sz="0" w:space="0" w:color="auto"/>
              </w:divBdr>
              <w:divsChild>
                <w:div w:id="1789347316">
                  <w:marLeft w:val="0"/>
                  <w:marRight w:val="0"/>
                  <w:marTop w:val="0"/>
                  <w:marBottom w:val="0"/>
                  <w:divBdr>
                    <w:top w:val="none" w:sz="0" w:space="0" w:color="auto"/>
                    <w:left w:val="none" w:sz="0" w:space="0" w:color="auto"/>
                    <w:bottom w:val="none" w:sz="0" w:space="0" w:color="auto"/>
                    <w:right w:val="none" w:sz="0" w:space="0" w:color="auto"/>
                  </w:divBdr>
                  <w:divsChild>
                    <w:div w:id="1991445160">
                      <w:marLeft w:val="0"/>
                      <w:marRight w:val="0"/>
                      <w:marTop w:val="0"/>
                      <w:marBottom w:val="0"/>
                      <w:divBdr>
                        <w:top w:val="none" w:sz="0" w:space="0" w:color="auto"/>
                        <w:left w:val="none" w:sz="0" w:space="0" w:color="auto"/>
                        <w:bottom w:val="none" w:sz="0" w:space="0" w:color="auto"/>
                        <w:right w:val="none" w:sz="0" w:space="0" w:color="auto"/>
                      </w:divBdr>
                      <w:divsChild>
                        <w:div w:id="1884321023">
                          <w:marLeft w:val="0"/>
                          <w:marRight w:val="0"/>
                          <w:marTop w:val="0"/>
                          <w:marBottom w:val="0"/>
                          <w:divBdr>
                            <w:top w:val="single" w:sz="6" w:space="0" w:color="828282"/>
                            <w:left w:val="single" w:sz="6" w:space="0" w:color="828282"/>
                            <w:bottom w:val="single" w:sz="6" w:space="0" w:color="828282"/>
                            <w:right w:val="single" w:sz="6" w:space="0" w:color="828282"/>
                          </w:divBdr>
                          <w:divsChild>
                            <w:div w:id="118955263">
                              <w:marLeft w:val="0"/>
                              <w:marRight w:val="0"/>
                              <w:marTop w:val="0"/>
                              <w:marBottom w:val="0"/>
                              <w:divBdr>
                                <w:top w:val="none" w:sz="0" w:space="0" w:color="auto"/>
                                <w:left w:val="none" w:sz="0" w:space="0" w:color="auto"/>
                                <w:bottom w:val="none" w:sz="0" w:space="0" w:color="auto"/>
                                <w:right w:val="none" w:sz="0" w:space="0" w:color="auto"/>
                              </w:divBdr>
                              <w:divsChild>
                                <w:div w:id="353120713">
                                  <w:marLeft w:val="0"/>
                                  <w:marRight w:val="0"/>
                                  <w:marTop w:val="0"/>
                                  <w:marBottom w:val="0"/>
                                  <w:divBdr>
                                    <w:top w:val="none" w:sz="0" w:space="0" w:color="auto"/>
                                    <w:left w:val="none" w:sz="0" w:space="0" w:color="auto"/>
                                    <w:bottom w:val="none" w:sz="0" w:space="0" w:color="auto"/>
                                    <w:right w:val="none" w:sz="0" w:space="0" w:color="auto"/>
                                  </w:divBdr>
                                  <w:divsChild>
                                    <w:div w:id="339088993">
                                      <w:marLeft w:val="0"/>
                                      <w:marRight w:val="0"/>
                                      <w:marTop w:val="0"/>
                                      <w:marBottom w:val="0"/>
                                      <w:divBdr>
                                        <w:top w:val="none" w:sz="0" w:space="0" w:color="auto"/>
                                        <w:left w:val="none" w:sz="0" w:space="0" w:color="auto"/>
                                        <w:bottom w:val="none" w:sz="0" w:space="0" w:color="auto"/>
                                        <w:right w:val="none" w:sz="0" w:space="0" w:color="auto"/>
                                      </w:divBdr>
                                      <w:divsChild>
                                        <w:div w:id="550503762">
                                          <w:marLeft w:val="0"/>
                                          <w:marRight w:val="0"/>
                                          <w:marTop w:val="0"/>
                                          <w:marBottom w:val="0"/>
                                          <w:divBdr>
                                            <w:top w:val="none" w:sz="0" w:space="0" w:color="auto"/>
                                            <w:left w:val="none" w:sz="0" w:space="0" w:color="auto"/>
                                            <w:bottom w:val="none" w:sz="0" w:space="0" w:color="auto"/>
                                            <w:right w:val="none" w:sz="0" w:space="0" w:color="auto"/>
                                          </w:divBdr>
                                          <w:divsChild>
                                            <w:div w:id="125439832">
                                              <w:marLeft w:val="0"/>
                                              <w:marRight w:val="0"/>
                                              <w:marTop w:val="0"/>
                                              <w:marBottom w:val="0"/>
                                              <w:divBdr>
                                                <w:top w:val="none" w:sz="0" w:space="0" w:color="auto"/>
                                                <w:left w:val="none" w:sz="0" w:space="0" w:color="auto"/>
                                                <w:bottom w:val="none" w:sz="0" w:space="0" w:color="auto"/>
                                                <w:right w:val="none" w:sz="0" w:space="0" w:color="auto"/>
                                              </w:divBdr>
                                              <w:divsChild>
                                                <w:div w:id="147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025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consultations/2020-11/sunset-review-mps-determinations-consultation-36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1A66302-D60D-4F07-B69B-F9CD2B404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234786DFE12B48A8B21B8B3035D981" ma:contentTypeVersion="" ma:contentTypeDescription="PDMS Document Site Content Type" ma:contentTypeScope="" ma:versionID="7dac35c2e985790666ba9d5d71127734">
  <xsd:schema xmlns:xsd="http://www.w3.org/2001/XMLSchema" xmlns:xs="http://www.w3.org/2001/XMLSchema" xmlns:p="http://schemas.microsoft.com/office/2006/metadata/properties" xmlns:ns2="D1A66302-D60D-4F07-B69B-F9CD2B4042AD" targetNamespace="http://schemas.microsoft.com/office/2006/metadata/properties" ma:root="true" ma:fieldsID="330e8031f74eb1fddd82f76f1d62b90b" ns2:_="">
    <xsd:import namespace="D1A66302-D60D-4F07-B69B-F9CD2B4042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6302-D60D-4F07-B69B-F9CD2B4042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998F-E53A-4E8A-9A76-3839354444E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66302-D60D-4F07-B69B-F9CD2B4042A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2507872-5D0F-45BB-9F4E-62DF66575429}">
  <ds:schemaRefs>
    <ds:schemaRef ds:uri="http://schemas.microsoft.com/sharepoint/v3/contenttype/forms"/>
  </ds:schemaRefs>
</ds:datastoreItem>
</file>

<file path=customXml/itemProps3.xml><?xml version="1.0" encoding="utf-8"?>
<ds:datastoreItem xmlns:ds="http://schemas.openxmlformats.org/officeDocument/2006/customXml" ds:itemID="{DBB98611-F631-4451-B0D2-4476F43A0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66302-D60D-4F07-B69B-F9CD2B40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2229C-A21E-460B-9A84-F9DA1090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8</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Mason, Philip</cp:lastModifiedBy>
  <cp:revision>30</cp:revision>
  <cp:lastPrinted>2022-10-27T07:43:00Z</cp:lastPrinted>
  <dcterms:created xsi:type="dcterms:W3CDTF">2022-10-27T07:43:00Z</dcterms:created>
  <dcterms:modified xsi:type="dcterms:W3CDTF">2022-11-04T00:17:00Z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0x010100266966F133664895A6EE3632470D45F500A7234786DFE12B48A8B21B8B3035D981</vt:lpwstr>
  </property>
</Properties>
</file>