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E4040" w14:textId="0B6521D0" w:rsidR="008D2B5E" w:rsidRPr="00C64B0B" w:rsidRDefault="008D2B5E" w:rsidP="008D2B5E">
      <w:pPr>
        <w:spacing w:after="480"/>
        <w:jc w:val="center"/>
        <w:rPr>
          <w:b/>
          <w:sz w:val="40"/>
        </w:rPr>
      </w:pPr>
      <w:r w:rsidRPr="00C64B0B">
        <w:rPr>
          <w:b/>
          <w:sz w:val="40"/>
        </w:rPr>
        <w:t xml:space="preserve">Vehicle Standard (Australian Design Rule </w:t>
      </w:r>
      <w:r>
        <w:rPr>
          <w:b/>
          <w:sz w:val="40"/>
        </w:rPr>
        <w:t>81/03</w:t>
      </w:r>
      <w:r w:rsidRPr="00C64B0B">
        <w:rPr>
          <w:b/>
          <w:sz w:val="40"/>
        </w:rPr>
        <w:t xml:space="preserve"> –</w:t>
      </w:r>
      <w:r>
        <w:rPr>
          <w:b/>
          <w:sz w:val="40"/>
        </w:rPr>
        <w:t xml:space="preserve"> </w:t>
      </w:r>
      <w:r w:rsidR="00BB0677">
        <w:rPr>
          <w:b/>
          <w:sz w:val="40"/>
        </w:rPr>
        <w:t>Vehicle Efficiency</w:t>
      </w:r>
      <w:r>
        <w:rPr>
          <w:b/>
          <w:sz w:val="40"/>
        </w:rPr>
        <w:t xml:space="preserve"> Labelling and Carbon Dioxide Emissions</w:t>
      </w:r>
      <w:r w:rsidRPr="00511CF8">
        <w:rPr>
          <w:b/>
          <w:sz w:val="40"/>
        </w:rPr>
        <w:t xml:space="preserve"> </w:t>
      </w:r>
      <w:r>
        <w:rPr>
          <w:b/>
          <w:sz w:val="40"/>
        </w:rPr>
        <w:t>Measurement</w:t>
      </w:r>
      <w:r w:rsidRPr="00C64B0B">
        <w:rPr>
          <w:b/>
          <w:sz w:val="40"/>
        </w:rPr>
        <w:t>) 202</w:t>
      </w:r>
      <w:r w:rsidR="00BB0677">
        <w:rPr>
          <w:b/>
          <w:sz w:val="40"/>
        </w:rPr>
        <w:t>5</w:t>
      </w:r>
    </w:p>
    <w:p w14:paraId="3C83B68A" w14:textId="77777777" w:rsidR="00485E16" w:rsidRPr="00514C80" w:rsidRDefault="00485E16" w:rsidP="00D82CC0"/>
    <w:p w14:paraId="23FEA6CC" w14:textId="77777777" w:rsidR="00BA4F48" w:rsidRPr="00514C80" w:rsidRDefault="00BA4F48" w:rsidP="00D82CC0"/>
    <w:p w14:paraId="7B51B1B4" w14:textId="77777777" w:rsidR="00BA4F48" w:rsidRPr="00514C80" w:rsidRDefault="00BA4F48" w:rsidP="00D82CC0"/>
    <w:p w14:paraId="081B3F2E" w14:textId="77777777" w:rsidR="00AD12BE" w:rsidRPr="00514C80" w:rsidRDefault="00AD12BE" w:rsidP="00AD12BE">
      <w:pPr>
        <w:jc w:val="center"/>
      </w:pPr>
      <w:r w:rsidRPr="00514C80">
        <w:t xml:space="preserve">Made under section 12 of the </w:t>
      </w:r>
      <w:r w:rsidRPr="00514C80">
        <w:rPr>
          <w:i/>
        </w:rPr>
        <w:t>Road Vehicle Standards Act 2018</w:t>
      </w:r>
    </w:p>
    <w:p w14:paraId="185373B2" w14:textId="77777777" w:rsidR="00AD12BE" w:rsidRPr="00514C80" w:rsidRDefault="00AD12BE" w:rsidP="00AD12BE"/>
    <w:p w14:paraId="548A3F0A" w14:textId="77777777" w:rsidR="00AD12BE" w:rsidRPr="00514C80" w:rsidRDefault="00AD12BE" w:rsidP="00AD12BE"/>
    <w:p w14:paraId="56A1587E" w14:textId="77777777" w:rsidR="00AD12BE" w:rsidRPr="00514C80" w:rsidRDefault="00AD12BE" w:rsidP="00AD12BE"/>
    <w:p w14:paraId="06CCCF44" w14:textId="77777777" w:rsidR="00AD12BE" w:rsidRPr="00514C80" w:rsidRDefault="00AD12BE" w:rsidP="00AD12BE"/>
    <w:p w14:paraId="7A380FFC" w14:textId="77777777" w:rsidR="00AD12BE" w:rsidRPr="00514C80" w:rsidRDefault="00AD12BE" w:rsidP="00AD12BE"/>
    <w:p w14:paraId="53CA1DCC" w14:textId="77777777" w:rsidR="00AD12BE" w:rsidRPr="00514C80" w:rsidRDefault="00AD12BE" w:rsidP="00AD12BE">
      <w:pPr>
        <w:jc w:val="center"/>
        <w:rPr>
          <w:b/>
          <w:bCs/>
          <w:sz w:val="40"/>
        </w:rPr>
      </w:pPr>
      <w:r w:rsidRPr="00514C80">
        <w:rPr>
          <w:b/>
          <w:bCs/>
          <w:sz w:val="40"/>
        </w:rPr>
        <w:t>Explanatory Statement</w:t>
      </w:r>
    </w:p>
    <w:p w14:paraId="0BE600A4" w14:textId="77777777" w:rsidR="00AD12BE" w:rsidRPr="00514C80" w:rsidRDefault="00AD12BE" w:rsidP="00AD12BE"/>
    <w:p w14:paraId="11B34BC7" w14:textId="77777777" w:rsidR="00AD12BE" w:rsidRPr="00514C80" w:rsidRDefault="00AD12BE" w:rsidP="00AD12BE"/>
    <w:p w14:paraId="266ECD9D" w14:textId="77777777" w:rsidR="00AD12BE" w:rsidRPr="00514C80" w:rsidRDefault="00AD12BE" w:rsidP="00AD12BE"/>
    <w:p w14:paraId="03D2BBFB" w14:textId="77777777" w:rsidR="00AD12BE" w:rsidRPr="00514C80" w:rsidRDefault="00AD12BE" w:rsidP="00AD12BE"/>
    <w:p w14:paraId="46824BA6" w14:textId="77777777" w:rsidR="0054772F" w:rsidRDefault="0054772F" w:rsidP="0054772F">
      <w:pPr>
        <w:autoSpaceDE w:val="0"/>
        <w:autoSpaceDN w:val="0"/>
        <w:adjustRightInd w:val="0"/>
        <w:snapToGrid w:val="0"/>
        <w:spacing w:before="0" w:after="0"/>
      </w:pPr>
    </w:p>
    <w:p w14:paraId="0F9CF361" w14:textId="77777777"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13317C13" w14:textId="77777777" w:rsidR="00AD12BE" w:rsidRPr="00514C80" w:rsidRDefault="00AD12BE" w:rsidP="00AD12BE">
      <w:pPr>
        <w:jc w:val="center"/>
      </w:pPr>
    </w:p>
    <w:p w14:paraId="6C71A257" w14:textId="77777777" w:rsidR="00AD12BE" w:rsidRPr="00514C80" w:rsidRDefault="00AD12BE" w:rsidP="00AD12BE"/>
    <w:p w14:paraId="5E6DE1B5" w14:textId="77777777" w:rsidR="00AD12BE" w:rsidRPr="00514C80" w:rsidRDefault="00AD12BE" w:rsidP="00AD12BE"/>
    <w:p w14:paraId="3878D191" w14:textId="77777777" w:rsidR="00AD12BE" w:rsidRPr="00514C80" w:rsidRDefault="00AD12BE" w:rsidP="00AD12BE"/>
    <w:p w14:paraId="0E0C8856" w14:textId="77777777" w:rsidR="00AD12BE" w:rsidRPr="00514C80" w:rsidRDefault="00AD12BE" w:rsidP="00AD12BE"/>
    <w:p w14:paraId="11D70ADC" w14:textId="77777777" w:rsidR="00AD12BE" w:rsidRPr="00514C80" w:rsidRDefault="00AD12BE" w:rsidP="00AD12BE"/>
    <w:p w14:paraId="01C85592" w14:textId="5AB074DC" w:rsidR="00BA4F48" w:rsidRPr="00514C80" w:rsidRDefault="00BB0677" w:rsidP="00AD12BE">
      <w:pPr>
        <w:jc w:val="center"/>
        <w:rPr>
          <w:b/>
          <w:bCs/>
          <w:sz w:val="40"/>
        </w:rPr>
      </w:pPr>
      <w:r>
        <w:rPr>
          <w:b/>
          <w:bCs/>
          <w:sz w:val="40"/>
        </w:rPr>
        <w:t>M</w:t>
      </w:r>
      <w:r w:rsidR="006269F9">
        <w:rPr>
          <w:b/>
          <w:bCs/>
          <w:sz w:val="40"/>
        </w:rPr>
        <w:t>onth</w:t>
      </w:r>
      <w:r w:rsidR="00B27614">
        <w:rPr>
          <w:b/>
          <w:bCs/>
          <w:sz w:val="40"/>
        </w:rPr>
        <w:t xml:space="preserve"> 202</w:t>
      </w:r>
      <w:r>
        <w:rPr>
          <w:b/>
          <w:bCs/>
          <w:sz w:val="40"/>
        </w:rPr>
        <w:t>5</w:t>
      </w:r>
    </w:p>
    <w:p w14:paraId="7D8765A0" w14:textId="77777777" w:rsidR="00BA4F48" w:rsidRPr="00514C80" w:rsidRDefault="00BA4F48" w:rsidP="00D82CC0"/>
    <w:p w14:paraId="4E52B60B" w14:textId="77777777" w:rsidR="00BA4F48" w:rsidRPr="00514C80" w:rsidRDefault="00BA4F48" w:rsidP="00D82CC0"/>
    <w:p w14:paraId="6147F03C" w14:textId="77777777" w:rsidR="00FD272C" w:rsidRPr="00514C80" w:rsidRDefault="00FD272C" w:rsidP="00780DE8">
      <w:pPr>
        <w:pStyle w:val="ContentsHeading"/>
        <w:sectPr w:rsidR="00FD272C" w:rsidRPr="00514C80" w:rsidSect="00767D05">
          <w:headerReference w:type="default" r:id="rId10"/>
          <w:footerReference w:type="default" r:id="rId11"/>
          <w:headerReference w:type="first" r:id="rId12"/>
          <w:footerReference w:type="first" r:id="rId13"/>
          <w:pgSz w:w="11906" w:h="16838" w:code="9"/>
          <w:pgMar w:top="1440" w:right="1474" w:bottom="1440" w:left="1474" w:header="709" w:footer="709" w:gutter="0"/>
          <w:pgNumType w:start="1"/>
          <w:cols w:space="708"/>
          <w:titlePg/>
          <w:docGrid w:linePitch="360"/>
        </w:sectPr>
      </w:pPr>
    </w:p>
    <w:sdt>
      <w:sdtPr>
        <w:rPr>
          <w:rFonts w:ascii="Times New Roman" w:eastAsia="Times New Roman" w:hAnsi="Times New Roman" w:cs="Times New Roman"/>
          <w:color w:val="auto"/>
          <w:sz w:val="24"/>
          <w:szCs w:val="24"/>
          <w:lang w:val="en-AU" w:eastAsia="en-AU"/>
        </w:rPr>
        <w:id w:val="-204791241"/>
        <w:docPartObj>
          <w:docPartGallery w:val="Table of Contents"/>
          <w:docPartUnique/>
        </w:docPartObj>
      </w:sdtPr>
      <w:sdtEndPr>
        <w:rPr>
          <w:b/>
          <w:bCs/>
          <w:noProof/>
        </w:rPr>
      </w:sdtEndPr>
      <w:sdtContent>
        <w:p w14:paraId="70D37898" w14:textId="64BE76F3" w:rsidR="00054BEE" w:rsidRPr="00BB0677" w:rsidRDefault="00054BEE">
          <w:pPr>
            <w:pStyle w:val="TOCHeading"/>
            <w:rPr>
              <w:rFonts w:ascii="Times New Roman" w:hAnsi="Times New Roman" w:cs="Times New Roman"/>
              <w:b/>
              <w:color w:val="000000" w:themeColor="text1"/>
            </w:rPr>
          </w:pPr>
          <w:r w:rsidRPr="00BB0677">
            <w:rPr>
              <w:rFonts w:ascii="Times New Roman" w:hAnsi="Times New Roman" w:cs="Times New Roman"/>
              <w:b/>
              <w:color w:val="000000" w:themeColor="text1"/>
            </w:rPr>
            <w:t>Contents</w:t>
          </w:r>
        </w:p>
        <w:p w14:paraId="36FE73C1" w14:textId="6729715F" w:rsidR="003B181D" w:rsidRDefault="00054BEE">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84225128" w:history="1">
            <w:r w:rsidR="003B181D" w:rsidRPr="00C945E4">
              <w:rPr>
                <w:rStyle w:val="Hyperlink"/>
                <w:noProof/>
              </w:rPr>
              <w:t>1.</w:t>
            </w:r>
            <w:r w:rsidR="003B181D">
              <w:rPr>
                <w:rFonts w:asciiTheme="minorHAnsi" w:eastAsiaTheme="minorEastAsia" w:hAnsiTheme="minorHAnsi" w:cstheme="minorBidi"/>
                <w:caps w:val="0"/>
                <w:noProof/>
                <w:sz w:val="22"/>
                <w:szCs w:val="22"/>
              </w:rPr>
              <w:tab/>
            </w:r>
            <w:r w:rsidR="003B181D" w:rsidRPr="00C945E4">
              <w:rPr>
                <w:rStyle w:val="Hyperlink"/>
                <w:noProof/>
              </w:rPr>
              <w:t>legislative Authority</w:t>
            </w:r>
            <w:r w:rsidR="003B181D">
              <w:rPr>
                <w:noProof/>
                <w:webHidden/>
              </w:rPr>
              <w:tab/>
            </w:r>
            <w:r w:rsidR="003B181D">
              <w:rPr>
                <w:noProof/>
                <w:webHidden/>
              </w:rPr>
              <w:fldChar w:fldCharType="begin"/>
            </w:r>
            <w:r w:rsidR="003B181D">
              <w:rPr>
                <w:noProof/>
                <w:webHidden/>
              </w:rPr>
              <w:instrText xml:space="preserve"> PAGEREF _Toc184225128 \h </w:instrText>
            </w:r>
            <w:r w:rsidR="003B181D">
              <w:rPr>
                <w:noProof/>
                <w:webHidden/>
              </w:rPr>
            </w:r>
            <w:r w:rsidR="003B181D">
              <w:rPr>
                <w:noProof/>
                <w:webHidden/>
              </w:rPr>
              <w:fldChar w:fldCharType="separate"/>
            </w:r>
            <w:r w:rsidR="003B181D">
              <w:rPr>
                <w:noProof/>
                <w:webHidden/>
              </w:rPr>
              <w:t>3</w:t>
            </w:r>
            <w:r w:rsidR="003B181D">
              <w:rPr>
                <w:noProof/>
                <w:webHidden/>
              </w:rPr>
              <w:fldChar w:fldCharType="end"/>
            </w:r>
          </w:hyperlink>
        </w:p>
        <w:p w14:paraId="5AAB8B61" w14:textId="4A7E199E" w:rsidR="003B181D" w:rsidRDefault="003B181D">
          <w:pPr>
            <w:pStyle w:val="TOC2"/>
            <w:rPr>
              <w:rFonts w:asciiTheme="minorHAnsi" w:eastAsiaTheme="minorEastAsia" w:hAnsiTheme="minorHAnsi" w:cstheme="minorBidi"/>
              <w:noProof/>
              <w:sz w:val="22"/>
              <w:szCs w:val="22"/>
            </w:rPr>
          </w:pPr>
          <w:hyperlink w:anchor="_Toc184225129" w:history="1">
            <w:r w:rsidRPr="00C945E4">
              <w:rPr>
                <w:rStyle w:val="Hyperlink"/>
                <w:b/>
                <w:noProof/>
              </w:rPr>
              <w:t>1.1.</w:t>
            </w:r>
            <w:r>
              <w:rPr>
                <w:rFonts w:asciiTheme="minorHAnsi" w:eastAsiaTheme="minorEastAsia" w:hAnsiTheme="minorHAnsi" w:cstheme="minorBidi"/>
                <w:noProof/>
                <w:sz w:val="22"/>
                <w:szCs w:val="22"/>
              </w:rPr>
              <w:tab/>
            </w:r>
            <w:r w:rsidRPr="00C945E4">
              <w:rPr>
                <w:rStyle w:val="Hyperlink"/>
                <w:b/>
                <w:noProof/>
              </w:rPr>
              <w:t>National Road Vehicle Standards</w:t>
            </w:r>
            <w:r>
              <w:rPr>
                <w:noProof/>
                <w:webHidden/>
              </w:rPr>
              <w:tab/>
            </w:r>
            <w:r>
              <w:rPr>
                <w:noProof/>
                <w:webHidden/>
              </w:rPr>
              <w:fldChar w:fldCharType="begin"/>
            </w:r>
            <w:r>
              <w:rPr>
                <w:noProof/>
                <w:webHidden/>
              </w:rPr>
              <w:instrText xml:space="preserve"> PAGEREF _Toc184225129 \h </w:instrText>
            </w:r>
            <w:r>
              <w:rPr>
                <w:noProof/>
                <w:webHidden/>
              </w:rPr>
            </w:r>
            <w:r>
              <w:rPr>
                <w:noProof/>
                <w:webHidden/>
              </w:rPr>
              <w:fldChar w:fldCharType="separate"/>
            </w:r>
            <w:r>
              <w:rPr>
                <w:noProof/>
                <w:webHidden/>
              </w:rPr>
              <w:t>3</w:t>
            </w:r>
            <w:r>
              <w:rPr>
                <w:noProof/>
                <w:webHidden/>
              </w:rPr>
              <w:fldChar w:fldCharType="end"/>
            </w:r>
          </w:hyperlink>
        </w:p>
        <w:p w14:paraId="020EE108" w14:textId="3BF8842A" w:rsidR="003B181D" w:rsidRDefault="003B181D">
          <w:pPr>
            <w:pStyle w:val="TOC2"/>
            <w:rPr>
              <w:rFonts w:asciiTheme="minorHAnsi" w:eastAsiaTheme="minorEastAsia" w:hAnsiTheme="minorHAnsi" w:cstheme="minorBidi"/>
              <w:noProof/>
              <w:sz w:val="22"/>
              <w:szCs w:val="22"/>
            </w:rPr>
          </w:pPr>
          <w:hyperlink w:anchor="_Toc184225130" w:history="1">
            <w:r w:rsidRPr="00C945E4">
              <w:rPr>
                <w:rStyle w:val="Hyperlink"/>
                <w:noProof/>
              </w:rPr>
              <w:t xml:space="preserve">Vehicle Standard (Australian Design Rule 81/03 – Vehicle Efficiency Labelling and Carbon Dioxide Emissions Measurement) 2025 </w:t>
            </w:r>
            <w:r w:rsidRPr="00C945E4">
              <w:rPr>
                <w:rStyle w:val="Hyperlink"/>
                <w:rFonts w:ascii="TimesNewRoman" w:hAnsi="TimesNewRoman" w:cs="TimesNewRoman"/>
                <w:noProof/>
                <w:lang w:val="x-none"/>
              </w:rPr>
              <w:t xml:space="preserve">is made under section 12 of the </w:t>
            </w:r>
            <w:r w:rsidRPr="00C945E4">
              <w:rPr>
                <w:rStyle w:val="Hyperlink"/>
                <w:rFonts w:ascii="TimesNewRoman" w:hAnsi="TimesNewRoman" w:cs="TimesNewRoman"/>
                <w:i/>
                <w:noProof/>
                <w:lang w:val="x-none"/>
              </w:rPr>
              <w:t xml:space="preserve">Road Vehicle Standards Act 2018 </w:t>
            </w:r>
            <w:r w:rsidRPr="00C945E4">
              <w:rPr>
                <w:rStyle w:val="Hyperlink"/>
                <w:rFonts w:ascii="TimesNewRoman" w:hAnsi="TimesNewRoman" w:cs="TimesNewRoman"/>
                <w:noProof/>
                <w:lang w:val="x-none"/>
              </w:rPr>
              <w:t>(the Act). Section 12 of the Act allows the Minister to determine National Road Vehicle Standards.</w:t>
            </w:r>
            <w:r>
              <w:rPr>
                <w:noProof/>
                <w:webHidden/>
              </w:rPr>
              <w:tab/>
            </w:r>
            <w:r>
              <w:rPr>
                <w:noProof/>
                <w:webHidden/>
              </w:rPr>
              <w:fldChar w:fldCharType="begin"/>
            </w:r>
            <w:r>
              <w:rPr>
                <w:noProof/>
                <w:webHidden/>
              </w:rPr>
              <w:instrText xml:space="preserve"> PAGEREF _Toc184225130 \h </w:instrText>
            </w:r>
            <w:r>
              <w:rPr>
                <w:noProof/>
                <w:webHidden/>
              </w:rPr>
            </w:r>
            <w:r>
              <w:rPr>
                <w:noProof/>
                <w:webHidden/>
              </w:rPr>
              <w:fldChar w:fldCharType="separate"/>
            </w:r>
            <w:r>
              <w:rPr>
                <w:noProof/>
                <w:webHidden/>
              </w:rPr>
              <w:t>3</w:t>
            </w:r>
            <w:r>
              <w:rPr>
                <w:noProof/>
                <w:webHidden/>
              </w:rPr>
              <w:fldChar w:fldCharType="end"/>
            </w:r>
          </w:hyperlink>
        </w:p>
        <w:p w14:paraId="0FDBACC0" w14:textId="61279115" w:rsidR="003B181D" w:rsidRDefault="003B181D">
          <w:pPr>
            <w:pStyle w:val="TOC2"/>
            <w:rPr>
              <w:rFonts w:asciiTheme="minorHAnsi" w:eastAsiaTheme="minorEastAsia" w:hAnsiTheme="minorHAnsi" w:cstheme="minorBidi"/>
              <w:noProof/>
              <w:sz w:val="22"/>
              <w:szCs w:val="22"/>
            </w:rPr>
          </w:pPr>
          <w:hyperlink w:anchor="_Toc184225131" w:history="1">
            <w:r w:rsidRPr="00C945E4">
              <w:rPr>
                <w:rStyle w:val="Hyperlink"/>
                <w:b/>
                <w:noProof/>
              </w:rPr>
              <w:t>1.2.</w:t>
            </w:r>
            <w:r>
              <w:rPr>
                <w:rFonts w:asciiTheme="minorHAnsi" w:eastAsiaTheme="minorEastAsia" w:hAnsiTheme="minorHAnsi" w:cstheme="minorBidi"/>
                <w:noProof/>
                <w:sz w:val="22"/>
                <w:szCs w:val="22"/>
              </w:rPr>
              <w:tab/>
            </w:r>
            <w:r w:rsidRPr="00C945E4">
              <w:rPr>
                <w:rStyle w:val="Hyperlink"/>
                <w:b/>
                <w:noProof/>
              </w:rPr>
              <w:t>Exemption from Sunsetting</w:t>
            </w:r>
            <w:r>
              <w:rPr>
                <w:noProof/>
                <w:webHidden/>
              </w:rPr>
              <w:tab/>
            </w:r>
            <w:r>
              <w:rPr>
                <w:noProof/>
                <w:webHidden/>
              </w:rPr>
              <w:fldChar w:fldCharType="begin"/>
            </w:r>
            <w:r>
              <w:rPr>
                <w:noProof/>
                <w:webHidden/>
              </w:rPr>
              <w:instrText xml:space="preserve"> PAGEREF _Toc184225131 \h </w:instrText>
            </w:r>
            <w:r>
              <w:rPr>
                <w:noProof/>
                <w:webHidden/>
              </w:rPr>
            </w:r>
            <w:r>
              <w:rPr>
                <w:noProof/>
                <w:webHidden/>
              </w:rPr>
              <w:fldChar w:fldCharType="separate"/>
            </w:r>
            <w:r>
              <w:rPr>
                <w:noProof/>
                <w:webHidden/>
              </w:rPr>
              <w:t>3</w:t>
            </w:r>
            <w:r>
              <w:rPr>
                <w:noProof/>
                <w:webHidden/>
              </w:rPr>
              <w:fldChar w:fldCharType="end"/>
            </w:r>
          </w:hyperlink>
        </w:p>
        <w:p w14:paraId="797F081B" w14:textId="1A5F96CA" w:rsidR="003B181D" w:rsidRDefault="003B181D">
          <w:pPr>
            <w:pStyle w:val="TOC2"/>
            <w:rPr>
              <w:rFonts w:asciiTheme="minorHAnsi" w:eastAsiaTheme="minorEastAsia" w:hAnsiTheme="minorHAnsi" w:cstheme="minorBidi"/>
              <w:noProof/>
              <w:sz w:val="22"/>
              <w:szCs w:val="22"/>
            </w:rPr>
          </w:pPr>
          <w:hyperlink w:anchor="_Toc184225132" w:history="1">
            <w:r w:rsidRPr="00C945E4">
              <w:rPr>
                <w:rStyle w:val="Hyperlink"/>
                <w:noProof/>
              </w:rPr>
              <w:t xml:space="preserve">Vehicle Standard (Australian Design Rule 81/03 – Fuel Consumption Labelling and Carbon Dioxide Emissions Measurement) 2025 is </w:t>
            </w:r>
            <w:r w:rsidRPr="00C945E4">
              <w:rPr>
                <w:rStyle w:val="Hyperlink"/>
                <w:rFonts w:ascii="TimesNewRoman" w:hAnsi="TimesNewRoman" w:cs="TimesNewRoman"/>
                <w:noProof/>
                <w:lang w:val="x-none"/>
              </w:rPr>
              <w:t xml:space="preserve">exempt from the sunsetting provisions of the </w:t>
            </w:r>
            <w:r w:rsidRPr="00C945E4">
              <w:rPr>
                <w:rStyle w:val="Hyperlink"/>
                <w:rFonts w:ascii="TimesNewRoman" w:hAnsi="TimesNewRoman" w:cs="TimesNewRoman"/>
                <w:i/>
                <w:noProof/>
                <w:lang w:val="x-none"/>
              </w:rPr>
              <w:t>Legislation Act 2003.</w:t>
            </w:r>
            <w:r>
              <w:rPr>
                <w:noProof/>
                <w:webHidden/>
              </w:rPr>
              <w:tab/>
            </w:r>
            <w:r>
              <w:rPr>
                <w:noProof/>
                <w:webHidden/>
              </w:rPr>
              <w:fldChar w:fldCharType="begin"/>
            </w:r>
            <w:r>
              <w:rPr>
                <w:noProof/>
                <w:webHidden/>
              </w:rPr>
              <w:instrText xml:space="preserve"> PAGEREF _Toc184225132 \h </w:instrText>
            </w:r>
            <w:r>
              <w:rPr>
                <w:noProof/>
                <w:webHidden/>
              </w:rPr>
            </w:r>
            <w:r>
              <w:rPr>
                <w:noProof/>
                <w:webHidden/>
              </w:rPr>
              <w:fldChar w:fldCharType="separate"/>
            </w:r>
            <w:r>
              <w:rPr>
                <w:noProof/>
                <w:webHidden/>
              </w:rPr>
              <w:t>3</w:t>
            </w:r>
            <w:r>
              <w:rPr>
                <w:noProof/>
                <w:webHidden/>
              </w:rPr>
              <w:fldChar w:fldCharType="end"/>
            </w:r>
          </w:hyperlink>
        </w:p>
        <w:p w14:paraId="1966FA28" w14:textId="305D3A47" w:rsidR="003B181D" w:rsidRDefault="003B181D">
          <w:pPr>
            <w:pStyle w:val="TOC1"/>
            <w:rPr>
              <w:rFonts w:asciiTheme="minorHAnsi" w:eastAsiaTheme="minorEastAsia" w:hAnsiTheme="minorHAnsi" w:cstheme="minorBidi"/>
              <w:caps w:val="0"/>
              <w:noProof/>
              <w:sz w:val="22"/>
              <w:szCs w:val="22"/>
            </w:rPr>
          </w:pPr>
          <w:hyperlink w:anchor="_Toc184225133" w:history="1">
            <w:r w:rsidRPr="00C945E4">
              <w:rPr>
                <w:rStyle w:val="Hyperlink"/>
                <w:noProof/>
              </w:rPr>
              <w:t>2.</w:t>
            </w:r>
            <w:r>
              <w:rPr>
                <w:rFonts w:asciiTheme="minorHAnsi" w:eastAsiaTheme="minorEastAsia" w:hAnsiTheme="minorHAnsi" w:cstheme="minorBidi"/>
                <w:caps w:val="0"/>
                <w:noProof/>
                <w:sz w:val="22"/>
                <w:szCs w:val="22"/>
              </w:rPr>
              <w:tab/>
            </w:r>
            <w:r w:rsidRPr="00C945E4">
              <w:rPr>
                <w:rStyle w:val="Hyperlink"/>
                <w:noProof/>
              </w:rPr>
              <w:t>Purpose and operation</w:t>
            </w:r>
            <w:r>
              <w:rPr>
                <w:noProof/>
                <w:webHidden/>
              </w:rPr>
              <w:tab/>
            </w:r>
            <w:r>
              <w:rPr>
                <w:noProof/>
                <w:webHidden/>
              </w:rPr>
              <w:fldChar w:fldCharType="begin"/>
            </w:r>
            <w:r>
              <w:rPr>
                <w:noProof/>
                <w:webHidden/>
              </w:rPr>
              <w:instrText xml:space="preserve"> PAGEREF _Toc184225133 \h </w:instrText>
            </w:r>
            <w:r>
              <w:rPr>
                <w:noProof/>
                <w:webHidden/>
              </w:rPr>
            </w:r>
            <w:r>
              <w:rPr>
                <w:noProof/>
                <w:webHidden/>
              </w:rPr>
              <w:fldChar w:fldCharType="separate"/>
            </w:r>
            <w:r>
              <w:rPr>
                <w:noProof/>
                <w:webHidden/>
              </w:rPr>
              <w:t>4</w:t>
            </w:r>
            <w:r>
              <w:rPr>
                <w:noProof/>
                <w:webHidden/>
              </w:rPr>
              <w:fldChar w:fldCharType="end"/>
            </w:r>
          </w:hyperlink>
        </w:p>
        <w:p w14:paraId="1E979E3C" w14:textId="1A84DF67" w:rsidR="003B181D" w:rsidRDefault="003B181D">
          <w:pPr>
            <w:pStyle w:val="TOC2"/>
            <w:rPr>
              <w:rFonts w:asciiTheme="minorHAnsi" w:eastAsiaTheme="minorEastAsia" w:hAnsiTheme="minorHAnsi" w:cstheme="minorBidi"/>
              <w:noProof/>
              <w:sz w:val="22"/>
              <w:szCs w:val="22"/>
            </w:rPr>
          </w:pPr>
          <w:hyperlink w:anchor="_Toc184225134" w:history="1">
            <w:r w:rsidRPr="00C945E4">
              <w:rPr>
                <w:rStyle w:val="Hyperlink"/>
                <w:b/>
                <w:noProof/>
              </w:rPr>
              <w:t>2.1.</w:t>
            </w:r>
            <w:r>
              <w:rPr>
                <w:rFonts w:asciiTheme="minorHAnsi" w:eastAsiaTheme="minorEastAsia" w:hAnsiTheme="minorHAnsi" w:cstheme="minorBidi"/>
                <w:noProof/>
                <w:sz w:val="22"/>
                <w:szCs w:val="22"/>
              </w:rPr>
              <w:tab/>
            </w:r>
            <w:r w:rsidRPr="00C945E4">
              <w:rPr>
                <w:rStyle w:val="Hyperlink"/>
                <w:b/>
                <w:noProof/>
              </w:rPr>
              <w:t>Overview of the ADR</w:t>
            </w:r>
            <w:r>
              <w:rPr>
                <w:noProof/>
                <w:webHidden/>
              </w:rPr>
              <w:tab/>
            </w:r>
            <w:r>
              <w:rPr>
                <w:noProof/>
                <w:webHidden/>
              </w:rPr>
              <w:fldChar w:fldCharType="begin"/>
            </w:r>
            <w:r>
              <w:rPr>
                <w:noProof/>
                <w:webHidden/>
              </w:rPr>
              <w:instrText xml:space="preserve"> PAGEREF _Toc184225134 \h </w:instrText>
            </w:r>
            <w:r>
              <w:rPr>
                <w:noProof/>
                <w:webHidden/>
              </w:rPr>
            </w:r>
            <w:r>
              <w:rPr>
                <w:noProof/>
                <w:webHidden/>
              </w:rPr>
              <w:fldChar w:fldCharType="separate"/>
            </w:r>
            <w:r>
              <w:rPr>
                <w:noProof/>
                <w:webHidden/>
              </w:rPr>
              <w:t>4</w:t>
            </w:r>
            <w:r>
              <w:rPr>
                <w:noProof/>
                <w:webHidden/>
              </w:rPr>
              <w:fldChar w:fldCharType="end"/>
            </w:r>
          </w:hyperlink>
        </w:p>
        <w:p w14:paraId="399E2523" w14:textId="6A6752EA" w:rsidR="003B181D" w:rsidRDefault="003B181D">
          <w:pPr>
            <w:pStyle w:val="TOC2"/>
            <w:rPr>
              <w:rFonts w:asciiTheme="minorHAnsi" w:eastAsiaTheme="minorEastAsia" w:hAnsiTheme="minorHAnsi" w:cstheme="minorBidi"/>
              <w:noProof/>
              <w:sz w:val="22"/>
              <w:szCs w:val="22"/>
            </w:rPr>
          </w:pPr>
          <w:hyperlink w:anchor="_Toc184225135" w:history="1">
            <w:r w:rsidRPr="00C945E4">
              <w:rPr>
                <w:rStyle w:val="Hyperlink"/>
                <w:b/>
                <w:noProof/>
              </w:rPr>
              <w:t>2.2.</w:t>
            </w:r>
            <w:r>
              <w:rPr>
                <w:rFonts w:asciiTheme="minorHAnsi" w:eastAsiaTheme="minorEastAsia" w:hAnsiTheme="minorHAnsi" w:cstheme="minorBidi"/>
                <w:noProof/>
                <w:sz w:val="22"/>
                <w:szCs w:val="22"/>
              </w:rPr>
              <w:tab/>
            </w:r>
            <w:r w:rsidRPr="00C945E4">
              <w:rPr>
                <w:rStyle w:val="Hyperlink"/>
                <w:b/>
                <w:noProof/>
              </w:rPr>
              <w:t>Design Requirements</w:t>
            </w:r>
            <w:r>
              <w:rPr>
                <w:noProof/>
                <w:webHidden/>
              </w:rPr>
              <w:tab/>
            </w:r>
            <w:r>
              <w:rPr>
                <w:noProof/>
                <w:webHidden/>
              </w:rPr>
              <w:fldChar w:fldCharType="begin"/>
            </w:r>
            <w:r>
              <w:rPr>
                <w:noProof/>
                <w:webHidden/>
              </w:rPr>
              <w:instrText xml:space="preserve"> PAGEREF _Toc184225135 \h </w:instrText>
            </w:r>
            <w:r>
              <w:rPr>
                <w:noProof/>
                <w:webHidden/>
              </w:rPr>
            </w:r>
            <w:r>
              <w:rPr>
                <w:noProof/>
                <w:webHidden/>
              </w:rPr>
              <w:fldChar w:fldCharType="separate"/>
            </w:r>
            <w:r>
              <w:rPr>
                <w:noProof/>
                <w:webHidden/>
              </w:rPr>
              <w:t>6</w:t>
            </w:r>
            <w:r>
              <w:rPr>
                <w:noProof/>
                <w:webHidden/>
              </w:rPr>
              <w:fldChar w:fldCharType="end"/>
            </w:r>
          </w:hyperlink>
        </w:p>
        <w:p w14:paraId="0303722E" w14:textId="0A192371" w:rsidR="003B181D" w:rsidRDefault="003B181D">
          <w:pPr>
            <w:pStyle w:val="TOC2"/>
            <w:rPr>
              <w:rFonts w:asciiTheme="minorHAnsi" w:eastAsiaTheme="minorEastAsia" w:hAnsiTheme="minorHAnsi" w:cstheme="minorBidi"/>
              <w:noProof/>
              <w:sz w:val="22"/>
              <w:szCs w:val="22"/>
            </w:rPr>
          </w:pPr>
          <w:hyperlink w:anchor="_Toc184225136" w:history="1">
            <w:r w:rsidRPr="00C945E4">
              <w:rPr>
                <w:rStyle w:val="Hyperlink"/>
                <w:b/>
                <w:noProof/>
              </w:rPr>
              <w:t>2.3.</w:t>
            </w:r>
            <w:r>
              <w:rPr>
                <w:rFonts w:asciiTheme="minorHAnsi" w:eastAsiaTheme="minorEastAsia" w:hAnsiTheme="minorHAnsi" w:cstheme="minorBidi"/>
                <w:noProof/>
                <w:sz w:val="22"/>
                <w:szCs w:val="22"/>
              </w:rPr>
              <w:tab/>
            </w:r>
            <w:r w:rsidRPr="00C945E4">
              <w:rPr>
                <w:rStyle w:val="Hyperlink"/>
                <w:b/>
                <w:noProof/>
              </w:rPr>
              <w:t>Exemptions and Alternative Procedures</w:t>
            </w:r>
            <w:r>
              <w:rPr>
                <w:noProof/>
                <w:webHidden/>
              </w:rPr>
              <w:tab/>
            </w:r>
            <w:r>
              <w:rPr>
                <w:noProof/>
                <w:webHidden/>
              </w:rPr>
              <w:fldChar w:fldCharType="begin"/>
            </w:r>
            <w:r>
              <w:rPr>
                <w:noProof/>
                <w:webHidden/>
              </w:rPr>
              <w:instrText xml:space="preserve"> PAGEREF _Toc184225136 \h </w:instrText>
            </w:r>
            <w:r>
              <w:rPr>
                <w:noProof/>
                <w:webHidden/>
              </w:rPr>
            </w:r>
            <w:r>
              <w:rPr>
                <w:noProof/>
                <w:webHidden/>
              </w:rPr>
              <w:fldChar w:fldCharType="separate"/>
            </w:r>
            <w:r>
              <w:rPr>
                <w:noProof/>
                <w:webHidden/>
              </w:rPr>
              <w:t>7</w:t>
            </w:r>
            <w:r>
              <w:rPr>
                <w:noProof/>
                <w:webHidden/>
              </w:rPr>
              <w:fldChar w:fldCharType="end"/>
            </w:r>
          </w:hyperlink>
        </w:p>
        <w:p w14:paraId="3640069C" w14:textId="4CA932E1" w:rsidR="003B181D" w:rsidRDefault="003B181D">
          <w:pPr>
            <w:pStyle w:val="TOC2"/>
            <w:rPr>
              <w:rFonts w:asciiTheme="minorHAnsi" w:eastAsiaTheme="minorEastAsia" w:hAnsiTheme="minorHAnsi" w:cstheme="minorBidi"/>
              <w:noProof/>
              <w:sz w:val="22"/>
              <w:szCs w:val="22"/>
            </w:rPr>
          </w:pPr>
          <w:hyperlink w:anchor="_Toc184225137" w:history="1">
            <w:r w:rsidRPr="00C945E4">
              <w:rPr>
                <w:rStyle w:val="Hyperlink"/>
                <w:b/>
                <w:noProof/>
              </w:rPr>
              <w:t>2.4.</w:t>
            </w:r>
            <w:r>
              <w:rPr>
                <w:rFonts w:asciiTheme="minorHAnsi" w:eastAsiaTheme="minorEastAsia" w:hAnsiTheme="minorHAnsi" w:cstheme="minorBidi"/>
                <w:noProof/>
                <w:sz w:val="22"/>
                <w:szCs w:val="22"/>
              </w:rPr>
              <w:tab/>
            </w:r>
            <w:r w:rsidRPr="00C945E4">
              <w:rPr>
                <w:rStyle w:val="Hyperlink"/>
                <w:b/>
                <w:noProof/>
              </w:rPr>
              <w:t>Alternative Standards</w:t>
            </w:r>
            <w:r>
              <w:rPr>
                <w:noProof/>
                <w:webHidden/>
              </w:rPr>
              <w:tab/>
            </w:r>
            <w:r>
              <w:rPr>
                <w:noProof/>
                <w:webHidden/>
              </w:rPr>
              <w:fldChar w:fldCharType="begin"/>
            </w:r>
            <w:r>
              <w:rPr>
                <w:noProof/>
                <w:webHidden/>
              </w:rPr>
              <w:instrText xml:space="preserve"> PAGEREF _Toc184225137 \h </w:instrText>
            </w:r>
            <w:r>
              <w:rPr>
                <w:noProof/>
                <w:webHidden/>
              </w:rPr>
            </w:r>
            <w:r>
              <w:rPr>
                <w:noProof/>
                <w:webHidden/>
              </w:rPr>
              <w:fldChar w:fldCharType="separate"/>
            </w:r>
            <w:r>
              <w:rPr>
                <w:noProof/>
                <w:webHidden/>
              </w:rPr>
              <w:t>8</w:t>
            </w:r>
            <w:r>
              <w:rPr>
                <w:noProof/>
                <w:webHidden/>
              </w:rPr>
              <w:fldChar w:fldCharType="end"/>
            </w:r>
          </w:hyperlink>
        </w:p>
        <w:p w14:paraId="514A557B" w14:textId="63D295D2" w:rsidR="003B181D" w:rsidRDefault="003B181D">
          <w:pPr>
            <w:pStyle w:val="TOC1"/>
            <w:rPr>
              <w:rFonts w:asciiTheme="minorHAnsi" w:eastAsiaTheme="minorEastAsia" w:hAnsiTheme="minorHAnsi" w:cstheme="minorBidi"/>
              <w:caps w:val="0"/>
              <w:noProof/>
              <w:sz w:val="22"/>
              <w:szCs w:val="22"/>
            </w:rPr>
          </w:pPr>
          <w:hyperlink w:anchor="_Toc184225138" w:history="1">
            <w:r w:rsidRPr="00C945E4">
              <w:rPr>
                <w:rStyle w:val="Hyperlink"/>
                <w:noProof/>
              </w:rPr>
              <w:t>3.</w:t>
            </w:r>
            <w:r>
              <w:rPr>
                <w:rFonts w:asciiTheme="minorHAnsi" w:eastAsiaTheme="minorEastAsia" w:hAnsiTheme="minorHAnsi" w:cstheme="minorBidi"/>
                <w:caps w:val="0"/>
                <w:noProof/>
                <w:sz w:val="22"/>
                <w:szCs w:val="22"/>
              </w:rPr>
              <w:tab/>
            </w:r>
            <w:r w:rsidRPr="00C945E4">
              <w:rPr>
                <w:rStyle w:val="Hyperlink"/>
                <w:noProof/>
              </w:rPr>
              <w:t>MATTERS INCORPORATED BY REFERENCE</w:t>
            </w:r>
            <w:r>
              <w:rPr>
                <w:noProof/>
                <w:webHidden/>
              </w:rPr>
              <w:tab/>
            </w:r>
            <w:r>
              <w:rPr>
                <w:noProof/>
                <w:webHidden/>
              </w:rPr>
              <w:fldChar w:fldCharType="begin"/>
            </w:r>
            <w:r>
              <w:rPr>
                <w:noProof/>
                <w:webHidden/>
              </w:rPr>
              <w:instrText xml:space="preserve"> PAGEREF _Toc184225138 \h </w:instrText>
            </w:r>
            <w:r>
              <w:rPr>
                <w:noProof/>
                <w:webHidden/>
              </w:rPr>
            </w:r>
            <w:r>
              <w:rPr>
                <w:noProof/>
                <w:webHidden/>
              </w:rPr>
              <w:fldChar w:fldCharType="separate"/>
            </w:r>
            <w:r>
              <w:rPr>
                <w:noProof/>
                <w:webHidden/>
              </w:rPr>
              <w:t>9</w:t>
            </w:r>
            <w:r>
              <w:rPr>
                <w:noProof/>
                <w:webHidden/>
              </w:rPr>
              <w:fldChar w:fldCharType="end"/>
            </w:r>
          </w:hyperlink>
        </w:p>
        <w:p w14:paraId="2BBE331D" w14:textId="204A16FE" w:rsidR="003B181D" w:rsidRDefault="003B181D">
          <w:pPr>
            <w:pStyle w:val="TOC2"/>
            <w:rPr>
              <w:rFonts w:asciiTheme="minorHAnsi" w:eastAsiaTheme="minorEastAsia" w:hAnsiTheme="minorHAnsi" w:cstheme="minorBidi"/>
              <w:noProof/>
              <w:sz w:val="22"/>
              <w:szCs w:val="22"/>
            </w:rPr>
          </w:pPr>
          <w:hyperlink w:anchor="_Toc184225139" w:history="1">
            <w:r w:rsidRPr="00C945E4">
              <w:rPr>
                <w:rStyle w:val="Hyperlink"/>
                <w:b/>
                <w:noProof/>
              </w:rPr>
              <w:t>3.1.</w:t>
            </w:r>
            <w:r>
              <w:rPr>
                <w:rFonts w:asciiTheme="minorHAnsi" w:eastAsiaTheme="minorEastAsia" w:hAnsiTheme="minorHAnsi" w:cstheme="minorBidi"/>
                <w:noProof/>
                <w:sz w:val="22"/>
                <w:szCs w:val="22"/>
              </w:rPr>
              <w:tab/>
            </w:r>
            <w:r w:rsidRPr="00C945E4">
              <w:rPr>
                <w:rStyle w:val="Hyperlink"/>
                <w:b/>
                <w:noProof/>
              </w:rPr>
              <w:t>Other Legislative Instruments</w:t>
            </w:r>
            <w:r>
              <w:rPr>
                <w:noProof/>
                <w:webHidden/>
              </w:rPr>
              <w:tab/>
            </w:r>
            <w:r>
              <w:rPr>
                <w:noProof/>
                <w:webHidden/>
              </w:rPr>
              <w:fldChar w:fldCharType="begin"/>
            </w:r>
            <w:r>
              <w:rPr>
                <w:noProof/>
                <w:webHidden/>
              </w:rPr>
              <w:instrText xml:space="preserve"> PAGEREF _Toc184225139 \h </w:instrText>
            </w:r>
            <w:r>
              <w:rPr>
                <w:noProof/>
                <w:webHidden/>
              </w:rPr>
            </w:r>
            <w:r>
              <w:rPr>
                <w:noProof/>
                <w:webHidden/>
              </w:rPr>
              <w:fldChar w:fldCharType="separate"/>
            </w:r>
            <w:r>
              <w:rPr>
                <w:noProof/>
                <w:webHidden/>
              </w:rPr>
              <w:t>9</w:t>
            </w:r>
            <w:r>
              <w:rPr>
                <w:noProof/>
                <w:webHidden/>
              </w:rPr>
              <w:fldChar w:fldCharType="end"/>
            </w:r>
          </w:hyperlink>
        </w:p>
        <w:p w14:paraId="3ABBBACC" w14:textId="3DDA2FE0" w:rsidR="003B181D" w:rsidRDefault="003B181D">
          <w:pPr>
            <w:pStyle w:val="TOC2"/>
            <w:rPr>
              <w:rFonts w:asciiTheme="minorHAnsi" w:eastAsiaTheme="minorEastAsia" w:hAnsiTheme="minorHAnsi" w:cstheme="minorBidi"/>
              <w:noProof/>
              <w:sz w:val="22"/>
              <w:szCs w:val="22"/>
            </w:rPr>
          </w:pPr>
          <w:hyperlink w:anchor="_Toc184225140" w:history="1">
            <w:r w:rsidRPr="00C945E4">
              <w:rPr>
                <w:rStyle w:val="Hyperlink"/>
                <w:b/>
                <w:noProof/>
              </w:rPr>
              <w:t>3.2.</w:t>
            </w:r>
            <w:r>
              <w:rPr>
                <w:rFonts w:asciiTheme="minorHAnsi" w:eastAsiaTheme="minorEastAsia" w:hAnsiTheme="minorHAnsi" w:cstheme="minorBidi"/>
                <w:noProof/>
                <w:sz w:val="22"/>
                <w:szCs w:val="22"/>
              </w:rPr>
              <w:tab/>
            </w:r>
            <w:r w:rsidRPr="00C945E4">
              <w:rPr>
                <w:rStyle w:val="Hyperlink"/>
                <w:b/>
                <w:noProof/>
              </w:rPr>
              <w:t>International Vehicle Regulations</w:t>
            </w:r>
            <w:r>
              <w:rPr>
                <w:noProof/>
                <w:webHidden/>
              </w:rPr>
              <w:tab/>
            </w:r>
            <w:r>
              <w:rPr>
                <w:noProof/>
                <w:webHidden/>
              </w:rPr>
              <w:fldChar w:fldCharType="begin"/>
            </w:r>
            <w:r>
              <w:rPr>
                <w:noProof/>
                <w:webHidden/>
              </w:rPr>
              <w:instrText xml:space="preserve"> PAGEREF _Toc184225140 \h </w:instrText>
            </w:r>
            <w:r>
              <w:rPr>
                <w:noProof/>
                <w:webHidden/>
              </w:rPr>
            </w:r>
            <w:r>
              <w:rPr>
                <w:noProof/>
                <w:webHidden/>
              </w:rPr>
              <w:fldChar w:fldCharType="separate"/>
            </w:r>
            <w:r>
              <w:rPr>
                <w:noProof/>
                <w:webHidden/>
              </w:rPr>
              <w:t>10</w:t>
            </w:r>
            <w:r>
              <w:rPr>
                <w:noProof/>
                <w:webHidden/>
              </w:rPr>
              <w:fldChar w:fldCharType="end"/>
            </w:r>
          </w:hyperlink>
        </w:p>
        <w:p w14:paraId="4EFA0717" w14:textId="6E774D64" w:rsidR="003B181D" w:rsidRDefault="003B181D">
          <w:pPr>
            <w:pStyle w:val="TOC3"/>
            <w:tabs>
              <w:tab w:val="right" w:leader="dot" w:pos="8302"/>
            </w:tabs>
            <w:rPr>
              <w:rFonts w:asciiTheme="minorHAnsi" w:eastAsiaTheme="minorEastAsia" w:hAnsiTheme="minorHAnsi" w:cstheme="minorBidi"/>
              <w:noProof/>
              <w:sz w:val="22"/>
              <w:szCs w:val="22"/>
            </w:rPr>
          </w:pPr>
          <w:hyperlink w:anchor="_Toc184225141" w:history="1">
            <w:r w:rsidRPr="00C945E4">
              <w:rPr>
                <w:rStyle w:val="Hyperlink"/>
                <w:noProof/>
              </w:rPr>
              <w:t>United Nations Regulations and/or Resolutions</w:t>
            </w:r>
            <w:r>
              <w:rPr>
                <w:noProof/>
                <w:webHidden/>
              </w:rPr>
              <w:tab/>
            </w:r>
            <w:r>
              <w:rPr>
                <w:noProof/>
                <w:webHidden/>
              </w:rPr>
              <w:fldChar w:fldCharType="begin"/>
            </w:r>
            <w:r>
              <w:rPr>
                <w:noProof/>
                <w:webHidden/>
              </w:rPr>
              <w:instrText xml:space="preserve"> PAGEREF _Toc184225141 \h </w:instrText>
            </w:r>
            <w:r>
              <w:rPr>
                <w:noProof/>
                <w:webHidden/>
              </w:rPr>
            </w:r>
            <w:r>
              <w:rPr>
                <w:noProof/>
                <w:webHidden/>
              </w:rPr>
              <w:fldChar w:fldCharType="separate"/>
            </w:r>
            <w:r>
              <w:rPr>
                <w:noProof/>
                <w:webHidden/>
              </w:rPr>
              <w:t>10</w:t>
            </w:r>
            <w:r>
              <w:rPr>
                <w:noProof/>
                <w:webHidden/>
              </w:rPr>
              <w:fldChar w:fldCharType="end"/>
            </w:r>
          </w:hyperlink>
        </w:p>
        <w:p w14:paraId="68EED52B" w14:textId="6A1E4109" w:rsidR="003B181D" w:rsidRDefault="003B181D">
          <w:pPr>
            <w:pStyle w:val="TOC3"/>
            <w:tabs>
              <w:tab w:val="right" w:leader="dot" w:pos="8302"/>
            </w:tabs>
            <w:rPr>
              <w:rFonts w:asciiTheme="minorHAnsi" w:eastAsiaTheme="minorEastAsia" w:hAnsiTheme="minorHAnsi" w:cstheme="minorBidi"/>
              <w:noProof/>
              <w:sz w:val="22"/>
              <w:szCs w:val="22"/>
            </w:rPr>
          </w:pPr>
          <w:hyperlink w:anchor="_Toc184225142" w:history="1">
            <w:r w:rsidRPr="00C945E4">
              <w:rPr>
                <w:rStyle w:val="Hyperlink"/>
                <w:noProof/>
              </w:rPr>
              <w:t>European Union (EU) Regulations</w:t>
            </w:r>
            <w:r>
              <w:rPr>
                <w:noProof/>
                <w:webHidden/>
              </w:rPr>
              <w:tab/>
            </w:r>
            <w:r>
              <w:rPr>
                <w:noProof/>
                <w:webHidden/>
              </w:rPr>
              <w:fldChar w:fldCharType="begin"/>
            </w:r>
            <w:r>
              <w:rPr>
                <w:noProof/>
                <w:webHidden/>
              </w:rPr>
              <w:instrText xml:space="preserve"> PAGEREF _Toc184225142 \h </w:instrText>
            </w:r>
            <w:r>
              <w:rPr>
                <w:noProof/>
                <w:webHidden/>
              </w:rPr>
            </w:r>
            <w:r>
              <w:rPr>
                <w:noProof/>
                <w:webHidden/>
              </w:rPr>
              <w:fldChar w:fldCharType="separate"/>
            </w:r>
            <w:r>
              <w:rPr>
                <w:noProof/>
                <w:webHidden/>
              </w:rPr>
              <w:t>12</w:t>
            </w:r>
            <w:r>
              <w:rPr>
                <w:noProof/>
                <w:webHidden/>
              </w:rPr>
              <w:fldChar w:fldCharType="end"/>
            </w:r>
          </w:hyperlink>
        </w:p>
        <w:p w14:paraId="2D74CE54" w14:textId="102A55A9" w:rsidR="003B181D" w:rsidRDefault="003B181D">
          <w:pPr>
            <w:pStyle w:val="TOC2"/>
            <w:rPr>
              <w:rFonts w:asciiTheme="minorHAnsi" w:eastAsiaTheme="minorEastAsia" w:hAnsiTheme="minorHAnsi" w:cstheme="minorBidi"/>
              <w:noProof/>
              <w:sz w:val="22"/>
              <w:szCs w:val="22"/>
            </w:rPr>
          </w:pPr>
          <w:hyperlink w:anchor="_Toc184225143" w:history="1">
            <w:r w:rsidRPr="00C945E4">
              <w:rPr>
                <w:rStyle w:val="Hyperlink"/>
                <w:b/>
                <w:noProof/>
              </w:rPr>
              <w:t>3.3.</w:t>
            </w:r>
            <w:r>
              <w:rPr>
                <w:rFonts w:asciiTheme="minorHAnsi" w:eastAsiaTheme="minorEastAsia" w:hAnsiTheme="minorHAnsi" w:cstheme="minorBidi"/>
                <w:noProof/>
                <w:sz w:val="22"/>
                <w:szCs w:val="22"/>
              </w:rPr>
              <w:tab/>
            </w:r>
            <w:r w:rsidRPr="00C945E4">
              <w:rPr>
                <w:rStyle w:val="Hyperlink"/>
                <w:b/>
                <w:noProof/>
              </w:rPr>
              <w:t>Technical standards</w:t>
            </w:r>
            <w:r>
              <w:rPr>
                <w:noProof/>
                <w:webHidden/>
              </w:rPr>
              <w:tab/>
            </w:r>
            <w:r>
              <w:rPr>
                <w:noProof/>
                <w:webHidden/>
              </w:rPr>
              <w:fldChar w:fldCharType="begin"/>
            </w:r>
            <w:r>
              <w:rPr>
                <w:noProof/>
                <w:webHidden/>
              </w:rPr>
              <w:instrText xml:space="preserve"> PAGEREF _Toc184225143 \h </w:instrText>
            </w:r>
            <w:r>
              <w:rPr>
                <w:noProof/>
                <w:webHidden/>
              </w:rPr>
            </w:r>
            <w:r>
              <w:rPr>
                <w:noProof/>
                <w:webHidden/>
              </w:rPr>
              <w:fldChar w:fldCharType="separate"/>
            </w:r>
            <w:r>
              <w:rPr>
                <w:noProof/>
                <w:webHidden/>
              </w:rPr>
              <w:t>13</w:t>
            </w:r>
            <w:r>
              <w:rPr>
                <w:noProof/>
                <w:webHidden/>
              </w:rPr>
              <w:fldChar w:fldCharType="end"/>
            </w:r>
          </w:hyperlink>
        </w:p>
        <w:p w14:paraId="751C4215" w14:textId="5F8A0796" w:rsidR="003B181D" w:rsidRDefault="003B181D">
          <w:pPr>
            <w:pStyle w:val="TOC1"/>
            <w:rPr>
              <w:rFonts w:asciiTheme="minorHAnsi" w:eastAsiaTheme="minorEastAsia" w:hAnsiTheme="minorHAnsi" w:cstheme="minorBidi"/>
              <w:caps w:val="0"/>
              <w:noProof/>
              <w:sz w:val="22"/>
              <w:szCs w:val="22"/>
            </w:rPr>
          </w:pPr>
          <w:hyperlink w:anchor="_Toc184225144" w:history="1">
            <w:r w:rsidRPr="00C945E4">
              <w:rPr>
                <w:rStyle w:val="Hyperlink"/>
                <w:noProof/>
              </w:rPr>
              <w:t>4.</w:t>
            </w:r>
            <w:r>
              <w:rPr>
                <w:rFonts w:asciiTheme="minorHAnsi" w:eastAsiaTheme="minorEastAsia" w:hAnsiTheme="minorHAnsi" w:cstheme="minorBidi"/>
                <w:caps w:val="0"/>
                <w:noProof/>
                <w:sz w:val="22"/>
                <w:szCs w:val="22"/>
              </w:rPr>
              <w:tab/>
            </w:r>
            <w:r w:rsidRPr="00C945E4">
              <w:rPr>
                <w:rStyle w:val="Hyperlink"/>
                <w:noProof/>
              </w:rPr>
              <w:t>CONSULTATION</w:t>
            </w:r>
            <w:r>
              <w:rPr>
                <w:noProof/>
                <w:webHidden/>
              </w:rPr>
              <w:tab/>
            </w:r>
            <w:r>
              <w:rPr>
                <w:noProof/>
                <w:webHidden/>
              </w:rPr>
              <w:fldChar w:fldCharType="begin"/>
            </w:r>
            <w:r>
              <w:rPr>
                <w:noProof/>
                <w:webHidden/>
              </w:rPr>
              <w:instrText xml:space="preserve"> PAGEREF _Toc184225144 \h </w:instrText>
            </w:r>
            <w:r>
              <w:rPr>
                <w:noProof/>
                <w:webHidden/>
              </w:rPr>
            </w:r>
            <w:r>
              <w:rPr>
                <w:noProof/>
                <w:webHidden/>
              </w:rPr>
              <w:fldChar w:fldCharType="separate"/>
            </w:r>
            <w:r>
              <w:rPr>
                <w:noProof/>
                <w:webHidden/>
              </w:rPr>
              <w:t>15</w:t>
            </w:r>
            <w:r>
              <w:rPr>
                <w:noProof/>
                <w:webHidden/>
              </w:rPr>
              <w:fldChar w:fldCharType="end"/>
            </w:r>
          </w:hyperlink>
        </w:p>
        <w:p w14:paraId="58200A1A" w14:textId="501D4D3B" w:rsidR="003B181D" w:rsidRDefault="003B181D">
          <w:pPr>
            <w:pStyle w:val="TOC2"/>
            <w:rPr>
              <w:rFonts w:asciiTheme="minorHAnsi" w:eastAsiaTheme="minorEastAsia" w:hAnsiTheme="minorHAnsi" w:cstheme="minorBidi"/>
              <w:noProof/>
              <w:sz w:val="22"/>
              <w:szCs w:val="22"/>
            </w:rPr>
          </w:pPr>
          <w:hyperlink w:anchor="_Toc184225145" w:history="1">
            <w:r w:rsidRPr="00C945E4">
              <w:rPr>
                <w:rStyle w:val="Hyperlink"/>
                <w:b/>
                <w:noProof/>
              </w:rPr>
              <w:t>4.1.</w:t>
            </w:r>
            <w:r>
              <w:rPr>
                <w:rFonts w:asciiTheme="minorHAnsi" w:eastAsiaTheme="minorEastAsia" w:hAnsiTheme="minorHAnsi" w:cstheme="minorBidi"/>
                <w:noProof/>
                <w:sz w:val="22"/>
                <w:szCs w:val="22"/>
              </w:rPr>
              <w:tab/>
            </w:r>
            <w:r w:rsidRPr="00C945E4">
              <w:rPr>
                <w:rStyle w:val="Hyperlink"/>
                <w:b/>
                <w:noProof/>
              </w:rPr>
              <w:t>General Consultation Arrangements</w:t>
            </w:r>
            <w:r>
              <w:rPr>
                <w:noProof/>
                <w:webHidden/>
              </w:rPr>
              <w:tab/>
            </w:r>
            <w:r>
              <w:rPr>
                <w:noProof/>
                <w:webHidden/>
              </w:rPr>
              <w:fldChar w:fldCharType="begin"/>
            </w:r>
            <w:r>
              <w:rPr>
                <w:noProof/>
                <w:webHidden/>
              </w:rPr>
              <w:instrText xml:space="preserve"> PAGEREF _Toc184225145 \h </w:instrText>
            </w:r>
            <w:r>
              <w:rPr>
                <w:noProof/>
                <w:webHidden/>
              </w:rPr>
            </w:r>
            <w:r>
              <w:rPr>
                <w:noProof/>
                <w:webHidden/>
              </w:rPr>
              <w:fldChar w:fldCharType="separate"/>
            </w:r>
            <w:r>
              <w:rPr>
                <w:noProof/>
                <w:webHidden/>
              </w:rPr>
              <w:t>15</w:t>
            </w:r>
            <w:r>
              <w:rPr>
                <w:noProof/>
                <w:webHidden/>
              </w:rPr>
              <w:fldChar w:fldCharType="end"/>
            </w:r>
          </w:hyperlink>
        </w:p>
        <w:p w14:paraId="603065A1" w14:textId="6E4B3A8A" w:rsidR="003B181D" w:rsidRDefault="003B181D">
          <w:pPr>
            <w:pStyle w:val="TOC2"/>
            <w:rPr>
              <w:rFonts w:asciiTheme="minorHAnsi" w:eastAsiaTheme="minorEastAsia" w:hAnsiTheme="minorHAnsi" w:cstheme="minorBidi"/>
              <w:noProof/>
              <w:sz w:val="22"/>
              <w:szCs w:val="22"/>
            </w:rPr>
          </w:pPr>
          <w:hyperlink w:anchor="_Toc184225146" w:history="1">
            <w:r w:rsidRPr="00C945E4">
              <w:rPr>
                <w:rStyle w:val="Hyperlink"/>
                <w:b/>
                <w:noProof/>
              </w:rPr>
              <w:t>4.2.</w:t>
            </w:r>
            <w:r>
              <w:rPr>
                <w:rFonts w:asciiTheme="minorHAnsi" w:eastAsiaTheme="minorEastAsia" w:hAnsiTheme="minorHAnsi" w:cstheme="minorBidi"/>
                <w:noProof/>
                <w:sz w:val="22"/>
                <w:szCs w:val="22"/>
              </w:rPr>
              <w:tab/>
            </w:r>
            <w:r w:rsidRPr="00C945E4">
              <w:rPr>
                <w:rStyle w:val="Hyperlink"/>
                <w:b/>
                <w:noProof/>
              </w:rPr>
              <w:t>Specific Consultation Arrangements</w:t>
            </w:r>
            <w:r>
              <w:rPr>
                <w:noProof/>
                <w:webHidden/>
              </w:rPr>
              <w:tab/>
            </w:r>
            <w:r>
              <w:rPr>
                <w:noProof/>
                <w:webHidden/>
              </w:rPr>
              <w:fldChar w:fldCharType="begin"/>
            </w:r>
            <w:r>
              <w:rPr>
                <w:noProof/>
                <w:webHidden/>
              </w:rPr>
              <w:instrText xml:space="preserve"> PAGEREF _Toc184225146 \h </w:instrText>
            </w:r>
            <w:r>
              <w:rPr>
                <w:noProof/>
                <w:webHidden/>
              </w:rPr>
            </w:r>
            <w:r>
              <w:rPr>
                <w:noProof/>
                <w:webHidden/>
              </w:rPr>
              <w:fldChar w:fldCharType="separate"/>
            </w:r>
            <w:r>
              <w:rPr>
                <w:noProof/>
                <w:webHidden/>
              </w:rPr>
              <w:t>15</w:t>
            </w:r>
            <w:r>
              <w:rPr>
                <w:noProof/>
                <w:webHidden/>
              </w:rPr>
              <w:fldChar w:fldCharType="end"/>
            </w:r>
          </w:hyperlink>
        </w:p>
        <w:p w14:paraId="3BB7B7B1" w14:textId="780BEDAC" w:rsidR="003B181D" w:rsidRDefault="003B181D">
          <w:pPr>
            <w:pStyle w:val="TOC1"/>
            <w:rPr>
              <w:rFonts w:asciiTheme="minorHAnsi" w:eastAsiaTheme="minorEastAsia" w:hAnsiTheme="minorHAnsi" w:cstheme="minorBidi"/>
              <w:caps w:val="0"/>
              <w:noProof/>
              <w:sz w:val="22"/>
              <w:szCs w:val="22"/>
            </w:rPr>
          </w:pPr>
          <w:hyperlink w:anchor="_Toc184225147" w:history="1">
            <w:r w:rsidRPr="00C945E4">
              <w:rPr>
                <w:rStyle w:val="Hyperlink"/>
                <w:noProof/>
              </w:rPr>
              <w:t>5.</w:t>
            </w:r>
            <w:r>
              <w:rPr>
                <w:rFonts w:asciiTheme="minorHAnsi" w:eastAsiaTheme="minorEastAsia" w:hAnsiTheme="minorHAnsi" w:cstheme="minorBidi"/>
                <w:caps w:val="0"/>
                <w:noProof/>
                <w:sz w:val="22"/>
                <w:szCs w:val="22"/>
              </w:rPr>
              <w:tab/>
            </w:r>
            <w:r w:rsidRPr="00C945E4">
              <w:rPr>
                <w:rStyle w:val="Hyperlink"/>
                <w:noProof/>
              </w:rPr>
              <w:t>Regulatory Impact</w:t>
            </w:r>
            <w:r>
              <w:rPr>
                <w:noProof/>
                <w:webHidden/>
              </w:rPr>
              <w:tab/>
            </w:r>
            <w:r>
              <w:rPr>
                <w:noProof/>
                <w:webHidden/>
              </w:rPr>
              <w:fldChar w:fldCharType="begin"/>
            </w:r>
            <w:r>
              <w:rPr>
                <w:noProof/>
                <w:webHidden/>
              </w:rPr>
              <w:instrText xml:space="preserve"> PAGEREF _Toc184225147 \h </w:instrText>
            </w:r>
            <w:r>
              <w:rPr>
                <w:noProof/>
                <w:webHidden/>
              </w:rPr>
            </w:r>
            <w:r>
              <w:rPr>
                <w:noProof/>
                <w:webHidden/>
              </w:rPr>
              <w:fldChar w:fldCharType="separate"/>
            </w:r>
            <w:r>
              <w:rPr>
                <w:noProof/>
                <w:webHidden/>
              </w:rPr>
              <w:t>15</w:t>
            </w:r>
            <w:r>
              <w:rPr>
                <w:noProof/>
                <w:webHidden/>
              </w:rPr>
              <w:fldChar w:fldCharType="end"/>
            </w:r>
          </w:hyperlink>
        </w:p>
        <w:p w14:paraId="120ED1DA" w14:textId="384C6F02" w:rsidR="003B181D" w:rsidRDefault="003B181D">
          <w:pPr>
            <w:pStyle w:val="TOC1"/>
            <w:rPr>
              <w:rFonts w:asciiTheme="minorHAnsi" w:eastAsiaTheme="minorEastAsia" w:hAnsiTheme="minorHAnsi" w:cstheme="minorBidi"/>
              <w:caps w:val="0"/>
              <w:noProof/>
              <w:sz w:val="22"/>
              <w:szCs w:val="22"/>
            </w:rPr>
          </w:pPr>
          <w:hyperlink w:anchor="_Toc184225148" w:history="1">
            <w:r w:rsidRPr="00C945E4">
              <w:rPr>
                <w:rStyle w:val="Hyperlink"/>
                <w:noProof/>
              </w:rPr>
              <w:t>6.</w:t>
            </w:r>
            <w:r>
              <w:rPr>
                <w:rFonts w:asciiTheme="minorHAnsi" w:eastAsiaTheme="minorEastAsia" w:hAnsiTheme="minorHAnsi" w:cstheme="minorBidi"/>
                <w:caps w:val="0"/>
                <w:noProof/>
                <w:sz w:val="22"/>
                <w:szCs w:val="22"/>
              </w:rPr>
              <w:tab/>
            </w:r>
            <w:r w:rsidRPr="00C945E4">
              <w:rPr>
                <w:rStyle w:val="Hyperlink"/>
                <w:noProof/>
              </w:rPr>
              <w:t>STATEMENT OF COMPATIBILITY WITH HUMAN RIGHTS</w:t>
            </w:r>
            <w:r>
              <w:rPr>
                <w:noProof/>
                <w:webHidden/>
              </w:rPr>
              <w:tab/>
            </w:r>
            <w:r>
              <w:rPr>
                <w:noProof/>
                <w:webHidden/>
              </w:rPr>
              <w:fldChar w:fldCharType="begin"/>
            </w:r>
            <w:r>
              <w:rPr>
                <w:noProof/>
                <w:webHidden/>
              </w:rPr>
              <w:instrText xml:space="preserve"> PAGEREF _Toc184225148 \h </w:instrText>
            </w:r>
            <w:r>
              <w:rPr>
                <w:noProof/>
                <w:webHidden/>
              </w:rPr>
            </w:r>
            <w:r>
              <w:rPr>
                <w:noProof/>
                <w:webHidden/>
              </w:rPr>
              <w:fldChar w:fldCharType="separate"/>
            </w:r>
            <w:r>
              <w:rPr>
                <w:noProof/>
                <w:webHidden/>
              </w:rPr>
              <w:t>15</w:t>
            </w:r>
            <w:r>
              <w:rPr>
                <w:noProof/>
                <w:webHidden/>
              </w:rPr>
              <w:fldChar w:fldCharType="end"/>
            </w:r>
          </w:hyperlink>
        </w:p>
        <w:p w14:paraId="5D9555C9" w14:textId="0A4F5694" w:rsidR="003B181D" w:rsidRDefault="003B181D">
          <w:pPr>
            <w:pStyle w:val="TOC2"/>
            <w:rPr>
              <w:rFonts w:asciiTheme="minorHAnsi" w:eastAsiaTheme="minorEastAsia" w:hAnsiTheme="minorHAnsi" w:cstheme="minorBidi"/>
              <w:noProof/>
              <w:sz w:val="22"/>
              <w:szCs w:val="22"/>
            </w:rPr>
          </w:pPr>
          <w:hyperlink w:anchor="_Toc184225149" w:history="1">
            <w:r w:rsidRPr="00C945E4">
              <w:rPr>
                <w:rStyle w:val="Hyperlink"/>
                <w:b/>
                <w:noProof/>
              </w:rPr>
              <w:t>6.1.</w:t>
            </w:r>
            <w:r>
              <w:rPr>
                <w:rFonts w:asciiTheme="minorHAnsi" w:eastAsiaTheme="minorEastAsia" w:hAnsiTheme="minorHAnsi" w:cstheme="minorBidi"/>
                <w:noProof/>
                <w:sz w:val="22"/>
                <w:szCs w:val="22"/>
              </w:rPr>
              <w:tab/>
            </w:r>
            <w:r w:rsidRPr="00C945E4">
              <w:rPr>
                <w:rStyle w:val="Hyperlink"/>
                <w:b/>
                <w:noProof/>
              </w:rPr>
              <w:t>Overview</w:t>
            </w:r>
            <w:r>
              <w:rPr>
                <w:noProof/>
                <w:webHidden/>
              </w:rPr>
              <w:tab/>
            </w:r>
            <w:r>
              <w:rPr>
                <w:noProof/>
                <w:webHidden/>
              </w:rPr>
              <w:fldChar w:fldCharType="begin"/>
            </w:r>
            <w:r>
              <w:rPr>
                <w:noProof/>
                <w:webHidden/>
              </w:rPr>
              <w:instrText xml:space="preserve"> PAGEREF _Toc184225149 \h </w:instrText>
            </w:r>
            <w:r>
              <w:rPr>
                <w:noProof/>
                <w:webHidden/>
              </w:rPr>
            </w:r>
            <w:r>
              <w:rPr>
                <w:noProof/>
                <w:webHidden/>
              </w:rPr>
              <w:fldChar w:fldCharType="separate"/>
            </w:r>
            <w:r>
              <w:rPr>
                <w:noProof/>
                <w:webHidden/>
              </w:rPr>
              <w:t>15</w:t>
            </w:r>
            <w:r>
              <w:rPr>
                <w:noProof/>
                <w:webHidden/>
              </w:rPr>
              <w:fldChar w:fldCharType="end"/>
            </w:r>
          </w:hyperlink>
        </w:p>
        <w:p w14:paraId="4508E5B2" w14:textId="266C1BF0" w:rsidR="003B181D" w:rsidRDefault="003B181D">
          <w:pPr>
            <w:pStyle w:val="TOC2"/>
            <w:rPr>
              <w:rFonts w:asciiTheme="minorHAnsi" w:eastAsiaTheme="minorEastAsia" w:hAnsiTheme="minorHAnsi" w:cstheme="minorBidi"/>
              <w:noProof/>
              <w:sz w:val="22"/>
              <w:szCs w:val="22"/>
            </w:rPr>
          </w:pPr>
          <w:hyperlink w:anchor="_Toc184225150" w:history="1">
            <w:r w:rsidRPr="00C945E4">
              <w:rPr>
                <w:rStyle w:val="Hyperlink"/>
                <w:b/>
                <w:noProof/>
              </w:rPr>
              <w:t>6.2.</w:t>
            </w:r>
            <w:r>
              <w:rPr>
                <w:rFonts w:asciiTheme="minorHAnsi" w:eastAsiaTheme="minorEastAsia" w:hAnsiTheme="minorHAnsi" w:cstheme="minorBidi"/>
                <w:noProof/>
                <w:sz w:val="22"/>
                <w:szCs w:val="22"/>
              </w:rPr>
              <w:tab/>
            </w:r>
            <w:r w:rsidRPr="00C945E4">
              <w:rPr>
                <w:rStyle w:val="Hyperlink"/>
                <w:b/>
                <w:noProof/>
              </w:rPr>
              <w:t>Human Rights Implications</w:t>
            </w:r>
            <w:r>
              <w:rPr>
                <w:noProof/>
                <w:webHidden/>
              </w:rPr>
              <w:tab/>
            </w:r>
            <w:r>
              <w:rPr>
                <w:noProof/>
                <w:webHidden/>
              </w:rPr>
              <w:fldChar w:fldCharType="begin"/>
            </w:r>
            <w:r>
              <w:rPr>
                <w:noProof/>
                <w:webHidden/>
              </w:rPr>
              <w:instrText xml:space="preserve"> PAGEREF _Toc184225150 \h </w:instrText>
            </w:r>
            <w:r>
              <w:rPr>
                <w:noProof/>
                <w:webHidden/>
              </w:rPr>
            </w:r>
            <w:r>
              <w:rPr>
                <w:noProof/>
                <w:webHidden/>
              </w:rPr>
              <w:fldChar w:fldCharType="separate"/>
            </w:r>
            <w:r>
              <w:rPr>
                <w:noProof/>
                <w:webHidden/>
              </w:rPr>
              <w:t>15</w:t>
            </w:r>
            <w:r>
              <w:rPr>
                <w:noProof/>
                <w:webHidden/>
              </w:rPr>
              <w:fldChar w:fldCharType="end"/>
            </w:r>
          </w:hyperlink>
        </w:p>
        <w:p w14:paraId="0160CA2A" w14:textId="2FB45B7A" w:rsidR="003B181D" w:rsidRDefault="003B181D">
          <w:pPr>
            <w:pStyle w:val="TOC2"/>
            <w:rPr>
              <w:rFonts w:asciiTheme="minorHAnsi" w:eastAsiaTheme="minorEastAsia" w:hAnsiTheme="minorHAnsi" w:cstheme="minorBidi"/>
              <w:noProof/>
              <w:sz w:val="22"/>
              <w:szCs w:val="22"/>
            </w:rPr>
          </w:pPr>
          <w:hyperlink w:anchor="_Toc184225151" w:history="1">
            <w:r w:rsidRPr="00C945E4">
              <w:rPr>
                <w:rStyle w:val="Hyperlink"/>
                <w:b/>
                <w:noProof/>
              </w:rPr>
              <w:t>6.3.</w:t>
            </w:r>
            <w:r>
              <w:rPr>
                <w:rFonts w:asciiTheme="minorHAnsi" w:eastAsiaTheme="minorEastAsia" w:hAnsiTheme="minorHAnsi" w:cstheme="minorBidi"/>
                <w:noProof/>
                <w:sz w:val="22"/>
                <w:szCs w:val="22"/>
              </w:rPr>
              <w:tab/>
            </w:r>
            <w:r w:rsidRPr="00C945E4">
              <w:rPr>
                <w:rStyle w:val="Hyperlink"/>
                <w:b/>
                <w:noProof/>
              </w:rPr>
              <w:t>Conclusion</w:t>
            </w:r>
            <w:r>
              <w:rPr>
                <w:noProof/>
                <w:webHidden/>
              </w:rPr>
              <w:tab/>
            </w:r>
            <w:r>
              <w:rPr>
                <w:noProof/>
                <w:webHidden/>
              </w:rPr>
              <w:fldChar w:fldCharType="begin"/>
            </w:r>
            <w:r>
              <w:rPr>
                <w:noProof/>
                <w:webHidden/>
              </w:rPr>
              <w:instrText xml:space="preserve"> PAGEREF _Toc184225151 \h </w:instrText>
            </w:r>
            <w:r>
              <w:rPr>
                <w:noProof/>
                <w:webHidden/>
              </w:rPr>
            </w:r>
            <w:r>
              <w:rPr>
                <w:noProof/>
                <w:webHidden/>
              </w:rPr>
              <w:fldChar w:fldCharType="separate"/>
            </w:r>
            <w:r>
              <w:rPr>
                <w:noProof/>
                <w:webHidden/>
              </w:rPr>
              <w:t>15</w:t>
            </w:r>
            <w:r>
              <w:rPr>
                <w:noProof/>
                <w:webHidden/>
              </w:rPr>
              <w:fldChar w:fldCharType="end"/>
            </w:r>
          </w:hyperlink>
        </w:p>
        <w:p w14:paraId="7BC66077" w14:textId="35771739" w:rsidR="00054BEE" w:rsidRDefault="00054BEE">
          <w:r>
            <w:rPr>
              <w:b/>
              <w:bCs/>
              <w:noProof/>
            </w:rPr>
            <w:fldChar w:fldCharType="end"/>
          </w:r>
        </w:p>
      </w:sdtContent>
    </w:sdt>
    <w:p w14:paraId="21F362CD" w14:textId="77777777" w:rsidR="00DD4F22" w:rsidRPr="00514C80" w:rsidRDefault="00DD4F22" w:rsidP="00DD4F22"/>
    <w:p w14:paraId="11221F0D" w14:textId="03C58D3D" w:rsidR="00BA4F48" w:rsidRPr="00514C80" w:rsidRDefault="00BA4F48" w:rsidP="00327D1A">
      <w:pPr>
        <w:pStyle w:val="MainHeadding"/>
        <w:ind w:left="851"/>
      </w:pPr>
      <w:bookmarkStart w:id="0" w:name="_GoBack"/>
      <w:r w:rsidRPr="00514C80">
        <w:rPr>
          <w:color w:val="3366FF"/>
        </w:rPr>
        <w:br w:type="page"/>
      </w:r>
      <w:bookmarkStart w:id="1" w:name="_Toc167864611"/>
      <w:bookmarkStart w:id="2" w:name="_Toc505092258"/>
      <w:bookmarkStart w:id="3" w:name="_Toc184225128"/>
      <w:bookmarkEnd w:id="0"/>
      <w:r w:rsidRPr="00514C80">
        <w:lastRenderedPageBreak/>
        <w:t xml:space="preserve">legislative </w:t>
      </w:r>
      <w:bookmarkEnd w:id="1"/>
      <w:bookmarkEnd w:id="2"/>
      <w:r w:rsidR="00325E9B" w:rsidRPr="00514C80">
        <w:t>Authority</w:t>
      </w:r>
      <w:bookmarkEnd w:id="3"/>
    </w:p>
    <w:p w14:paraId="650E01A0" w14:textId="2EBB612A" w:rsidR="004233CF" w:rsidRPr="002A4F80" w:rsidRDefault="00AF47C2" w:rsidP="008D2B5E">
      <w:pPr>
        <w:pStyle w:val="Subsection"/>
        <w:ind w:hanging="993"/>
        <w:rPr>
          <w:b/>
        </w:rPr>
      </w:pPr>
      <w:bookmarkStart w:id="4" w:name="_Toc184225129"/>
      <w:r w:rsidRPr="002A4F80">
        <w:rPr>
          <w:b/>
        </w:rPr>
        <w:t>National Road Vehicle Standards</w:t>
      </w:r>
      <w:bookmarkEnd w:id="4"/>
    </w:p>
    <w:p w14:paraId="65613109" w14:textId="3E06E1E8" w:rsidR="0054772F" w:rsidRDefault="008D2B5E" w:rsidP="008D2B5E">
      <w:pPr>
        <w:pStyle w:val="Subsection"/>
        <w:numPr>
          <w:ilvl w:val="0"/>
          <w:numId w:val="0"/>
        </w:numPr>
        <w:rPr>
          <w:rFonts w:ascii="TimesNewRoman" w:hAnsi="TimesNewRoman" w:cs="TimesNewRoman"/>
          <w:color w:val="000000"/>
          <w:lang w:val="x-none"/>
        </w:rPr>
      </w:pPr>
      <w:bookmarkStart w:id="5" w:name="_Toc184225130"/>
      <w:r w:rsidRPr="008D2B5E">
        <w:t xml:space="preserve">Vehicle Standard (Australian Design Rule 81/03 – </w:t>
      </w:r>
      <w:r w:rsidR="00BB0677">
        <w:t>Vehicle Efficiency</w:t>
      </w:r>
      <w:r w:rsidRPr="008D2B5E">
        <w:t xml:space="preserve"> Labelling and Carbon Dioxide Emissions Measurement) 202</w:t>
      </w:r>
      <w:r w:rsidR="00BB0677">
        <w:t xml:space="preserve">5 </w:t>
      </w:r>
      <w:r w:rsidR="0054772F">
        <w:rPr>
          <w:rFonts w:ascii="TimesNewRoman" w:hAnsi="TimesNewRoman" w:cs="TimesNewRoman"/>
          <w:color w:val="000000"/>
          <w:lang w:val="x-none"/>
        </w:rPr>
        <w:t xml:space="preserve">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bookmarkEnd w:id="5"/>
    </w:p>
    <w:p w14:paraId="5CA32546" w14:textId="1B1454E9" w:rsidR="0054772F" w:rsidRPr="002A4F80" w:rsidRDefault="0054772F" w:rsidP="008D2B5E">
      <w:pPr>
        <w:pStyle w:val="Subsection"/>
        <w:ind w:hanging="993"/>
        <w:rPr>
          <w:b/>
        </w:rPr>
      </w:pPr>
      <w:bookmarkStart w:id="6" w:name="_Toc184225131"/>
      <w:r w:rsidRPr="002A4F80">
        <w:rPr>
          <w:b/>
        </w:rPr>
        <w:t>Exemption from Sunsetting</w:t>
      </w:r>
      <w:bookmarkEnd w:id="6"/>
    </w:p>
    <w:p w14:paraId="79D9C3B2" w14:textId="70DD770B" w:rsidR="0054772F" w:rsidRDefault="008D2B5E" w:rsidP="008D2B5E">
      <w:pPr>
        <w:pStyle w:val="Subsection"/>
        <w:numPr>
          <w:ilvl w:val="0"/>
          <w:numId w:val="0"/>
        </w:numPr>
        <w:rPr>
          <w:rFonts w:ascii="TimesNewRoman" w:hAnsi="TimesNewRoman" w:cs="TimesNewRoman"/>
          <w:i/>
          <w:color w:val="000000"/>
          <w:lang w:val="x-none"/>
        </w:rPr>
      </w:pPr>
      <w:bookmarkStart w:id="7" w:name="_Toc184225132"/>
      <w:r w:rsidRPr="008D2B5E">
        <w:t>Vehicle Standard (Australian Design Rule 81/03 – Fuel Consumption Labelling and Carbon Dioxide Emissions Measurement) 202</w:t>
      </w:r>
      <w:r w:rsidR="00BB0677">
        <w:t>5</w:t>
      </w:r>
      <w:r>
        <w:t xml:space="preserve"> is </w:t>
      </w:r>
      <w:r w:rsidR="0054772F">
        <w:rPr>
          <w:rFonts w:ascii="TimesNewRoman" w:hAnsi="TimesNewRoman" w:cs="TimesNewRoman"/>
          <w:color w:val="000000"/>
          <w:lang w:val="x-none"/>
        </w:rPr>
        <w:t xml:space="preserve">exempt from the sunsetting provisions of the </w:t>
      </w:r>
      <w:r w:rsidR="0054772F">
        <w:rPr>
          <w:rFonts w:ascii="TimesNewRoman" w:hAnsi="TimesNewRoman" w:cs="TimesNewRoman"/>
          <w:i/>
          <w:color w:val="000000"/>
          <w:lang w:val="x-none"/>
        </w:rPr>
        <w:t>Legislation Act 2003.</w:t>
      </w:r>
      <w:bookmarkEnd w:id="7"/>
    </w:p>
    <w:p w14:paraId="323578A1" w14:textId="0FE07425" w:rsidR="0054772F" w:rsidRPr="00862A8C" w:rsidRDefault="0054772F" w:rsidP="00FC7D49">
      <w:pPr>
        <w:pStyle w:val="Subsubsection"/>
        <w:numPr>
          <w:ilvl w:val="0"/>
          <w:numId w:val="0"/>
        </w:numPr>
        <w:rPr>
          <w:i/>
        </w:rPr>
      </w:pPr>
      <w:r w:rsidRPr="00862A8C">
        <w:rPr>
          <w:i/>
        </w:rPr>
        <w:t>Source of the Exemption</w:t>
      </w:r>
    </w:p>
    <w:p w14:paraId="486180CB" w14:textId="022289CB" w:rsidR="0054772F" w:rsidRDefault="0054772F" w:rsidP="002850D5">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A standard made under section 12 of the Act is not subject to the sunsetting provisions of section 50 of the </w:t>
      </w:r>
      <w:r>
        <w:rPr>
          <w:rFonts w:ascii="TimesNewRoman" w:hAnsi="TimesNewRoman" w:cs="TimesNewRoman"/>
          <w:i/>
          <w:color w:val="000000"/>
          <w:lang w:val="x-none"/>
        </w:rPr>
        <w:t xml:space="preserve">Legislation (Exemptions and Other Matters) Act 2003 </w:t>
      </w:r>
      <w:r>
        <w:rPr>
          <w:rFonts w:ascii="TimesNewRoman" w:hAnsi="TimesNewRoman" w:cs="TimesNewRoman"/>
          <w:color w:val="000000"/>
          <w:lang w:val="x-none"/>
        </w:rPr>
        <w:t xml:space="preserve">through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(table item 56C). A similar exemption was previously granted in respect of national road vehicle standards made under section 7 of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 xml:space="preserve">(MVSA) (item 40,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This exemption is important to ensure that ADR </w:t>
      </w:r>
      <w:r w:rsidR="00E312FE">
        <w:rPr>
          <w:rFonts w:ascii="TimesNewRoman" w:hAnsi="TimesNewRoman" w:cs="TimesNewRoman"/>
          <w:color w:val="000000"/>
          <w:lang w:val="en-US"/>
        </w:rPr>
        <w:t>81/0</w:t>
      </w:r>
      <w:r w:rsidR="008D2B5E">
        <w:rPr>
          <w:rFonts w:ascii="TimesNewRoman" w:hAnsi="TimesNewRoman" w:cs="TimesNewRoman"/>
          <w:color w:val="000000"/>
          <w:lang w:val="en-US"/>
        </w:rPr>
        <w:t>3</w:t>
      </w:r>
      <w:r>
        <w:rPr>
          <w:rFonts w:ascii="TimesNewRoman" w:hAnsi="TimesNewRoman" w:cs="TimesNewRoman"/>
          <w:color w:val="000000"/>
          <w:lang w:val="x-none"/>
        </w:rPr>
        <w:t xml:space="preserve"> continues to remain in force, and available to regulators and industry.</w:t>
      </w:r>
    </w:p>
    <w:p w14:paraId="5F96D073" w14:textId="68584FA7" w:rsidR="0054772F" w:rsidRPr="00862A8C" w:rsidRDefault="0054772F" w:rsidP="00FC7D49">
      <w:pPr>
        <w:pStyle w:val="Subsubsection"/>
        <w:numPr>
          <w:ilvl w:val="0"/>
          <w:numId w:val="0"/>
        </w:numPr>
        <w:rPr>
          <w:i/>
        </w:rPr>
      </w:pPr>
      <w:r w:rsidRPr="00862A8C">
        <w:rPr>
          <w:i/>
        </w:rPr>
        <w:t>Justification</w:t>
      </w:r>
    </w:p>
    <w:p w14:paraId="37C7AA6A" w14:textId="77777777" w:rsidR="0054772F" w:rsidRPr="002850D5" w:rsidRDefault="0054772F" w:rsidP="002850D5">
      <w:pPr>
        <w:autoSpaceDE w:val="0"/>
        <w:autoSpaceDN w:val="0"/>
        <w:adjustRightInd w:val="0"/>
        <w:snapToGrid w:val="0"/>
        <w:rPr>
          <w:rFonts w:ascii="TimesNewRoman" w:hAnsi="TimesNewRoman" w:cs="TimesNewRoman"/>
          <w:color w:val="000000"/>
          <w:lang w:val="x-none"/>
        </w:rPr>
      </w:pPr>
      <w:r w:rsidRPr="002850D5">
        <w:rPr>
          <w:rFonts w:ascii="TimesNewRoman" w:hAnsi="TimesNewRoman" w:cs="TimesNewRoman"/>
          <w:color w:val="000000"/>
          <w:lang w:val="x-none"/>
        </w:rPr>
        <w:t>It is appropriate that standards made under section 12 of the Act, also known as the Australian Design Rules (ADRs), remain enduring and effective to regulate ongoing road worthiness of vehicles throughout their useful life and reduce regulatory burden on vehicle manufacturers.</w:t>
      </w:r>
    </w:p>
    <w:p w14:paraId="01E167CC" w14:textId="77777777" w:rsidR="0054772F" w:rsidRPr="00862A8C" w:rsidRDefault="0054772F" w:rsidP="00862A8C">
      <w:pPr>
        <w:pStyle w:val="Subsubsubsection"/>
        <w:numPr>
          <w:ilvl w:val="0"/>
          <w:numId w:val="0"/>
        </w:numPr>
        <w:rPr>
          <w:i/>
        </w:rPr>
      </w:pPr>
      <w:r w:rsidRPr="00862A8C">
        <w:rPr>
          <w:i/>
        </w:rPr>
        <w:t>Intergovernmental dependencies</w:t>
      </w:r>
    </w:p>
    <w:p w14:paraId="3F57B4EE" w14:textId="77777777" w:rsidR="0054772F" w:rsidRDefault="0054772F" w:rsidP="0054772F">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The exemption concerns ADRs which facilitate the establishment and operation of the intergovernmental vehicle standard regime that Commonwealth, State and Territory governments rely on to regulate the safety of vehicles on public roads.</w:t>
      </w:r>
    </w:p>
    <w:p w14:paraId="292CC9B0" w14:textId="77777777" w:rsidR="007F5DE6" w:rsidRDefault="0054772F" w:rsidP="00340AE1">
      <w:pPr>
        <w:autoSpaceDE w:val="0"/>
        <w:autoSpaceDN w:val="0"/>
        <w:adjustRightInd w:val="0"/>
        <w:snapToGrid w:val="0"/>
        <w:spacing w:before="0"/>
        <w:rPr>
          <w:rFonts w:ascii="TimesNewRoman" w:hAnsi="TimesNewRoman" w:cs="TimesNewRoman"/>
          <w:color w:val="000000"/>
          <w:lang w:val="x-none"/>
        </w:rPr>
      </w:pPr>
      <w:r w:rsidRPr="0054772F">
        <w:rPr>
          <w:rFonts w:ascii="TimesNewRoman" w:hAnsi="TimesNewRoman" w:cs="TimesNewRoman"/>
          <w:color w:val="000000"/>
          <w:lang w:val="x-none"/>
        </w:rPr>
        <w:t xml:space="preserve">The Commonwealth uses the ADRs as the basis on which approvals to supply types of road vehicles to the market are granted under the </w:t>
      </w:r>
      <w:r w:rsidRPr="0054772F">
        <w:rPr>
          <w:rFonts w:ascii="TimesNewRoman" w:hAnsi="TimesNewRoman" w:cs="TimesNewRoman"/>
          <w:i/>
          <w:color w:val="000000"/>
          <w:lang w:val="x-none"/>
        </w:rPr>
        <w:t xml:space="preserve">Road Vehicle Standards Rules 2019. </w:t>
      </w:r>
      <w:r w:rsidRPr="0054772F">
        <w:rPr>
          <w:rFonts w:ascii="TimesNewRoman" w:hAnsi="TimesNewRoman" w:cs="TimesNewRoman"/>
          <w:color w:val="000000"/>
          <w:lang w:val="x-none"/>
        </w:rPr>
        <w:t>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r w:rsidR="00340AE1">
        <w:rPr>
          <w:rFonts w:ascii="TimesNewRoman" w:hAnsi="TimesNewRoman" w:cs="TimesNewRoman"/>
          <w:color w:val="000000"/>
          <w:lang w:val="x-none"/>
        </w:rPr>
        <w:t>.</w:t>
      </w:r>
    </w:p>
    <w:p w14:paraId="78EB054E" w14:textId="49FD27BC" w:rsidR="0054772F" w:rsidRDefault="0054772F" w:rsidP="00DD03CE">
      <w:pPr>
        <w:keepLines/>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lastRenderedPageBreak/>
        <w:t>While the ADRs are regularly updated to reflect changes in technology, it is not possible to apply these new standards retrospectively to ve</w:t>
      </w:r>
      <w:r w:rsidR="00340AE1">
        <w:rPr>
          <w:rFonts w:ascii="TimesNewRoman" w:hAnsi="TimesNewRoman" w:cs="TimesNewRoman"/>
          <w:color w:val="000000"/>
          <w:lang w:val="x-none"/>
        </w:rPr>
        <w:t>hicles that are already in use.</w:t>
      </w:r>
      <w:r w:rsidR="007F5DE6">
        <w:rPr>
          <w:rFonts w:ascii="TimesNewRoman" w:hAnsi="TimesNewRoman" w:cs="TimesNewRoman"/>
          <w:color w:val="000000"/>
          <w:lang w:val="en-US"/>
        </w:rPr>
        <w:t xml:space="preserve"> </w:t>
      </w:r>
      <w:r>
        <w:rPr>
          <w:rFonts w:ascii="TimesNewRoman" w:hAnsi="TimesNewRoman" w:cs="TimesNewRoman"/>
          <w:color w:val="000000"/>
          <w:lang w:val="x-none"/>
        </w:rPr>
        <w:t>With former ADRs kept on the Federal Register of Legislation, State and Territory governments can use them to ensure vehicles continue to comply with the ADRs that were in force when they were first supplied to the market.</w:t>
      </w:r>
    </w:p>
    <w:p w14:paraId="6B378296" w14:textId="77777777" w:rsidR="0054772F" w:rsidRDefault="0054772F" w:rsidP="00DD03CE">
      <w:pPr>
        <w:autoSpaceDE w:val="0"/>
        <w:autoSpaceDN w:val="0"/>
        <w:adjustRightInd w:val="0"/>
        <w:snapToGrid w:val="0"/>
        <w:spacing w:before="0" w:after="0"/>
        <w:rPr>
          <w:rFonts w:ascii="TimesNewRoman" w:hAnsi="TimesNewRoman" w:cs="TimesNewRoman"/>
          <w:color w:val="000000"/>
          <w:lang w:val="x-none"/>
        </w:rPr>
      </w:pPr>
      <w:r>
        <w:rPr>
          <w:rFonts w:ascii="TimesNewRoman" w:hAnsi="TimesNewRoman" w:cs="TimesNewRoman"/>
          <w:color w:val="000000"/>
          <w:lang w:val="x-none"/>
        </w:rPr>
        <w:t>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government may result in variation</w:t>
      </w:r>
      <w:r w:rsidR="00340AE1">
        <w:rPr>
          <w:rFonts w:ascii="TimesNewRoman" w:hAnsi="TimesNewRoman" w:cs="TimesNewRoman"/>
          <w:color w:val="000000"/>
          <w:lang w:val="x-none"/>
        </w:rPr>
        <w:t xml:space="preserve">s </w:t>
      </w:r>
      <w:r>
        <w:rPr>
          <w:rFonts w:ascii="TimesNewRoman" w:hAnsi="TimesNewRoman" w:cs="TimesNewRoman"/>
          <w:color w:val="000000"/>
          <w:lang w:val="x-none"/>
        </w:rPr>
        <w:t>to in-service regulations. Having different vehicle standards across the states and territories would make the scheme operate contrary to the underlying policy intent of the Act which is to set nationally consistent performance based standards.</w:t>
      </w:r>
    </w:p>
    <w:p w14:paraId="4B999B12" w14:textId="77777777" w:rsidR="0054772F" w:rsidRPr="007F5DE6" w:rsidRDefault="0054772F" w:rsidP="007F5DE6">
      <w:pPr>
        <w:pStyle w:val="Subsubsubsection"/>
        <w:numPr>
          <w:ilvl w:val="0"/>
          <w:numId w:val="0"/>
        </w:numPr>
        <w:rPr>
          <w:i/>
        </w:rPr>
      </w:pPr>
      <w:r w:rsidRPr="007F5DE6">
        <w:rPr>
          <w:i/>
        </w:rPr>
        <w:t>Commercial dependencies</w:t>
      </w:r>
    </w:p>
    <w:p w14:paraId="5EDECEA4"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5B492646" w14:textId="77777777" w:rsidR="007F5DE6" w:rsidRPr="007F5DE6" w:rsidRDefault="007F5DE6" w:rsidP="007F5DE6">
      <w:pPr>
        <w:pStyle w:val="Subsubsubsection"/>
        <w:numPr>
          <w:ilvl w:val="0"/>
          <w:numId w:val="0"/>
        </w:numPr>
        <w:rPr>
          <w:i/>
        </w:rPr>
      </w:pPr>
      <w:bookmarkStart w:id="8" w:name="_Hlk118811388"/>
      <w:r w:rsidRPr="007F5DE6">
        <w:rPr>
          <w:i/>
        </w:rPr>
        <w:t>Review of Australian Design Rules</w:t>
      </w:r>
    </w:p>
    <w:p w14:paraId="70F45094" w14:textId="01C32A7A" w:rsidR="00FC7D49" w:rsidRPr="00FC7D49" w:rsidRDefault="00FC7D49" w:rsidP="00FC7D49">
      <w:pPr>
        <w:autoSpaceDE w:val="0"/>
        <w:autoSpaceDN w:val="0"/>
        <w:adjustRightInd w:val="0"/>
        <w:snapToGrid w:val="0"/>
        <w:spacing w:after="0"/>
        <w:rPr>
          <w:rFonts w:ascii="TimesNewRoman" w:hAnsi="TimesNewRoman" w:cs="TimesNewRoman"/>
          <w:color w:val="000000"/>
          <w:lang w:val="x-none"/>
        </w:rPr>
      </w:pPr>
      <w:bookmarkStart w:id="9" w:name="_Toc151133215"/>
      <w:bookmarkStart w:id="10" w:name="_Toc151129799"/>
      <w:bookmarkStart w:id="11" w:name="_Toc148688741"/>
      <w:bookmarkEnd w:id="8"/>
      <w:r w:rsidRPr="00FC7D49">
        <w:rPr>
          <w:rFonts w:ascii="TimesNewRoman" w:hAnsi="TimesNewRoman" w:cs="TimesNewRoman"/>
          <w:color w:val="000000"/>
          <w:lang w:val="x-none"/>
        </w:rPr>
        <w:t xml:space="preserve">Despite exemption from sunsetting, ADRs are subject to regular reviews, as resources permit, and when developments in vehicle technology necessitate updates to requirements. </w:t>
      </w:r>
    </w:p>
    <w:p w14:paraId="4685559C" w14:textId="77777777" w:rsidR="00FC7D49" w:rsidRPr="00FC7D49" w:rsidRDefault="00FC7D49" w:rsidP="00FC7D49">
      <w:pPr>
        <w:autoSpaceDE w:val="0"/>
        <w:autoSpaceDN w:val="0"/>
        <w:adjustRightInd w:val="0"/>
        <w:snapToGrid w:val="0"/>
        <w:spacing w:after="0"/>
        <w:rPr>
          <w:rFonts w:ascii="TimesNewRoman" w:hAnsi="TimesNewRoman" w:cs="TimesNewRoman"/>
          <w:color w:val="000000"/>
          <w:lang w:val="x-none"/>
        </w:rPr>
      </w:pPr>
      <w:r w:rsidRPr="00FC7D49">
        <w:rPr>
          <w:rFonts w:ascii="TimesNewRoman" w:hAnsi="TimesNewRoman" w:cs="TimesNewRoman"/>
          <w:color w:val="000000"/>
          <w:lang w:val="x-none"/>
        </w:rPr>
        <w:t>Reviews of the ADRs ensure the ongoing effectiveness of a nationally consistent system of technical regulations for vehicle design, which are closely aligned, wherever appropriate with leading international standards such as United Nations regulations. This enables a rapid introduction of the latest technological advances into the Australian market, while also contributing to the industry’s cost competitiveness in the domestic market.</w:t>
      </w:r>
    </w:p>
    <w:p w14:paraId="24C430BE" w14:textId="77777777" w:rsidR="007F5DE6" w:rsidRDefault="007F5DE6" w:rsidP="00DD03CE">
      <w:pPr>
        <w:pStyle w:val="MainHeadding"/>
        <w:keepLines/>
        <w:tabs>
          <w:tab w:val="clear" w:pos="2553"/>
        </w:tabs>
        <w:ind w:left="851"/>
      </w:pPr>
      <w:bookmarkStart w:id="12" w:name="_Toc151133216"/>
      <w:bookmarkStart w:id="13" w:name="_Toc184225133"/>
      <w:bookmarkEnd w:id="9"/>
      <w:bookmarkEnd w:id="10"/>
      <w:bookmarkEnd w:id="11"/>
      <w:r>
        <w:t>Purpose and operation</w:t>
      </w:r>
      <w:bookmarkEnd w:id="12"/>
      <w:bookmarkEnd w:id="13"/>
    </w:p>
    <w:p w14:paraId="4B409120" w14:textId="38BC5EA7" w:rsidR="0031137E" w:rsidRPr="0031137E" w:rsidRDefault="0031137E" w:rsidP="0031137E">
      <w:pPr>
        <w:pStyle w:val="HeadingLevel2"/>
        <w:keepNext/>
        <w:numPr>
          <w:ilvl w:val="1"/>
          <w:numId w:val="1"/>
        </w:numPr>
        <w:tabs>
          <w:tab w:val="clear" w:pos="993"/>
          <w:tab w:val="num" w:pos="5388"/>
        </w:tabs>
        <w:ind w:left="851"/>
        <w:rPr>
          <w:b/>
        </w:rPr>
      </w:pPr>
      <w:bookmarkStart w:id="14" w:name="_Toc167864613"/>
      <w:bookmarkStart w:id="15" w:name="_Toc505092260"/>
      <w:bookmarkStart w:id="16" w:name="_Toc151133217"/>
      <w:bookmarkStart w:id="17" w:name="_Toc184225134"/>
      <w:r w:rsidRPr="00507F39">
        <w:rPr>
          <w:b/>
        </w:rPr>
        <w:t>Overview of the ADR</w:t>
      </w:r>
      <w:bookmarkEnd w:id="14"/>
      <w:bookmarkEnd w:id="15"/>
      <w:bookmarkEnd w:id="16"/>
      <w:bookmarkEnd w:id="17"/>
    </w:p>
    <w:p w14:paraId="69D2D11E" w14:textId="7AC74F77" w:rsidR="002D110A" w:rsidRDefault="002D110A" w:rsidP="00DD03CE">
      <w:pPr>
        <w:keepLines/>
      </w:pPr>
      <w:r w:rsidRPr="002D110A">
        <w:t xml:space="preserve">ADR </w:t>
      </w:r>
      <w:r w:rsidR="00E312FE">
        <w:t>81/0</w:t>
      </w:r>
      <w:r w:rsidR="008D2B5E">
        <w:t>3</w:t>
      </w:r>
      <w:r w:rsidRPr="002D110A">
        <w:t xml:space="preserve"> </w:t>
      </w:r>
      <w:r w:rsidR="00E312FE" w:rsidRPr="00511F2C">
        <w:t xml:space="preserve">prescribes the requirements for the measurement of vehicle fuel consumption, carbon dioxide emissions, energy consumption and range, and the design and application of fuel consumption labels and energy consumption labels to </w:t>
      </w:r>
      <w:r w:rsidR="008D2B5E">
        <w:t xml:space="preserve">light </w:t>
      </w:r>
      <w:r w:rsidR="00E312FE" w:rsidRPr="00511F2C">
        <w:t>vehicles.</w:t>
      </w:r>
    </w:p>
    <w:p w14:paraId="1F5810A3" w14:textId="7EF62355" w:rsidR="008D2B5E" w:rsidRDefault="008D2B5E" w:rsidP="00DD03CE">
      <w:pPr>
        <w:keepLines/>
        <w:spacing w:before="0" w:after="0"/>
      </w:pPr>
      <w:r>
        <w:lastRenderedPageBreak/>
        <w:t xml:space="preserve">It also prescribes the requirements for determining a vehicles’ carbon dioxide </w:t>
      </w:r>
      <w:r w:rsidRPr="003A4B23">
        <w:rPr>
          <w:i/>
        </w:rPr>
        <w:t>emissions number</w:t>
      </w:r>
      <w:r>
        <w:t xml:space="preserve"> to be ent</w:t>
      </w:r>
      <w:r w:rsidR="003A4B23">
        <w:t>ered onto the ‘Register of Approved Vehicles’ (RAV)</w:t>
      </w:r>
      <w:r w:rsidR="009C5FB9">
        <w:t xml:space="preserve"> to comply with the New Vehicle Efficiency Standard (NVES)</w:t>
      </w:r>
      <w:r>
        <w:t xml:space="preserve">. Under </w:t>
      </w:r>
      <w:r w:rsidR="003A4B23">
        <w:t xml:space="preserve">Section 20 </w:t>
      </w:r>
      <w:r>
        <w:t xml:space="preserve">the </w:t>
      </w:r>
      <w:r w:rsidRPr="00F419D4">
        <w:rPr>
          <w:i/>
          <w:color w:val="000000"/>
        </w:rPr>
        <w:t>New Vehicle Efficiency Standard Act 2024</w:t>
      </w:r>
      <w:r>
        <w:rPr>
          <w:color w:val="000000"/>
        </w:rPr>
        <w:t xml:space="preserve"> (the NVES Act), a vehicle</w:t>
      </w:r>
      <w:r w:rsidR="003A4B23">
        <w:rPr>
          <w:color w:val="000000"/>
        </w:rPr>
        <w:t>’</w:t>
      </w:r>
      <w:r>
        <w:rPr>
          <w:color w:val="000000"/>
        </w:rPr>
        <w:t>s ‘</w:t>
      </w:r>
      <w:r w:rsidRPr="003A4B23">
        <w:rPr>
          <w:i/>
          <w:color w:val="000000"/>
        </w:rPr>
        <w:t>emissions number’</w:t>
      </w:r>
      <w:r w:rsidR="003A4B23" w:rsidRPr="003A4B23">
        <w:rPr>
          <w:color w:val="000000"/>
        </w:rPr>
        <w:t xml:space="preserve"> is the number of grams of carbon dioxide emissions that are entered on the RAV.</w:t>
      </w:r>
    </w:p>
    <w:p w14:paraId="6FA17024" w14:textId="19335022" w:rsidR="008D2B5E" w:rsidRDefault="003A4B23" w:rsidP="00DD03CE">
      <w:pPr>
        <w:keepLines/>
      </w:pPr>
      <w:r>
        <w:t xml:space="preserve">Clause 3.1 </w:t>
      </w:r>
      <w:r>
        <w:rPr>
          <w:color w:val="000000"/>
        </w:rPr>
        <w:t xml:space="preserve">states that the </w:t>
      </w:r>
      <w:r w:rsidRPr="00436327">
        <w:rPr>
          <w:color w:val="000000"/>
        </w:rPr>
        <w:t xml:space="preserve">ADR </w:t>
      </w:r>
      <w:r>
        <w:rPr>
          <w:color w:val="000000"/>
        </w:rPr>
        <w:t xml:space="preserve">applies </w:t>
      </w:r>
      <w:r w:rsidRPr="00436327">
        <w:rPr>
          <w:color w:val="000000"/>
        </w:rPr>
        <w:t xml:space="preserve">to </w:t>
      </w:r>
      <w:r>
        <w:rPr>
          <w:color w:val="000000"/>
        </w:rPr>
        <w:t xml:space="preserve">all </w:t>
      </w:r>
      <w:r w:rsidRPr="00436327">
        <w:rPr>
          <w:color w:val="000000"/>
        </w:rPr>
        <w:t>passenger cars (MA category vehicles), forward control passenger vehicles (MB category vehicles), off-road vehicles (MC category vehicles)</w:t>
      </w:r>
      <w:r>
        <w:rPr>
          <w:color w:val="000000"/>
        </w:rPr>
        <w:t xml:space="preserve">, light buses (MD category vehicles), light goods vehicles (NA category) and </w:t>
      </w:r>
      <w:r w:rsidRPr="00436327">
        <w:rPr>
          <w:color w:val="000000"/>
        </w:rPr>
        <w:t xml:space="preserve">medium goods vehicles (NB category vehicles) with a gross vehicle mass </w:t>
      </w:r>
      <w:r w:rsidR="00686FCE">
        <w:rPr>
          <w:color w:val="000000"/>
        </w:rPr>
        <w:t xml:space="preserve">(GVM) </w:t>
      </w:r>
      <w:r w:rsidRPr="00436327">
        <w:rPr>
          <w:color w:val="000000"/>
        </w:rPr>
        <w:t>up to 4</w:t>
      </w:r>
      <w:r>
        <w:rPr>
          <w:color w:val="000000"/>
        </w:rPr>
        <w:t>,500kg</w:t>
      </w:r>
      <w:r w:rsidRPr="00436327">
        <w:rPr>
          <w:color w:val="000000"/>
        </w:rPr>
        <w:t>.</w:t>
      </w:r>
    </w:p>
    <w:p w14:paraId="2451B8A0" w14:textId="4981BC19" w:rsidR="003A4B23" w:rsidRDefault="003A4B23" w:rsidP="00DD03CE">
      <w:pPr>
        <w:keepLines/>
      </w:pPr>
      <w:r>
        <w:t>Clause 3.1.1 states that the ADR will apply to all new model MA, MB, MC, NA and NB category vehicles from 1 December 202</w:t>
      </w:r>
      <w:r w:rsidR="00DD03CE">
        <w:t>6</w:t>
      </w:r>
      <w:r>
        <w:t>.</w:t>
      </w:r>
      <w:r w:rsidR="00DD03CE">
        <w:t xml:space="preserve"> These are the vehicle categories subject to the NVES Act.</w:t>
      </w:r>
    </w:p>
    <w:p w14:paraId="53F7AAAA" w14:textId="45D7B272" w:rsidR="003A4B23" w:rsidRDefault="003A4B23" w:rsidP="00DD03CE">
      <w:pPr>
        <w:keepLines/>
      </w:pPr>
      <w:r>
        <w:t xml:space="preserve">Clause 3.1.2 states that the ADR will apply to all NB category vehicles and MA, MB, MC category vehicles with a </w:t>
      </w:r>
      <w:r w:rsidR="00686FCE">
        <w:t>GVM</w:t>
      </w:r>
      <w:r>
        <w:t xml:space="preserve"> over 3,500kg from 1 December 2026. This is intended to enable the inclusion of </w:t>
      </w:r>
      <w:r w:rsidR="00686FCE">
        <w:t xml:space="preserve">sport utility </w:t>
      </w:r>
      <w:r>
        <w:t xml:space="preserve">vehicles </w:t>
      </w:r>
      <w:r w:rsidR="00686FCE">
        <w:t xml:space="preserve">and commercial pick-up and cab-chassis utility vehicles with a GVM over 3,500kg </w:t>
      </w:r>
      <w:r>
        <w:t>in the New Vehicle Efficiency Standard from 1 January 2027.</w:t>
      </w:r>
    </w:p>
    <w:p w14:paraId="4BA56C91" w14:textId="5F972AD9" w:rsidR="00686FCE" w:rsidRDefault="003A4B23" w:rsidP="00DD03CE">
      <w:pPr>
        <w:keepLines/>
        <w:rPr>
          <w:lang w:eastAsia="x-none"/>
        </w:rPr>
      </w:pPr>
      <w:r>
        <w:rPr>
          <w:lang w:eastAsia="x-none"/>
        </w:rPr>
        <w:t>Clause 3.1.3 states th</w:t>
      </w:r>
      <w:r w:rsidR="00686FCE">
        <w:rPr>
          <w:lang w:eastAsia="x-none"/>
        </w:rPr>
        <w:t>ere is no mandatory applicability date for all other vehicles. This is because existing models with a GVM under 3,500kg already comply with equivalent requirements adopted in Vehicle Standard (Australian Design Rule 81/02 – Fuel Consumption Labelling for Light Vehicles) 2008 (ADR 81/02) and MD category vehicles with a GVM over 3,500kg are not subject to the NVES Act.</w:t>
      </w:r>
      <w:r w:rsidR="009C5FB9">
        <w:rPr>
          <w:lang w:eastAsia="x-none"/>
        </w:rPr>
        <w:t xml:space="preserve"> </w:t>
      </w:r>
    </w:p>
    <w:p w14:paraId="034E84B4" w14:textId="73D9C258" w:rsidR="003A4B23" w:rsidRDefault="0099716D" w:rsidP="00DD03CE">
      <w:pPr>
        <w:keepLines/>
        <w:rPr>
          <w:color w:val="000000"/>
        </w:rPr>
      </w:pPr>
      <w:r>
        <w:t xml:space="preserve">Clause 3.2 states that a ‘new model’ is </w:t>
      </w:r>
      <w:r w:rsidR="009A6AE2">
        <w:t xml:space="preserve">a </w:t>
      </w:r>
      <w:r w:rsidRPr="00EE2E58">
        <w:rPr>
          <w:color w:val="000000"/>
        </w:rPr>
        <w:t>vehicle model first produced with a ‘Date of Manufacture’ on or after the agreed date in that clause</w:t>
      </w:r>
      <w:r>
        <w:rPr>
          <w:color w:val="000000"/>
        </w:rPr>
        <w:t xml:space="preserve"> 3.1.1 (1 December 202</w:t>
      </w:r>
      <w:r w:rsidR="00686FCE">
        <w:rPr>
          <w:color w:val="000000"/>
        </w:rPr>
        <w:t>6</w:t>
      </w:r>
      <w:r>
        <w:rPr>
          <w:color w:val="000000"/>
        </w:rPr>
        <w:t>).</w:t>
      </w:r>
    </w:p>
    <w:p w14:paraId="7C223BB3" w14:textId="0CB8168A" w:rsidR="0099716D" w:rsidRDefault="0099716D" w:rsidP="00DD03CE">
      <w:pPr>
        <w:keepLines/>
      </w:pPr>
      <w:r>
        <w:t xml:space="preserve">Clause 3.3 </w:t>
      </w:r>
      <w:r w:rsidR="00686FCE">
        <w:t>advises that some NB1 category (</w:t>
      </w:r>
      <w:r w:rsidR="009C5FB9">
        <w:t xml:space="preserve">medium duty </w:t>
      </w:r>
      <w:r w:rsidR="00686FCE">
        <w:t>goods carrying</w:t>
      </w:r>
      <w:r w:rsidR="009C5FB9">
        <w:t>)</w:t>
      </w:r>
      <w:r w:rsidR="00686FCE">
        <w:t xml:space="preserve"> vehicles </w:t>
      </w:r>
      <w:r w:rsidR="009C5FB9">
        <w:t xml:space="preserve">with a </w:t>
      </w:r>
      <w:r w:rsidR="00686FCE">
        <w:t>GVM up to 4,500kg are not required to</w:t>
      </w:r>
      <w:r>
        <w:t xml:space="preserve"> comply with th</w:t>
      </w:r>
      <w:r w:rsidR="00686FCE">
        <w:t>is</w:t>
      </w:r>
      <w:r>
        <w:t xml:space="preserve"> ADR</w:t>
      </w:r>
      <w:r w:rsidR="00686FCE">
        <w:t>, if they meet</w:t>
      </w:r>
      <w:r w:rsidR="009C5FB9">
        <w:t xml:space="preserve"> objective technical criteria specifying a minimum cargo area</w:t>
      </w:r>
      <w:r>
        <w:t>.</w:t>
      </w:r>
      <w:r w:rsidR="009C5FB9">
        <w:t xml:space="preserve"> This is because light duty trucks and vans with a GVM over 3,500kg are not intended be included in the NVES</w:t>
      </w:r>
      <w:r w:rsidR="009C5FB9">
        <w:rPr>
          <w:lang w:eastAsia="x-none"/>
        </w:rPr>
        <w:t xml:space="preserve">. This is because these </w:t>
      </w:r>
      <w:r w:rsidR="009C5FB9">
        <w:rPr>
          <w:lang w:val="en-US"/>
        </w:rPr>
        <w:t>are more akin to heavy vehicles than light commercial vehicles, are not used for personal transport and are widely used to supply emergency and other public interest services.</w:t>
      </w:r>
    </w:p>
    <w:p w14:paraId="296DA971" w14:textId="0F35492C" w:rsidR="0099716D" w:rsidRDefault="0099716D" w:rsidP="00DD03CE">
      <w:pPr>
        <w:keepLines/>
        <w:rPr>
          <w:lang w:eastAsia="x-none"/>
        </w:rPr>
      </w:pPr>
      <w:r>
        <w:t xml:space="preserve">Clause 4 specifies how the vehicle categories and technical terms used in the ADR are </w:t>
      </w:r>
      <w:r w:rsidR="00172964">
        <w:t xml:space="preserve">to be </w:t>
      </w:r>
      <w:r>
        <w:t>defined. These terms</w:t>
      </w:r>
      <w:r w:rsidR="00172964">
        <w:t xml:space="preserve"> have the same meaning as the UN Regulation adopted as Appendix B of this ADR in the first instance. If a term is not defined in Appendix B, the term is considered to have the same meaning as in </w:t>
      </w:r>
      <w:r w:rsidRPr="008E6841">
        <w:rPr>
          <w:lang w:eastAsia="x-none"/>
        </w:rPr>
        <w:t>Appendix A of Vehicle Standard (Australian Design Rule 111/00 – Advanced Emission Control for Light Vehicles) 2024</w:t>
      </w:r>
      <w:r w:rsidR="00172964">
        <w:rPr>
          <w:lang w:eastAsia="x-none"/>
        </w:rPr>
        <w:t>. If a term is not defined in either of the above instruments, it has the same meaning as in</w:t>
      </w:r>
      <w:r>
        <w:rPr>
          <w:lang w:eastAsia="x-none"/>
        </w:rPr>
        <w:t xml:space="preserve"> the </w:t>
      </w:r>
      <w:r w:rsidRPr="00172964">
        <w:rPr>
          <w:lang w:eastAsia="x-none"/>
        </w:rPr>
        <w:t>Vehicle Standard (Australian Design Rule – Definitions and Vehicle Categories) 2005</w:t>
      </w:r>
      <w:r>
        <w:rPr>
          <w:lang w:eastAsia="x-none"/>
        </w:rPr>
        <w:t>.</w:t>
      </w:r>
    </w:p>
    <w:p w14:paraId="66914C8B" w14:textId="6F326130" w:rsidR="0031137E" w:rsidRPr="00507F39" w:rsidRDefault="0031137E" w:rsidP="0031137E">
      <w:pPr>
        <w:pStyle w:val="HeadingLevel2"/>
        <w:numPr>
          <w:ilvl w:val="1"/>
          <w:numId w:val="1"/>
        </w:numPr>
        <w:tabs>
          <w:tab w:val="clear" w:pos="993"/>
          <w:tab w:val="num" w:pos="5388"/>
        </w:tabs>
        <w:ind w:left="851"/>
        <w:rPr>
          <w:b/>
        </w:rPr>
      </w:pPr>
      <w:bookmarkStart w:id="18" w:name="_Toc74044070"/>
      <w:bookmarkStart w:id="19" w:name="_Toc74044717"/>
      <w:bookmarkStart w:id="20" w:name="_Toc151133218"/>
      <w:bookmarkStart w:id="21" w:name="_Toc184225135"/>
      <w:r w:rsidRPr="00507F39">
        <w:rPr>
          <w:b/>
        </w:rPr>
        <w:lastRenderedPageBreak/>
        <w:t>Design Requirement</w:t>
      </w:r>
      <w:bookmarkEnd w:id="18"/>
      <w:bookmarkEnd w:id="19"/>
      <w:bookmarkEnd w:id="20"/>
      <w:r>
        <w:rPr>
          <w:b/>
        </w:rPr>
        <w:t>s</w:t>
      </w:r>
      <w:bookmarkEnd w:id="21"/>
    </w:p>
    <w:p w14:paraId="316BA347" w14:textId="7D3259FF" w:rsidR="0070119A" w:rsidRDefault="0070119A" w:rsidP="00DD03CE">
      <w:pPr>
        <w:keepLines/>
      </w:pPr>
      <w:r>
        <w:t xml:space="preserve">Clause 5.1 </w:t>
      </w:r>
      <w:r w:rsidR="004B4850">
        <w:t xml:space="preserve">requires </w:t>
      </w:r>
      <w:r>
        <w:t>all MA, MB, MC, NA and NB category vehicles</w:t>
      </w:r>
      <w:r w:rsidR="004B4850">
        <w:t xml:space="preserve"> with a gross vehicle mass up to 4,500kg</w:t>
      </w:r>
      <w:r w:rsidR="008B1E62">
        <w:t xml:space="preserve"> </w:t>
      </w:r>
      <w:r w:rsidR="000D6D3C">
        <w:t xml:space="preserve">to </w:t>
      </w:r>
      <w:r w:rsidR="008B1E62">
        <w:t>report a carbon dioxide emissions value</w:t>
      </w:r>
      <w:r>
        <w:t xml:space="preserve"> determine</w:t>
      </w:r>
      <w:r w:rsidR="008B1E62">
        <w:t>d in accordance with Appendix B, as varied by Clause 6 (Exemptions and Alternative Procedures) or one of the alternative standards specified in Clause 7.1 and 7.2. Appendix B adopts the technical requirements of UN Regulation No. 101, which specifies a laboratory test for measuring fuel consumption, carbon dioxide emission, electric energy consumption and battery range based on the New European Driving Cycle (NEDC).</w:t>
      </w:r>
      <w:r>
        <w:t xml:space="preserve"> </w:t>
      </w:r>
    </w:p>
    <w:p w14:paraId="0138B300" w14:textId="18C6825F" w:rsidR="008B1E62" w:rsidRDefault="00572CB2" w:rsidP="00DD03CE">
      <w:pPr>
        <w:keepLines/>
      </w:pPr>
      <w:r>
        <w:t xml:space="preserve">Clause 5.2 </w:t>
      </w:r>
      <w:r w:rsidR="008B1E62">
        <w:t>requires</w:t>
      </w:r>
      <w:r>
        <w:t xml:space="preserve"> all MA, MB, MC, MD and NA category vehicles with a gross vehicle mass up to 3,500kg to be fitted with a</w:t>
      </w:r>
      <w:r w:rsidR="008B1E62">
        <w:t xml:space="preserve"> vehicle efficiency</w:t>
      </w:r>
      <w:r>
        <w:t xml:space="preserve"> label</w:t>
      </w:r>
      <w:r w:rsidR="008B1E62">
        <w:t xml:space="preserve"> </w:t>
      </w:r>
      <w:r>
        <w:t>as appropriate for the fuel type/powertrain.</w:t>
      </w:r>
    </w:p>
    <w:p w14:paraId="11D2121F" w14:textId="4DFCA650" w:rsidR="00572CB2" w:rsidRDefault="00572CB2" w:rsidP="008B1E62">
      <w:pPr>
        <w:keepLines/>
      </w:pPr>
      <w:r>
        <w:t xml:space="preserve">Clause 5.3 permits, but does not require MA, MB, MC, MD and NA category vehicles with a gross vehicle mass over 3,500kg to be fitted with a </w:t>
      </w:r>
      <w:r w:rsidR="008B1E62">
        <w:t xml:space="preserve">vehicle efficiency </w:t>
      </w:r>
      <w:r>
        <w:t>label if it meets the same requirements</w:t>
      </w:r>
      <w:r w:rsidR="008B1E62">
        <w:t xml:space="preserve"> applicable to lighter vehicles</w:t>
      </w:r>
      <w:r>
        <w:t>.</w:t>
      </w:r>
      <w:r w:rsidR="001A538A">
        <w:t xml:space="preserve"> </w:t>
      </w:r>
      <w:r w:rsidR="008B1E62">
        <w:t xml:space="preserve">This means </w:t>
      </w:r>
      <w:r w:rsidR="008B1E62">
        <w:rPr>
          <w:color w:val="000000"/>
        </w:rPr>
        <w:t>v</w:t>
      </w:r>
      <w:r w:rsidR="001A538A">
        <w:rPr>
          <w:color w:val="000000"/>
        </w:rPr>
        <w:t xml:space="preserve">ehicles </w:t>
      </w:r>
      <w:r w:rsidR="008B1E62">
        <w:rPr>
          <w:color w:val="000000"/>
        </w:rPr>
        <w:t xml:space="preserve">that comply with this clause can </w:t>
      </w:r>
      <w:r w:rsidR="001A538A">
        <w:rPr>
          <w:color w:val="000000"/>
        </w:rPr>
        <w:t>submit this information to the Australian Government’s Green Vehicle Guide website.</w:t>
      </w:r>
    </w:p>
    <w:p w14:paraId="73FE00A8" w14:textId="63D50622" w:rsidR="00572CB2" w:rsidRDefault="00572CB2" w:rsidP="008B1E62">
      <w:pPr>
        <w:keepLines/>
      </w:pPr>
      <w:r>
        <w:t>Clause 5.4 states that the label must be fitted to the bottom left corner (passenger side) from the inside of the vehicle’s windscreen.</w:t>
      </w:r>
    </w:p>
    <w:p w14:paraId="685BBD91" w14:textId="0583E723" w:rsidR="008D230C" w:rsidRDefault="00572CB2" w:rsidP="008B1E62">
      <w:pPr>
        <w:keepLines/>
      </w:pPr>
      <w:r>
        <w:t>Clause 5.</w:t>
      </w:r>
      <w:r w:rsidR="008C0580">
        <w:t>5</w:t>
      </w:r>
      <w:r>
        <w:t xml:space="preserve"> </w:t>
      </w:r>
      <w:r w:rsidR="008C0580">
        <w:t>requires a</w:t>
      </w:r>
      <w:r w:rsidR="008D230C">
        <w:t xml:space="preserve"> fuel consumption label </w:t>
      </w:r>
      <w:r w:rsidR="008C0580">
        <w:t>to</w:t>
      </w:r>
      <w:r w:rsidR="008D230C">
        <w:t xml:space="preserve"> be fitted to vehicles powered by </w:t>
      </w:r>
      <w:r w:rsidR="008C0580">
        <w:t xml:space="preserve">exclusively by </w:t>
      </w:r>
      <w:r w:rsidR="008D230C">
        <w:t>an internal combustion engine</w:t>
      </w:r>
      <w:r w:rsidR="00F1275F">
        <w:t xml:space="preserve">, </w:t>
      </w:r>
      <w:r w:rsidR="008C0580">
        <w:t xml:space="preserve">and </w:t>
      </w:r>
      <w:r w:rsidR="008D230C">
        <w:t>hybrid electric vehicle</w:t>
      </w:r>
      <w:r w:rsidR="007366F7">
        <w:t>s</w:t>
      </w:r>
      <w:r w:rsidR="008D230C">
        <w:t xml:space="preserve"> that cannot be charged from an external source</w:t>
      </w:r>
      <w:r w:rsidR="008C0580">
        <w:t xml:space="preserve"> (other than hydrogen fuelled vehicles)</w:t>
      </w:r>
      <w:r w:rsidR="008D230C">
        <w:t>.</w:t>
      </w:r>
    </w:p>
    <w:p w14:paraId="6A87062B" w14:textId="4B44BD2B" w:rsidR="008C0580" w:rsidRDefault="008C0580" w:rsidP="008B1E62">
      <w:pPr>
        <w:keepLines/>
      </w:pPr>
      <w:r>
        <w:t>C</w:t>
      </w:r>
      <w:r w:rsidR="008D230C">
        <w:t>lause 5.</w:t>
      </w:r>
      <w:r>
        <w:t>5</w:t>
      </w:r>
      <w:r w:rsidR="008D230C">
        <w:t>.1</w:t>
      </w:r>
      <w:r>
        <w:t xml:space="preserve"> requires the manufacturer </w:t>
      </w:r>
      <w:r w:rsidR="00284C86">
        <w:t xml:space="preserve">to report the fuel consumption and </w:t>
      </w:r>
      <w:r w:rsidR="00F43B8D">
        <w:t>carbon dioxide emissions measured over the combined (full), urban and extra-urban phases of the laboratory test specified in Appendix B, as varied by clause 6, or one of the alternative standards specified in clauses 7.1 or 7.2.</w:t>
      </w:r>
    </w:p>
    <w:p w14:paraId="69889F4C" w14:textId="214B7C27" w:rsidR="00572CB2" w:rsidRDefault="008C0580" w:rsidP="008B1E62">
      <w:pPr>
        <w:keepLines/>
      </w:pPr>
      <w:r>
        <w:t xml:space="preserve">Clause 5.5.2 requires </w:t>
      </w:r>
      <w:r w:rsidR="008D230C">
        <w:t>the</w:t>
      </w:r>
      <w:r w:rsidR="00F43B8D">
        <w:t xml:space="preserve"> fuel consumption</w:t>
      </w:r>
      <w:r>
        <w:t xml:space="preserve"> </w:t>
      </w:r>
      <w:r w:rsidR="008D230C">
        <w:t>label to display the combined, urban and extra-urban fuel consumption</w:t>
      </w:r>
      <w:r w:rsidR="00F43B8D">
        <w:t xml:space="preserve"> values and the combined carbon dioxide emissions value </w:t>
      </w:r>
      <w:r w:rsidR="008D230C">
        <w:t xml:space="preserve">measured in accordance with </w:t>
      </w:r>
      <w:r w:rsidR="00F43B8D">
        <w:t>Clause 5.5.1</w:t>
      </w:r>
      <w:r w:rsidR="008D230C">
        <w:t>.</w:t>
      </w:r>
    </w:p>
    <w:p w14:paraId="1F5589C2" w14:textId="1622DBAE" w:rsidR="008D230C" w:rsidRDefault="008D230C" w:rsidP="008B1E62">
      <w:pPr>
        <w:keepLines/>
      </w:pPr>
      <w:r>
        <w:t xml:space="preserve">Clause 5.6 requires </w:t>
      </w:r>
      <w:r w:rsidR="00F43B8D">
        <w:t>an energy consumption label to be fitted to pure/battery electric vehicles, plug-in hybrid electric vehicles and plug-in hybrid fuel cell vehicles.</w:t>
      </w:r>
    </w:p>
    <w:p w14:paraId="0C8680C0" w14:textId="179B592D" w:rsidR="007366F7" w:rsidRDefault="00F43B8D" w:rsidP="008B1E62">
      <w:pPr>
        <w:keepLines/>
      </w:pPr>
      <w:r>
        <w:t>C</w:t>
      </w:r>
      <w:r w:rsidR="007366F7">
        <w:t xml:space="preserve">lause </w:t>
      </w:r>
      <w:r>
        <w:t>5.6.1 requires the manufacturer to report the fuel consumption and carbon dioxide emissions measured over the combined (full), urban and extra-urban phases of the laboratory test specified in Appendix B, as varied by clause 6, or one of the alternative standards specified in clauses 7.1 or 7.2. It also requires the vehicle’s electric energy consumption and pure/all electric range to be measured in accordance with the laboratory test in Appendix B, or one of the alternative standards specified in clauses 7.1, 7.4 or 7.6.</w:t>
      </w:r>
    </w:p>
    <w:p w14:paraId="02F6759A" w14:textId="3F7E8D6A" w:rsidR="00F43B8D" w:rsidRDefault="00F43B8D" w:rsidP="00F43B8D">
      <w:pPr>
        <w:keepLines/>
      </w:pPr>
      <w:r>
        <w:t>Clause 5.6.2 requires the energy consumption label to display the energy consumption, range, combined, fuel consumption values and the combined carbon dioxide emissions value measured in accordance with Clause 5.6.1.</w:t>
      </w:r>
    </w:p>
    <w:p w14:paraId="34739576" w14:textId="0FB378A9" w:rsidR="00F43B8D" w:rsidRDefault="00F43B8D" w:rsidP="00F43B8D">
      <w:pPr>
        <w:keepLines/>
      </w:pPr>
      <w:r>
        <w:lastRenderedPageBreak/>
        <w:t>Clause 5.</w:t>
      </w:r>
      <w:r w:rsidR="00D64842">
        <w:t>7</w:t>
      </w:r>
      <w:r>
        <w:t xml:space="preserve"> provides for a hydrogen consumption label to be fitted</w:t>
      </w:r>
      <w:r w:rsidR="00D64842">
        <w:t xml:space="preserve"> to fuel cell, hybrid and internal combustion engine vehicles that operate on hydrogen</w:t>
      </w:r>
      <w:r>
        <w:t>.</w:t>
      </w:r>
    </w:p>
    <w:p w14:paraId="1F05F0E9" w14:textId="57DCB7D7" w:rsidR="007366F7" w:rsidRDefault="00D64842" w:rsidP="00F43B8D">
      <w:pPr>
        <w:keepLines/>
      </w:pPr>
      <w:r>
        <w:t xml:space="preserve">If fitted, </w:t>
      </w:r>
      <w:r w:rsidR="007366F7">
        <w:t>Clause 5.</w:t>
      </w:r>
      <w:r w:rsidR="00F1275F">
        <w:t>7</w:t>
      </w:r>
      <w:r w:rsidR="007366F7">
        <w:t>.</w:t>
      </w:r>
      <w:r>
        <w:t>1</w:t>
      </w:r>
      <w:r w:rsidR="007366F7">
        <w:t xml:space="preserve"> requires </w:t>
      </w:r>
      <w:r>
        <w:t xml:space="preserve">the </w:t>
      </w:r>
      <w:r w:rsidR="007366F7">
        <w:t xml:space="preserve">manufacturer to also report the vehicle’s </w:t>
      </w:r>
      <w:r>
        <w:t xml:space="preserve">combined fuel consumption and combined </w:t>
      </w:r>
      <w:r w:rsidR="007366F7">
        <w:t>carbon dioxide emissions measure</w:t>
      </w:r>
      <w:r w:rsidR="00F1275F">
        <w:t>d</w:t>
      </w:r>
      <w:r w:rsidR="007366F7">
        <w:t xml:space="preserve"> in accordance with ADR 111/00 or the</w:t>
      </w:r>
      <w:r>
        <w:t xml:space="preserve"> one of</w:t>
      </w:r>
      <w:r w:rsidR="007366F7">
        <w:t xml:space="preserve"> alternative standards specified in </w:t>
      </w:r>
      <w:r>
        <w:t>clauses</w:t>
      </w:r>
      <w:r w:rsidR="007366F7">
        <w:t xml:space="preserve"> 7</w:t>
      </w:r>
      <w:r>
        <w:t>.3 or 7.5.</w:t>
      </w:r>
    </w:p>
    <w:p w14:paraId="7CB56CEE" w14:textId="41D38D5A" w:rsidR="0031137E" w:rsidRPr="0031137E" w:rsidRDefault="0031137E" w:rsidP="0031137E">
      <w:pPr>
        <w:pStyle w:val="HeadingLevel2"/>
        <w:keepNext/>
        <w:widowControl w:val="0"/>
        <w:numPr>
          <w:ilvl w:val="1"/>
          <w:numId w:val="1"/>
        </w:numPr>
        <w:tabs>
          <w:tab w:val="clear" w:pos="993"/>
          <w:tab w:val="num" w:pos="2694"/>
          <w:tab w:val="num" w:pos="5388"/>
        </w:tabs>
        <w:ind w:left="851"/>
        <w:rPr>
          <w:b/>
        </w:rPr>
      </w:pPr>
      <w:bookmarkStart w:id="22" w:name="_Toc74044718"/>
      <w:bookmarkStart w:id="23" w:name="_Toc151133219"/>
      <w:bookmarkStart w:id="24" w:name="_Toc184225136"/>
      <w:r w:rsidRPr="00507F39">
        <w:rPr>
          <w:b/>
        </w:rPr>
        <w:t>Exemptions and Alternative Procedures</w:t>
      </w:r>
      <w:bookmarkEnd w:id="22"/>
      <w:bookmarkEnd w:id="23"/>
      <w:bookmarkEnd w:id="24"/>
    </w:p>
    <w:p w14:paraId="0037C932" w14:textId="77777777" w:rsidR="0031137E" w:rsidRPr="00514C80" w:rsidRDefault="0031137E" w:rsidP="0031137E">
      <w:pPr>
        <w:keepNext/>
        <w:keepLines/>
        <w:rPr>
          <w:u w:val="single"/>
        </w:rPr>
      </w:pPr>
      <w:r w:rsidRPr="00514C80">
        <w:rPr>
          <w:u w:val="single"/>
        </w:rPr>
        <w:t>Exemptions</w:t>
      </w:r>
    </w:p>
    <w:p w14:paraId="772E45B3" w14:textId="0F383245" w:rsidR="0031137E" w:rsidRPr="00514C80" w:rsidRDefault="0031137E" w:rsidP="0031137E">
      <w:pPr>
        <w:keepLines/>
      </w:pPr>
      <w:r>
        <w:t>Clause 6.1</w:t>
      </w:r>
      <w:r w:rsidRPr="00514C80">
        <w:t xml:space="preserve"> creates exemptions from some requirements of </w:t>
      </w:r>
      <w:r>
        <w:t>A</w:t>
      </w:r>
      <w:r w:rsidRPr="00514C80">
        <w:t xml:space="preserve">ppendix </w:t>
      </w:r>
      <w:r>
        <w:t>B</w:t>
      </w:r>
      <w:r w:rsidRPr="00514C80">
        <w:t xml:space="preserve"> which pertain to gaining a Type Approval </w:t>
      </w:r>
      <w:r>
        <w:t>under the UN 1958 Agreement</w:t>
      </w:r>
      <w:r>
        <w:rPr>
          <w:rStyle w:val="FootnoteReference"/>
        </w:rPr>
        <w:footnoteReference w:id="2"/>
      </w:r>
      <w:r w:rsidRPr="00514C80">
        <w:t xml:space="preserve">. This is because they are not </w:t>
      </w:r>
      <w:r>
        <w:t xml:space="preserve">required </w:t>
      </w:r>
      <w:r w:rsidR="00DD2259">
        <w:t xml:space="preserve">to obtain a vehicle type approval </w:t>
      </w:r>
      <w:r>
        <w:t>in</w:t>
      </w:r>
      <w:r w:rsidRPr="00514C80">
        <w:t xml:space="preserve"> the Australian context where the Commonwealth administers approvals through the Act and the </w:t>
      </w:r>
      <w:r w:rsidR="00DD2259">
        <w:t>Road Vehicle Standards Rules</w:t>
      </w:r>
      <w:r w:rsidRPr="00514C80">
        <w:t xml:space="preserve">. Consequently, manufacturers supplying new vehicles to Australia are exempt from most </w:t>
      </w:r>
      <w:r>
        <w:t>administrative (</w:t>
      </w:r>
      <w:r w:rsidRPr="00514C80">
        <w:t>non-technical</w:t>
      </w:r>
      <w:r>
        <w:t>)</w:t>
      </w:r>
      <w:r w:rsidRPr="00514C80">
        <w:t xml:space="preserve"> requirements of </w:t>
      </w:r>
      <w:r>
        <w:t>UN Regulation 101</w:t>
      </w:r>
      <w:r w:rsidRPr="00514C80">
        <w:t>.</w:t>
      </w:r>
    </w:p>
    <w:p w14:paraId="4534C942" w14:textId="5E5E1FAD" w:rsidR="0031137E" w:rsidRDefault="0031137E" w:rsidP="0031137E">
      <w:pPr>
        <w:keepLines/>
      </w:pPr>
      <w:r w:rsidRPr="00514C80">
        <w:t xml:space="preserve">Clause 6.1 states that sections </w:t>
      </w:r>
      <w:r>
        <w:t xml:space="preserve">1, 3, 4, 6, 8, 9, 10, 11, 12 and 13 and Annexes 1 to 5 </w:t>
      </w:r>
      <w:r w:rsidRPr="00514C80">
        <w:t xml:space="preserve">of </w:t>
      </w:r>
      <w:r>
        <w:t xml:space="preserve">Appendix B </w:t>
      </w:r>
      <w:r w:rsidRPr="00514C80">
        <w:t xml:space="preserve">are not </w:t>
      </w:r>
      <w:r>
        <w:t xml:space="preserve">applicable </w:t>
      </w:r>
      <w:r w:rsidRPr="00514C80">
        <w:t>for the purposes of complying with ADR</w:t>
      </w:r>
      <w:r>
        <w:t xml:space="preserve"> 81/03</w:t>
      </w:r>
      <w:r w:rsidRPr="00514C80">
        <w:t xml:space="preserve">. This is because they refer to </w:t>
      </w:r>
      <w:r>
        <w:t>administrative requirements to obtain</w:t>
      </w:r>
      <w:r w:rsidRPr="00514C80">
        <w:t xml:space="preserve"> </w:t>
      </w:r>
      <w:r>
        <w:t xml:space="preserve">and maintain a </w:t>
      </w:r>
      <w:r w:rsidRPr="00514C80">
        <w:t>Type Approval</w:t>
      </w:r>
      <w:r>
        <w:t xml:space="preserve"> under the UN 1958 Agreement</w:t>
      </w:r>
      <w:r w:rsidRPr="00514C80">
        <w:t>.</w:t>
      </w:r>
    </w:p>
    <w:p w14:paraId="1519BA20" w14:textId="77777777" w:rsidR="0031137E" w:rsidRPr="00514C80" w:rsidRDefault="0031137E" w:rsidP="0031137E">
      <w:pPr>
        <w:rPr>
          <w:u w:val="single"/>
        </w:rPr>
      </w:pPr>
      <w:r w:rsidRPr="00514C80">
        <w:rPr>
          <w:u w:val="single"/>
        </w:rPr>
        <w:t>Alternative Procedures</w:t>
      </w:r>
    </w:p>
    <w:p w14:paraId="17062C9A" w14:textId="69992FB5" w:rsidR="0031137E" w:rsidRPr="0041729D" w:rsidRDefault="0031137E" w:rsidP="0031137E">
      <w:r>
        <w:t>Clause 6.2 state that reference UN Regulation No. 83, which underpins the laboratory test adopted in UN Regulation No. 101</w:t>
      </w:r>
      <w:r w:rsidR="004451DD">
        <w:t xml:space="preserve"> is to be interpreted as Appendix A of ADR 79/04. ADR 79/04 adopts the technical requirements for UN Regulation No. 83, based on the NEDC drive cycle.</w:t>
      </w:r>
    </w:p>
    <w:p w14:paraId="62E9D4A7" w14:textId="23A1D3AB" w:rsidR="0031137E" w:rsidRDefault="0031137E" w:rsidP="0031137E">
      <w:r>
        <w:t>Clauses 6.3</w:t>
      </w:r>
      <w:r w:rsidR="004451DD">
        <w:t xml:space="preserve"> advises that pure electric and hydrogen fuelled vehicles may report a carbon dioxide emissions value of zero in lieu of testing. This is because these vehicles produce zero tailpipe emissions by virtue of their fuel type.</w:t>
      </w:r>
      <w:r>
        <w:t xml:space="preserve"> </w:t>
      </w:r>
    </w:p>
    <w:p w14:paraId="151AB006" w14:textId="7EE9083B" w:rsidR="00563A9A" w:rsidRPr="00563A9A" w:rsidRDefault="0031137E" w:rsidP="004451DD">
      <w:r>
        <w:t>Clause 6.</w:t>
      </w:r>
      <w:r w:rsidR="004451DD">
        <w:t>4</w:t>
      </w:r>
      <w:r>
        <w:t xml:space="preserve"> advises that </w:t>
      </w:r>
      <w:r w:rsidR="004451DD">
        <w:t>vehicles that comply with ADR 111/00 or specified alternative standards in ADR 79/05 or ADR 80/04 may use the conversion procedure specified in Appendix C to convert fuel consumption and carbon dioxide emission values measured in accordance with the Worldwide harmonised Light vehicles Test Procedure (WLTP) or the test cycle adopted by the United States Environmental Protection Agency to NEDC equivalent values to comply with clauses 5.1, 5.5 and 5.6. The means vehicles complying with these stricter international standards are not required to retest to the older NEDC test cycle to comply with the ADR and the NVES.</w:t>
      </w:r>
    </w:p>
    <w:p w14:paraId="5046AE1B" w14:textId="026BE8E5" w:rsidR="00681614" w:rsidRPr="004451DD" w:rsidRDefault="004451DD" w:rsidP="004451DD">
      <w:pPr>
        <w:pStyle w:val="HeadingLevel2"/>
        <w:keepNext/>
        <w:keepLines/>
        <w:numPr>
          <w:ilvl w:val="1"/>
          <w:numId w:val="1"/>
        </w:numPr>
        <w:tabs>
          <w:tab w:val="clear" w:pos="993"/>
          <w:tab w:val="num" w:pos="5388"/>
        </w:tabs>
        <w:ind w:left="851"/>
        <w:rPr>
          <w:b/>
        </w:rPr>
      </w:pPr>
      <w:bookmarkStart w:id="25" w:name="_Toc151133220"/>
      <w:bookmarkStart w:id="26" w:name="_Toc184225137"/>
      <w:r w:rsidRPr="00507F39">
        <w:rPr>
          <w:b/>
        </w:rPr>
        <w:lastRenderedPageBreak/>
        <w:t>Alternative Standards</w:t>
      </w:r>
      <w:bookmarkEnd w:id="25"/>
      <w:bookmarkEnd w:id="26"/>
    </w:p>
    <w:p w14:paraId="0FF34B92" w14:textId="507155D8" w:rsidR="00681614" w:rsidRDefault="00471285" w:rsidP="00F43B8D">
      <w:pPr>
        <w:keepLines/>
        <w:spacing w:before="0" w:after="0" w:line="259" w:lineRule="atLeast"/>
        <w:rPr>
          <w:color w:val="000000"/>
        </w:rPr>
      </w:pPr>
      <w:r>
        <w:rPr>
          <w:color w:val="000000"/>
        </w:rPr>
        <w:t>C</w:t>
      </w:r>
      <w:r w:rsidR="009C13C6" w:rsidRPr="00A44A98">
        <w:rPr>
          <w:color w:val="000000"/>
        </w:rPr>
        <w:t xml:space="preserve">lause </w:t>
      </w:r>
      <w:r>
        <w:rPr>
          <w:color w:val="000000"/>
        </w:rPr>
        <w:t xml:space="preserve">7 specifies alternative international standards vehicle manufacturers may test vehicles </w:t>
      </w:r>
      <w:r w:rsidR="004451DD">
        <w:rPr>
          <w:color w:val="000000"/>
        </w:rPr>
        <w:t>may use to determine the</w:t>
      </w:r>
      <w:r>
        <w:rPr>
          <w:color w:val="000000"/>
        </w:rPr>
        <w:t xml:space="preserve"> fuel consumption, energy consumption and battery range values </w:t>
      </w:r>
      <w:r w:rsidR="004451DD">
        <w:rPr>
          <w:color w:val="000000"/>
        </w:rPr>
        <w:t>required by this ADR</w:t>
      </w:r>
      <w:r>
        <w:rPr>
          <w:color w:val="000000"/>
        </w:rPr>
        <w:t xml:space="preserve">. </w:t>
      </w:r>
    </w:p>
    <w:p w14:paraId="1E696A5F" w14:textId="44A9F6C6" w:rsidR="00FA7D8C" w:rsidRPr="009C13C6" w:rsidRDefault="00471285" w:rsidP="00F43B8D">
      <w:pPr>
        <w:keepLines/>
        <w:rPr>
          <w:color w:val="000000"/>
        </w:rPr>
      </w:pPr>
      <w:r w:rsidRPr="00FA7D8C">
        <w:rPr>
          <w:color w:val="000000"/>
        </w:rPr>
        <w:t xml:space="preserve">Clause 7.1 permits manufacturers to report </w:t>
      </w:r>
      <w:r w:rsidR="009C13C6">
        <w:t>fuel consumption,</w:t>
      </w:r>
      <w:r w:rsidR="004451DD">
        <w:t xml:space="preserve"> carbon dioxide emissions,</w:t>
      </w:r>
      <w:r w:rsidR="009C13C6">
        <w:t xml:space="preserve"> energy consumption and </w:t>
      </w:r>
      <w:r>
        <w:t xml:space="preserve">battery </w:t>
      </w:r>
      <w:r w:rsidR="009C13C6">
        <w:t xml:space="preserve">range values </w:t>
      </w:r>
      <w:r>
        <w:t xml:space="preserve">on the labels based on testing to </w:t>
      </w:r>
      <w:r w:rsidR="009C13C6" w:rsidRPr="009C13C6">
        <w:rPr>
          <w:iCs/>
        </w:rPr>
        <w:t xml:space="preserve">United Nations </w:t>
      </w:r>
      <w:r>
        <w:rPr>
          <w:iCs/>
        </w:rPr>
        <w:t xml:space="preserve">(UN) </w:t>
      </w:r>
      <w:r w:rsidR="009C13C6" w:rsidRPr="009C13C6">
        <w:rPr>
          <w:iCs/>
        </w:rPr>
        <w:t xml:space="preserve">Regulation No. </w:t>
      </w:r>
      <w:r w:rsidR="009A01EB">
        <w:rPr>
          <w:iCs/>
        </w:rPr>
        <w:t>101</w:t>
      </w:r>
      <w:r>
        <w:rPr>
          <w:iCs/>
        </w:rPr>
        <w:t xml:space="preserve">. This UN Regulation adopts the same laboratory tests adopted in </w:t>
      </w:r>
      <w:r w:rsidR="009A01EB">
        <w:rPr>
          <w:iCs/>
        </w:rPr>
        <w:t>Appendix B</w:t>
      </w:r>
      <w:r>
        <w:rPr>
          <w:iCs/>
        </w:rPr>
        <w:t>.</w:t>
      </w:r>
    </w:p>
    <w:p w14:paraId="5E4FA8B9" w14:textId="10172926" w:rsidR="007732D0" w:rsidRPr="00471285" w:rsidRDefault="007732D0" w:rsidP="00F43B8D">
      <w:pPr>
        <w:keepLines/>
      </w:pPr>
      <w:r>
        <w:t xml:space="preserve">Clause </w:t>
      </w:r>
      <w:r w:rsidR="00471285">
        <w:t>7.2</w:t>
      </w:r>
      <w:r>
        <w:t xml:space="preserve"> </w:t>
      </w:r>
      <w:r w:rsidR="00471285">
        <w:t>permits manufacturers to report fuel consumption</w:t>
      </w:r>
      <w:r w:rsidR="009A01EB">
        <w:t xml:space="preserve"> carbon dioxide emissions</w:t>
      </w:r>
      <w:r w:rsidR="00471285">
        <w:t xml:space="preserve">, values based on </w:t>
      </w:r>
      <w:r w:rsidR="00FB2DF2">
        <w:rPr>
          <w:iCs/>
        </w:rPr>
        <w:t>EU Regulation 2017/115</w:t>
      </w:r>
      <w:r w:rsidR="009A01EB">
        <w:rPr>
          <w:iCs/>
        </w:rPr>
        <w:t>2 and 2017/1153</w:t>
      </w:r>
      <w:r>
        <w:rPr>
          <w:iCs/>
        </w:rPr>
        <w:t xml:space="preserve">. </w:t>
      </w:r>
      <w:r w:rsidR="00471285">
        <w:rPr>
          <w:iCs/>
        </w:rPr>
        <w:t xml:space="preserve">This Regulation adopts </w:t>
      </w:r>
      <w:r w:rsidR="009A01EB">
        <w:rPr>
          <w:iCs/>
        </w:rPr>
        <w:t>an equivalent conversion procedure to Appendix C</w:t>
      </w:r>
      <w:r w:rsidR="00471285">
        <w:rPr>
          <w:iCs/>
        </w:rPr>
        <w:t>.</w:t>
      </w:r>
    </w:p>
    <w:p w14:paraId="6B5495CF" w14:textId="0FCB974F" w:rsidR="00263BEA" w:rsidRDefault="00263BEA" w:rsidP="00263BEA">
      <w:pPr>
        <w:keepLines/>
        <w:spacing w:before="0" w:after="0" w:line="259" w:lineRule="atLeast"/>
        <w:rPr>
          <w:color w:val="000000"/>
        </w:rPr>
      </w:pPr>
      <w:r w:rsidRPr="00FA7D8C">
        <w:rPr>
          <w:color w:val="000000"/>
        </w:rPr>
        <w:t>Clause 7.</w:t>
      </w:r>
      <w:r>
        <w:rPr>
          <w:color w:val="000000"/>
        </w:rPr>
        <w:t xml:space="preserve">3 </w:t>
      </w:r>
      <w:r>
        <w:t xml:space="preserve">permits manufacturers of hydrogen vehicles to report fuel consumption carbon dioxide emissions values based on </w:t>
      </w:r>
      <w:r>
        <w:rPr>
          <w:iCs/>
        </w:rPr>
        <w:t>UN Regulation No. 154. This Regulation adopts the WLTP, and all hydrogen vehicles currently approved for sale in Australia report figures based on this test procedure to comply with standards in larger vehicle markets. No procedure exists to convert these figures to an NEDC equivalent.</w:t>
      </w:r>
    </w:p>
    <w:p w14:paraId="27040DD4" w14:textId="77777777" w:rsidR="00263BEA" w:rsidRDefault="00263BEA" w:rsidP="00263BEA">
      <w:pPr>
        <w:spacing w:before="0" w:after="0" w:line="259" w:lineRule="atLeast"/>
        <w:rPr>
          <w:color w:val="000000"/>
        </w:rPr>
      </w:pPr>
    </w:p>
    <w:p w14:paraId="7ABACCED" w14:textId="01CFD51C" w:rsidR="00263BEA" w:rsidRDefault="00263BEA" w:rsidP="00F43B8D">
      <w:pPr>
        <w:keepLines/>
        <w:spacing w:before="0" w:after="0" w:line="259" w:lineRule="atLeast"/>
        <w:rPr>
          <w:iCs/>
        </w:rPr>
      </w:pPr>
      <w:r>
        <w:rPr>
          <w:color w:val="000000"/>
        </w:rPr>
        <w:t>Clause 7.4</w:t>
      </w:r>
      <w:r w:rsidRPr="00FA7D8C">
        <w:rPr>
          <w:color w:val="000000"/>
        </w:rPr>
        <w:t xml:space="preserve"> </w:t>
      </w:r>
      <w:r>
        <w:t xml:space="preserve">permits manufacturers of electric and plug-in vehicles to report energy consumption and range values based on </w:t>
      </w:r>
      <w:r>
        <w:rPr>
          <w:iCs/>
        </w:rPr>
        <w:t>UN Regulation No. 154. This Regulation adopts the WLTP, and all electric and plug-in hybrid vehicles currently approved for sale in Australia report figures based on this test procedure to comply with standards in larger vehicle markets. No procedure exists to convert these figures to an NEDC equivalent.</w:t>
      </w:r>
    </w:p>
    <w:p w14:paraId="5EE61283" w14:textId="77777777" w:rsidR="00263BEA" w:rsidRPr="00263BEA" w:rsidRDefault="00263BEA" w:rsidP="00263BEA">
      <w:pPr>
        <w:spacing w:before="0" w:after="0" w:line="259" w:lineRule="atLeast"/>
        <w:rPr>
          <w:iCs/>
        </w:rPr>
      </w:pPr>
    </w:p>
    <w:p w14:paraId="130C35D2" w14:textId="734D6223" w:rsidR="009A01EB" w:rsidRDefault="00471285" w:rsidP="00F43B8D">
      <w:pPr>
        <w:keepLines/>
        <w:spacing w:before="0" w:after="0" w:line="259" w:lineRule="atLeast"/>
        <w:rPr>
          <w:color w:val="000000"/>
        </w:rPr>
      </w:pPr>
      <w:r w:rsidRPr="00FA7D8C">
        <w:rPr>
          <w:color w:val="000000"/>
        </w:rPr>
        <w:t>Clause 7.</w:t>
      </w:r>
      <w:r w:rsidR="00263BEA">
        <w:rPr>
          <w:color w:val="000000"/>
        </w:rPr>
        <w:t>5</w:t>
      </w:r>
      <w:r w:rsidR="009A01EB">
        <w:rPr>
          <w:color w:val="000000"/>
        </w:rPr>
        <w:t xml:space="preserve"> </w:t>
      </w:r>
      <w:r w:rsidR="009A01EB">
        <w:t xml:space="preserve">permits manufacturers </w:t>
      </w:r>
      <w:r w:rsidR="00263BEA">
        <w:t xml:space="preserve">of hydrogen vehicles </w:t>
      </w:r>
      <w:r w:rsidR="009A01EB">
        <w:t xml:space="preserve">to report fuel consumption carbon dioxide emissions values based on </w:t>
      </w:r>
      <w:r w:rsidR="009A01EB">
        <w:rPr>
          <w:iCs/>
        </w:rPr>
        <w:t xml:space="preserve">EU Regulation 2017/1151. This Regulation adopts the WLTP, and all hydrogen vehicles currently approved for sale in Australia report figures based on this test procedure </w:t>
      </w:r>
      <w:r w:rsidR="00263BEA">
        <w:rPr>
          <w:iCs/>
        </w:rPr>
        <w:t>to comply with standards in larger vehicle markets. No procedure exists to convert these figures to an NEDC equivalent.</w:t>
      </w:r>
    </w:p>
    <w:p w14:paraId="0E0EAD32" w14:textId="77777777" w:rsidR="009A01EB" w:rsidRDefault="009A01EB" w:rsidP="00263BEA">
      <w:pPr>
        <w:spacing w:before="0" w:after="0" w:line="259" w:lineRule="atLeast"/>
        <w:rPr>
          <w:color w:val="000000"/>
        </w:rPr>
      </w:pPr>
    </w:p>
    <w:p w14:paraId="39F55B66" w14:textId="2FF258FF" w:rsidR="00471285" w:rsidRDefault="009A01EB" w:rsidP="00F43B8D">
      <w:pPr>
        <w:keepLines/>
        <w:spacing w:before="0" w:after="0" w:line="259" w:lineRule="atLeast"/>
        <w:rPr>
          <w:iCs/>
        </w:rPr>
      </w:pPr>
      <w:r>
        <w:rPr>
          <w:color w:val="000000"/>
        </w:rPr>
        <w:t>Clause 7.</w:t>
      </w:r>
      <w:r w:rsidR="00263BEA">
        <w:rPr>
          <w:color w:val="000000"/>
        </w:rPr>
        <w:t>6</w:t>
      </w:r>
      <w:r w:rsidR="00471285" w:rsidRPr="00FA7D8C">
        <w:rPr>
          <w:color w:val="000000"/>
        </w:rPr>
        <w:t xml:space="preserve"> </w:t>
      </w:r>
      <w:r w:rsidR="00263BEA">
        <w:t xml:space="preserve">permits manufacturers of electric and plug-in vehicles to report energy consumption and range values based on </w:t>
      </w:r>
      <w:r w:rsidR="00263BEA">
        <w:rPr>
          <w:iCs/>
        </w:rPr>
        <w:t>EU Regulation 2017/1151. This Regulation adopts the WLTP, and all electric and plug-in hybrid vehicles currently approved for sale in Australia report figures based on this test procedure to comply with standards in larger vehicle markets. No procedure exists to convert these figures to an NEDC equivalent.</w:t>
      </w:r>
    </w:p>
    <w:p w14:paraId="4895E815" w14:textId="4077ACA8" w:rsidR="00471285" w:rsidRDefault="00471285" w:rsidP="00F43B8D">
      <w:pPr>
        <w:keepLines/>
        <w:spacing w:before="0" w:after="0" w:line="259" w:lineRule="atLeast"/>
        <w:rPr>
          <w:color w:val="000000"/>
        </w:rPr>
      </w:pPr>
    </w:p>
    <w:p w14:paraId="4A2783FE" w14:textId="608BFEFD" w:rsidR="00CC1C72" w:rsidRDefault="00CC1C72" w:rsidP="00F43B8D">
      <w:pPr>
        <w:keepLines/>
        <w:spacing w:before="0" w:after="0" w:line="259" w:lineRule="atLeast"/>
        <w:rPr>
          <w:color w:val="000000"/>
        </w:rPr>
      </w:pPr>
      <w:r>
        <w:rPr>
          <w:color w:val="000000"/>
        </w:rPr>
        <w:t>Appendix A specifies the format of the fuel consumption label, energy consumption label and hydrogen consumption label. This are based on a similar format to the labels adopted in ADR 81/02, but advise that the vehicle was tested in accordance with the new ADR 81/03.</w:t>
      </w:r>
    </w:p>
    <w:p w14:paraId="76B4F6E7" w14:textId="1770E8F1" w:rsidR="00263BEA" w:rsidRDefault="00263BEA" w:rsidP="00F43B8D">
      <w:pPr>
        <w:keepLines/>
        <w:spacing w:before="0" w:after="0" w:line="259" w:lineRule="atLeast"/>
        <w:rPr>
          <w:color w:val="000000"/>
        </w:rPr>
      </w:pPr>
    </w:p>
    <w:p w14:paraId="3B90F005" w14:textId="4EECD2DB" w:rsidR="00263BEA" w:rsidRDefault="00263BEA" w:rsidP="00F43B8D">
      <w:pPr>
        <w:keepLines/>
        <w:spacing w:before="0" w:after="0" w:line="259" w:lineRule="atLeast"/>
        <w:rPr>
          <w:color w:val="000000"/>
        </w:rPr>
      </w:pPr>
      <w:r>
        <w:lastRenderedPageBreak/>
        <w:t>Appendix B adopts the technical requirements of UN Regulation No. 101, which specifies a laboratory test for measuring fuel consumption, carbon dioxide emission, electric energy consumption and battery range based on the New European Driving Cycle (NEDC).</w:t>
      </w:r>
    </w:p>
    <w:p w14:paraId="6B795D50" w14:textId="617149CB" w:rsidR="004B02B9" w:rsidRDefault="004B02B9" w:rsidP="00F43B8D">
      <w:pPr>
        <w:keepLines/>
        <w:spacing w:before="0" w:after="0" w:line="259" w:lineRule="atLeast"/>
        <w:rPr>
          <w:color w:val="000000"/>
        </w:rPr>
      </w:pPr>
    </w:p>
    <w:p w14:paraId="291110CB" w14:textId="38233804" w:rsidR="004B02B9" w:rsidRDefault="00CC1C72" w:rsidP="00F43B8D">
      <w:pPr>
        <w:keepLines/>
        <w:spacing w:before="0" w:after="0" w:line="259" w:lineRule="atLeast"/>
        <w:rPr>
          <w:color w:val="000000"/>
        </w:rPr>
      </w:pPr>
      <w:r>
        <w:rPr>
          <w:color w:val="000000"/>
        </w:rPr>
        <w:t xml:space="preserve">Appendix </w:t>
      </w:r>
      <w:r w:rsidR="00263BEA">
        <w:rPr>
          <w:color w:val="000000"/>
        </w:rPr>
        <w:t>C</w:t>
      </w:r>
      <w:r>
        <w:rPr>
          <w:color w:val="000000"/>
        </w:rPr>
        <w:t xml:space="preserve"> </w:t>
      </w:r>
      <w:r w:rsidR="004B02B9">
        <w:rPr>
          <w:color w:val="000000"/>
        </w:rPr>
        <w:t>specif</w:t>
      </w:r>
      <w:r>
        <w:rPr>
          <w:color w:val="000000"/>
        </w:rPr>
        <w:t>ies</w:t>
      </w:r>
      <w:r w:rsidR="004B02B9">
        <w:rPr>
          <w:color w:val="000000"/>
        </w:rPr>
        <w:t xml:space="preserve"> a method for converting carbon dioxide emission values measured in accordance with the Worldwide harmonised Light vehicles Test Procedure adopted in UN Regulation No. 154 or the US EPA standards for light vehicles accepted in ADR 79/05 to </w:t>
      </w:r>
      <w:r>
        <w:rPr>
          <w:color w:val="000000"/>
        </w:rPr>
        <w:t xml:space="preserve">enable </w:t>
      </w:r>
      <w:r w:rsidR="004B02B9">
        <w:rPr>
          <w:color w:val="000000"/>
        </w:rPr>
        <w:t xml:space="preserve">an equivalent value that could be expected if the vehicle was tested in accordance </w:t>
      </w:r>
      <w:r>
        <w:rPr>
          <w:color w:val="000000"/>
        </w:rPr>
        <w:t xml:space="preserve">the New European Drive Cycle (NEDC) mandated by </w:t>
      </w:r>
      <w:r w:rsidR="00263BEA">
        <w:rPr>
          <w:color w:val="000000"/>
        </w:rPr>
        <w:t>Appendix B</w:t>
      </w:r>
      <w:r>
        <w:rPr>
          <w:color w:val="000000"/>
        </w:rPr>
        <w:t>.</w:t>
      </w:r>
    </w:p>
    <w:p w14:paraId="567F8032" w14:textId="77777777" w:rsidR="007D360E" w:rsidRDefault="007D360E" w:rsidP="00231267">
      <w:pPr>
        <w:pStyle w:val="MainHeadding"/>
        <w:keepNext/>
        <w:tabs>
          <w:tab w:val="clear" w:pos="2553"/>
        </w:tabs>
        <w:ind w:left="851"/>
      </w:pPr>
      <w:bookmarkStart w:id="27" w:name="_Toc151133221"/>
      <w:bookmarkStart w:id="28" w:name="_Toc87439786"/>
      <w:bookmarkStart w:id="29" w:name="_Toc184225138"/>
      <w:r>
        <w:t>MATTERS INCORPORATED BY REFERENCE</w:t>
      </w:r>
      <w:bookmarkEnd w:id="27"/>
      <w:bookmarkEnd w:id="28"/>
      <w:bookmarkEnd w:id="29"/>
    </w:p>
    <w:p w14:paraId="7465E6FC" w14:textId="21F9A4E5" w:rsidR="007D360E" w:rsidRDefault="007D360E" w:rsidP="007D360E">
      <w:pPr>
        <w:keepLines/>
        <w:tabs>
          <w:tab w:val="num" w:pos="0"/>
        </w:tabs>
      </w:pPr>
      <w:r>
        <w:t>Section 12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w:t>
      </w:r>
      <w:r w:rsidR="007A4DC1">
        <w:t xml:space="preserve"> </w:t>
      </w:r>
      <w:r>
        <w:t xml:space="preserve">ADR </w:t>
      </w:r>
      <w:r w:rsidR="002261A0">
        <w:t>81/0</w:t>
      </w:r>
      <w:r w:rsidR="007A4DC1">
        <w:t>3</w:t>
      </w:r>
      <w:r>
        <w:t xml:space="preserve"> makes use of this provision as specified below.</w:t>
      </w:r>
    </w:p>
    <w:p w14:paraId="045B562D" w14:textId="77777777" w:rsidR="007D360E" w:rsidRDefault="007D360E" w:rsidP="007D360E">
      <w:pPr>
        <w:pStyle w:val="Subsection"/>
        <w:rPr>
          <w:b/>
        </w:rPr>
      </w:pPr>
      <w:bookmarkStart w:id="30" w:name="_Toc151133222"/>
      <w:bookmarkStart w:id="31" w:name="_Toc184225139"/>
      <w:r>
        <w:rPr>
          <w:b/>
        </w:rPr>
        <w:t>Other Legislative Instruments</w:t>
      </w:r>
      <w:bookmarkEnd w:id="30"/>
      <w:bookmarkEnd w:id="31"/>
    </w:p>
    <w:p w14:paraId="108217E9" w14:textId="7B45E92C" w:rsidR="00F06881" w:rsidRDefault="007D360E" w:rsidP="00DE2024">
      <w:pPr>
        <w:keepNext/>
        <w:rPr>
          <w:color w:val="000000"/>
          <w:shd w:val="clear" w:color="auto" w:fill="FFFFFF"/>
        </w:rPr>
      </w:pPr>
      <w:r>
        <w:t>Clause</w:t>
      </w:r>
      <w:r w:rsidR="00F06881">
        <w:t xml:space="preserve"> 3.1.3 refers to </w:t>
      </w:r>
      <w:r w:rsidR="00F06881" w:rsidRPr="008D2B5E">
        <w:t>Vehicle Standard (Australian Design Rule 81/0</w:t>
      </w:r>
      <w:r w:rsidR="00F06881">
        <w:t>2</w:t>
      </w:r>
      <w:r w:rsidR="00F06881" w:rsidRPr="008D2B5E">
        <w:t xml:space="preserve"> – Fuel Consumption Labelling </w:t>
      </w:r>
      <w:r w:rsidR="00F06881">
        <w:t xml:space="preserve">for Light Vehicles 2008. </w:t>
      </w:r>
      <w:r w:rsidR="00F06881">
        <w:rPr>
          <w:color w:val="000000"/>
          <w:shd w:val="clear" w:color="auto" w:fill="FFFFFF"/>
        </w:rPr>
        <w:t>This vehicle standard adopts fuel consumption and carbon dioxide emissions testing requirements based on the New European Drive Cycle adopted in UN Regulation No. 101.</w:t>
      </w:r>
    </w:p>
    <w:p w14:paraId="4A1D6F2C" w14:textId="46E47411" w:rsidR="00F06881" w:rsidRDefault="00F06881" w:rsidP="00DE2024">
      <w:pPr>
        <w:keepNext/>
      </w:pPr>
      <w:r>
        <w:t xml:space="preserve">Clauses 3.3.2 and 3.3.3 refer to the </w:t>
      </w:r>
      <w:r w:rsidRPr="0022147E">
        <w:rPr>
          <w:color w:val="000000"/>
          <w:lang w:val="en-US"/>
        </w:rPr>
        <w:t>Vehicle Standard (Australian Design Rule 43/04 – Vehicle Configuration and Dimensions) 2006</w:t>
      </w:r>
      <w:r>
        <w:rPr>
          <w:color w:val="000000"/>
          <w:lang w:val="en-US"/>
        </w:rPr>
        <w:t>. The ADR specifies requirements for vehicle dimensions, such as length and width and how much the length of the rear of the vehicle can go past the rear wheels.</w:t>
      </w:r>
    </w:p>
    <w:p w14:paraId="44372418" w14:textId="064CE5A3" w:rsidR="007D360E" w:rsidRDefault="00F06881" w:rsidP="00417375">
      <w:pPr>
        <w:keepLines/>
        <w:rPr>
          <w:color w:val="000000"/>
          <w:shd w:val="clear" w:color="auto" w:fill="FFFFFF"/>
        </w:rPr>
      </w:pPr>
      <w:r>
        <w:t xml:space="preserve">Clauses </w:t>
      </w:r>
      <w:r w:rsidR="008501FD">
        <w:t>4.1.</w:t>
      </w:r>
      <w:r>
        <w:t>2</w:t>
      </w:r>
      <w:r w:rsidR="008501FD">
        <w:t>, 5.7.1</w:t>
      </w:r>
      <w:r w:rsidR="00417375">
        <w:t xml:space="preserve"> </w:t>
      </w:r>
      <w:r>
        <w:t>and 6.4</w:t>
      </w:r>
      <w:r w:rsidR="008501FD">
        <w:t xml:space="preserve"> </w:t>
      </w:r>
      <w:r w:rsidR="007D360E">
        <w:t xml:space="preserve">refer to </w:t>
      </w:r>
      <w:r w:rsidR="007D360E">
        <w:rPr>
          <w:color w:val="000000"/>
          <w:shd w:val="clear" w:color="auto" w:fill="FFFFFF"/>
        </w:rPr>
        <w:t>Vehicle Standard (Australian Design Rule 111/00 – Advanced Emission Control for Light Vehicles) 202</w:t>
      </w:r>
      <w:r w:rsidR="008501FD">
        <w:rPr>
          <w:color w:val="000000"/>
          <w:shd w:val="clear" w:color="auto" w:fill="FFFFFF"/>
        </w:rPr>
        <w:t>4</w:t>
      </w:r>
      <w:r w:rsidR="007D360E">
        <w:rPr>
          <w:color w:val="000000"/>
          <w:shd w:val="clear" w:color="auto" w:fill="FFFFFF"/>
        </w:rPr>
        <w:t xml:space="preserve">. This vehicle standard </w:t>
      </w:r>
      <w:r w:rsidR="008501FD">
        <w:rPr>
          <w:color w:val="000000"/>
          <w:shd w:val="clear" w:color="auto" w:fill="FFFFFF"/>
        </w:rPr>
        <w:t>adopts</w:t>
      </w:r>
      <w:r w:rsidR="007D360E">
        <w:rPr>
          <w:color w:val="000000"/>
          <w:shd w:val="clear" w:color="auto" w:fill="FFFFFF"/>
        </w:rPr>
        <w:t xml:space="preserve"> </w:t>
      </w:r>
      <w:r w:rsidR="00A06E23">
        <w:rPr>
          <w:color w:val="000000"/>
          <w:shd w:val="clear" w:color="auto" w:fill="FFFFFF"/>
        </w:rPr>
        <w:t>fuel consumption and</w:t>
      </w:r>
      <w:r w:rsidR="007D360E">
        <w:rPr>
          <w:color w:val="000000"/>
          <w:shd w:val="clear" w:color="auto" w:fill="FFFFFF"/>
        </w:rPr>
        <w:t xml:space="preserve"> emissions</w:t>
      </w:r>
      <w:r w:rsidR="009447AF">
        <w:rPr>
          <w:color w:val="000000"/>
          <w:shd w:val="clear" w:color="auto" w:fill="FFFFFF"/>
        </w:rPr>
        <w:t xml:space="preserve"> testing</w:t>
      </w:r>
      <w:r w:rsidR="008501FD">
        <w:rPr>
          <w:color w:val="000000"/>
          <w:shd w:val="clear" w:color="auto" w:fill="FFFFFF"/>
        </w:rPr>
        <w:t xml:space="preserve"> requirements and terminology based on</w:t>
      </w:r>
      <w:r w:rsidR="009447AF">
        <w:rPr>
          <w:color w:val="000000"/>
          <w:shd w:val="clear" w:color="auto" w:fill="FFFFFF"/>
        </w:rPr>
        <w:t xml:space="preserve"> the Worldwide harmonised Light vehicles Test Procedure </w:t>
      </w:r>
      <w:r w:rsidR="00C31C48">
        <w:rPr>
          <w:color w:val="000000"/>
          <w:shd w:val="clear" w:color="auto" w:fill="FFFFFF"/>
        </w:rPr>
        <w:t xml:space="preserve">(WLTP) </w:t>
      </w:r>
      <w:r w:rsidR="009447AF">
        <w:rPr>
          <w:color w:val="000000"/>
          <w:shd w:val="clear" w:color="auto" w:fill="FFFFFF"/>
        </w:rPr>
        <w:t>adopted in UN Regulation No. 154.</w:t>
      </w:r>
    </w:p>
    <w:p w14:paraId="763871D9" w14:textId="4F125CB4" w:rsidR="008501FD" w:rsidRDefault="008501FD" w:rsidP="00417375">
      <w:pPr>
        <w:keepLines/>
      </w:pPr>
      <w:r>
        <w:t>Clause 4.1.</w:t>
      </w:r>
      <w:r w:rsidR="00417375">
        <w:t>3</w:t>
      </w:r>
      <w:r>
        <w:t xml:space="preserve"> refer</w:t>
      </w:r>
      <w:r w:rsidR="00E46203">
        <w:t>s</w:t>
      </w:r>
      <w:r w:rsidRPr="00514C80">
        <w:t xml:space="preserv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5FF8169A" w14:textId="0F55FD1E" w:rsidR="00E46203" w:rsidRDefault="00E46203" w:rsidP="00417375">
      <w:pPr>
        <w:keepLines/>
        <w:rPr>
          <w:color w:val="000000"/>
          <w:shd w:val="clear" w:color="auto" w:fill="FFFFFF"/>
        </w:rPr>
      </w:pPr>
      <w:r>
        <w:t xml:space="preserve">Clause </w:t>
      </w:r>
      <w:r w:rsidR="00417375">
        <w:t xml:space="preserve">6.2 refers to </w:t>
      </w:r>
      <w:r w:rsidR="00417375">
        <w:rPr>
          <w:color w:val="000000"/>
          <w:shd w:val="clear" w:color="auto" w:fill="FFFFFF"/>
        </w:rPr>
        <w:t>Vehicle Standard (Australian Design Rule 79/04 – Emission Control for Light Vehicles) 2011. This vehicle standard sets a range of emission control requirements for light vehicle exhaust emissions.</w:t>
      </w:r>
    </w:p>
    <w:p w14:paraId="623ED0FA" w14:textId="2CD73564" w:rsidR="00417375" w:rsidRDefault="00417375" w:rsidP="00417375">
      <w:pPr>
        <w:keepLines/>
        <w:rPr>
          <w:color w:val="000000"/>
          <w:shd w:val="clear" w:color="auto" w:fill="FFFFFF"/>
        </w:rPr>
      </w:pPr>
      <w:r>
        <w:t xml:space="preserve">Clause 6.4 (a) refers to </w:t>
      </w:r>
      <w:r>
        <w:rPr>
          <w:color w:val="000000"/>
          <w:shd w:val="clear" w:color="auto" w:fill="FFFFFF"/>
        </w:rPr>
        <w:t>Vehicle Standard (Australian Design Rule 79/05 – Emission Control for Light Vehicles) 2011. This vehicle standard sets a range of emission control requirements for light vehicle exhaust emissions.</w:t>
      </w:r>
    </w:p>
    <w:p w14:paraId="2073754E" w14:textId="13D7F9E4" w:rsidR="00417375" w:rsidRPr="00417375" w:rsidRDefault="00417375" w:rsidP="00417375">
      <w:pPr>
        <w:keepLines/>
        <w:rPr>
          <w:color w:val="000000"/>
          <w:shd w:val="clear" w:color="auto" w:fill="FFFFFF"/>
        </w:rPr>
      </w:pPr>
      <w:r>
        <w:lastRenderedPageBreak/>
        <w:t xml:space="preserve">Clause 6.4 (b) refers to </w:t>
      </w:r>
      <w:r>
        <w:rPr>
          <w:color w:val="000000"/>
          <w:shd w:val="clear" w:color="auto" w:fill="FFFFFF"/>
        </w:rPr>
        <w:t>Vehicle Standard (Australian Design Rule 80/04 – Emission Control for Heavy Vehicles) 2023. This vehicle standard sets a range of emission control requirements for heavy vehicle exhaust emissions.</w:t>
      </w:r>
    </w:p>
    <w:p w14:paraId="327ED2EC" w14:textId="77777777" w:rsidR="007D360E" w:rsidRDefault="007D360E" w:rsidP="007D360E">
      <w:r>
        <w:t xml:space="preserve">The ADRs may be freely accessed online through the Federal Register of Legislation.  The website is </w:t>
      </w:r>
      <w:r>
        <w:rPr>
          <w:u w:val="single"/>
        </w:rPr>
        <w:t>www.legislation.gov.au</w:t>
      </w:r>
      <w:r>
        <w:t>.</w:t>
      </w:r>
    </w:p>
    <w:p w14:paraId="466E7CEE" w14:textId="77777777" w:rsidR="007D360E" w:rsidRDefault="007D360E" w:rsidP="007D360E">
      <w:r>
        <w:t>In accordance with subsection 12 of the Act, each of these ADRs are incorporated as in force or existing from time to time.  The ellipses (…) indicates the version(s) (e.g. 00, 01 etc.) of the ADR in force at the time.</w:t>
      </w:r>
    </w:p>
    <w:p w14:paraId="17BB9519" w14:textId="77777777" w:rsidR="007D360E" w:rsidRDefault="007D360E" w:rsidP="007D360E">
      <w:pPr>
        <w:pStyle w:val="Subsection"/>
        <w:rPr>
          <w:b/>
        </w:rPr>
      </w:pPr>
      <w:bookmarkStart w:id="32" w:name="_Toc151133223"/>
      <w:bookmarkStart w:id="33" w:name="_Toc74044722"/>
      <w:bookmarkStart w:id="34" w:name="_Toc74044073"/>
      <w:bookmarkStart w:id="35" w:name="_Toc184225140"/>
      <w:r>
        <w:rPr>
          <w:b/>
        </w:rPr>
        <w:t>International Vehicle Regulations</w:t>
      </w:r>
      <w:bookmarkEnd w:id="32"/>
      <w:bookmarkEnd w:id="33"/>
      <w:bookmarkEnd w:id="34"/>
      <w:bookmarkEnd w:id="35"/>
    </w:p>
    <w:p w14:paraId="1253A35F" w14:textId="77777777" w:rsidR="007D360E" w:rsidRDefault="007D360E" w:rsidP="007D360E">
      <w:pPr>
        <w:pStyle w:val="Heading3"/>
      </w:pPr>
      <w:bookmarkStart w:id="36" w:name="_Toc184225141"/>
      <w:r>
        <w:t>United Nations Regulations and/or Resolutions</w:t>
      </w:r>
      <w:bookmarkEnd w:id="36"/>
    </w:p>
    <w:p w14:paraId="0E693164" w14:textId="5E328041" w:rsidR="002328A8" w:rsidRDefault="002328A8" w:rsidP="002328A8">
      <w:r>
        <w:t xml:space="preserve">Clause 6.2 refers to the 07 series of amendments </w:t>
      </w:r>
      <w:r w:rsidRPr="00340AE1">
        <w:t xml:space="preserve">UN Regulation No. </w:t>
      </w:r>
      <w:r>
        <w:t>83</w:t>
      </w:r>
      <w:r w:rsidRPr="00340AE1">
        <w:t xml:space="preserve"> – </w:t>
      </w:r>
      <w:r>
        <w:rPr>
          <w:i/>
        </w:rPr>
        <w:t>Uniform provisions concerning the approval of vehicles with regard to the emission of pollutants according to engine fuel requirements</w:t>
      </w:r>
      <w:r w:rsidRPr="002B28A3">
        <w:rPr>
          <w:i/>
          <w:lang w:val="en-GB"/>
        </w:rPr>
        <w:t>)</w:t>
      </w:r>
      <w:r>
        <w:rPr>
          <w:rFonts w:eastAsia="Calibri"/>
          <w:szCs w:val="22"/>
        </w:rPr>
        <w:t>. This is the previous UN Regulation for light vehicle noxious emissions and specifies the emissions test procedures underpinning Appendix B of this ADR.</w:t>
      </w:r>
    </w:p>
    <w:p w14:paraId="02A891D7" w14:textId="7BAF47FA" w:rsidR="00417375" w:rsidRDefault="00417375" w:rsidP="007D360E">
      <w:pPr>
        <w:spacing w:before="0"/>
      </w:pPr>
      <w:r>
        <w:t xml:space="preserve">Clause 7.1 refers to 01 series of amendments to United Nations Regulation No. 101, </w:t>
      </w:r>
      <w:bookmarkStart w:id="37" w:name="_Hlk173314772"/>
      <w:r w:rsidRPr="007E1C68">
        <w:rPr>
          <w:i/>
        </w:rPr>
        <w:t>Uniform provisions concerning the approval of passenger cars powered by an internal combustion engine only, or powered by a hybrid electric power train with regard to the measurement of the emission of carbon dioxide and fuel consumption and/or the measurement of electric energy consumption and electric range, and of categories M</w:t>
      </w:r>
      <w:r w:rsidRPr="007E1C68">
        <w:rPr>
          <w:i/>
          <w:vertAlign w:val="subscript"/>
        </w:rPr>
        <w:t>1</w:t>
      </w:r>
      <w:r w:rsidRPr="007E1C68">
        <w:rPr>
          <w:i/>
        </w:rPr>
        <w:t xml:space="preserve"> and N</w:t>
      </w:r>
      <w:r w:rsidRPr="007E1C68">
        <w:rPr>
          <w:i/>
          <w:vertAlign w:val="subscript"/>
        </w:rPr>
        <w:t>1</w:t>
      </w:r>
      <w:r w:rsidRPr="007E1C68">
        <w:rPr>
          <w:i/>
        </w:rPr>
        <w:t xml:space="preserve"> vehicles powered by an electric power train only with regard to the measurement of electric energy consumption and electric range</w:t>
      </w:r>
      <w:bookmarkEnd w:id="37"/>
      <w:r w:rsidRPr="007E1C68">
        <w:t>,</w:t>
      </w:r>
      <w:r>
        <w:t>. This UN Regulation specifies a laboratory test for measuring fuel consumption, carbon dioxide emission, electric energy consumption and battery range based on the New European Driving Cycle (NEDC). The NVES targets for 2025 to 2029 are based on the NEDC.</w:t>
      </w:r>
    </w:p>
    <w:p w14:paraId="38AE56D7" w14:textId="76138A9D" w:rsidR="00A06E23" w:rsidRDefault="00A06E23" w:rsidP="007D360E">
      <w:pPr>
        <w:spacing w:before="0"/>
        <w:rPr>
          <w:rFonts w:eastAsia="Calibri"/>
          <w:szCs w:val="22"/>
        </w:rPr>
      </w:pPr>
      <w:r>
        <w:t>Clause</w:t>
      </w:r>
      <w:r w:rsidR="00417375">
        <w:t>s</w:t>
      </w:r>
      <w:r>
        <w:t xml:space="preserve"> 7.</w:t>
      </w:r>
      <w:r w:rsidR="00417375">
        <w:t>3 and 7.4</w:t>
      </w:r>
      <w:r>
        <w:t xml:space="preserve"> refer</w:t>
      </w:r>
      <w:r w:rsidR="007D360E">
        <w:t xml:space="preserve"> to </w:t>
      </w:r>
      <w:r w:rsidR="00C31C48">
        <w:rPr>
          <w:lang w:val="x-none" w:eastAsia="x-none"/>
        </w:rPr>
        <w:t>United Nations Regulation No. </w:t>
      </w:r>
      <w:r w:rsidR="00C31C48">
        <w:rPr>
          <w:lang w:eastAsia="x-none"/>
        </w:rPr>
        <w:t xml:space="preserve">154 - </w:t>
      </w:r>
      <w:r w:rsidR="00C31C48">
        <w:rPr>
          <w:i/>
          <w:szCs w:val="18"/>
          <w:lang w:eastAsia="fr-FR"/>
        </w:rPr>
        <w:t>Uniform provisions concerning the approval of light duty passenger and commercial vehicles with regards to</w:t>
      </w:r>
      <w:r w:rsidR="00C31C48">
        <w:rPr>
          <w:b/>
          <w:i/>
          <w:szCs w:val="18"/>
          <w:lang w:eastAsia="fr-FR"/>
        </w:rPr>
        <w:t xml:space="preserve"> </w:t>
      </w:r>
      <w:r w:rsidR="00C31C48">
        <w:rPr>
          <w:i/>
          <w:lang w:val="x-none" w:eastAsia="x-none"/>
        </w:rPr>
        <w:t>criteria emissions, emissions of carbon dioxide and fuel consumption and/or the measurement of electric energy consumption and electric range (WLTP</w:t>
      </w:r>
      <w:r w:rsidR="00C31C48">
        <w:rPr>
          <w:i/>
          <w:lang w:val="en-US" w:eastAsia="x-none"/>
        </w:rPr>
        <w:t>)</w:t>
      </w:r>
      <w:r w:rsidR="007B4C68">
        <w:rPr>
          <w:i/>
          <w:lang w:val="en-US" w:eastAsia="x-none"/>
        </w:rPr>
        <w:t xml:space="preserve"> </w:t>
      </w:r>
      <w:r w:rsidR="007B4C68">
        <w:t>as an acceptable alternative standard for measuring fuel consumption, energy consumption and range</w:t>
      </w:r>
      <w:r w:rsidR="00C31C48">
        <w:rPr>
          <w:i/>
          <w:lang w:val="en-US" w:eastAsia="x-none"/>
        </w:rPr>
        <w:t xml:space="preserve">. </w:t>
      </w:r>
      <w:r w:rsidR="00C31C48">
        <w:rPr>
          <w:rFonts w:eastAsia="Calibri"/>
          <w:szCs w:val="22"/>
        </w:rPr>
        <w:t>This is the current UN Regulation for measuring fuel consumption</w:t>
      </w:r>
      <w:r w:rsidR="00417375">
        <w:rPr>
          <w:rFonts w:eastAsia="Calibri"/>
          <w:szCs w:val="22"/>
        </w:rPr>
        <w:t xml:space="preserve">, </w:t>
      </w:r>
      <w:r w:rsidR="00C31C48">
        <w:rPr>
          <w:rFonts w:eastAsia="Calibri"/>
          <w:szCs w:val="22"/>
        </w:rPr>
        <w:t>emissions</w:t>
      </w:r>
      <w:r w:rsidR="00417375">
        <w:rPr>
          <w:rFonts w:eastAsia="Calibri"/>
          <w:szCs w:val="22"/>
        </w:rPr>
        <w:t>, energy consumption and battery range</w:t>
      </w:r>
      <w:r w:rsidR="00C31C48">
        <w:rPr>
          <w:rFonts w:eastAsia="Calibri"/>
          <w:szCs w:val="22"/>
        </w:rPr>
        <w:t xml:space="preserve"> based on testing to the WLTP.</w:t>
      </w:r>
    </w:p>
    <w:p w14:paraId="66B99694" w14:textId="538D9078" w:rsidR="002328A8" w:rsidRDefault="002328A8" w:rsidP="007D360E">
      <w:pPr>
        <w:spacing w:before="0"/>
      </w:pPr>
      <w:r>
        <w:rPr>
          <w:rFonts w:eastAsia="Calibri"/>
          <w:szCs w:val="22"/>
        </w:rPr>
        <w:t xml:space="preserve">Appendix B of this ADR </w:t>
      </w:r>
      <w:r>
        <w:t>(which adopts the text of UN Regulation No. 101) includes a number of references to UN vehicle regulations and resolutions. Further information on these references can be found in table 1.</w:t>
      </w:r>
    </w:p>
    <w:tbl>
      <w:tblPr>
        <w:tblStyle w:val="TableGrid"/>
        <w:tblW w:w="5000" w:type="pct"/>
        <w:tblLook w:val="04A0" w:firstRow="1" w:lastRow="0" w:firstColumn="1" w:lastColumn="0" w:noHBand="0" w:noVBand="1"/>
      </w:tblPr>
      <w:tblGrid>
        <w:gridCol w:w="6231"/>
        <w:gridCol w:w="2071"/>
      </w:tblGrid>
      <w:tr w:rsidR="002328A8" w:rsidRPr="00507F39" w14:paraId="0081B292" w14:textId="77777777" w:rsidTr="00A40884">
        <w:trPr>
          <w:tblHeader/>
        </w:trPr>
        <w:tc>
          <w:tcPr>
            <w:tcW w:w="3753" w:type="pct"/>
          </w:tcPr>
          <w:p w14:paraId="169E626A" w14:textId="77777777" w:rsidR="002328A8" w:rsidRPr="00507F39" w:rsidRDefault="002328A8" w:rsidP="00A40884">
            <w:pPr>
              <w:keepNext/>
              <w:keepLines/>
              <w:rPr>
                <w:b/>
              </w:rPr>
            </w:pPr>
            <w:r w:rsidRPr="00507F39">
              <w:rPr>
                <w:b/>
              </w:rPr>
              <w:lastRenderedPageBreak/>
              <w:t xml:space="preserve">UN Regulations/Resolutions </w:t>
            </w:r>
          </w:p>
        </w:tc>
        <w:tc>
          <w:tcPr>
            <w:tcW w:w="1247" w:type="pct"/>
          </w:tcPr>
          <w:p w14:paraId="553229FD" w14:textId="4ED4DCCA" w:rsidR="002328A8" w:rsidRPr="00507F39" w:rsidRDefault="002328A8" w:rsidP="00A40884">
            <w:pPr>
              <w:keepNext/>
              <w:keepLines/>
              <w:rPr>
                <w:rFonts w:cstheme="minorHAnsi"/>
                <w:b/>
                <w:lang w:eastAsia="de-DE"/>
              </w:rPr>
            </w:pPr>
            <w:r w:rsidRPr="00507F39">
              <w:rPr>
                <w:rFonts w:cstheme="minorHAnsi"/>
                <w:b/>
                <w:lang w:eastAsia="de-DE"/>
              </w:rPr>
              <w:t xml:space="preserve">References in Appendix </w:t>
            </w:r>
            <w:r w:rsidR="005D2719">
              <w:rPr>
                <w:rFonts w:cstheme="minorHAnsi"/>
                <w:b/>
                <w:lang w:eastAsia="de-DE"/>
              </w:rPr>
              <w:t>B</w:t>
            </w:r>
          </w:p>
        </w:tc>
      </w:tr>
      <w:tr w:rsidR="002328A8" w:rsidRPr="00D95291" w14:paraId="733A5E49" w14:textId="77777777" w:rsidTr="00A40884">
        <w:tc>
          <w:tcPr>
            <w:tcW w:w="3753" w:type="pct"/>
          </w:tcPr>
          <w:p w14:paraId="0A7FFB4E" w14:textId="672F8CC8" w:rsidR="002328A8" w:rsidRPr="00D95291" w:rsidRDefault="002328A8" w:rsidP="00A40884">
            <w:pPr>
              <w:keepNext/>
              <w:keepLines/>
              <w:rPr>
                <w:i/>
              </w:rPr>
            </w:pPr>
            <w:r w:rsidRPr="00D95291">
              <w:rPr>
                <w:i/>
              </w:rPr>
              <w:t>Consolidated Resolution on the Construction of Vehicles (R.E.3.), document ECE/TRANS/WP.29/78/Rev.</w:t>
            </w:r>
            <w:r w:rsidR="002B0731">
              <w:rPr>
                <w:i/>
              </w:rPr>
              <w:t>2</w:t>
            </w:r>
            <w:r w:rsidRPr="00D95291">
              <w:rPr>
                <w:i/>
              </w:rPr>
              <w:t xml:space="preserve">. </w:t>
            </w:r>
          </w:p>
        </w:tc>
        <w:tc>
          <w:tcPr>
            <w:tcW w:w="1247" w:type="pct"/>
          </w:tcPr>
          <w:p w14:paraId="61776D24" w14:textId="71467F87" w:rsidR="002B0731" w:rsidRPr="005D2719" w:rsidRDefault="002B0731" w:rsidP="002B0731">
            <w:pPr>
              <w:rPr>
                <w:i/>
                <w:lang w:val="en-US"/>
              </w:rPr>
            </w:pPr>
            <w:r w:rsidRPr="005D2719">
              <w:rPr>
                <w:i/>
                <w:lang w:val="en-US"/>
              </w:rPr>
              <w:t>Footnote to Cl. 1, 4.4.1, 7.1.3,</w:t>
            </w:r>
          </w:p>
          <w:p w14:paraId="2B5EE9C1" w14:textId="3E9E6F71" w:rsidR="002328A8" w:rsidRPr="005D2719" w:rsidRDefault="002B0731" w:rsidP="002B0731">
            <w:pPr>
              <w:keepNext/>
              <w:keepLines/>
              <w:rPr>
                <w:rFonts w:cstheme="minorHAnsi"/>
                <w:i/>
                <w:lang w:eastAsia="de-DE"/>
              </w:rPr>
            </w:pPr>
            <w:r w:rsidRPr="005D2719">
              <w:rPr>
                <w:i/>
                <w:lang w:val="en-US"/>
              </w:rPr>
              <w:t>Annex 4 – footnote to Cl. 6.3.1</w:t>
            </w:r>
          </w:p>
        </w:tc>
      </w:tr>
      <w:tr w:rsidR="002328A8" w:rsidRPr="00D95291" w14:paraId="40C39431" w14:textId="77777777" w:rsidTr="00A40884">
        <w:tc>
          <w:tcPr>
            <w:tcW w:w="3753" w:type="pct"/>
          </w:tcPr>
          <w:p w14:paraId="6A2FBECC" w14:textId="77777777" w:rsidR="002328A8" w:rsidRPr="00D95291" w:rsidRDefault="002328A8" w:rsidP="00A40884">
            <w:pPr>
              <w:keepLines/>
              <w:rPr>
                <w:i/>
              </w:rPr>
            </w:pPr>
            <w:r w:rsidRPr="00D95291">
              <w:rPr>
                <w:i/>
              </w:rPr>
              <w:t xml:space="preserve">UN Regulation No. 83 - </w:t>
            </w:r>
            <w:r w:rsidRPr="002B28A3">
              <w:rPr>
                <w:i/>
              </w:rPr>
              <w:t>Uniform provisions concerning the approval of vehicles with regard to</w:t>
            </w:r>
            <w:r>
              <w:rPr>
                <w:i/>
              </w:rPr>
              <w:t xml:space="preserve"> </w:t>
            </w:r>
            <w:r w:rsidRPr="002B28A3">
              <w:rPr>
                <w:i/>
              </w:rPr>
              <w:t>the emission of pollutants according to engine fuel requirements</w:t>
            </w:r>
          </w:p>
        </w:tc>
        <w:tc>
          <w:tcPr>
            <w:tcW w:w="1247" w:type="pct"/>
          </w:tcPr>
          <w:p w14:paraId="0CA2F5DF" w14:textId="77777777" w:rsidR="002B0731" w:rsidRPr="005D2719" w:rsidRDefault="002B0731" w:rsidP="002B0731">
            <w:pPr>
              <w:rPr>
                <w:i/>
                <w:lang w:val="en-US"/>
              </w:rPr>
            </w:pPr>
            <w:r w:rsidRPr="005D2719">
              <w:rPr>
                <w:i/>
                <w:lang w:val="en-US"/>
              </w:rPr>
              <w:t xml:space="preserve">Cl. 3.3, 5.1.3, 9.3.1.1.2.4, 13.3, </w:t>
            </w:r>
          </w:p>
          <w:p w14:paraId="1F327347" w14:textId="1F795447" w:rsidR="002B0731" w:rsidRPr="005D2719" w:rsidRDefault="002B0731" w:rsidP="002B0731">
            <w:pPr>
              <w:rPr>
                <w:i/>
                <w:lang w:val="en-US"/>
              </w:rPr>
            </w:pPr>
            <w:r w:rsidRPr="005D2719">
              <w:rPr>
                <w:i/>
                <w:lang w:val="en-US"/>
              </w:rPr>
              <w:t>Annex 5</w:t>
            </w:r>
          </w:p>
          <w:p w14:paraId="6D7D3C03" w14:textId="2BACBD06" w:rsidR="002B0731" w:rsidRPr="005D2719" w:rsidRDefault="002B0731" w:rsidP="002B0731">
            <w:pPr>
              <w:rPr>
                <w:i/>
                <w:lang w:val="en-US"/>
              </w:rPr>
            </w:pPr>
            <w:r w:rsidRPr="005D2719">
              <w:rPr>
                <w:i/>
                <w:lang w:val="en-US"/>
              </w:rPr>
              <w:t>Annex 6 – Cl. 1.1, 1.3, 1.4.1, 1.4.2</w:t>
            </w:r>
          </w:p>
          <w:p w14:paraId="78743B65" w14:textId="28488D0D" w:rsidR="002B0731" w:rsidRPr="005D2719" w:rsidRDefault="002B0731" w:rsidP="002B0731">
            <w:pPr>
              <w:rPr>
                <w:i/>
                <w:lang w:val="en-US"/>
              </w:rPr>
            </w:pPr>
            <w:r w:rsidRPr="005D2719">
              <w:rPr>
                <w:i/>
                <w:lang w:val="en-US"/>
              </w:rPr>
              <w:t>Annex 7 – App 1 – Cl. 1</w:t>
            </w:r>
          </w:p>
          <w:p w14:paraId="1E1778B8" w14:textId="4B6BE49B" w:rsidR="002B0731" w:rsidRPr="005D2719" w:rsidRDefault="002B0731" w:rsidP="002B0731">
            <w:pPr>
              <w:rPr>
                <w:i/>
                <w:lang w:val="en-US"/>
              </w:rPr>
            </w:pPr>
            <w:r w:rsidRPr="005D2719">
              <w:rPr>
                <w:i/>
                <w:lang w:val="en-US"/>
              </w:rPr>
              <w:t>Annex 8 – Cl. 1.4.1, 1.4.2, 1.4.3, 3.2.3.4,3.3.2.4, 4.2.4.4, 4.3.2.4</w:t>
            </w:r>
          </w:p>
          <w:p w14:paraId="057EFB65" w14:textId="5C701BFE" w:rsidR="002B0731" w:rsidRPr="005D2719" w:rsidRDefault="002B0731" w:rsidP="002B0731">
            <w:pPr>
              <w:rPr>
                <w:i/>
                <w:lang w:val="en-US"/>
              </w:rPr>
            </w:pPr>
            <w:r w:rsidRPr="005D2719">
              <w:rPr>
                <w:i/>
                <w:lang w:val="en-US"/>
              </w:rPr>
              <w:t>Annex 9 – Cl. 4.2.2.1.1</w:t>
            </w:r>
          </w:p>
          <w:p w14:paraId="7AF5BF94" w14:textId="412886D3" w:rsidR="002328A8" w:rsidRPr="005D2719" w:rsidRDefault="002B0731" w:rsidP="002B0731">
            <w:pPr>
              <w:keepLines/>
              <w:rPr>
                <w:rFonts w:cstheme="minorHAnsi"/>
                <w:i/>
                <w:lang w:eastAsia="de-DE"/>
              </w:rPr>
            </w:pPr>
            <w:r w:rsidRPr="005D2719">
              <w:rPr>
                <w:i/>
                <w:lang w:val="en-US"/>
              </w:rPr>
              <w:t>Annex 10 – Cl. 3.2.1</w:t>
            </w:r>
          </w:p>
        </w:tc>
      </w:tr>
      <w:tr w:rsidR="002328A8" w:rsidRPr="00D95291" w14:paraId="2DEE3E71" w14:textId="77777777" w:rsidTr="00A40884">
        <w:tc>
          <w:tcPr>
            <w:tcW w:w="3753" w:type="pct"/>
          </w:tcPr>
          <w:p w14:paraId="2A18E65B" w14:textId="66123BDD" w:rsidR="002328A8" w:rsidRPr="00D95291" w:rsidRDefault="002B0731" w:rsidP="00A40884">
            <w:pPr>
              <w:keepLines/>
              <w:rPr>
                <w:i/>
              </w:rPr>
            </w:pPr>
            <w:r>
              <w:rPr>
                <w:lang w:val="en-US"/>
              </w:rPr>
              <w:t>UN Regulation No. 49</w:t>
            </w:r>
            <w:r w:rsidR="00FF2649">
              <w:rPr>
                <w:lang w:val="en-US"/>
              </w:rPr>
              <w:t xml:space="preserve"> - </w:t>
            </w:r>
            <w:r w:rsidR="00FF2649" w:rsidRPr="008B0D72">
              <w:rPr>
                <w:rFonts w:eastAsia="Calibri"/>
                <w:i/>
                <w:szCs w:val="22"/>
              </w:rPr>
              <w:t>Uniform provisions concerning the measures to be taken against the emission of gaseous and particulate pollutants from compression-ignition engines and positive ignition engines for use in vehicles</w:t>
            </w:r>
          </w:p>
        </w:tc>
        <w:tc>
          <w:tcPr>
            <w:tcW w:w="1247" w:type="pct"/>
          </w:tcPr>
          <w:p w14:paraId="6A071CF1" w14:textId="74D0519F" w:rsidR="002328A8" w:rsidRPr="005D2719" w:rsidRDefault="00FF2649" w:rsidP="00A40884">
            <w:pPr>
              <w:keepLines/>
              <w:rPr>
                <w:rFonts w:cstheme="minorHAnsi"/>
                <w:i/>
                <w:lang w:eastAsia="de-DE"/>
              </w:rPr>
            </w:pPr>
            <w:r w:rsidRPr="005D2719">
              <w:rPr>
                <w:rFonts w:cstheme="minorHAnsi"/>
                <w:i/>
                <w:lang w:eastAsia="de-DE"/>
              </w:rPr>
              <w:t>Cl. 1</w:t>
            </w:r>
          </w:p>
        </w:tc>
      </w:tr>
      <w:tr w:rsidR="002328A8" w:rsidRPr="00D95291" w14:paraId="2BA19B72" w14:textId="77777777" w:rsidTr="00A40884">
        <w:tc>
          <w:tcPr>
            <w:tcW w:w="3753" w:type="pct"/>
          </w:tcPr>
          <w:p w14:paraId="27DE3651" w14:textId="0FB2AFE7" w:rsidR="002328A8" w:rsidRPr="00FF2649" w:rsidRDefault="002B0731" w:rsidP="00FF2649">
            <w:pPr>
              <w:keepLines/>
              <w:rPr>
                <w:lang w:val="en-US"/>
              </w:rPr>
            </w:pPr>
            <w:r>
              <w:rPr>
                <w:lang w:val="en-US"/>
              </w:rPr>
              <w:t>UN Regulation No. 48</w:t>
            </w:r>
            <w:r w:rsidR="00FF2649">
              <w:rPr>
                <w:lang w:val="en-US"/>
              </w:rPr>
              <w:t xml:space="preserve"> - </w:t>
            </w:r>
            <w:r w:rsidR="00FF2649" w:rsidRPr="00FF2649">
              <w:rPr>
                <w:i/>
                <w:lang w:val="en-US"/>
              </w:rPr>
              <w:t>Uniform provisions concerning the approval of vehicles with regard to the installation of lighting and light-</w:t>
            </w:r>
            <w:proofErr w:type="spellStart"/>
            <w:r w:rsidR="00FF2649" w:rsidRPr="00FF2649">
              <w:rPr>
                <w:i/>
                <w:lang w:val="en-US"/>
              </w:rPr>
              <w:t>signalling</w:t>
            </w:r>
            <w:proofErr w:type="spellEnd"/>
            <w:r w:rsidR="00FF2649" w:rsidRPr="00FF2649">
              <w:rPr>
                <w:i/>
                <w:lang w:val="en-US"/>
              </w:rPr>
              <w:t xml:space="preserve"> devices</w:t>
            </w:r>
          </w:p>
        </w:tc>
        <w:tc>
          <w:tcPr>
            <w:tcW w:w="1247" w:type="pct"/>
          </w:tcPr>
          <w:p w14:paraId="56FC6453" w14:textId="64831779" w:rsidR="002328A8" w:rsidRPr="005D2719" w:rsidRDefault="00FF2649" w:rsidP="00A40884">
            <w:pPr>
              <w:keepLines/>
              <w:tabs>
                <w:tab w:val="left" w:pos="1755"/>
              </w:tabs>
              <w:rPr>
                <w:rFonts w:cstheme="minorHAnsi"/>
                <w:i/>
              </w:rPr>
            </w:pPr>
            <w:r w:rsidRPr="005D2719">
              <w:rPr>
                <w:i/>
                <w:lang w:val="en-US"/>
              </w:rPr>
              <w:t>Cl. 5.1.2.1</w:t>
            </w:r>
          </w:p>
        </w:tc>
      </w:tr>
      <w:tr w:rsidR="002328A8" w14:paraId="667AA113" w14:textId="77777777" w:rsidTr="00A40884">
        <w:tc>
          <w:tcPr>
            <w:tcW w:w="3753" w:type="pct"/>
          </w:tcPr>
          <w:p w14:paraId="71D52F57" w14:textId="624BF0B3" w:rsidR="002328A8" w:rsidRPr="001B4A1C" w:rsidRDefault="002B0731" w:rsidP="00A40884">
            <w:pPr>
              <w:keepNext/>
              <w:keepLines/>
              <w:tabs>
                <w:tab w:val="left" w:pos="1755"/>
              </w:tabs>
              <w:rPr>
                <w:rFonts w:cstheme="minorHAnsi"/>
                <w:i/>
              </w:rPr>
            </w:pPr>
            <w:r>
              <w:rPr>
                <w:lang w:val="en-US"/>
              </w:rPr>
              <w:lastRenderedPageBreak/>
              <w:t>UN Global Technical Regulation No. 15</w:t>
            </w:r>
          </w:p>
        </w:tc>
        <w:tc>
          <w:tcPr>
            <w:tcW w:w="1247" w:type="pct"/>
          </w:tcPr>
          <w:p w14:paraId="2357483A" w14:textId="7A0EC09E" w:rsidR="002328A8" w:rsidRPr="005D2719" w:rsidRDefault="00FF2649" w:rsidP="00A40884">
            <w:pPr>
              <w:keepNext/>
              <w:keepLines/>
              <w:tabs>
                <w:tab w:val="left" w:pos="1755"/>
              </w:tabs>
              <w:rPr>
                <w:rFonts w:cstheme="minorHAnsi"/>
                <w:i/>
              </w:rPr>
            </w:pPr>
            <w:r w:rsidRPr="005D2719">
              <w:rPr>
                <w:i/>
                <w:lang w:val="en-US"/>
              </w:rPr>
              <w:t>Cl. 13.5</w:t>
            </w:r>
          </w:p>
        </w:tc>
      </w:tr>
      <w:tr w:rsidR="002B0731" w14:paraId="59810F58" w14:textId="77777777" w:rsidTr="00A40884">
        <w:tc>
          <w:tcPr>
            <w:tcW w:w="3753" w:type="pct"/>
          </w:tcPr>
          <w:p w14:paraId="54A7A168" w14:textId="77777777" w:rsidR="00FF2649" w:rsidRDefault="002B0731" w:rsidP="00A40884">
            <w:pPr>
              <w:keepNext/>
              <w:keepLines/>
              <w:tabs>
                <w:tab w:val="left" w:pos="1755"/>
              </w:tabs>
              <w:rPr>
                <w:i/>
              </w:rPr>
            </w:pPr>
            <w:r>
              <w:rPr>
                <w:lang w:val="en-US"/>
              </w:rPr>
              <w:t>UN Regulation No. 67</w:t>
            </w:r>
            <w:r w:rsidR="00FF2649">
              <w:rPr>
                <w:lang w:val="en-US"/>
              </w:rPr>
              <w:t xml:space="preserve"> -</w:t>
            </w:r>
            <w:r w:rsidR="00FF2649">
              <w:t xml:space="preserve"> </w:t>
            </w:r>
            <w:r w:rsidR="00FF2649" w:rsidRPr="00FF2649">
              <w:rPr>
                <w:i/>
              </w:rPr>
              <w:t>Uniform provisions concerning the approval of:</w:t>
            </w:r>
          </w:p>
          <w:p w14:paraId="17261127" w14:textId="2A6CD1E5" w:rsidR="00FF2649" w:rsidRPr="00FF2649" w:rsidRDefault="00FF2649" w:rsidP="00FF2649">
            <w:pPr>
              <w:pStyle w:val="ListParagraph"/>
              <w:keepNext/>
              <w:keepLines/>
              <w:numPr>
                <w:ilvl w:val="0"/>
                <w:numId w:val="29"/>
              </w:numPr>
              <w:tabs>
                <w:tab w:val="left" w:pos="1755"/>
              </w:tabs>
              <w:rPr>
                <w:i/>
              </w:rPr>
            </w:pPr>
            <w:r w:rsidRPr="00FF2649">
              <w:rPr>
                <w:i/>
              </w:rPr>
              <w:t>Specific equipment of vehicles of category M and N using liquefied petroleum gases in their propulsion system</w:t>
            </w:r>
          </w:p>
          <w:p w14:paraId="5A9C3464" w14:textId="0561E1F4" w:rsidR="002B0731" w:rsidRPr="00FF2649" w:rsidRDefault="00FF2649" w:rsidP="00FF2649">
            <w:pPr>
              <w:pStyle w:val="ListParagraph"/>
              <w:keepNext/>
              <w:keepLines/>
              <w:numPr>
                <w:ilvl w:val="0"/>
                <w:numId w:val="29"/>
              </w:numPr>
              <w:tabs>
                <w:tab w:val="left" w:pos="1755"/>
              </w:tabs>
              <w:rPr>
                <w:lang w:val="en-US"/>
              </w:rPr>
            </w:pPr>
            <w:r w:rsidRPr="00FF2649">
              <w:rPr>
                <w:i/>
              </w:rPr>
              <w:t>II. Vehicles of category M and N fitted with specific equipment for the use of liquefied petroleum gases in their propulsion system with regard to the installation of such equipment</w:t>
            </w:r>
          </w:p>
        </w:tc>
        <w:tc>
          <w:tcPr>
            <w:tcW w:w="1247" w:type="pct"/>
          </w:tcPr>
          <w:p w14:paraId="3592BD9D" w14:textId="153FAB28" w:rsidR="002B0731" w:rsidRPr="005D2719" w:rsidRDefault="00FF2649" w:rsidP="00A40884">
            <w:pPr>
              <w:keepNext/>
              <w:keepLines/>
              <w:tabs>
                <w:tab w:val="left" w:pos="1755"/>
              </w:tabs>
              <w:rPr>
                <w:rFonts w:cstheme="minorHAnsi"/>
                <w:i/>
              </w:rPr>
            </w:pPr>
            <w:r w:rsidRPr="005D2719">
              <w:rPr>
                <w:i/>
                <w:lang w:val="en-US"/>
              </w:rPr>
              <w:t>Annex 1 – Cl. 4.1.4.5.1, 4.1.4.6.1,</w:t>
            </w:r>
          </w:p>
        </w:tc>
      </w:tr>
      <w:tr w:rsidR="002B0731" w14:paraId="387BAD8D" w14:textId="77777777" w:rsidTr="00A40884">
        <w:tc>
          <w:tcPr>
            <w:tcW w:w="3753" w:type="pct"/>
          </w:tcPr>
          <w:p w14:paraId="79CC4BC6" w14:textId="1E300832" w:rsidR="002B0731" w:rsidRDefault="002B0731" w:rsidP="00A40884">
            <w:pPr>
              <w:keepNext/>
              <w:keepLines/>
              <w:tabs>
                <w:tab w:val="left" w:pos="1755"/>
              </w:tabs>
              <w:rPr>
                <w:lang w:val="en-US"/>
              </w:rPr>
            </w:pPr>
            <w:r>
              <w:rPr>
                <w:lang w:val="en-US"/>
              </w:rPr>
              <w:t>UN Regulation No 68</w:t>
            </w:r>
            <w:r w:rsidR="00FF2649">
              <w:rPr>
                <w:lang w:val="en-US"/>
              </w:rPr>
              <w:t xml:space="preserve"> – </w:t>
            </w:r>
            <w:r w:rsidR="00FF2649" w:rsidRPr="00FF2649">
              <w:rPr>
                <w:i/>
              </w:rPr>
              <w:t xml:space="preserve">Uniform </w:t>
            </w:r>
            <w:r w:rsidR="00FF2649">
              <w:rPr>
                <w:i/>
              </w:rPr>
              <w:t>p</w:t>
            </w:r>
            <w:r w:rsidR="00FF2649" w:rsidRPr="00FF2649">
              <w:rPr>
                <w:i/>
              </w:rPr>
              <w:t>rovisions concerning the approval of power-driven vehicles with regard to the measurement of the maximum speed</w:t>
            </w:r>
            <w:r w:rsidR="00FF2649">
              <w:t>.</w:t>
            </w:r>
          </w:p>
        </w:tc>
        <w:tc>
          <w:tcPr>
            <w:tcW w:w="1247" w:type="pct"/>
          </w:tcPr>
          <w:p w14:paraId="2D83E883" w14:textId="563AD870" w:rsidR="002B0731" w:rsidRPr="005D2719" w:rsidRDefault="00FF2649" w:rsidP="00A40884">
            <w:pPr>
              <w:keepNext/>
              <w:keepLines/>
              <w:tabs>
                <w:tab w:val="left" w:pos="1755"/>
              </w:tabs>
              <w:rPr>
                <w:rFonts w:cstheme="minorHAnsi"/>
                <w:i/>
              </w:rPr>
            </w:pPr>
            <w:r w:rsidRPr="005D2719">
              <w:rPr>
                <w:i/>
                <w:lang w:val="en-US"/>
              </w:rPr>
              <w:t>Annex 8 – Cl. 4.2.2.1</w:t>
            </w:r>
          </w:p>
        </w:tc>
      </w:tr>
    </w:tbl>
    <w:p w14:paraId="6619E65C" w14:textId="35262B51" w:rsidR="007D360E" w:rsidRDefault="007D360E" w:rsidP="007D360E">
      <w:pPr>
        <w:keepLines/>
      </w:pPr>
      <w:r>
        <w:t xml:space="preserve">UN Regulations </w:t>
      </w:r>
      <w:r w:rsidR="00C31C48">
        <w:t>can</w:t>
      </w:r>
      <w:r>
        <w:t xml:space="preserve"> be freely accessed online through the UN World Forum for the Harmonization of Vehicle Regulations (WP.29). The WP.29 website is </w:t>
      </w:r>
      <w:hyperlink r:id="rId14" w:history="1">
        <w:r>
          <w:rPr>
            <w:rStyle w:val="Hyperlink"/>
            <w:bCs/>
          </w:rPr>
          <w:t>www.unece.org/trans/main/welcwp29.html</w:t>
        </w:r>
      </w:hyperlink>
      <w:r>
        <w:t xml:space="preserve">. </w:t>
      </w:r>
    </w:p>
    <w:p w14:paraId="0AA74558" w14:textId="77777777" w:rsidR="007D360E" w:rsidRDefault="007D360E" w:rsidP="007D360E">
      <w:pPr>
        <w:keepLines/>
      </w:pPr>
      <w:r>
        <w:t xml:space="preserve">In accordance with subsections 14(1)(b) and 14(2) of the </w:t>
      </w:r>
      <w:r>
        <w:rPr>
          <w:i/>
        </w:rPr>
        <w:t>Legislation Act 2003</w:t>
      </w:r>
      <w:r>
        <w:t>, each of these UN documents are incorporated as in force on the date this national road vehicle standard is made.</w:t>
      </w:r>
    </w:p>
    <w:p w14:paraId="4E1C065A" w14:textId="77777777" w:rsidR="007D360E" w:rsidRDefault="007D360E" w:rsidP="007D360E">
      <w:pPr>
        <w:pStyle w:val="Heading3"/>
        <w:keepNext/>
      </w:pPr>
      <w:bookmarkStart w:id="38" w:name="_Toc184225142"/>
      <w:r>
        <w:t>European Union (EU) Regulations</w:t>
      </w:r>
      <w:bookmarkEnd w:id="38"/>
    </w:p>
    <w:p w14:paraId="1EA105A1" w14:textId="4F12A1BD" w:rsidR="00417375" w:rsidRPr="00051BDE" w:rsidRDefault="00417375" w:rsidP="00051BDE">
      <w:pPr>
        <w:pStyle w:val="LegislativeHeading2"/>
        <w:keepLines/>
        <w:numPr>
          <w:ilvl w:val="0"/>
          <w:numId w:val="0"/>
        </w:numPr>
        <w:rPr>
          <w:color w:val="000000" w:themeColor="text1"/>
          <w:szCs w:val="24"/>
        </w:rPr>
      </w:pPr>
      <w:r>
        <w:t xml:space="preserve">Clause 7.2 refers to </w:t>
      </w:r>
      <w:r w:rsidR="00051BDE" w:rsidRPr="006726B5">
        <w:rPr>
          <w:bCs/>
          <w:color w:val="000000" w:themeColor="text1"/>
          <w:szCs w:val="24"/>
          <w:shd w:val="clear" w:color="auto" w:fill="FFFFFF"/>
        </w:rPr>
        <w:t>Commission Implementing Regulation (EU) 2017/1152 of 2 June 2017 setting out a methodology for determining the correlation parameters necessary for reflecting the change in the regulatory test procedure with regard to light commercial vehicles and amending Implementing Regulation (EU) No 293/2012</w:t>
      </w:r>
      <w:r w:rsidR="00051BDE">
        <w:rPr>
          <w:color w:val="000000" w:themeColor="text1"/>
          <w:szCs w:val="24"/>
        </w:rPr>
        <w:t xml:space="preserve"> and </w:t>
      </w:r>
      <w:r w:rsidR="00051BDE" w:rsidRPr="006726B5">
        <w:rPr>
          <w:bCs/>
          <w:color w:val="000000" w:themeColor="text1"/>
          <w:szCs w:val="24"/>
          <w:shd w:val="clear" w:color="auto" w:fill="FFFFFF"/>
        </w:rPr>
        <w:t>Commission Implementing Regulation (EU) 2017/1153 of 2 June 2017 setting out a methodology for determining the correlation parameters necessary for reflecting the change in the regulatory test procedure and amending Regulation (EU) No 1014/2010</w:t>
      </w:r>
      <w:r w:rsidR="00051BDE">
        <w:rPr>
          <w:bCs/>
          <w:color w:val="000000" w:themeColor="text1"/>
          <w:szCs w:val="24"/>
          <w:shd w:val="clear" w:color="auto" w:fill="FFFFFF"/>
        </w:rPr>
        <w:t>. These EU Regulations specify a procedure for converting WLTP values for fuel consumption and carbon dioxide emissions to an NEDC equivalent.</w:t>
      </w:r>
    </w:p>
    <w:p w14:paraId="242C8C2E" w14:textId="2E2DA787" w:rsidR="007D360E" w:rsidRDefault="007D360E" w:rsidP="007D360E">
      <w:pPr>
        <w:keepLines/>
      </w:pPr>
      <w:r>
        <w:lastRenderedPageBreak/>
        <w:t>Clause</w:t>
      </w:r>
      <w:r w:rsidR="00417375">
        <w:t>s</w:t>
      </w:r>
      <w:r>
        <w:t xml:space="preserve"> </w:t>
      </w:r>
      <w:r w:rsidR="00A06E23">
        <w:t>7.</w:t>
      </w:r>
      <w:r w:rsidR="00417375">
        <w:t>5 and 7.6</w:t>
      </w:r>
      <w:r>
        <w:t xml:space="preserve"> </w:t>
      </w:r>
      <w:r w:rsidR="00A06E23">
        <w:t>refer</w:t>
      </w:r>
      <w:r>
        <w:t xml:space="preserve"> to </w:t>
      </w:r>
      <w:r>
        <w:rPr>
          <w:rFonts w:eastAsia="MS Mincho"/>
        </w:rPr>
        <w:t>Commission Regulation (EC) No 2017/1151 of the European Parliament and of the Council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w:t>
      </w:r>
      <w:r>
        <w:t xml:space="preserve"> as an acceptable alternative standard</w:t>
      </w:r>
      <w:r w:rsidR="007B4C68">
        <w:t xml:space="preserve"> for measuring fuel consumption, energy consumption and range</w:t>
      </w:r>
      <w:r>
        <w:t>. This is the European regulation adopting the ‘Euro 6d’ and ‘Euro 6e’ emission requirements for light duty vehicles</w:t>
      </w:r>
      <w:r w:rsidR="00C31C48">
        <w:t>, which also mandate the measurement of fuel consumption and carbon dioxide emissions</w:t>
      </w:r>
      <w:r w:rsidR="00417375">
        <w:t>, energy consumption and range</w:t>
      </w:r>
      <w:r w:rsidR="00C31C48">
        <w:t xml:space="preserve"> in accordance with the WLTP.</w:t>
      </w:r>
    </w:p>
    <w:p w14:paraId="5C0A8040" w14:textId="14588DA8" w:rsidR="007D360E" w:rsidRDefault="007B4C68" w:rsidP="007D360E">
      <w:r>
        <w:t xml:space="preserve">These </w:t>
      </w:r>
      <w:r w:rsidR="007D360E">
        <w:t xml:space="preserve">European Union regulations may be freely accessed online through the EUR-Lex website. The English version of the EUR-Lex website </w:t>
      </w:r>
      <w:hyperlink r:id="rId15" w:history="1">
        <w:r w:rsidR="007D360E">
          <w:rPr>
            <w:rStyle w:val="Hyperlink"/>
          </w:rPr>
          <w:t>eur-lex.europa.eu/</w:t>
        </w:r>
        <w:proofErr w:type="spellStart"/>
        <w:r w:rsidR="007D360E">
          <w:rPr>
            <w:rStyle w:val="Hyperlink"/>
          </w:rPr>
          <w:t>homepage.html?locale</w:t>
        </w:r>
        <w:proofErr w:type="spellEnd"/>
        <w:r w:rsidR="007D360E">
          <w:rPr>
            <w:rStyle w:val="Hyperlink"/>
          </w:rPr>
          <w:t>=</w:t>
        </w:r>
        <w:proofErr w:type="spellStart"/>
        <w:r w:rsidR="007D360E">
          <w:rPr>
            <w:rStyle w:val="Hyperlink"/>
          </w:rPr>
          <w:t>en</w:t>
        </w:r>
        <w:proofErr w:type="spellEnd"/>
      </w:hyperlink>
      <w:r w:rsidR="007D360E">
        <w:t xml:space="preserve">. </w:t>
      </w:r>
    </w:p>
    <w:p w14:paraId="19E6F24A" w14:textId="3AB4CE1B" w:rsidR="007D360E" w:rsidRDefault="007D360E" w:rsidP="007D360E">
      <w:r>
        <w:t xml:space="preserve">In accordance with subsections 14(1)(b) and 14(2) of the </w:t>
      </w:r>
      <w:r>
        <w:rPr>
          <w:i/>
        </w:rPr>
        <w:t>Legislation Act 2003</w:t>
      </w:r>
      <w:r>
        <w:t>, the EU regulation is incorporated as in force on the date this national road vehicle standard is made.</w:t>
      </w:r>
    </w:p>
    <w:p w14:paraId="393896A2" w14:textId="77777777" w:rsidR="00FF2649" w:rsidRPr="00532C57" w:rsidRDefault="00FF2649" w:rsidP="00FF2649">
      <w:pPr>
        <w:pStyle w:val="HeadingLevel2"/>
        <w:numPr>
          <w:ilvl w:val="1"/>
          <w:numId w:val="1"/>
        </w:numPr>
        <w:tabs>
          <w:tab w:val="clear" w:pos="993"/>
          <w:tab w:val="num" w:pos="5388"/>
        </w:tabs>
        <w:ind w:left="851"/>
        <w:rPr>
          <w:b/>
        </w:rPr>
      </w:pPr>
      <w:bookmarkStart w:id="39" w:name="_Toc151133224"/>
      <w:bookmarkStart w:id="40" w:name="_Toc184225143"/>
      <w:r w:rsidRPr="00532C57">
        <w:rPr>
          <w:b/>
        </w:rPr>
        <w:t>Technical standards</w:t>
      </w:r>
      <w:bookmarkEnd w:id="39"/>
      <w:bookmarkEnd w:id="40"/>
    </w:p>
    <w:p w14:paraId="4AF78776" w14:textId="48AF972B" w:rsidR="00FF2649" w:rsidRDefault="00FF2649" w:rsidP="00FF2649">
      <w:pPr>
        <w:pStyle w:val="ESNormal"/>
      </w:pPr>
      <w:r w:rsidRPr="00B92BED">
        <w:t xml:space="preserve">Appendix </w:t>
      </w:r>
      <w:r>
        <w:t>B</w:t>
      </w:r>
      <w:r w:rsidRPr="00B92BED">
        <w:t xml:space="preserve"> (which adopts the text of UN Regulation </w:t>
      </w:r>
      <w:r>
        <w:t>No. 101</w:t>
      </w:r>
      <w:r w:rsidRPr="00B92BED">
        <w:t xml:space="preserve">) includes a number of references to technical standards </w:t>
      </w:r>
      <w:r>
        <w:t>developed by organisations. These are:</w:t>
      </w:r>
    </w:p>
    <w:p w14:paraId="543398BD" w14:textId="7B00DE77" w:rsidR="00FF2649" w:rsidRDefault="00FF2649" w:rsidP="00FF2649">
      <w:pPr>
        <w:pStyle w:val="ESNormal"/>
        <w:numPr>
          <w:ilvl w:val="0"/>
          <w:numId w:val="6"/>
        </w:numPr>
      </w:pPr>
      <w:r>
        <w:t>International Organization for Standardization (ISO)</w:t>
      </w:r>
    </w:p>
    <w:p w14:paraId="6B636DB8" w14:textId="18A7FB5B" w:rsidR="00FF2649" w:rsidRDefault="00FF2649" w:rsidP="00FF2649">
      <w:pPr>
        <w:pStyle w:val="ESNormal"/>
        <w:numPr>
          <w:ilvl w:val="0"/>
          <w:numId w:val="6"/>
        </w:numPr>
      </w:pPr>
      <w:r>
        <w:t>Society of Automo</w:t>
      </w:r>
      <w:r w:rsidR="005D2719">
        <w:t>bile</w:t>
      </w:r>
      <w:r>
        <w:t xml:space="preserve"> En</w:t>
      </w:r>
      <w:r w:rsidR="005D2719">
        <w:t>gineers (SAE)</w:t>
      </w:r>
    </w:p>
    <w:p w14:paraId="5A777E33" w14:textId="77777777" w:rsidR="00FF2649" w:rsidRDefault="00FF2649" w:rsidP="00FF2649">
      <w:pPr>
        <w:pStyle w:val="ListParagraph"/>
        <w:numPr>
          <w:ilvl w:val="0"/>
          <w:numId w:val="6"/>
        </w:numPr>
      </w:pPr>
      <w:r>
        <w:t>International Electrotechnical Commission (IEC)</w:t>
      </w:r>
    </w:p>
    <w:p w14:paraId="3E9CD5DF" w14:textId="69DB4F93" w:rsidR="00FF2649" w:rsidRDefault="00FF2649" w:rsidP="00FF2649">
      <w:pPr>
        <w:pStyle w:val="ESNormal"/>
      </w:pPr>
      <w:r>
        <w:t>Table 2 contains a list of the standards referenced in Appendix B.</w:t>
      </w:r>
    </w:p>
    <w:tbl>
      <w:tblPr>
        <w:tblStyle w:val="TableGrid"/>
        <w:tblW w:w="0" w:type="auto"/>
        <w:tblLook w:val="04A0" w:firstRow="1" w:lastRow="0" w:firstColumn="1" w:lastColumn="0" w:noHBand="0" w:noVBand="1"/>
      </w:tblPr>
      <w:tblGrid>
        <w:gridCol w:w="4174"/>
        <w:gridCol w:w="4128"/>
      </w:tblGrid>
      <w:tr w:rsidR="005D2719" w14:paraId="54FCC371" w14:textId="77777777" w:rsidTr="005D2719">
        <w:trPr>
          <w:tblHeader/>
        </w:trPr>
        <w:tc>
          <w:tcPr>
            <w:tcW w:w="4508" w:type="dxa"/>
          </w:tcPr>
          <w:p w14:paraId="2B42403D" w14:textId="77777777" w:rsidR="005D2719" w:rsidRPr="005D2719" w:rsidRDefault="005D2719" w:rsidP="00A40884">
            <w:pPr>
              <w:rPr>
                <w:b/>
                <w:lang w:val="en-US"/>
              </w:rPr>
            </w:pPr>
            <w:r w:rsidRPr="005D2719">
              <w:rPr>
                <w:b/>
                <w:lang w:val="en-US"/>
              </w:rPr>
              <w:t>Standard referenced</w:t>
            </w:r>
          </w:p>
        </w:tc>
        <w:tc>
          <w:tcPr>
            <w:tcW w:w="4508" w:type="dxa"/>
          </w:tcPr>
          <w:p w14:paraId="27A7372F" w14:textId="4A69D12C" w:rsidR="005D2719" w:rsidRPr="005D2719" w:rsidRDefault="005D2719" w:rsidP="00A40884">
            <w:pPr>
              <w:rPr>
                <w:b/>
                <w:lang w:val="en-US"/>
              </w:rPr>
            </w:pPr>
            <w:r w:rsidRPr="005D2719">
              <w:rPr>
                <w:b/>
                <w:lang w:val="en-US"/>
              </w:rPr>
              <w:t>Clause in Appendix B</w:t>
            </w:r>
          </w:p>
        </w:tc>
      </w:tr>
      <w:tr w:rsidR="005D2719" w14:paraId="2EA35E32" w14:textId="77777777" w:rsidTr="00A40884">
        <w:tc>
          <w:tcPr>
            <w:tcW w:w="4508" w:type="dxa"/>
          </w:tcPr>
          <w:p w14:paraId="7FE296D2" w14:textId="5FC7C2CE" w:rsidR="005D2719" w:rsidRPr="005D2719" w:rsidRDefault="005D2719" w:rsidP="00A40884">
            <w:pPr>
              <w:rPr>
                <w:i/>
                <w:lang w:val="en-US"/>
              </w:rPr>
            </w:pPr>
            <w:r w:rsidRPr="005D2719">
              <w:rPr>
                <w:i/>
                <w:lang w:val="en-US"/>
              </w:rPr>
              <w:t>ISO 3675 - Crude petroleum and liquid petroleum products — Laboratory determination of density — Hydrometer method</w:t>
            </w:r>
          </w:p>
        </w:tc>
        <w:tc>
          <w:tcPr>
            <w:tcW w:w="4508" w:type="dxa"/>
          </w:tcPr>
          <w:p w14:paraId="32C0EF26" w14:textId="57271902" w:rsidR="005D2719" w:rsidRPr="005D2719" w:rsidRDefault="005D2719" w:rsidP="00A40884">
            <w:pPr>
              <w:rPr>
                <w:i/>
                <w:lang w:val="en-US"/>
              </w:rPr>
            </w:pPr>
            <w:r w:rsidRPr="005D2719">
              <w:rPr>
                <w:i/>
                <w:lang w:val="en-US"/>
              </w:rPr>
              <w:t>Cl. 5.2.4</w:t>
            </w:r>
          </w:p>
        </w:tc>
      </w:tr>
      <w:tr w:rsidR="005D2719" w14:paraId="0B841B9C" w14:textId="77777777" w:rsidTr="00A40884">
        <w:tc>
          <w:tcPr>
            <w:tcW w:w="4508" w:type="dxa"/>
          </w:tcPr>
          <w:p w14:paraId="4C617264" w14:textId="4A81B389" w:rsidR="005D2719" w:rsidRPr="005D2719" w:rsidRDefault="005D2719" w:rsidP="00A40884">
            <w:pPr>
              <w:rPr>
                <w:i/>
                <w:lang w:val="en-US"/>
              </w:rPr>
            </w:pPr>
            <w:r w:rsidRPr="005D2719">
              <w:rPr>
                <w:rFonts w:eastAsia="MS Mincho"/>
                <w:i/>
                <w:lang w:eastAsia="ja-JP"/>
              </w:rPr>
              <w:t>ISO 23828 - Fuel cell road vehicles — Energy consumption measurement — Vehicles fuelled with compressed hydrogen</w:t>
            </w:r>
          </w:p>
        </w:tc>
        <w:tc>
          <w:tcPr>
            <w:tcW w:w="4508" w:type="dxa"/>
          </w:tcPr>
          <w:p w14:paraId="516E3214" w14:textId="410DF97F" w:rsidR="005D2719" w:rsidRPr="005D2719" w:rsidRDefault="005D2719" w:rsidP="00A40884">
            <w:pPr>
              <w:rPr>
                <w:i/>
                <w:lang w:val="en-US"/>
              </w:rPr>
            </w:pPr>
            <w:r w:rsidRPr="005D2719">
              <w:rPr>
                <w:i/>
                <w:lang w:val="en-US"/>
              </w:rPr>
              <w:t>Annex 6 – Cl. 1.4.3(h)</w:t>
            </w:r>
          </w:p>
        </w:tc>
      </w:tr>
      <w:tr w:rsidR="005D2719" w14:paraId="3BE9D56F" w14:textId="77777777" w:rsidTr="00A40884">
        <w:tc>
          <w:tcPr>
            <w:tcW w:w="4508" w:type="dxa"/>
          </w:tcPr>
          <w:p w14:paraId="6623EA30" w14:textId="36F9A594" w:rsidR="005D2719" w:rsidRPr="005D2719" w:rsidRDefault="005D2719" w:rsidP="005D2719">
            <w:pPr>
              <w:keepLines/>
              <w:rPr>
                <w:rFonts w:eastAsia="MS Mincho"/>
                <w:i/>
                <w:lang w:eastAsia="ja-JP"/>
              </w:rPr>
            </w:pPr>
            <w:r w:rsidRPr="005D2719">
              <w:rPr>
                <w:rFonts w:eastAsia="MS Mincho"/>
                <w:i/>
                <w:lang w:eastAsia="ja-JP"/>
              </w:rPr>
              <w:lastRenderedPageBreak/>
              <w:t xml:space="preserve">SAE J2572 - Recommended Practice for Measuring Fuel Consumption and Range of Fuel Cell and Hybrid Fuel Cell Vehicles </w:t>
            </w:r>
            <w:proofErr w:type="spellStart"/>
            <w:r w:rsidRPr="005D2719">
              <w:rPr>
                <w:rFonts w:eastAsia="MS Mincho"/>
                <w:i/>
                <w:lang w:eastAsia="ja-JP"/>
              </w:rPr>
              <w:t>Fueled</w:t>
            </w:r>
            <w:proofErr w:type="spellEnd"/>
            <w:r w:rsidRPr="005D2719">
              <w:rPr>
                <w:rFonts w:eastAsia="MS Mincho"/>
                <w:i/>
                <w:lang w:eastAsia="ja-JP"/>
              </w:rPr>
              <w:t xml:space="preserve"> by Compressed Gaseous Hydrogen</w:t>
            </w:r>
          </w:p>
        </w:tc>
        <w:tc>
          <w:tcPr>
            <w:tcW w:w="4508" w:type="dxa"/>
          </w:tcPr>
          <w:p w14:paraId="0ADC2E53" w14:textId="5B12DAD0" w:rsidR="005D2719" w:rsidRPr="005D2719" w:rsidRDefault="005D2719" w:rsidP="005D2719">
            <w:pPr>
              <w:keepLines/>
              <w:rPr>
                <w:i/>
                <w:lang w:val="en-US"/>
              </w:rPr>
            </w:pPr>
            <w:r w:rsidRPr="005D2719">
              <w:rPr>
                <w:i/>
                <w:lang w:val="en-US"/>
              </w:rPr>
              <w:t>Annex 6 – Cl. 1.4.3(h)</w:t>
            </w:r>
          </w:p>
        </w:tc>
      </w:tr>
      <w:tr w:rsidR="005D2719" w14:paraId="66C5B863" w14:textId="77777777" w:rsidTr="00A40884">
        <w:tc>
          <w:tcPr>
            <w:tcW w:w="4508" w:type="dxa"/>
          </w:tcPr>
          <w:p w14:paraId="14ADCE68" w14:textId="25332D28" w:rsidR="005D2719" w:rsidRPr="005D2719" w:rsidRDefault="005D2719" w:rsidP="00A40884">
            <w:pPr>
              <w:rPr>
                <w:rFonts w:eastAsia="MS Mincho"/>
                <w:i/>
                <w:lang w:eastAsia="ja-JP"/>
              </w:rPr>
            </w:pPr>
            <w:r w:rsidRPr="005D2719">
              <w:rPr>
                <w:rFonts w:eastAsia="MS Mincho"/>
                <w:i/>
                <w:lang w:eastAsia="ja-JP"/>
              </w:rPr>
              <w:t>IEC 62053-21 - Electricity metering equipment - Particular requirements Static meters for AC active energy</w:t>
            </w:r>
          </w:p>
        </w:tc>
        <w:tc>
          <w:tcPr>
            <w:tcW w:w="4508" w:type="dxa"/>
          </w:tcPr>
          <w:p w14:paraId="6AD41F68" w14:textId="1F488D3C" w:rsidR="005D2719" w:rsidRPr="005D2719" w:rsidRDefault="005D2719" w:rsidP="00A40884">
            <w:pPr>
              <w:rPr>
                <w:i/>
                <w:lang w:val="en-US"/>
              </w:rPr>
            </w:pPr>
            <w:r w:rsidRPr="005D2719">
              <w:rPr>
                <w:i/>
                <w:lang w:val="en-US"/>
              </w:rPr>
              <w:t>Annex 7 – 1.2 note (c)</w:t>
            </w:r>
          </w:p>
        </w:tc>
      </w:tr>
    </w:tbl>
    <w:p w14:paraId="2AEA35CB" w14:textId="243F2798" w:rsidR="005D2719" w:rsidRDefault="00FF2649" w:rsidP="00FF2649">
      <w:pPr>
        <w:pStyle w:val="ESNormal"/>
        <w:spacing w:line="240" w:lineRule="auto"/>
        <w:rPr>
          <w:rStyle w:val="Hyperlink"/>
        </w:rPr>
      </w:pPr>
      <w:bookmarkStart w:id="41" w:name="_Hlk159323852"/>
      <w:r>
        <w:t>ISO, and IEC Technical Standards are available for purchase from</w:t>
      </w:r>
      <w:r w:rsidRPr="005F202A">
        <w:t xml:space="preserve"> </w:t>
      </w:r>
      <w:r>
        <w:t xml:space="preserve">Intertek Inform (formerly SAI Global). Intertek </w:t>
      </w:r>
      <w:proofErr w:type="spellStart"/>
      <w:r>
        <w:t>Inform’s</w:t>
      </w:r>
      <w:proofErr w:type="spellEnd"/>
      <w:r>
        <w:t xml:space="preserve"> website is: </w:t>
      </w:r>
      <w:hyperlink r:id="rId16" w:history="1">
        <w:r w:rsidRPr="00073F4A">
          <w:rPr>
            <w:rStyle w:val="Hyperlink"/>
          </w:rPr>
          <w:t>https://www.intertekinform.com/en-au/</w:t>
        </w:r>
      </w:hyperlink>
      <w:bookmarkStart w:id="42" w:name="_Hlk159318359"/>
      <w:r w:rsidR="005D2719">
        <w:rPr>
          <w:rStyle w:val="Hyperlink"/>
        </w:rPr>
        <w:t>.</w:t>
      </w:r>
    </w:p>
    <w:p w14:paraId="36BD6AC4" w14:textId="761E7CC4" w:rsidR="00FF2649" w:rsidRDefault="005D2719" w:rsidP="00FF2649">
      <w:pPr>
        <w:pStyle w:val="ESNormal"/>
        <w:spacing w:line="240" w:lineRule="auto"/>
      </w:pPr>
      <w:r>
        <w:rPr>
          <w:rStyle w:val="Hyperlink"/>
        </w:rPr>
        <w:t>SAE standards can be purchased from www.sae.org.</w:t>
      </w:r>
    </w:p>
    <w:p w14:paraId="1BB5A46B" w14:textId="77777777" w:rsidR="00FF2649" w:rsidRDefault="00FF2649" w:rsidP="00FF2649">
      <w:pPr>
        <w:pStyle w:val="ESNormal"/>
        <w:spacing w:line="240" w:lineRule="auto"/>
      </w:pPr>
      <w:r w:rsidRPr="00F85296">
        <w:t>Subject to copyright conditions, people may also view a copy of these documents at the Offices of the Department of Infrastructure, Transport, Regional Development, Communications and the Arts in Canberra.</w:t>
      </w:r>
      <w:bookmarkEnd w:id="42"/>
    </w:p>
    <w:p w14:paraId="22714DBA" w14:textId="77777777" w:rsidR="00FF2649" w:rsidRPr="0028483C" w:rsidRDefault="00FF2649" w:rsidP="00FF2649">
      <w:pPr>
        <w:pStyle w:val="ESNormal"/>
        <w:spacing w:line="240" w:lineRule="auto"/>
      </w:pPr>
      <w:r w:rsidRPr="00514C80">
        <w:t>While not freel</w:t>
      </w:r>
      <w:r>
        <w:t>y available, these standards</w:t>
      </w:r>
      <w:r w:rsidRPr="00514C80">
        <w:t xml:space="preserve"> are all readily accessible and widely used by vehicle manufacturers and test facilities as part o</w:t>
      </w:r>
      <w:r>
        <w:t>f their professional libraries</w:t>
      </w:r>
      <w:r w:rsidRPr="0028483C">
        <w:t>.</w:t>
      </w:r>
      <w:r>
        <w:t xml:space="preserve"> </w:t>
      </w:r>
      <w:bookmarkEnd w:id="41"/>
      <w:r w:rsidRPr="0028483C">
        <w:t>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p>
    <w:p w14:paraId="6FBF9C87" w14:textId="77777777" w:rsidR="00FF2649" w:rsidRPr="008D244E" w:rsidRDefault="00FF2649" w:rsidP="00FF2649">
      <w:pPr>
        <w:rPr>
          <w:b/>
          <w:caps/>
        </w:rPr>
      </w:pPr>
      <w:r w:rsidRPr="008D244E">
        <w:t xml:space="preserve">In accordance with subsections 14(1)(b) and 14(2) of the </w:t>
      </w:r>
      <w:r w:rsidRPr="008D244E">
        <w:rPr>
          <w:i/>
        </w:rPr>
        <w:t>Legislation Act 2003</w:t>
      </w:r>
      <w:r w:rsidRPr="008D244E">
        <w:t>, each of these standards are incorporated as in force on the date this national road vehicle standard is made.</w:t>
      </w:r>
    </w:p>
    <w:p w14:paraId="2E61A96F" w14:textId="77777777" w:rsidR="00586887" w:rsidRPr="00514C80" w:rsidRDefault="00327D1A" w:rsidP="003F011D">
      <w:pPr>
        <w:pStyle w:val="MainHeadding"/>
        <w:keepNext/>
        <w:ind w:left="851"/>
      </w:pPr>
      <w:bookmarkStart w:id="43" w:name="_Toc118810517"/>
      <w:bookmarkStart w:id="44" w:name="_Toc118810956"/>
      <w:bookmarkStart w:id="45" w:name="_Toc118811398"/>
      <w:bookmarkStart w:id="46" w:name="_Toc118811837"/>
      <w:bookmarkStart w:id="47" w:name="_Toc118812276"/>
      <w:bookmarkStart w:id="48" w:name="_Toc118810518"/>
      <w:bookmarkStart w:id="49" w:name="_Toc118810957"/>
      <w:bookmarkStart w:id="50" w:name="_Toc118811399"/>
      <w:bookmarkStart w:id="51" w:name="_Toc118811838"/>
      <w:bookmarkStart w:id="52" w:name="_Toc118812277"/>
      <w:bookmarkStart w:id="53" w:name="_Toc118810519"/>
      <w:bookmarkStart w:id="54" w:name="_Toc118810958"/>
      <w:bookmarkStart w:id="55" w:name="_Toc118811400"/>
      <w:bookmarkStart w:id="56" w:name="_Toc118811839"/>
      <w:bookmarkStart w:id="57" w:name="_Toc118812278"/>
      <w:bookmarkStart w:id="58" w:name="_Toc77000451"/>
      <w:bookmarkStart w:id="59" w:name="_Toc77091652"/>
      <w:bookmarkStart w:id="60" w:name="_Toc77253496"/>
      <w:bookmarkStart w:id="61" w:name="_Toc77253547"/>
      <w:bookmarkStart w:id="62" w:name="_Toc77263167"/>
      <w:bookmarkStart w:id="63" w:name="_Toc77264477"/>
      <w:bookmarkStart w:id="64" w:name="_Toc118810521"/>
      <w:bookmarkStart w:id="65" w:name="_Toc118810960"/>
      <w:bookmarkStart w:id="66" w:name="_Toc118811402"/>
      <w:bookmarkStart w:id="67" w:name="_Toc118811841"/>
      <w:bookmarkStart w:id="68" w:name="_Toc118812280"/>
      <w:bookmarkStart w:id="69" w:name="_Toc118810522"/>
      <w:bookmarkStart w:id="70" w:name="_Toc118810961"/>
      <w:bookmarkStart w:id="71" w:name="_Toc118811403"/>
      <w:bookmarkStart w:id="72" w:name="_Toc118811842"/>
      <w:bookmarkStart w:id="73" w:name="_Toc118812281"/>
      <w:bookmarkStart w:id="74" w:name="_Toc118810524"/>
      <w:bookmarkStart w:id="75" w:name="_Toc118810963"/>
      <w:bookmarkStart w:id="76" w:name="_Toc118811405"/>
      <w:bookmarkStart w:id="77" w:name="_Toc118811844"/>
      <w:bookmarkStart w:id="78" w:name="_Toc118812283"/>
      <w:bookmarkStart w:id="79" w:name="_Toc118810525"/>
      <w:bookmarkStart w:id="80" w:name="_Toc118810964"/>
      <w:bookmarkStart w:id="81" w:name="_Toc118811406"/>
      <w:bookmarkStart w:id="82" w:name="_Toc118811845"/>
      <w:bookmarkStart w:id="83" w:name="_Toc118812284"/>
      <w:bookmarkStart w:id="84" w:name="_Toc118810526"/>
      <w:bookmarkStart w:id="85" w:name="_Toc118810965"/>
      <w:bookmarkStart w:id="86" w:name="_Toc118811407"/>
      <w:bookmarkStart w:id="87" w:name="_Toc118811846"/>
      <w:bookmarkStart w:id="88" w:name="_Toc118812285"/>
      <w:bookmarkStart w:id="89" w:name="_Toc118810527"/>
      <w:bookmarkStart w:id="90" w:name="_Toc118810966"/>
      <w:bookmarkStart w:id="91" w:name="_Toc118811408"/>
      <w:bookmarkStart w:id="92" w:name="_Toc118811847"/>
      <w:bookmarkStart w:id="93" w:name="_Toc118812286"/>
      <w:bookmarkStart w:id="94" w:name="_Toc118810528"/>
      <w:bookmarkStart w:id="95" w:name="_Toc118810967"/>
      <w:bookmarkStart w:id="96" w:name="_Toc118811409"/>
      <w:bookmarkStart w:id="97" w:name="_Toc118811848"/>
      <w:bookmarkStart w:id="98" w:name="_Toc118812287"/>
      <w:bookmarkStart w:id="99" w:name="_Toc118810529"/>
      <w:bookmarkStart w:id="100" w:name="_Toc118810968"/>
      <w:bookmarkStart w:id="101" w:name="_Toc118811410"/>
      <w:bookmarkStart w:id="102" w:name="_Toc118811849"/>
      <w:bookmarkStart w:id="103" w:name="_Toc118812288"/>
      <w:bookmarkStart w:id="104" w:name="_Toc118810530"/>
      <w:bookmarkStart w:id="105" w:name="_Toc118810969"/>
      <w:bookmarkStart w:id="106" w:name="_Toc118811411"/>
      <w:bookmarkStart w:id="107" w:name="_Toc118811850"/>
      <w:bookmarkStart w:id="108" w:name="_Toc118812289"/>
      <w:bookmarkStart w:id="109" w:name="_Toc118810532"/>
      <w:bookmarkStart w:id="110" w:name="_Toc118810971"/>
      <w:bookmarkStart w:id="111" w:name="_Toc118811413"/>
      <w:bookmarkStart w:id="112" w:name="_Toc118811852"/>
      <w:bookmarkStart w:id="113" w:name="_Toc118812291"/>
      <w:bookmarkStart w:id="114" w:name="_Toc118810551"/>
      <w:bookmarkStart w:id="115" w:name="_Toc118810990"/>
      <w:bookmarkStart w:id="116" w:name="_Toc118811432"/>
      <w:bookmarkStart w:id="117" w:name="_Toc118811871"/>
      <w:bookmarkStart w:id="118" w:name="_Toc118812310"/>
      <w:bookmarkStart w:id="119" w:name="_Toc95213985"/>
      <w:bookmarkStart w:id="120" w:name="_Toc95214221"/>
      <w:bookmarkStart w:id="121" w:name="_Toc95214260"/>
      <w:bookmarkStart w:id="122" w:name="_Toc95213986"/>
      <w:bookmarkStart w:id="123" w:name="_Toc95214222"/>
      <w:bookmarkStart w:id="124" w:name="_Toc95214261"/>
      <w:bookmarkStart w:id="125" w:name="_Toc95213987"/>
      <w:bookmarkStart w:id="126" w:name="_Toc95214223"/>
      <w:bookmarkStart w:id="127" w:name="_Toc95214262"/>
      <w:bookmarkStart w:id="128" w:name="_Toc95213988"/>
      <w:bookmarkStart w:id="129" w:name="_Toc95214224"/>
      <w:bookmarkStart w:id="130" w:name="_Toc95214263"/>
      <w:bookmarkStart w:id="131" w:name="_Toc95213989"/>
      <w:bookmarkStart w:id="132" w:name="_Toc95214225"/>
      <w:bookmarkStart w:id="133" w:name="_Toc95214264"/>
      <w:bookmarkStart w:id="134" w:name="_Toc95213990"/>
      <w:bookmarkStart w:id="135" w:name="_Toc95214226"/>
      <w:bookmarkStart w:id="136" w:name="_Toc95214265"/>
      <w:bookmarkStart w:id="137" w:name="_Toc95213991"/>
      <w:bookmarkStart w:id="138" w:name="_Toc95214227"/>
      <w:bookmarkStart w:id="139" w:name="_Toc95214266"/>
      <w:bookmarkStart w:id="140" w:name="_Toc95213992"/>
      <w:bookmarkStart w:id="141" w:name="_Toc95214228"/>
      <w:bookmarkStart w:id="142" w:name="_Toc95214267"/>
      <w:bookmarkStart w:id="143" w:name="_Toc95213993"/>
      <w:bookmarkStart w:id="144" w:name="_Toc95214229"/>
      <w:bookmarkStart w:id="145" w:name="_Toc95214268"/>
      <w:bookmarkStart w:id="146" w:name="_Toc95213994"/>
      <w:bookmarkStart w:id="147" w:name="_Toc95214230"/>
      <w:bookmarkStart w:id="148" w:name="_Toc95214269"/>
      <w:bookmarkStart w:id="149" w:name="_Toc95213995"/>
      <w:bookmarkStart w:id="150" w:name="_Toc95214231"/>
      <w:bookmarkStart w:id="151" w:name="_Toc95214270"/>
      <w:bookmarkStart w:id="152" w:name="_Toc95213996"/>
      <w:bookmarkStart w:id="153" w:name="_Toc95214232"/>
      <w:bookmarkStart w:id="154" w:name="_Toc95214271"/>
      <w:bookmarkStart w:id="155" w:name="_Toc95213997"/>
      <w:bookmarkStart w:id="156" w:name="_Toc95214233"/>
      <w:bookmarkStart w:id="157" w:name="_Toc95214272"/>
      <w:bookmarkStart w:id="158" w:name="_Toc95213998"/>
      <w:bookmarkStart w:id="159" w:name="_Toc95214234"/>
      <w:bookmarkStart w:id="160" w:name="_Toc95214273"/>
      <w:bookmarkStart w:id="161" w:name="_Toc95213999"/>
      <w:bookmarkStart w:id="162" w:name="_Toc95214235"/>
      <w:bookmarkStart w:id="163" w:name="_Toc95214274"/>
      <w:bookmarkStart w:id="164" w:name="_Toc95214000"/>
      <w:bookmarkStart w:id="165" w:name="_Toc95214236"/>
      <w:bookmarkStart w:id="166" w:name="_Toc95214275"/>
      <w:bookmarkStart w:id="167" w:name="_Toc95214001"/>
      <w:bookmarkStart w:id="168" w:name="_Toc95214237"/>
      <w:bookmarkStart w:id="169" w:name="_Toc95214276"/>
      <w:bookmarkStart w:id="170" w:name="_Toc95214002"/>
      <w:bookmarkStart w:id="171" w:name="_Toc95214238"/>
      <w:bookmarkStart w:id="172" w:name="_Toc95214277"/>
      <w:bookmarkStart w:id="173" w:name="_Toc95214003"/>
      <w:bookmarkStart w:id="174" w:name="_Toc95214239"/>
      <w:bookmarkStart w:id="175" w:name="_Toc95214278"/>
      <w:bookmarkStart w:id="176" w:name="_Toc95214004"/>
      <w:bookmarkStart w:id="177" w:name="_Toc95214240"/>
      <w:bookmarkStart w:id="178" w:name="_Toc95214279"/>
      <w:bookmarkStart w:id="179" w:name="_Toc118810552"/>
      <w:bookmarkStart w:id="180" w:name="_Toc118810991"/>
      <w:bookmarkStart w:id="181" w:name="_Toc118811433"/>
      <w:bookmarkStart w:id="182" w:name="_Toc118811872"/>
      <w:bookmarkStart w:id="183" w:name="_Toc118812311"/>
      <w:bookmarkStart w:id="184" w:name="_Toc118810554"/>
      <w:bookmarkStart w:id="185" w:name="_Toc118810993"/>
      <w:bookmarkStart w:id="186" w:name="_Toc118811435"/>
      <w:bookmarkStart w:id="187" w:name="_Toc118811874"/>
      <w:bookmarkStart w:id="188" w:name="_Toc118812313"/>
      <w:bookmarkStart w:id="189" w:name="_Toc118810555"/>
      <w:bookmarkStart w:id="190" w:name="_Toc118810994"/>
      <w:bookmarkStart w:id="191" w:name="_Toc118811436"/>
      <w:bookmarkStart w:id="192" w:name="_Toc118811875"/>
      <w:bookmarkStart w:id="193" w:name="_Toc118812314"/>
      <w:bookmarkStart w:id="194" w:name="_Toc118810556"/>
      <w:bookmarkStart w:id="195" w:name="_Toc118810995"/>
      <w:bookmarkStart w:id="196" w:name="_Toc118811437"/>
      <w:bookmarkStart w:id="197" w:name="_Toc118811876"/>
      <w:bookmarkStart w:id="198" w:name="_Toc118812315"/>
      <w:bookmarkStart w:id="199" w:name="_Toc118810557"/>
      <w:bookmarkStart w:id="200" w:name="_Toc118810996"/>
      <w:bookmarkStart w:id="201" w:name="_Toc118811438"/>
      <w:bookmarkStart w:id="202" w:name="_Toc118811877"/>
      <w:bookmarkStart w:id="203" w:name="_Toc118812316"/>
      <w:bookmarkStart w:id="204" w:name="_Toc118810558"/>
      <w:bookmarkStart w:id="205" w:name="_Toc118810997"/>
      <w:bookmarkStart w:id="206" w:name="_Toc118811439"/>
      <w:bookmarkStart w:id="207" w:name="_Toc118811878"/>
      <w:bookmarkStart w:id="208" w:name="_Toc118812317"/>
      <w:bookmarkStart w:id="209" w:name="_Toc118810559"/>
      <w:bookmarkStart w:id="210" w:name="_Toc118810998"/>
      <w:bookmarkStart w:id="211" w:name="_Toc118811440"/>
      <w:bookmarkStart w:id="212" w:name="_Toc118811879"/>
      <w:bookmarkStart w:id="213" w:name="_Toc118812318"/>
      <w:bookmarkStart w:id="214" w:name="_Toc118810561"/>
      <w:bookmarkStart w:id="215" w:name="_Toc118811000"/>
      <w:bookmarkStart w:id="216" w:name="_Toc118811442"/>
      <w:bookmarkStart w:id="217" w:name="_Toc118811881"/>
      <w:bookmarkStart w:id="218" w:name="_Toc118812320"/>
      <w:bookmarkStart w:id="219" w:name="_Toc118810563"/>
      <w:bookmarkStart w:id="220" w:name="_Toc118811002"/>
      <w:bookmarkStart w:id="221" w:name="_Toc118811444"/>
      <w:bookmarkStart w:id="222" w:name="_Toc118811883"/>
      <w:bookmarkStart w:id="223" w:name="_Toc118812322"/>
      <w:bookmarkStart w:id="224" w:name="_Toc118810564"/>
      <w:bookmarkStart w:id="225" w:name="_Toc118811003"/>
      <w:bookmarkStart w:id="226" w:name="_Toc118811445"/>
      <w:bookmarkStart w:id="227" w:name="_Toc118811884"/>
      <w:bookmarkStart w:id="228" w:name="_Toc118812323"/>
      <w:bookmarkStart w:id="229" w:name="_Toc118810566"/>
      <w:bookmarkStart w:id="230" w:name="_Toc118811005"/>
      <w:bookmarkStart w:id="231" w:name="_Toc118811447"/>
      <w:bookmarkStart w:id="232" w:name="_Toc118811886"/>
      <w:bookmarkStart w:id="233" w:name="_Toc118812325"/>
      <w:bookmarkStart w:id="234" w:name="_Toc118810567"/>
      <w:bookmarkStart w:id="235" w:name="_Toc118811006"/>
      <w:bookmarkStart w:id="236" w:name="_Toc118811448"/>
      <w:bookmarkStart w:id="237" w:name="_Toc118811887"/>
      <w:bookmarkStart w:id="238" w:name="_Toc118812326"/>
      <w:bookmarkStart w:id="239" w:name="_Toc118810568"/>
      <w:bookmarkStart w:id="240" w:name="_Toc118811007"/>
      <w:bookmarkStart w:id="241" w:name="_Toc118811449"/>
      <w:bookmarkStart w:id="242" w:name="_Toc118811888"/>
      <w:bookmarkStart w:id="243" w:name="_Toc118812327"/>
      <w:bookmarkStart w:id="244" w:name="_Toc118810569"/>
      <w:bookmarkStart w:id="245" w:name="_Toc118811008"/>
      <w:bookmarkStart w:id="246" w:name="_Toc118811450"/>
      <w:bookmarkStart w:id="247" w:name="_Toc118811889"/>
      <w:bookmarkStart w:id="248" w:name="_Toc118812328"/>
      <w:bookmarkStart w:id="249" w:name="_Toc118810570"/>
      <w:bookmarkStart w:id="250" w:name="_Toc118811009"/>
      <w:bookmarkStart w:id="251" w:name="_Toc118811451"/>
      <w:bookmarkStart w:id="252" w:name="_Toc118811890"/>
      <w:bookmarkStart w:id="253" w:name="_Toc118812329"/>
      <w:bookmarkStart w:id="254" w:name="_Toc118810571"/>
      <w:bookmarkStart w:id="255" w:name="_Toc118811010"/>
      <w:bookmarkStart w:id="256" w:name="_Toc118811452"/>
      <w:bookmarkStart w:id="257" w:name="_Toc118811891"/>
      <w:bookmarkStart w:id="258" w:name="_Toc118812330"/>
      <w:bookmarkStart w:id="259" w:name="_Toc118810572"/>
      <w:bookmarkStart w:id="260" w:name="_Toc118811011"/>
      <w:bookmarkStart w:id="261" w:name="_Toc118811453"/>
      <w:bookmarkStart w:id="262" w:name="_Toc118811892"/>
      <w:bookmarkStart w:id="263" w:name="_Toc118812331"/>
      <w:bookmarkStart w:id="264" w:name="_Toc118810573"/>
      <w:bookmarkStart w:id="265" w:name="_Toc118811012"/>
      <w:bookmarkStart w:id="266" w:name="_Toc118811454"/>
      <w:bookmarkStart w:id="267" w:name="_Toc118811893"/>
      <w:bookmarkStart w:id="268" w:name="_Toc118812332"/>
      <w:bookmarkStart w:id="269" w:name="_Toc504999786"/>
      <w:bookmarkStart w:id="270" w:name="_Toc504999787"/>
      <w:bookmarkStart w:id="271" w:name="_Toc504999788"/>
      <w:bookmarkStart w:id="272" w:name="_Toc118810574"/>
      <w:bookmarkStart w:id="273" w:name="_Toc118811013"/>
      <w:bookmarkStart w:id="274" w:name="_Toc118811455"/>
      <w:bookmarkStart w:id="275" w:name="_Toc118811894"/>
      <w:bookmarkStart w:id="276" w:name="_Toc118812333"/>
      <w:bookmarkStart w:id="277" w:name="_Toc118810577"/>
      <w:bookmarkStart w:id="278" w:name="_Toc118811016"/>
      <w:bookmarkStart w:id="279" w:name="_Toc118811458"/>
      <w:bookmarkStart w:id="280" w:name="_Toc118811897"/>
      <w:bookmarkStart w:id="281" w:name="_Toc118812336"/>
      <w:bookmarkStart w:id="282" w:name="_Toc118810578"/>
      <w:bookmarkStart w:id="283" w:name="_Toc118811017"/>
      <w:bookmarkStart w:id="284" w:name="_Toc118811459"/>
      <w:bookmarkStart w:id="285" w:name="_Toc118811898"/>
      <w:bookmarkStart w:id="286" w:name="_Toc118812337"/>
      <w:bookmarkStart w:id="287" w:name="_Toc118810580"/>
      <w:bookmarkStart w:id="288" w:name="_Toc118811019"/>
      <w:bookmarkStart w:id="289" w:name="_Toc118811461"/>
      <w:bookmarkStart w:id="290" w:name="_Toc118811900"/>
      <w:bookmarkStart w:id="291" w:name="_Toc118812339"/>
      <w:bookmarkStart w:id="292" w:name="_Toc118810581"/>
      <w:bookmarkStart w:id="293" w:name="_Toc118811020"/>
      <w:bookmarkStart w:id="294" w:name="_Toc118811462"/>
      <w:bookmarkStart w:id="295" w:name="_Toc118811901"/>
      <w:bookmarkStart w:id="296" w:name="_Toc118812340"/>
      <w:bookmarkStart w:id="297" w:name="_Toc118810582"/>
      <w:bookmarkStart w:id="298" w:name="_Toc118811021"/>
      <w:bookmarkStart w:id="299" w:name="_Toc118811463"/>
      <w:bookmarkStart w:id="300" w:name="_Toc118811902"/>
      <w:bookmarkStart w:id="301" w:name="_Toc118812341"/>
      <w:bookmarkStart w:id="302" w:name="_Toc118810583"/>
      <w:bookmarkStart w:id="303" w:name="_Toc118811022"/>
      <w:bookmarkStart w:id="304" w:name="_Toc118811464"/>
      <w:bookmarkStart w:id="305" w:name="_Toc118811903"/>
      <w:bookmarkStart w:id="306" w:name="_Toc118812342"/>
      <w:bookmarkStart w:id="307" w:name="_Toc118810616"/>
      <w:bookmarkStart w:id="308" w:name="_Toc118811055"/>
      <w:bookmarkStart w:id="309" w:name="_Toc118811497"/>
      <w:bookmarkStart w:id="310" w:name="_Toc118811936"/>
      <w:bookmarkStart w:id="311" w:name="_Toc118812375"/>
      <w:bookmarkStart w:id="312" w:name="_Toc118810617"/>
      <w:bookmarkStart w:id="313" w:name="_Toc118811056"/>
      <w:bookmarkStart w:id="314" w:name="_Toc118811498"/>
      <w:bookmarkStart w:id="315" w:name="_Toc118811937"/>
      <w:bookmarkStart w:id="316" w:name="_Toc118812376"/>
      <w:bookmarkStart w:id="317" w:name="_Toc118810618"/>
      <w:bookmarkStart w:id="318" w:name="_Toc118811057"/>
      <w:bookmarkStart w:id="319" w:name="_Toc118811499"/>
      <w:bookmarkStart w:id="320" w:name="_Toc118811938"/>
      <w:bookmarkStart w:id="321" w:name="_Toc118812377"/>
      <w:bookmarkStart w:id="322" w:name="_Toc118810620"/>
      <w:bookmarkStart w:id="323" w:name="_Toc118811059"/>
      <w:bookmarkStart w:id="324" w:name="_Toc118811501"/>
      <w:bookmarkStart w:id="325" w:name="_Toc118811940"/>
      <w:bookmarkStart w:id="326" w:name="_Toc118812379"/>
      <w:bookmarkStart w:id="327" w:name="_Toc118810623"/>
      <w:bookmarkStart w:id="328" w:name="_Toc118811062"/>
      <w:bookmarkStart w:id="329" w:name="_Toc118811504"/>
      <w:bookmarkStart w:id="330" w:name="_Toc118811943"/>
      <w:bookmarkStart w:id="331" w:name="_Toc118812382"/>
      <w:bookmarkStart w:id="332" w:name="_Toc118810624"/>
      <w:bookmarkStart w:id="333" w:name="_Toc118811063"/>
      <w:bookmarkStart w:id="334" w:name="_Toc118811505"/>
      <w:bookmarkStart w:id="335" w:name="_Toc118811944"/>
      <w:bookmarkStart w:id="336" w:name="_Toc118812383"/>
      <w:bookmarkStart w:id="337" w:name="_Toc118810629"/>
      <w:bookmarkStart w:id="338" w:name="_Toc118811068"/>
      <w:bookmarkStart w:id="339" w:name="_Toc118811510"/>
      <w:bookmarkStart w:id="340" w:name="_Toc118811949"/>
      <w:bookmarkStart w:id="341" w:name="_Toc118812388"/>
      <w:bookmarkStart w:id="342" w:name="_Toc118810633"/>
      <w:bookmarkStart w:id="343" w:name="_Toc118811072"/>
      <w:bookmarkStart w:id="344" w:name="_Toc118811514"/>
      <w:bookmarkStart w:id="345" w:name="_Toc118811953"/>
      <w:bookmarkStart w:id="346" w:name="_Toc118812392"/>
      <w:bookmarkStart w:id="347" w:name="_Toc118810636"/>
      <w:bookmarkStart w:id="348" w:name="_Toc118811075"/>
      <w:bookmarkStart w:id="349" w:name="_Toc118811517"/>
      <w:bookmarkStart w:id="350" w:name="_Toc118811956"/>
      <w:bookmarkStart w:id="351" w:name="_Toc118812395"/>
      <w:bookmarkStart w:id="352" w:name="_Toc118810637"/>
      <w:bookmarkStart w:id="353" w:name="_Toc118811076"/>
      <w:bookmarkStart w:id="354" w:name="_Toc118811518"/>
      <w:bookmarkStart w:id="355" w:name="_Toc118811957"/>
      <w:bookmarkStart w:id="356" w:name="_Toc118812396"/>
      <w:bookmarkStart w:id="357" w:name="_Toc118810638"/>
      <w:bookmarkStart w:id="358" w:name="_Toc118811077"/>
      <w:bookmarkStart w:id="359" w:name="_Toc118811519"/>
      <w:bookmarkStart w:id="360" w:name="_Toc118811958"/>
      <w:bookmarkStart w:id="361" w:name="_Toc118812397"/>
      <w:bookmarkStart w:id="362" w:name="_Toc118810639"/>
      <w:bookmarkStart w:id="363" w:name="_Toc118811078"/>
      <w:bookmarkStart w:id="364" w:name="_Toc118811520"/>
      <w:bookmarkStart w:id="365" w:name="_Toc118811959"/>
      <w:bookmarkStart w:id="366" w:name="_Toc118812398"/>
      <w:bookmarkStart w:id="367" w:name="_Toc118810641"/>
      <w:bookmarkStart w:id="368" w:name="_Toc118811080"/>
      <w:bookmarkStart w:id="369" w:name="_Toc118811522"/>
      <w:bookmarkStart w:id="370" w:name="_Toc118811961"/>
      <w:bookmarkStart w:id="371" w:name="_Toc118812400"/>
      <w:bookmarkStart w:id="372" w:name="_Toc118810642"/>
      <w:bookmarkStart w:id="373" w:name="_Toc118811081"/>
      <w:bookmarkStart w:id="374" w:name="_Toc118811523"/>
      <w:bookmarkStart w:id="375" w:name="_Toc118811962"/>
      <w:bookmarkStart w:id="376" w:name="_Toc118812401"/>
      <w:bookmarkStart w:id="377" w:name="_Toc118810643"/>
      <w:bookmarkStart w:id="378" w:name="_Toc118811082"/>
      <w:bookmarkStart w:id="379" w:name="_Toc118811524"/>
      <w:bookmarkStart w:id="380" w:name="_Toc118811963"/>
      <w:bookmarkStart w:id="381" w:name="_Toc118812402"/>
      <w:bookmarkStart w:id="382" w:name="_Toc118810646"/>
      <w:bookmarkStart w:id="383" w:name="_Toc118811085"/>
      <w:bookmarkStart w:id="384" w:name="_Toc118811527"/>
      <w:bookmarkStart w:id="385" w:name="_Toc118811966"/>
      <w:bookmarkStart w:id="386" w:name="_Toc118812405"/>
      <w:bookmarkStart w:id="387" w:name="_Toc118810647"/>
      <w:bookmarkStart w:id="388" w:name="_Toc118811086"/>
      <w:bookmarkStart w:id="389" w:name="_Toc118811528"/>
      <w:bookmarkStart w:id="390" w:name="_Toc118811967"/>
      <w:bookmarkStart w:id="391" w:name="_Toc118812406"/>
      <w:bookmarkStart w:id="392" w:name="_Toc18422514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lastRenderedPageBreak/>
        <w:t>CONSULTATION</w:t>
      </w:r>
      <w:bookmarkStart w:id="393" w:name="_Toc118812258"/>
      <w:bookmarkStart w:id="394" w:name="_Toc118812697"/>
      <w:bookmarkEnd w:id="393"/>
      <w:bookmarkEnd w:id="394"/>
      <w:bookmarkEnd w:id="392"/>
    </w:p>
    <w:p w14:paraId="4BC75FA7" w14:textId="077DFD31" w:rsidR="007F5DE6" w:rsidRPr="00FC7D49" w:rsidRDefault="007F5DE6" w:rsidP="003F011D">
      <w:pPr>
        <w:pStyle w:val="Subsection"/>
        <w:keepNext/>
        <w:rPr>
          <w:b/>
        </w:rPr>
      </w:pPr>
      <w:bookmarkStart w:id="395" w:name="_Toc77253510"/>
      <w:bookmarkStart w:id="396" w:name="_Toc77253561"/>
      <w:bookmarkStart w:id="397" w:name="_Toc77263181"/>
      <w:bookmarkStart w:id="398" w:name="_Toc77264491"/>
      <w:bookmarkStart w:id="399" w:name="_Toc77253511"/>
      <w:bookmarkStart w:id="400" w:name="_Toc77253562"/>
      <w:bookmarkStart w:id="401" w:name="_Toc77263182"/>
      <w:bookmarkStart w:id="402" w:name="_Toc77264492"/>
      <w:bookmarkStart w:id="403" w:name="_Toc77253512"/>
      <w:bookmarkStart w:id="404" w:name="_Toc77253563"/>
      <w:bookmarkStart w:id="405" w:name="_Toc77263183"/>
      <w:bookmarkStart w:id="406" w:name="_Toc77264493"/>
      <w:bookmarkStart w:id="407" w:name="_Toc77253513"/>
      <w:bookmarkStart w:id="408" w:name="_Toc77253564"/>
      <w:bookmarkStart w:id="409" w:name="_Toc77263184"/>
      <w:bookmarkStart w:id="410" w:name="_Toc77264494"/>
      <w:bookmarkStart w:id="411" w:name="_Toc151133226"/>
      <w:bookmarkStart w:id="412" w:name="_Toc184225145"/>
      <w:bookmarkStart w:id="413" w:name="_Toc74044077"/>
      <w:bookmarkStart w:id="414" w:name="_Toc74044726"/>
      <w:bookmarkStart w:id="415" w:name="_Toc46333225"/>
      <w:bookmarkStart w:id="416" w:name="_Toc46333479"/>
      <w:bookmarkStart w:id="417" w:name="_Toc46333633"/>
      <w:bookmarkStart w:id="418" w:name="_Toc46333798"/>
      <w:bookmarkStart w:id="419" w:name="_Toc46333912"/>
      <w:bookmarkStart w:id="420" w:name="_Toc4633464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FC7D49">
        <w:rPr>
          <w:b/>
        </w:rPr>
        <w:t>General Consultation Arrangements</w:t>
      </w:r>
      <w:bookmarkEnd w:id="411"/>
      <w:bookmarkEnd w:id="412"/>
    </w:p>
    <w:p w14:paraId="3AAD6994" w14:textId="6A6BA738" w:rsidR="007F5DE6" w:rsidRDefault="007F5DE6" w:rsidP="007F5DE6">
      <w:pPr>
        <w:keepNext/>
        <w:keepLines/>
      </w:pPr>
      <w:r>
        <w:t xml:space="preserve">It has been longstanding practice to consult widely on proposed new or amended vehicle standards. For many years, there has been active cooperation between the Commonwealth and the state/territory governments, as well as consultation with industry and consumer groups. Much of the consultation takes place within institutional arrangements established for this purpose. </w:t>
      </w:r>
    </w:p>
    <w:p w14:paraId="18991D91" w14:textId="77777777" w:rsidR="007F5DE6" w:rsidRPr="00FC7D49" w:rsidRDefault="007F5DE6" w:rsidP="005D2719">
      <w:pPr>
        <w:pStyle w:val="Subsection"/>
        <w:keepNext/>
        <w:keepLines/>
        <w:rPr>
          <w:b/>
        </w:rPr>
      </w:pPr>
      <w:bookmarkStart w:id="421" w:name="_Toc151133227"/>
      <w:bookmarkStart w:id="422" w:name="_Toc184225146"/>
      <w:r w:rsidRPr="00FC7D49">
        <w:rPr>
          <w:b/>
        </w:rPr>
        <w:t>Specific Consultation Arrangements</w:t>
      </w:r>
      <w:bookmarkEnd w:id="421"/>
      <w:bookmarkEnd w:id="422"/>
    </w:p>
    <w:p w14:paraId="11ABB7C8" w14:textId="513ED9BD" w:rsidR="007F5DE6" w:rsidRDefault="00417375" w:rsidP="005D2719">
      <w:pPr>
        <w:keepNext/>
        <w:keepLines/>
      </w:pPr>
      <w:r>
        <w:t>This ADR</w:t>
      </w:r>
      <w:r w:rsidR="00ED17A5">
        <w:t xml:space="preserve"> was developed in consultation with </w:t>
      </w:r>
      <w:r w:rsidR="003F011D" w:rsidRPr="003F011D">
        <w:t xml:space="preserve">a dedicated working group </w:t>
      </w:r>
      <w:r w:rsidR="00ED17A5" w:rsidRPr="003F011D">
        <w:t xml:space="preserve">established </w:t>
      </w:r>
      <w:r w:rsidR="00ED17A5">
        <w:t xml:space="preserve">by the </w:t>
      </w:r>
      <w:r w:rsidR="00806075">
        <w:t>Department of Infrastructure, Transport, Regional Development, Communications and the Arts</w:t>
      </w:r>
      <w:r w:rsidR="00806075" w:rsidRPr="003F011D">
        <w:t xml:space="preserve"> </w:t>
      </w:r>
      <w:r w:rsidR="003F011D" w:rsidRPr="003F011D">
        <w:t>comprising vehicle manufacturer</w:t>
      </w:r>
      <w:r w:rsidR="003F011D">
        <w:t>s</w:t>
      </w:r>
      <w:r w:rsidR="003F011D" w:rsidRPr="003F011D">
        <w:t xml:space="preserve"> </w:t>
      </w:r>
      <w:r w:rsidR="004C6145">
        <w:t>and technical experts</w:t>
      </w:r>
      <w:r w:rsidR="003F011D" w:rsidRPr="003F011D">
        <w:t>.</w:t>
      </w:r>
      <w:r w:rsidR="004C6145">
        <w:t xml:space="preserve"> This working group met </w:t>
      </w:r>
      <w:r w:rsidR="00A06E23">
        <w:t>on a fortnightly basis between August and December 2024</w:t>
      </w:r>
      <w:r w:rsidR="004C6145">
        <w:t>.</w:t>
      </w:r>
      <w:r>
        <w:t xml:space="preserve"> A public consultation process was also held from December 2024 to February 2025.</w:t>
      </w:r>
    </w:p>
    <w:p w14:paraId="1FA81FB2" w14:textId="77777777" w:rsidR="007D360E" w:rsidRDefault="007D360E" w:rsidP="007B4C68">
      <w:pPr>
        <w:pStyle w:val="MainHeadding"/>
        <w:keepNext/>
        <w:tabs>
          <w:tab w:val="clear" w:pos="2553"/>
          <w:tab w:val="num" w:pos="1843"/>
        </w:tabs>
        <w:ind w:left="851"/>
      </w:pPr>
      <w:bookmarkStart w:id="423" w:name="_Toc151133228"/>
      <w:bookmarkStart w:id="424" w:name="_Toc184225147"/>
      <w:r>
        <w:t>Regulatory Impact</w:t>
      </w:r>
      <w:bookmarkEnd w:id="423"/>
      <w:bookmarkEnd w:id="424"/>
    </w:p>
    <w:p w14:paraId="08DFA4EE" w14:textId="658427DA" w:rsidR="009007B7" w:rsidRDefault="009007B7" w:rsidP="009007B7">
      <w:pPr>
        <w:rPr>
          <w:bCs/>
          <w:szCs w:val="20"/>
        </w:rPr>
      </w:pPr>
      <w:bookmarkStart w:id="425" w:name="_Toc118810942"/>
      <w:bookmarkStart w:id="426" w:name="_Toc118811381"/>
      <w:bookmarkStart w:id="427" w:name="_Toc118811823"/>
      <w:bookmarkStart w:id="428" w:name="_Toc118812262"/>
      <w:bookmarkStart w:id="429" w:name="_Toc118812701"/>
      <w:bookmarkStart w:id="430" w:name="_Toc77253515"/>
      <w:bookmarkStart w:id="431" w:name="_Toc77253566"/>
      <w:bookmarkStart w:id="432" w:name="_Toc77263186"/>
      <w:bookmarkStart w:id="433" w:name="_Toc77264496"/>
      <w:bookmarkStart w:id="434" w:name="_Toc74044080"/>
      <w:bookmarkStart w:id="435" w:name="_Toc74044729"/>
      <w:bookmarkEnd w:id="413"/>
      <w:bookmarkEnd w:id="414"/>
      <w:bookmarkEnd w:id="425"/>
      <w:bookmarkEnd w:id="426"/>
      <w:bookmarkEnd w:id="427"/>
      <w:bookmarkEnd w:id="428"/>
      <w:bookmarkEnd w:id="429"/>
      <w:bookmarkEnd w:id="430"/>
      <w:bookmarkEnd w:id="431"/>
      <w:bookmarkEnd w:id="432"/>
      <w:bookmarkEnd w:id="433"/>
      <w:r>
        <w:t>An impact analysis was prepared on the introduction of a new vehicle efficiency standard, based on the feedback received from stakeholders and the Australian public</w:t>
      </w:r>
      <w:r w:rsidR="00761699">
        <w:t xml:space="preserve"> on a discussion paper released for comment in 2023 and a draft impact analysis released from comment in 2024</w:t>
      </w:r>
      <w:r>
        <w:t>. The Office of Impact Analysis assessed the impact analysis and determined that it was good practice and met Australian Government best practice regulation requirements (</w:t>
      </w:r>
      <w:r>
        <w:rPr>
          <w:b/>
        </w:rPr>
        <w:t>OBPR22-03502</w:t>
      </w:r>
      <w:r>
        <w:t xml:space="preserve">). </w:t>
      </w:r>
    </w:p>
    <w:p w14:paraId="04998A6C" w14:textId="30B00839" w:rsidR="009007B7" w:rsidRDefault="009007B7" w:rsidP="009007B7">
      <w:pPr>
        <w:rPr>
          <w:szCs w:val="20"/>
        </w:rPr>
      </w:pPr>
      <w:r>
        <w:rPr>
          <w:rFonts w:eastAsia="Calibri"/>
          <w:lang w:eastAsia="en-US"/>
        </w:rPr>
        <w:t>The impact analysis found Australians will accrue around $86 billion in net benefits and $95 billion in fuel savings by 2050</w:t>
      </w:r>
      <w:r w:rsidR="00231267">
        <w:rPr>
          <w:rFonts w:eastAsia="Calibri"/>
          <w:lang w:eastAsia="en-US"/>
        </w:rPr>
        <w:t>.</w:t>
      </w:r>
      <w:r w:rsidRPr="009007B7">
        <w:rPr>
          <w:rFonts w:eastAsia="Calibri"/>
          <w:lang w:eastAsia="en-US"/>
        </w:rPr>
        <w:t xml:space="preserve"> </w:t>
      </w:r>
      <w:r>
        <w:rPr>
          <w:rFonts w:eastAsia="Calibri"/>
          <w:lang w:eastAsia="en-US"/>
        </w:rPr>
        <w:t>The NVES is expected to deliver abatement of about 321 million tonnes of CO</w:t>
      </w:r>
      <w:r>
        <w:rPr>
          <w:rFonts w:eastAsia="Calibri"/>
          <w:vertAlign w:val="subscript"/>
          <w:lang w:eastAsia="en-US"/>
        </w:rPr>
        <w:t>2</w:t>
      </w:r>
      <w:r>
        <w:rPr>
          <w:rFonts w:eastAsia="Calibri"/>
          <w:lang w:eastAsia="en-US"/>
        </w:rPr>
        <w:t xml:space="preserve"> by 2050, and about 80 million tonnes of CO</w:t>
      </w:r>
      <w:r>
        <w:rPr>
          <w:rFonts w:eastAsia="Calibri"/>
          <w:vertAlign w:val="subscript"/>
          <w:lang w:eastAsia="en-US"/>
        </w:rPr>
        <w:t>2</w:t>
      </w:r>
      <w:r>
        <w:rPr>
          <w:rFonts w:eastAsia="Calibri"/>
          <w:lang w:eastAsia="en-US"/>
        </w:rPr>
        <w:t xml:space="preserve"> abatement by 2035.</w:t>
      </w:r>
    </w:p>
    <w:p w14:paraId="3B0F7910" w14:textId="4E2D3A6F" w:rsidR="00EE68A7" w:rsidRPr="00514C80" w:rsidRDefault="00EE68A7" w:rsidP="009007B7">
      <w:pPr>
        <w:pStyle w:val="MainHeadding"/>
        <w:keepNext/>
        <w:keepLines/>
        <w:ind w:left="851"/>
      </w:pPr>
      <w:bookmarkStart w:id="436" w:name="_Toc184225148"/>
      <w:r w:rsidRPr="00514C80">
        <w:t>STATEMENT OF COMPATIBILITY WITH HUMAN RIGHTS</w:t>
      </w:r>
      <w:bookmarkEnd w:id="415"/>
      <w:bookmarkEnd w:id="416"/>
      <w:bookmarkEnd w:id="417"/>
      <w:bookmarkEnd w:id="418"/>
      <w:bookmarkEnd w:id="419"/>
      <w:bookmarkEnd w:id="420"/>
      <w:bookmarkEnd w:id="434"/>
      <w:bookmarkEnd w:id="435"/>
      <w:bookmarkEnd w:id="436"/>
    </w:p>
    <w:p w14:paraId="5BA42CB5" w14:textId="77777777" w:rsidR="00EE68A7" w:rsidRPr="00514C80" w:rsidRDefault="00EE68A7" w:rsidP="00FC7D49">
      <w:pPr>
        <w:keepNext/>
        <w:keepLines/>
      </w:pPr>
      <w:r w:rsidRPr="00514C80">
        <w:t xml:space="preserve">The following Statement is prepared in accordance with Part 3 of the </w:t>
      </w:r>
      <w:r w:rsidRPr="00514C80">
        <w:rPr>
          <w:i/>
          <w:iCs/>
        </w:rPr>
        <w:t>Human Rights (Parliamentary Scrutiny) Act 2011.</w:t>
      </w:r>
    </w:p>
    <w:p w14:paraId="44540A0C" w14:textId="7C4225B2" w:rsidR="00EE68A7" w:rsidRPr="002A4F80" w:rsidRDefault="00EE68A7" w:rsidP="00FC7D49">
      <w:pPr>
        <w:pStyle w:val="Subsection"/>
        <w:keepNext/>
        <w:keepLines/>
        <w:rPr>
          <w:b/>
        </w:rPr>
      </w:pPr>
      <w:bookmarkStart w:id="437" w:name="_Toc318271646"/>
      <w:bookmarkStart w:id="438" w:name="_Toc317171518"/>
      <w:bookmarkStart w:id="439" w:name="_Toc317171392"/>
      <w:bookmarkStart w:id="440" w:name="_Toc318272905"/>
      <w:bookmarkStart w:id="441" w:name="_Toc319402530"/>
      <w:bookmarkStart w:id="442" w:name="_Toc505092268"/>
      <w:bookmarkStart w:id="443" w:name="_Toc46333226"/>
      <w:bookmarkStart w:id="444" w:name="_Toc46333480"/>
      <w:bookmarkStart w:id="445" w:name="_Toc46333634"/>
      <w:bookmarkStart w:id="446" w:name="_Toc46333799"/>
      <w:bookmarkStart w:id="447" w:name="_Toc46333913"/>
      <w:bookmarkStart w:id="448" w:name="_Toc46334649"/>
      <w:bookmarkStart w:id="449" w:name="_Toc74044081"/>
      <w:bookmarkStart w:id="450" w:name="_Toc74044730"/>
      <w:bookmarkStart w:id="451" w:name="_Toc184225149"/>
      <w:r w:rsidRPr="002A4F80">
        <w:rPr>
          <w:b/>
        </w:rPr>
        <w:t>Overview</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7125695" w14:textId="52F07C27" w:rsidR="00EE68A7" w:rsidRPr="00514C80" w:rsidRDefault="00A06E23" w:rsidP="00FC7D49">
      <w:pPr>
        <w:keepNext/>
        <w:keepLines/>
      </w:pPr>
      <w:r>
        <w:t>ADR 81/03</w:t>
      </w:r>
      <w:r w:rsidR="002D110A">
        <w:t xml:space="preserve"> </w:t>
      </w:r>
      <w:r w:rsidR="00B614E4" w:rsidRPr="00514C80">
        <w:t xml:space="preserve">specifies </w:t>
      </w:r>
      <w:r w:rsidR="003F011D">
        <w:t>requirements for measuring and reporting information on a vehicle’s fuel consumption, carbon dioxide emissions, energy consumption and range.</w:t>
      </w:r>
    </w:p>
    <w:p w14:paraId="4590855E" w14:textId="7A5E7D67" w:rsidR="00EE68A7" w:rsidRPr="002A4F80" w:rsidRDefault="00EE68A7" w:rsidP="00FC7D49">
      <w:pPr>
        <w:pStyle w:val="Subsection"/>
        <w:keepNext/>
        <w:keepLines/>
        <w:rPr>
          <w:b/>
        </w:rPr>
      </w:pPr>
      <w:bookmarkStart w:id="452" w:name="_Toc318271647"/>
      <w:bookmarkStart w:id="453" w:name="_Toc317171519"/>
      <w:bookmarkStart w:id="454" w:name="_Toc317171393"/>
      <w:bookmarkStart w:id="455" w:name="_Toc318272906"/>
      <w:bookmarkStart w:id="456" w:name="_Toc319402531"/>
      <w:bookmarkStart w:id="457" w:name="_Toc505092269"/>
      <w:bookmarkStart w:id="458" w:name="_Toc46333227"/>
      <w:bookmarkStart w:id="459" w:name="_Toc46333481"/>
      <w:bookmarkStart w:id="460" w:name="_Toc46333635"/>
      <w:bookmarkStart w:id="461" w:name="_Toc46333800"/>
      <w:bookmarkStart w:id="462" w:name="_Toc46333914"/>
      <w:bookmarkStart w:id="463" w:name="_Toc46334650"/>
      <w:bookmarkStart w:id="464" w:name="_Toc74044082"/>
      <w:bookmarkStart w:id="465" w:name="_Toc74044731"/>
      <w:bookmarkStart w:id="466" w:name="_Toc184225150"/>
      <w:r w:rsidRPr="002A4F80">
        <w:rPr>
          <w:b/>
        </w:rPr>
        <w:t>Human Rights Implications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4594EEC" w14:textId="75865BD8" w:rsidR="00EE68A7" w:rsidRPr="00514C80" w:rsidRDefault="00EE68A7" w:rsidP="00FC7D49">
      <w:pPr>
        <w:keepNext/>
        <w:keepLines/>
      </w:pPr>
      <w:r w:rsidRPr="00514C80">
        <w:t xml:space="preserve">ADR </w:t>
      </w:r>
      <w:r w:rsidR="003F011D">
        <w:t>81/0</w:t>
      </w:r>
      <w:r w:rsidR="00A06E23">
        <w:t xml:space="preserve">3 </w:t>
      </w:r>
      <w:r w:rsidRPr="00514C80">
        <w:t xml:space="preserve">does not engage any of the human rights and freedoms recognised or declared in the international instruments listed in section 3 of the </w:t>
      </w:r>
      <w:r w:rsidRPr="00514C80">
        <w:rPr>
          <w:i/>
          <w:iCs/>
        </w:rPr>
        <w:t>Human Rights (Parliamentary Scrutiny) Act 2011</w:t>
      </w:r>
      <w:r w:rsidRPr="00514C80">
        <w:t>.</w:t>
      </w:r>
    </w:p>
    <w:p w14:paraId="0135A388" w14:textId="77777777" w:rsidR="00EE68A7" w:rsidRPr="002A4F80" w:rsidRDefault="00EE68A7" w:rsidP="00FC7D49">
      <w:pPr>
        <w:pStyle w:val="Subsection"/>
        <w:keepNext/>
        <w:keepLines/>
        <w:rPr>
          <w:b/>
        </w:rPr>
      </w:pPr>
      <w:bookmarkStart w:id="467" w:name="_Toc319402532"/>
      <w:bookmarkStart w:id="468" w:name="_Toc505092270"/>
      <w:bookmarkStart w:id="469" w:name="_Toc46333228"/>
      <w:bookmarkStart w:id="470" w:name="_Toc46333482"/>
      <w:bookmarkStart w:id="471" w:name="_Toc46333636"/>
      <w:bookmarkStart w:id="472" w:name="_Toc46333801"/>
      <w:bookmarkStart w:id="473" w:name="_Toc46333915"/>
      <w:bookmarkStart w:id="474" w:name="_Toc46334651"/>
      <w:bookmarkStart w:id="475" w:name="_Toc74044083"/>
      <w:bookmarkStart w:id="476" w:name="_Toc74044732"/>
      <w:bookmarkStart w:id="477" w:name="_Toc184225151"/>
      <w:r w:rsidRPr="002A4F80">
        <w:rPr>
          <w:b/>
        </w:rPr>
        <w:t>Conclusion</w:t>
      </w:r>
      <w:bookmarkEnd w:id="467"/>
      <w:bookmarkEnd w:id="468"/>
      <w:bookmarkEnd w:id="469"/>
      <w:bookmarkEnd w:id="470"/>
      <w:bookmarkEnd w:id="471"/>
      <w:bookmarkEnd w:id="472"/>
      <w:bookmarkEnd w:id="473"/>
      <w:bookmarkEnd w:id="474"/>
      <w:bookmarkEnd w:id="475"/>
      <w:bookmarkEnd w:id="476"/>
      <w:bookmarkEnd w:id="477"/>
    </w:p>
    <w:p w14:paraId="01CF4C30" w14:textId="0CCD40F8" w:rsidR="00EE68A7" w:rsidRPr="00EE68A7" w:rsidRDefault="00EE68A7" w:rsidP="00FC7D49">
      <w:pPr>
        <w:keepNext/>
        <w:keepLines/>
      </w:pPr>
      <w:r w:rsidRPr="00514C80">
        <w:t xml:space="preserve">ADR </w:t>
      </w:r>
      <w:r w:rsidR="003F011D">
        <w:t>81/</w:t>
      </w:r>
      <w:r w:rsidR="00A06E23">
        <w:t xml:space="preserve">03 </w:t>
      </w:r>
      <w:r w:rsidRPr="00514C80">
        <w:t>is compatible with human rights, as it does not raise any human rights issues.</w:t>
      </w:r>
    </w:p>
    <w:sectPr w:rsidR="00EE68A7" w:rsidRPr="00EE68A7" w:rsidSect="00BB0677">
      <w:headerReference w:type="even" r:id="rId17"/>
      <w:headerReference w:type="default" r:id="rId18"/>
      <w:footerReference w:type="default" r:id="rId19"/>
      <w:headerReference w:type="first" r:id="rId20"/>
      <w:footerReference w:type="first" r:id="rId2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3B7C" w14:textId="77777777" w:rsidR="0031137E" w:rsidRDefault="0031137E" w:rsidP="00D82CC0">
      <w:r>
        <w:separator/>
      </w:r>
    </w:p>
  </w:endnote>
  <w:endnote w:type="continuationSeparator" w:id="0">
    <w:p w14:paraId="5DDD0273" w14:textId="77777777" w:rsidR="0031137E" w:rsidRDefault="0031137E" w:rsidP="00D82CC0">
      <w:r>
        <w:continuationSeparator/>
      </w:r>
    </w:p>
  </w:endnote>
  <w:endnote w:type="continuationNotice" w:id="1">
    <w:p w14:paraId="76AF35E0" w14:textId="77777777" w:rsidR="0031137E" w:rsidRDefault="003113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599110"/>
      <w:docPartObj>
        <w:docPartGallery w:val="Page Numbers (Bottom of Page)"/>
        <w:docPartUnique/>
      </w:docPartObj>
    </w:sdtPr>
    <w:sdtEndPr>
      <w:rPr>
        <w:noProof/>
      </w:rPr>
    </w:sdtEndPr>
    <w:sdtContent>
      <w:p w14:paraId="7D085CBA" w14:textId="043B0C75" w:rsidR="0031137E" w:rsidRDefault="003113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7DB1C" w14:textId="5A2A0F6D" w:rsidR="0031137E" w:rsidRDefault="0031137E" w:rsidP="00231267">
    <w:pPr>
      <w:pStyle w:val="Header"/>
      <w:jc w:val="center"/>
      <w:rPr>
        <w:rFonts w:ascii="Arial" w:hAnsi="Arial" w:cs="Arial"/>
        <w:color w:val="FF0000"/>
        <w:sz w:val="28"/>
        <w:szCs w:val="28"/>
      </w:rPr>
    </w:pPr>
    <w:r>
      <w:rPr>
        <w:rFonts w:ascii="Arial" w:hAnsi="Arial" w:cs="Arial"/>
        <w:color w:val="FF0000"/>
        <w:sz w:val="28"/>
        <w:szCs w:val="28"/>
      </w:rPr>
      <w:t>DRAFT FOR CONSULTATION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E346" w14:textId="4431587E" w:rsidR="0031137E" w:rsidRDefault="0031137E" w:rsidP="00BB0677">
    <w:pPr>
      <w:pStyle w:val="Header"/>
      <w:jc w:val="center"/>
      <w:rPr>
        <w:rFonts w:ascii="Arial" w:hAnsi="Arial" w:cs="Arial"/>
        <w:color w:val="FF0000"/>
        <w:sz w:val="28"/>
        <w:szCs w:val="28"/>
      </w:rPr>
    </w:pPr>
    <w:r>
      <w:rPr>
        <w:rFonts w:ascii="Arial" w:hAnsi="Arial" w:cs="Arial"/>
        <w:color w:val="FF0000"/>
        <w:sz w:val="28"/>
        <w:szCs w:val="28"/>
      </w:rPr>
      <w:t>DRAFT FOR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450977"/>
      <w:docPartObj>
        <w:docPartGallery w:val="Page Numbers (Bottom of Page)"/>
        <w:docPartUnique/>
      </w:docPartObj>
    </w:sdtPr>
    <w:sdtEndPr>
      <w:rPr>
        <w:noProof/>
      </w:rPr>
    </w:sdtEndPr>
    <w:sdtContent>
      <w:p w14:paraId="3AEBEDA9" w14:textId="77777777" w:rsidR="0031137E" w:rsidRDefault="003113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93813" w14:textId="77777777" w:rsidR="0031137E" w:rsidRDefault="0031137E" w:rsidP="00231267">
    <w:pPr>
      <w:pStyle w:val="Header"/>
      <w:jc w:val="center"/>
      <w:rPr>
        <w:rFonts w:ascii="Arial" w:hAnsi="Arial" w:cs="Arial"/>
        <w:color w:val="FF0000"/>
        <w:sz w:val="28"/>
        <w:szCs w:val="28"/>
      </w:rPr>
    </w:pPr>
    <w:r>
      <w:rPr>
        <w:rFonts w:ascii="Arial" w:hAnsi="Arial" w:cs="Arial"/>
        <w:color w:val="FF0000"/>
        <w:sz w:val="28"/>
        <w:szCs w:val="28"/>
      </w:rPr>
      <w:t>DRAFT FOR CONSULTATION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360159"/>
      <w:docPartObj>
        <w:docPartGallery w:val="Page Numbers (Bottom of Page)"/>
        <w:docPartUnique/>
      </w:docPartObj>
    </w:sdtPr>
    <w:sdtEndPr>
      <w:rPr>
        <w:noProof/>
      </w:rPr>
    </w:sdtEndPr>
    <w:sdtContent>
      <w:p w14:paraId="27A45897" w14:textId="58502686" w:rsidR="0031137E" w:rsidRDefault="003113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4ED092" w14:textId="236611F9" w:rsidR="0031137E" w:rsidRDefault="0031137E" w:rsidP="00231267">
    <w:pPr>
      <w:pStyle w:val="Header"/>
      <w:jc w:val="center"/>
      <w:rPr>
        <w:rFonts w:ascii="Arial" w:hAnsi="Arial" w:cs="Arial"/>
        <w:color w:val="FF0000"/>
        <w:sz w:val="28"/>
        <w:szCs w:val="28"/>
      </w:rPr>
    </w:pPr>
    <w:r>
      <w:rPr>
        <w:rFonts w:ascii="Arial" w:hAnsi="Arial" w:cs="Arial"/>
        <w:color w:val="FF0000"/>
        <w:sz w:val="28"/>
        <w:szCs w:val="28"/>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54D4" w14:textId="77777777" w:rsidR="0031137E" w:rsidRDefault="0031137E" w:rsidP="00D82CC0">
      <w:r>
        <w:separator/>
      </w:r>
    </w:p>
  </w:footnote>
  <w:footnote w:type="continuationSeparator" w:id="0">
    <w:p w14:paraId="355E3A3C" w14:textId="77777777" w:rsidR="0031137E" w:rsidRDefault="0031137E" w:rsidP="00D82CC0">
      <w:r>
        <w:continuationSeparator/>
      </w:r>
    </w:p>
  </w:footnote>
  <w:footnote w:type="continuationNotice" w:id="1">
    <w:p w14:paraId="6FC1C137" w14:textId="77777777" w:rsidR="0031137E" w:rsidRDefault="0031137E">
      <w:pPr>
        <w:spacing w:before="0" w:after="0"/>
      </w:pPr>
    </w:p>
  </w:footnote>
  <w:footnote w:id="2">
    <w:p w14:paraId="3A88F931" w14:textId="174B6EB7" w:rsidR="0031137E" w:rsidRPr="0031137E" w:rsidRDefault="0031137E">
      <w:pPr>
        <w:pStyle w:val="FootnoteText"/>
        <w:rPr>
          <w:lang w:val="en-US"/>
        </w:rPr>
      </w:pPr>
      <w:r>
        <w:rPr>
          <w:rStyle w:val="FootnoteReference"/>
        </w:rPr>
        <w:footnoteRef/>
      </w:r>
      <w:r>
        <w:t xml:space="preserve"> Full name of the agreement -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31137E" w:rsidRPr="005F7AFE" w14:paraId="39A442C3" w14:textId="77777777" w:rsidTr="00B3487D">
      <w:tc>
        <w:tcPr>
          <w:tcW w:w="8080" w:type="dxa"/>
          <w:shd w:val="clear" w:color="auto" w:fill="auto"/>
        </w:tcPr>
        <w:p w14:paraId="74E9C691" w14:textId="00E657B9" w:rsidR="0031137E" w:rsidRPr="008A05F7" w:rsidRDefault="0031137E" w:rsidP="00996FC2">
          <w:pPr>
            <w:pStyle w:val="Header"/>
            <w:spacing w:before="0" w:after="0"/>
            <w:rPr>
              <w:szCs w:val="20"/>
            </w:rPr>
          </w:pPr>
          <w:r w:rsidRPr="00D4474D">
            <w:t xml:space="preserve">Vehicle Standard (Australian Design Rule </w:t>
          </w:r>
          <w:r>
            <w:t>79/05</w:t>
          </w:r>
          <w:r w:rsidRPr="00D4474D">
            <w:t xml:space="preserve"> – Emission Control for </w:t>
          </w:r>
          <w:r>
            <w:t>Light</w:t>
          </w:r>
          <w:r w:rsidRPr="00D4474D">
            <w:t xml:space="preserve"> Vehicles) 2022</w:t>
          </w:r>
        </w:p>
      </w:tc>
      <w:tc>
        <w:tcPr>
          <w:tcW w:w="425" w:type="dxa"/>
          <w:vMerge w:val="restart"/>
          <w:shd w:val="clear" w:color="auto" w:fill="auto"/>
        </w:tcPr>
        <w:p w14:paraId="47739EEA" w14:textId="77777777" w:rsidR="0031137E" w:rsidRPr="005F7AFE" w:rsidRDefault="0031137E"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31137E" w:rsidRPr="005F7AFE" w14:paraId="385C71CB" w14:textId="77777777" w:rsidTr="00B3487D">
      <w:tc>
        <w:tcPr>
          <w:tcW w:w="8080" w:type="dxa"/>
          <w:tcBorders>
            <w:bottom w:val="single" w:sz="4" w:space="0" w:color="auto"/>
          </w:tcBorders>
          <w:shd w:val="clear" w:color="auto" w:fill="auto"/>
        </w:tcPr>
        <w:p w14:paraId="6DA1FED1" w14:textId="77777777" w:rsidR="0031137E" w:rsidRPr="00DC33CF" w:rsidRDefault="0031137E"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7AB978CE" w14:textId="77777777" w:rsidR="0031137E" w:rsidRPr="005F7AFE" w:rsidRDefault="0031137E" w:rsidP="00996FC2">
          <w:pPr>
            <w:tabs>
              <w:tab w:val="center" w:pos="4153"/>
              <w:tab w:val="right" w:pos="8306"/>
            </w:tabs>
            <w:suppressAutoHyphens/>
            <w:spacing w:before="0" w:after="0"/>
            <w:jc w:val="center"/>
            <w:rPr>
              <w:spacing w:val="-2"/>
              <w:sz w:val="20"/>
              <w:szCs w:val="20"/>
              <w:lang w:val="x-none" w:eastAsia="x-none"/>
            </w:rPr>
          </w:pPr>
        </w:p>
      </w:tc>
    </w:tr>
  </w:tbl>
  <w:p w14:paraId="4D86556F" w14:textId="77777777" w:rsidR="0031137E" w:rsidRDefault="0031137E"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796F" w14:textId="284F5584" w:rsidR="0031137E" w:rsidRDefault="00D30DCE" w:rsidP="00231267">
    <w:pPr>
      <w:pStyle w:val="Header"/>
      <w:jc w:val="center"/>
      <w:rPr>
        <w:rFonts w:ascii="Arial" w:hAnsi="Arial" w:cs="Arial"/>
        <w:color w:val="FF0000"/>
        <w:sz w:val="28"/>
        <w:szCs w:val="28"/>
      </w:rPr>
    </w:pPr>
    <w:sdt>
      <w:sdtPr>
        <w:id w:val="1627506071"/>
        <w:docPartObj>
          <w:docPartGallery w:val="Watermarks"/>
          <w:docPartUnique/>
        </w:docPartObj>
      </w:sdtPr>
      <w:sdtEndPr/>
      <w:sdtContent>
        <w:r>
          <w:rPr>
            <w:noProof/>
          </w:rPr>
          <w:pict w14:anchorId="71C12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137E" w:rsidRPr="00231267">
      <w:rPr>
        <w:rFonts w:ascii="Arial" w:hAnsi="Arial" w:cs="Arial"/>
        <w:color w:val="FF0000"/>
        <w:sz w:val="28"/>
        <w:szCs w:val="28"/>
      </w:rPr>
      <w:t xml:space="preserve"> </w:t>
    </w:r>
    <w:r w:rsidR="0031137E">
      <w:rPr>
        <w:rFonts w:ascii="Arial" w:hAnsi="Arial" w:cs="Arial"/>
        <w:color w:val="FF0000"/>
        <w:sz w:val="28"/>
        <w:szCs w:val="28"/>
      </w:rPr>
      <w:t>DRAFT FOR CONSULTATION</w:t>
    </w:r>
  </w:p>
  <w:p w14:paraId="1DC7C1FF" w14:textId="5B323751" w:rsidR="0031137E" w:rsidRDefault="0031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AE62" w14:textId="77777777" w:rsidR="0031137E" w:rsidRDefault="00311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A2A8" w14:textId="77777777" w:rsidR="0031137E" w:rsidRDefault="0031137E" w:rsidP="00231267">
    <w:pPr>
      <w:pStyle w:val="Header"/>
      <w:jc w:val="center"/>
      <w:rPr>
        <w:rFonts w:ascii="Arial" w:hAnsi="Arial" w:cs="Arial"/>
        <w:color w:val="FF0000"/>
        <w:sz w:val="28"/>
        <w:szCs w:val="28"/>
      </w:rPr>
    </w:pPr>
    <w:r>
      <w:rPr>
        <w:rFonts w:ascii="Arial" w:hAnsi="Arial" w:cs="Arial"/>
        <w:color w:val="FF0000"/>
        <w:sz w:val="28"/>
        <w:szCs w:val="28"/>
      </w:rPr>
      <w:t>DRAFT FOR CONSULTATION</w:t>
    </w:r>
  </w:p>
  <w:tbl>
    <w:tblPr>
      <w:tblW w:w="8505" w:type="dxa"/>
      <w:tblLook w:val="01E0" w:firstRow="1" w:lastRow="1" w:firstColumn="1" w:lastColumn="1" w:noHBand="0" w:noVBand="0"/>
    </w:tblPr>
    <w:tblGrid>
      <w:gridCol w:w="8162"/>
      <w:gridCol w:w="343"/>
    </w:tblGrid>
    <w:tr w:rsidR="0031137E" w:rsidRPr="001F5393" w14:paraId="677FBB62" w14:textId="77777777" w:rsidTr="00A37613">
      <w:tc>
        <w:tcPr>
          <w:tcW w:w="8162" w:type="dxa"/>
          <w:shd w:val="clear" w:color="auto" w:fill="auto"/>
        </w:tcPr>
        <w:p w14:paraId="203A0060" w14:textId="6F60B851" w:rsidR="0031137E" w:rsidRDefault="0031137E" w:rsidP="008D2B5E">
          <w:pPr>
            <w:pStyle w:val="Header"/>
            <w:spacing w:before="0" w:after="0"/>
          </w:pPr>
          <w:r w:rsidRPr="008D2B5E">
            <w:t>Vehicle Standard (Australian Design Rule 81/03 – Fuel Consumption Labelling and Carbon Dioxide Emissions Measurement) 202</w:t>
          </w:r>
          <w:r>
            <w:t>5</w:t>
          </w:r>
        </w:p>
        <w:p w14:paraId="19A595F6" w14:textId="4AB85DE7" w:rsidR="0031137E" w:rsidRPr="001F5393" w:rsidRDefault="0031137E" w:rsidP="008D2B5E">
          <w:pPr>
            <w:pStyle w:val="Header"/>
            <w:spacing w:before="0" w:after="0"/>
            <w:rPr>
              <w:szCs w:val="20"/>
            </w:rPr>
          </w:pPr>
          <w:r w:rsidRPr="001F5393">
            <w:t>Explanatory Statement</w:t>
          </w:r>
        </w:p>
      </w:tc>
      <w:tc>
        <w:tcPr>
          <w:tcW w:w="343" w:type="dxa"/>
          <w:vMerge w:val="restart"/>
          <w:shd w:val="clear" w:color="auto" w:fill="auto"/>
        </w:tcPr>
        <w:p w14:paraId="0076C567" w14:textId="6C8BDD94" w:rsidR="0031137E" w:rsidRPr="001F5393" w:rsidRDefault="0031137E" w:rsidP="00A37613">
          <w:pPr>
            <w:tabs>
              <w:tab w:val="center" w:pos="4153"/>
              <w:tab w:val="right" w:pos="8306"/>
            </w:tabs>
            <w:suppressAutoHyphens/>
            <w:spacing w:before="0" w:after="0"/>
            <w:jc w:val="center"/>
            <w:rPr>
              <w:spacing w:val="-2"/>
              <w:sz w:val="20"/>
              <w:szCs w:val="20"/>
              <w:lang w:val="x-none" w:eastAsia="x-none"/>
            </w:rPr>
          </w:pPr>
        </w:p>
      </w:tc>
    </w:tr>
    <w:tr w:rsidR="0031137E" w:rsidRPr="001F5393" w14:paraId="6D7CC78F" w14:textId="77777777" w:rsidTr="00A37613">
      <w:tc>
        <w:tcPr>
          <w:tcW w:w="8162" w:type="dxa"/>
          <w:tcBorders>
            <w:bottom w:val="single" w:sz="4" w:space="0" w:color="auto"/>
          </w:tcBorders>
          <w:shd w:val="clear" w:color="auto" w:fill="auto"/>
        </w:tcPr>
        <w:p w14:paraId="2A449CEF" w14:textId="11A0B3FB" w:rsidR="0031137E" w:rsidRPr="001F5393" w:rsidRDefault="0031137E" w:rsidP="00A37613">
          <w:pPr>
            <w:pStyle w:val="Header"/>
            <w:spacing w:before="0" w:after="0"/>
          </w:pPr>
        </w:p>
      </w:tc>
      <w:tc>
        <w:tcPr>
          <w:tcW w:w="343" w:type="dxa"/>
          <w:vMerge/>
          <w:tcBorders>
            <w:bottom w:val="single" w:sz="4" w:space="0" w:color="auto"/>
          </w:tcBorders>
          <w:shd w:val="clear" w:color="auto" w:fill="auto"/>
          <w:vAlign w:val="center"/>
        </w:tcPr>
        <w:p w14:paraId="25454535" w14:textId="77777777" w:rsidR="0031137E" w:rsidRPr="001F5393" w:rsidRDefault="0031137E" w:rsidP="00A37613">
          <w:pPr>
            <w:tabs>
              <w:tab w:val="center" w:pos="4153"/>
              <w:tab w:val="right" w:pos="8306"/>
            </w:tabs>
            <w:suppressAutoHyphens/>
            <w:spacing w:before="0" w:after="0"/>
            <w:jc w:val="center"/>
            <w:rPr>
              <w:spacing w:val="-2"/>
              <w:sz w:val="20"/>
              <w:szCs w:val="20"/>
              <w:lang w:val="x-none" w:eastAsia="x-none"/>
            </w:rPr>
          </w:pPr>
        </w:p>
      </w:tc>
    </w:tr>
  </w:tbl>
  <w:p w14:paraId="55A2EF96" w14:textId="007A28A8" w:rsidR="0031137E" w:rsidRDefault="0031137E" w:rsidP="002312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31137E" w:rsidRPr="001F5393" w14:paraId="3008BB4F" w14:textId="77777777" w:rsidTr="001E3FA7">
      <w:tc>
        <w:tcPr>
          <w:tcW w:w="8162" w:type="dxa"/>
          <w:shd w:val="clear" w:color="auto" w:fill="auto"/>
          <w:vAlign w:val="center"/>
        </w:tcPr>
        <w:p w14:paraId="4E7A5405" w14:textId="77777777" w:rsidR="0031137E" w:rsidRDefault="0031137E" w:rsidP="00231267">
          <w:pPr>
            <w:pStyle w:val="Header"/>
            <w:jc w:val="center"/>
            <w:rPr>
              <w:rFonts w:ascii="Arial" w:hAnsi="Arial" w:cs="Arial"/>
              <w:color w:val="FF0000"/>
              <w:sz w:val="28"/>
              <w:szCs w:val="28"/>
            </w:rPr>
          </w:pPr>
          <w:r>
            <w:rPr>
              <w:rFonts w:ascii="Arial" w:hAnsi="Arial" w:cs="Arial"/>
              <w:color w:val="FF0000"/>
              <w:sz w:val="28"/>
              <w:szCs w:val="28"/>
            </w:rPr>
            <w:t>DRAFT FOR CONSULTATION</w:t>
          </w:r>
        </w:p>
        <w:p w14:paraId="62D5A4A6" w14:textId="388B5697" w:rsidR="0031137E" w:rsidRDefault="0031137E" w:rsidP="00231267">
          <w:pPr>
            <w:pStyle w:val="Header"/>
            <w:spacing w:before="0" w:after="0"/>
          </w:pPr>
          <w:bookmarkStart w:id="478" w:name="_Hlk174611367"/>
          <w:r w:rsidRPr="008D2B5E">
            <w:t>Vehicle Standard (Australian Design Rule 81/03 – Fuel Consumption Labelling and Carbon Dioxide Emissions Measurement) 202</w:t>
          </w:r>
          <w:r>
            <w:t>5</w:t>
          </w:r>
        </w:p>
        <w:p w14:paraId="0CCC90D8" w14:textId="3AD1CB37" w:rsidR="0031137E" w:rsidRPr="001F5393" w:rsidRDefault="0031137E" w:rsidP="00231267">
          <w:pPr>
            <w:pStyle w:val="Header"/>
            <w:spacing w:before="0" w:after="0"/>
            <w:rPr>
              <w:szCs w:val="20"/>
            </w:rPr>
          </w:pPr>
          <w:r w:rsidRPr="001F5393">
            <w:t>Explanatory Statement</w:t>
          </w:r>
          <w:bookmarkEnd w:id="478"/>
        </w:p>
      </w:tc>
      <w:tc>
        <w:tcPr>
          <w:tcW w:w="343" w:type="dxa"/>
          <w:vMerge w:val="restart"/>
          <w:shd w:val="clear" w:color="auto" w:fill="auto"/>
        </w:tcPr>
        <w:p w14:paraId="1EDD6F6F" w14:textId="7AC7CFFE" w:rsidR="0031137E" w:rsidRPr="001F5393" w:rsidRDefault="0031137E" w:rsidP="00BB0677">
          <w:pPr>
            <w:tabs>
              <w:tab w:val="center" w:pos="4153"/>
              <w:tab w:val="right" w:pos="8306"/>
            </w:tabs>
            <w:suppressAutoHyphens/>
            <w:spacing w:before="0" w:after="0"/>
            <w:rPr>
              <w:spacing w:val="-2"/>
              <w:sz w:val="20"/>
              <w:szCs w:val="20"/>
              <w:lang w:val="x-none" w:eastAsia="x-none"/>
            </w:rPr>
          </w:pPr>
        </w:p>
      </w:tc>
    </w:tr>
    <w:tr w:rsidR="0031137E" w:rsidRPr="001F5393" w14:paraId="75D111AF" w14:textId="77777777" w:rsidTr="001E3FA7">
      <w:tc>
        <w:tcPr>
          <w:tcW w:w="8162" w:type="dxa"/>
          <w:tcBorders>
            <w:bottom w:val="single" w:sz="4" w:space="0" w:color="auto"/>
          </w:tcBorders>
          <w:shd w:val="clear" w:color="auto" w:fill="auto"/>
          <w:vAlign w:val="center"/>
        </w:tcPr>
        <w:p w14:paraId="5A069233" w14:textId="08D1CD5A" w:rsidR="0031137E" w:rsidRPr="001F5393" w:rsidRDefault="0031137E" w:rsidP="001F5393">
          <w:pPr>
            <w:pStyle w:val="Header"/>
            <w:spacing w:before="0" w:after="0"/>
          </w:pPr>
        </w:p>
      </w:tc>
      <w:tc>
        <w:tcPr>
          <w:tcW w:w="343" w:type="dxa"/>
          <w:vMerge/>
          <w:tcBorders>
            <w:bottom w:val="single" w:sz="4" w:space="0" w:color="auto"/>
          </w:tcBorders>
          <w:shd w:val="clear" w:color="auto" w:fill="auto"/>
          <w:vAlign w:val="center"/>
        </w:tcPr>
        <w:p w14:paraId="492399D3" w14:textId="77777777" w:rsidR="0031137E" w:rsidRPr="001F5393" w:rsidRDefault="0031137E" w:rsidP="001F5393">
          <w:pPr>
            <w:tabs>
              <w:tab w:val="center" w:pos="4153"/>
              <w:tab w:val="right" w:pos="8306"/>
            </w:tabs>
            <w:suppressAutoHyphens/>
            <w:spacing w:before="0" w:after="0"/>
            <w:jc w:val="center"/>
            <w:rPr>
              <w:spacing w:val="-2"/>
              <w:sz w:val="20"/>
              <w:szCs w:val="20"/>
              <w:lang w:val="x-none" w:eastAsia="x-none"/>
            </w:rPr>
          </w:pPr>
        </w:p>
      </w:tc>
    </w:tr>
  </w:tbl>
  <w:p w14:paraId="70A06533" w14:textId="77777777" w:rsidR="0031137E" w:rsidRDefault="0031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51930"/>
    <w:multiLevelType w:val="hybridMultilevel"/>
    <w:tmpl w:val="BED69A24"/>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EE81B85"/>
    <w:multiLevelType w:val="hybridMultilevel"/>
    <w:tmpl w:val="3230BFB4"/>
    <w:lvl w:ilvl="0" w:tplc="493CEF9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6851BFC"/>
    <w:multiLevelType w:val="multilevel"/>
    <w:tmpl w:val="7BA4AEB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BBC104F"/>
    <w:multiLevelType w:val="hybridMultilevel"/>
    <w:tmpl w:val="E1EE2DBA"/>
    <w:lvl w:ilvl="0" w:tplc="5EBE2D0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07478C"/>
    <w:multiLevelType w:val="multilevel"/>
    <w:tmpl w:val="F924A176"/>
    <w:lvl w:ilvl="0">
      <w:start w:val="2"/>
      <w:numFmt w:val="decimal"/>
      <w:pStyle w:val="LegislativeHeading1"/>
      <w:lvlText w:val="%1."/>
      <w:lvlJc w:val="left"/>
      <w:pPr>
        <w:ind w:left="1418" w:hanging="1418"/>
      </w:pPr>
      <w:rPr>
        <w:rFonts w:hint="default"/>
      </w:rPr>
    </w:lvl>
    <w:lvl w:ilvl="1">
      <w:start w:val="1"/>
      <w:numFmt w:val="decimal"/>
      <w:pStyle w:val="LegislativeHeading2"/>
      <w:lvlText w:val="%1.%2"/>
      <w:lvlJc w:val="left"/>
      <w:pPr>
        <w:ind w:left="5530" w:hanging="1418"/>
      </w:pPr>
      <w:rPr>
        <w:rFonts w:hint="default"/>
        <w:i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7"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8" w15:restartNumberingAfterBreak="0">
    <w:nsid w:val="386F3FE5"/>
    <w:multiLevelType w:val="multilevel"/>
    <w:tmpl w:val="D29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F5BC0"/>
    <w:multiLevelType w:val="hybridMultilevel"/>
    <w:tmpl w:val="3D265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F7506F"/>
    <w:multiLevelType w:val="multilevel"/>
    <w:tmpl w:val="F47E3EBE"/>
    <w:lvl w:ilvl="0">
      <w:start w:val="1"/>
      <w:numFmt w:val="decimal"/>
      <w:pStyle w:val="MainHeadding"/>
      <w:lvlText w:val="%1."/>
      <w:lvlJc w:val="left"/>
      <w:pPr>
        <w:tabs>
          <w:tab w:val="num" w:pos="2553"/>
        </w:tabs>
        <w:ind w:left="2553" w:hanging="851"/>
      </w:pPr>
      <w:rPr>
        <w:rFonts w:hint="default"/>
      </w:rPr>
    </w:lvl>
    <w:lvl w:ilvl="1">
      <w:start w:val="1"/>
      <w:numFmt w:val="decimal"/>
      <w:pStyle w:val="Subsection"/>
      <w:lvlText w:val="%1.%2."/>
      <w:lvlJc w:val="left"/>
      <w:pPr>
        <w:tabs>
          <w:tab w:val="num" w:pos="993"/>
        </w:tabs>
        <w:ind w:left="993" w:hanging="851"/>
      </w:pPr>
      <w:rPr>
        <w:rFonts w:hint="default"/>
      </w:rPr>
    </w:lvl>
    <w:lvl w:ilvl="2">
      <w:start w:val="1"/>
      <w:numFmt w:val="decimal"/>
      <w:pStyle w:val="Subsubsection"/>
      <w:lvlText w:val="%1.%2.%3."/>
      <w:lvlJc w:val="left"/>
      <w:pPr>
        <w:tabs>
          <w:tab w:val="num" w:pos="-1701"/>
        </w:tabs>
        <w:ind w:left="-1701" w:hanging="851"/>
      </w:pPr>
      <w:rPr>
        <w:rFonts w:hint="default"/>
      </w:rPr>
    </w:lvl>
    <w:lvl w:ilvl="3">
      <w:start w:val="1"/>
      <w:numFmt w:val="decimal"/>
      <w:pStyle w:val="Subsubsubsection"/>
      <w:lvlText w:val="%1.%2.%3.%4."/>
      <w:lvlJc w:val="left"/>
      <w:pPr>
        <w:tabs>
          <w:tab w:val="num" w:pos="-1701"/>
        </w:tabs>
        <w:ind w:left="-1701" w:hanging="851"/>
      </w:pPr>
      <w:rPr>
        <w:rFonts w:hint="default"/>
      </w:rPr>
    </w:lvl>
    <w:lvl w:ilvl="4">
      <w:start w:val="1"/>
      <w:numFmt w:val="decimal"/>
      <w:lvlText w:val="%1.%2.%3.%4.%5."/>
      <w:lvlJc w:val="left"/>
      <w:pPr>
        <w:tabs>
          <w:tab w:val="num" w:pos="-1134"/>
        </w:tabs>
        <w:ind w:left="-2552" w:firstLine="0"/>
      </w:pPr>
      <w:rPr>
        <w:rFonts w:hint="default"/>
      </w:rPr>
    </w:lvl>
    <w:lvl w:ilvl="5">
      <w:start w:val="1"/>
      <w:numFmt w:val="decimal"/>
      <w:lvlText w:val="%1.%2.%3.%4.%5.%6."/>
      <w:lvlJc w:val="left"/>
      <w:pPr>
        <w:tabs>
          <w:tab w:val="num" w:pos="1264"/>
        </w:tabs>
        <w:ind w:left="1264" w:hanging="936"/>
      </w:pPr>
      <w:rPr>
        <w:rFonts w:hint="default"/>
      </w:rPr>
    </w:lvl>
    <w:lvl w:ilvl="6">
      <w:start w:val="1"/>
      <w:numFmt w:val="decimal"/>
      <w:lvlText w:val="%1.%2.%3.%4.%5.%6.%7."/>
      <w:lvlJc w:val="left"/>
      <w:pPr>
        <w:tabs>
          <w:tab w:val="num" w:pos="1768"/>
        </w:tabs>
        <w:ind w:left="1768" w:hanging="1080"/>
      </w:pPr>
      <w:rPr>
        <w:rFonts w:hint="default"/>
      </w:rPr>
    </w:lvl>
    <w:lvl w:ilvl="7">
      <w:start w:val="1"/>
      <w:numFmt w:val="decimal"/>
      <w:lvlText w:val="%1.%2.%3.%4.%5.%6.%7.%8."/>
      <w:lvlJc w:val="left"/>
      <w:pPr>
        <w:tabs>
          <w:tab w:val="num" w:pos="2272"/>
        </w:tabs>
        <w:ind w:left="2272" w:hanging="1224"/>
      </w:pPr>
      <w:rPr>
        <w:rFonts w:hint="default"/>
      </w:rPr>
    </w:lvl>
    <w:lvl w:ilvl="8">
      <w:start w:val="1"/>
      <w:numFmt w:val="decimal"/>
      <w:lvlText w:val="%1.%2.%3.%4.%5.%6.%7.%8.%9."/>
      <w:lvlJc w:val="left"/>
      <w:pPr>
        <w:tabs>
          <w:tab w:val="num" w:pos="2848"/>
        </w:tabs>
        <w:ind w:left="2848" w:hanging="1440"/>
      </w:pPr>
      <w:rPr>
        <w:rFonts w:hint="default"/>
      </w:rPr>
    </w:lvl>
  </w:abstractNum>
  <w:abstractNum w:abstractNumId="11" w15:restartNumberingAfterBreak="0">
    <w:nsid w:val="64E201DE"/>
    <w:multiLevelType w:val="hybridMultilevel"/>
    <w:tmpl w:val="E006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EC6679"/>
    <w:multiLevelType w:val="hybridMultilevel"/>
    <w:tmpl w:val="E8E2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2"/>
  </w:num>
  <w:num w:numId="5">
    <w:abstractNumId w:val="7"/>
  </w:num>
  <w:num w:numId="6">
    <w:abstractNumId w:val="13"/>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8"/>
  </w:num>
  <w:num w:numId="21">
    <w:abstractNumId w:val="14"/>
  </w:num>
  <w:num w:numId="22">
    <w:abstractNumId w:val="9"/>
  </w:num>
  <w:num w:numId="23">
    <w:abstractNumId w:val="1"/>
  </w:num>
  <w:num w:numId="24">
    <w:abstractNumId w:val="6"/>
  </w:num>
  <w:num w:numId="25">
    <w:abstractNumId w:val="11"/>
  </w:num>
  <w:num w:numId="26">
    <w:abstractNumId w:val="10"/>
  </w:num>
  <w:num w:numId="27">
    <w:abstractNumId w:val="4"/>
  </w:num>
  <w:num w:numId="28">
    <w:abstractNumId w:val="3"/>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8675"/>
    <o:shapelayout v:ext="edit">
      <o:idmap v:ext="edit" data="2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31C17"/>
    <w:rsid w:val="000335E2"/>
    <w:rsid w:val="00035887"/>
    <w:rsid w:val="00040841"/>
    <w:rsid w:val="00041D7B"/>
    <w:rsid w:val="0004459A"/>
    <w:rsid w:val="000450E7"/>
    <w:rsid w:val="00045C8F"/>
    <w:rsid w:val="00050C17"/>
    <w:rsid w:val="00050FB8"/>
    <w:rsid w:val="00051BDE"/>
    <w:rsid w:val="00052EF3"/>
    <w:rsid w:val="0005416F"/>
    <w:rsid w:val="00054851"/>
    <w:rsid w:val="00054BEE"/>
    <w:rsid w:val="00054DEF"/>
    <w:rsid w:val="000562F1"/>
    <w:rsid w:val="00056F3D"/>
    <w:rsid w:val="000604A0"/>
    <w:rsid w:val="00064AFA"/>
    <w:rsid w:val="000650DA"/>
    <w:rsid w:val="000655E9"/>
    <w:rsid w:val="00066290"/>
    <w:rsid w:val="00066F93"/>
    <w:rsid w:val="00067219"/>
    <w:rsid w:val="000672DC"/>
    <w:rsid w:val="000713D8"/>
    <w:rsid w:val="00073E14"/>
    <w:rsid w:val="000740DE"/>
    <w:rsid w:val="00074D90"/>
    <w:rsid w:val="000760A3"/>
    <w:rsid w:val="0007625E"/>
    <w:rsid w:val="000779D0"/>
    <w:rsid w:val="0008418F"/>
    <w:rsid w:val="00084625"/>
    <w:rsid w:val="0008652F"/>
    <w:rsid w:val="00090BD4"/>
    <w:rsid w:val="00093AA6"/>
    <w:rsid w:val="00094679"/>
    <w:rsid w:val="000950F4"/>
    <w:rsid w:val="000957CE"/>
    <w:rsid w:val="0009658B"/>
    <w:rsid w:val="000968DF"/>
    <w:rsid w:val="000977FA"/>
    <w:rsid w:val="000A5A8B"/>
    <w:rsid w:val="000B0430"/>
    <w:rsid w:val="000B09A3"/>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D63A9"/>
    <w:rsid w:val="000D6D3C"/>
    <w:rsid w:val="000E037F"/>
    <w:rsid w:val="000E3161"/>
    <w:rsid w:val="000E3BAA"/>
    <w:rsid w:val="000E3CB6"/>
    <w:rsid w:val="000E46B1"/>
    <w:rsid w:val="000E556E"/>
    <w:rsid w:val="000E6F99"/>
    <w:rsid w:val="000E73ED"/>
    <w:rsid w:val="000E7A76"/>
    <w:rsid w:val="000E7F8C"/>
    <w:rsid w:val="000F1192"/>
    <w:rsid w:val="000F162D"/>
    <w:rsid w:val="000F36B1"/>
    <w:rsid w:val="000F4182"/>
    <w:rsid w:val="000F534E"/>
    <w:rsid w:val="000F5B27"/>
    <w:rsid w:val="000F620B"/>
    <w:rsid w:val="000F6F83"/>
    <w:rsid w:val="000F793B"/>
    <w:rsid w:val="00101E42"/>
    <w:rsid w:val="00102EE7"/>
    <w:rsid w:val="00105209"/>
    <w:rsid w:val="00106865"/>
    <w:rsid w:val="00106C75"/>
    <w:rsid w:val="001112CA"/>
    <w:rsid w:val="0011211D"/>
    <w:rsid w:val="001143B9"/>
    <w:rsid w:val="00117116"/>
    <w:rsid w:val="0012081F"/>
    <w:rsid w:val="00120C5D"/>
    <w:rsid w:val="0012110B"/>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A36"/>
    <w:rsid w:val="00171B84"/>
    <w:rsid w:val="00172964"/>
    <w:rsid w:val="00177811"/>
    <w:rsid w:val="00177ADF"/>
    <w:rsid w:val="001811E9"/>
    <w:rsid w:val="00181511"/>
    <w:rsid w:val="00187070"/>
    <w:rsid w:val="00187A7D"/>
    <w:rsid w:val="00187D37"/>
    <w:rsid w:val="00192B4F"/>
    <w:rsid w:val="00192F2E"/>
    <w:rsid w:val="00197EE4"/>
    <w:rsid w:val="001A0001"/>
    <w:rsid w:val="001A28AB"/>
    <w:rsid w:val="001A538A"/>
    <w:rsid w:val="001B0EFB"/>
    <w:rsid w:val="001B217D"/>
    <w:rsid w:val="001B21E0"/>
    <w:rsid w:val="001B2451"/>
    <w:rsid w:val="001B29A2"/>
    <w:rsid w:val="001B38AA"/>
    <w:rsid w:val="001B3B65"/>
    <w:rsid w:val="001B5F38"/>
    <w:rsid w:val="001C2946"/>
    <w:rsid w:val="001C48F9"/>
    <w:rsid w:val="001C64BC"/>
    <w:rsid w:val="001C69AE"/>
    <w:rsid w:val="001D01E5"/>
    <w:rsid w:val="001D17F3"/>
    <w:rsid w:val="001D2618"/>
    <w:rsid w:val="001D2D0B"/>
    <w:rsid w:val="001D467A"/>
    <w:rsid w:val="001D4C8A"/>
    <w:rsid w:val="001D592B"/>
    <w:rsid w:val="001D6EB4"/>
    <w:rsid w:val="001E0205"/>
    <w:rsid w:val="001E0A6A"/>
    <w:rsid w:val="001E1A19"/>
    <w:rsid w:val="001E218D"/>
    <w:rsid w:val="001E2F5D"/>
    <w:rsid w:val="001E3FA7"/>
    <w:rsid w:val="001E543A"/>
    <w:rsid w:val="001E5490"/>
    <w:rsid w:val="001E6416"/>
    <w:rsid w:val="001E6F6F"/>
    <w:rsid w:val="001E7AAD"/>
    <w:rsid w:val="001E7E7F"/>
    <w:rsid w:val="001F128D"/>
    <w:rsid w:val="001F5393"/>
    <w:rsid w:val="001F566C"/>
    <w:rsid w:val="001F7240"/>
    <w:rsid w:val="00200879"/>
    <w:rsid w:val="00200AEE"/>
    <w:rsid w:val="002019EC"/>
    <w:rsid w:val="0020549D"/>
    <w:rsid w:val="00206EF3"/>
    <w:rsid w:val="002105AD"/>
    <w:rsid w:val="00210C5E"/>
    <w:rsid w:val="00212153"/>
    <w:rsid w:val="00215C84"/>
    <w:rsid w:val="00216DD3"/>
    <w:rsid w:val="002172AC"/>
    <w:rsid w:val="00217879"/>
    <w:rsid w:val="002214DC"/>
    <w:rsid w:val="00222719"/>
    <w:rsid w:val="00224D1D"/>
    <w:rsid w:val="00225589"/>
    <w:rsid w:val="0022575C"/>
    <w:rsid w:val="00225EEA"/>
    <w:rsid w:val="002261A0"/>
    <w:rsid w:val="00226CB6"/>
    <w:rsid w:val="0022719C"/>
    <w:rsid w:val="00227A72"/>
    <w:rsid w:val="0023125C"/>
    <w:rsid w:val="00231267"/>
    <w:rsid w:val="002325B1"/>
    <w:rsid w:val="002328A8"/>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3BEA"/>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483C"/>
    <w:rsid w:val="00284C86"/>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4F80"/>
    <w:rsid w:val="002A5439"/>
    <w:rsid w:val="002A7B68"/>
    <w:rsid w:val="002B0731"/>
    <w:rsid w:val="002B1FE3"/>
    <w:rsid w:val="002B28A3"/>
    <w:rsid w:val="002B3D45"/>
    <w:rsid w:val="002B574B"/>
    <w:rsid w:val="002B7491"/>
    <w:rsid w:val="002B7CA5"/>
    <w:rsid w:val="002C121D"/>
    <w:rsid w:val="002C4578"/>
    <w:rsid w:val="002C55A1"/>
    <w:rsid w:val="002C5829"/>
    <w:rsid w:val="002D070C"/>
    <w:rsid w:val="002D0D1B"/>
    <w:rsid w:val="002D110A"/>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7C9"/>
    <w:rsid w:val="00307AA5"/>
    <w:rsid w:val="00310E9F"/>
    <w:rsid w:val="0031137E"/>
    <w:rsid w:val="003119C5"/>
    <w:rsid w:val="00314E88"/>
    <w:rsid w:val="00315263"/>
    <w:rsid w:val="003157F6"/>
    <w:rsid w:val="00316D44"/>
    <w:rsid w:val="003210C8"/>
    <w:rsid w:val="00324D51"/>
    <w:rsid w:val="00325734"/>
    <w:rsid w:val="00325A85"/>
    <w:rsid w:val="00325E9B"/>
    <w:rsid w:val="00327D1A"/>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0E88"/>
    <w:rsid w:val="0036182A"/>
    <w:rsid w:val="0036261D"/>
    <w:rsid w:val="0036300A"/>
    <w:rsid w:val="003634A7"/>
    <w:rsid w:val="00363F90"/>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2BF6"/>
    <w:rsid w:val="003A3373"/>
    <w:rsid w:val="003A3D88"/>
    <w:rsid w:val="003A3E29"/>
    <w:rsid w:val="003A45FB"/>
    <w:rsid w:val="003A4B23"/>
    <w:rsid w:val="003A4F94"/>
    <w:rsid w:val="003A7701"/>
    <w:rsid w:val="003A7E34"/>
    <w:rsid w:val="003B181D"/>
    <w:rsid w:val="003B220C"/>
    <w:rsid w:val="003B2EB6"/>
    <w:rsid w:val="003B4057"/>
    <w:rsid w:val="003B4091"/>
    <w:rsid w:val="003B4482"/>
    <w:rsid w:val="003B6992"/>
    <w:rsid w:val="003B7123"/>
    <w:rsid w:val="003B7C60"/>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1D"/>
    <w:rsid w:val="003F01D5"/>
    <w:rsid w:val="003F05AD"/>
    <w:rsid w:val="003F25A8"/>
    <w:rsid w:val="003F2671"/>
    <w:rsid w:val="003F3B46"/>
    <w:rsid w:val="003F3F23"/>
    <w:rsid w:val="003F3F3A"/>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17375"/>
    <w:rsid w:val="00420BFB"/>
    <w:rsid w:val="00422A41"/>
    <w:rsid w:val="004233CF"/>
    <w:rsid w:val="00423778"/>
    <w:rsid w:val="00426BF7"/>
    <w:rsid w:val="00430717"/>
    <w:rsid w:val="00431883"/>
    <w:rsid w:val="0043191E"/>
    <w:rsid w:val="004319D5"/>
    <w:rsid w:val="00433473"/>
    <w:rsid w:val="0043557B"/>
    <w:rsid w:val="00436327"/>
    <w:rsid w:val="00436451"/>
    <w:rsid w:val="00437142"/>
    <w:rsid w:val="00441D7B"/>
    <w:rsid w:val="00443380"/>
    <w:rsid w:val="004433E1"/>
    <w:rsid w:val="004451DD"/>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74D6"/>
    <w:rsid w:val="00471285"/>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8FD"/>
    <w:rsid w:val="004B02B9"/>
    <w:rsid w:val="004B17C6"/>
    <w:rsid w:val="004B182E"/>
    <w:rsid w:val="004B2FA0"/>
    <w:rsid w:val="004B4850"/>
    <w:rsid w:val="004B6091"/>
    <w:rsid w:val="004B6159"/>
    <w:rsid w:val="004B7D5C"/>
    <w:rsid w:val="004C0560"/>
    <w:rsid w:val="004C2A7B"/>
    <w:rsid w:val="004C3365"/>
    <w:rsid w:val="004C4A70"/>
    <w:rsid w:val="004C4E3A"/>
    <w:rsid w:val="004C52F0"/>
    <w:rsid w:val="004C6145"/>
    <w:rsid w:val="004C68B7"/>
    <w:rsid w:val="004C77FE"/>
    <w:rsid w:val="004D2D56"/>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10C5B"/>
    <w:rsid w:val="00510E74"/>
    <w:rsid w:val="005111D7"/>
    <w:rsid w:val="0051368F"/>
    <w:rsid w:val="00514C80"/>
    <w:rsid w:val="00515D0D"/>
    <w:rsid w:val="00517BDA"/>
    <w:rsid w:val="00521F3F"/>
    <w:rsid w:val="005242E3"/>
    <w:rsid w:val="00525905"/>
    <w:rsid w:val="005312A0"/>
    <w:rsid w:val="00532D71"/>
    <w:rsid w:val="00532F57"/>
    <w:rsid w:val="005338E3"/>
    <w:rsid w:val="0053400B"/>
    <w:rsid w:val="00536F80"/>
    <w:rsid w:val="005405AD"/>
    <w:rsid w:val="00540BD6"/>
    <w:rsid w:val="005421B3"/>
    <w:rsid w:val="0054227D"/>
    <w:rsid w:val="005425A9"/>
    <w:rsid w:val="00542FE1"/>
    <w:rsid w:val="0054701F"/>
    <w:rsid w:val="0054772F"/>
    <w:rsid w:val="00550A6B"/>
    <w:rsid w:val="005517EA"/>
    <w:rsid w:val="00557504"/>
    <w:rsid w:val="00560C37"/>
    <w:rsid w:val="00561BCD"/>
    <w:rsid w:val="005625B8"/>
    <w:rsid w:val="005632AF"/>
    <w:rsid w:val="00563A9A"/>
    <w:rsid w:val="005654F3"/>
    <w:rsid w:val="0056701E"/>
    <w:rsid w:val="00571229"/>
    <w:rsid w:val="00571381"/>
    <w:rsid w:val="00571507"/>
    <w:rsid w:val="005725C2"/>
    <w:rsid w:val="00572CB2"/>
    <w:rsid w:val="005737EB"/>
    <w:rsid w:val="00574ABB"/>
    <w:rsid w:val="005753E3"/>
    <w:rsid w:val="00576C28"/>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383"/>
    <w:rsid w:val="005C7895"/>
    <w:rsid w:val="005C78A2"/>
    <w:rsid w:val="005C7A67"/>
    <w:rsid w:val="005C7C4A"/>
    <w:rsid w:val="005C7DD1"/>
    <w:rsid w:val="005D100B"/>
    <w:rsid w:val="005D138B"/>
    <w:rsid w:val="005D20B2"/>
    <w:rsid w:val="005D2108"/>
    <w:rsid w:val="005D21F5"/>
    <w:rsid w:val="005D2719"/>
    <w:rsid w:val="005D3D03"/>
    <w:rsid w:val="005D43DE"/>
    <w:rsid w:val="005D5CDE"/>
    <w:rsid w:val="005D79C8"/>
    <w:rsid w:val="005E1E0E"/>
    <w:rsid w:val="005E24DF"/>
    <w:rsid w:val="005E2B4C"/>
    <w:rsid w:val="005E4E5D"/>
    <w:rsid w:val="005E7CEF"/>
    <w:rsid w:val="005E7E6B"/>
    <w:rsid w:val="005F02D7"/>
    <w:rsid w:val="005F0774"/>
    <w:rsid w:val="005F1DF6"/>
    <w:rsid w:val="005F26EF"/>
    <w:rsid w:val="005F35E2"/>
    <w:rsid w:val="005F4354"/>
    <w:rsid w:val="005F45A1"/>
    <w:rsid w:val="005F51BD"/>
    <w:rsid w:val="005F67B0"/>
    <w:rsid w:val="005F6B63"/>
    <w:rsid w:val="005F73E5"/>
    <w:rsid w:val="005F7F32"/>
    <w:rsid w:val="00601B0E"/>
    <w:rsid w:val="00604430"/>
    <w:rsid w:val="00605DCE"/>
    <w:rsid w:val="00606506"/>
    <w:rsid w:val="00606DC2"/>
    <w:rsid w:val="00607F79"/>
    <w:rsid w:val="00610FED"/>
    <w:rsid w:val="00611123"/>
    <w:rsid w:val="006136AA"/>
    <w:rsid w:val="00613CD3"/>
    <w:rsid w:val="0061459B"/>
    <w:rsid w:val="0061498D"/>
    <w:rsid w:val="00614AE7"/>
    <w:rsid w:val="00614BF2"/>
    <w:rsid w:val="0061509A"/>
    <w:rsid w:val="006152E5"/>
    <w:rsid w:val="0062031F"/>
    <w:rsid w:val="00621320"/>
    <w:rsid w:val="00621558"/>
    <w:rsid w:val="00622701"/>
    <w:rsid w:val="00623BBE"/>
    <w:rsid w:val="006245E9"/>
    <w:rsid w:val="00624845"/>
    <w:rsid w:val="00625912"/>
    <w:rsid w:val="00626433"/>
    <w:rsid w:val="00626576"/>
    <w:rsid w:val="006269F9"/>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6CE8"/>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614"/>
    <w:rsid w:val="00681FF3"/>
    <w:rsid w:val="00683139"/>
    <w:rsid w:val="00684418"/>
    <w:rsid w:val="00684A9B"/>
    <w:rsid w:val="00685694"/>
    <w:rsid w:val="006858D4"/>
    <w:rsid w:val="00686219"/>
    <w:rsid w:val="00686FCE"/>
    <w:rsid w:val="006870AE"/>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26FA"/>
    <w:rsid w:val="006E381D"/>
    <w:rsid w:val="006E6538"/>
    <w:rsid w:val="006F25F7"/>
    <w:rsid w:val="006F2BF5"/>
    <w:rsid w:val="006F42E5"/>
    <w:rsid w:val="006F4650"/>
    <w:rsid w:val="006F4D26"/>
    <w:rsid w:val="006F6F26"/>
    <w:rsid w:val="006F7D82"/>
    <w:rsid w:val="0070119A"/>
    <w:rsid w:val="007011DC"/>
    <w:rsid w:val="00703ACD"/>
    <w:rsid w:val="00703D75"/>
    <w:rsid w:val="0070692D"/>
    <w:rsid w:val="00707003"/>
    <w:rsid w:val="007136C2"/>
    <w:rsid w:val="0071541C"/>
    <w:rsid w:val="007163CE"/>
    <w:rsid w:val="00716F53"/>
    <w:rsid w:val="007243F0"/>
    <w:rsid w:val="00725167"/>
    <w:rsid w:val="00725705"/>
    <w:rsid w:val="00727DCD"/>
    <w:rsid w:val="0073109B"/>
    <w:rsid w:val="0073177B"/>
    <w:rsid w:val="00731996"/>
    <w:rsid w:val="00731D99"/>
    <w:rsid w:val="007324EE"/>
    <w:rsid w:val="00734046"/>
    <w:rsid w:val="0073476E"/>
    <w:rsid w:val="007358A7"/>
    <w:rsid w:val="007366F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699"/>
    <w:rsid w:val="007617A2"/>
    <w:rsid w:val="00761C3F"/>
    <w:rsid w:val="00762957"/>
    <w:rsid w:val="0076466E"/>
    <w:rsid w:val="007653BB"/>
    <w:rsid w:val="00765462"/>
    <w:rsid w:val="00765739"/>
    <w:rsid w:val="007659BA"/>
    <w:rsid w:val="007668B6"/>
    <w:rsid w:val="007671F8"/>
    <w:rsid w:val="00767D05"/>
    <w:rsid w:val="007732D0"/>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4DC1"/>
    <w:rsid w:val="007A576D"/>
    <w:rsid w:val="007B136E"/>
    <w:rsid w:val="007B14D6"/>
    <w:rsid w:val="007B247C"/>
    <w:rsid w:val="007B331E"/>
    <w:rsid w:val="007B4C68"/>
    <w:rsid w:val="007B53B1"/>
    <w:rsid w:val="007B6B17"/>
    <w:rsid w:val="007B779C"/>
    <w:rsid w:val="007C337C"/>
    <w:rsid w:val="007C379F"/>
    <w:rsid w:val="007C4142"/>
    <w:rsid w:val="007C42D9"/>
    <w:rsid w:val="007C454A"/>
    <w:rsid w:val="007C55CB"/>
    <w:rsid w:val="007C6571"/>
    <w:rsid w:val="007D28E4"/>
    <w:rsid w:val="007D360E"/>
    <w:rsid w:val="007D5AE7"/>
    <w:rsid w:val="007D5E87"/>
    <w:rsid w:val="007D65A6"/>
    <w:rsid w:val="007D671C"/>
    <w:rsid w:val="007D7CA7"/>
    <w:rsid w:val="007E0293"/>
    <w:rsid w:val="007E25A1"/>
    <w:rsid w:val="007F1CA7"/>
    <w:rsid w:val="007F2A6F"/>
    <w:rsid w:val="007F2AA2"/>
    <w:rsid w:val="007F3A3C"/>
    <w:rsid w:val="007F5327"/>
    <w:rsid w:val="007F5822"/>
    <w:rsid w:val="007F5DE6"/>
    <w:rsid w:val="007F60ED"/>
    <w:rsid w:val="00802062"/>
    <w:rsid w:val="0080439B"/>
    <w:rsid w:val="00805CB4"/>
    <w:rsid w:val="00806075"/>
    <w:rsid w:val="00807755"/>
    <w:rsid w:val="00811BFA"/>
    <w:rsid w:val="00812D9E"/>
    <w:rsid w:val="00816F99"/>
    <w:rsid w:val="00816FAC"/>
    <w:rsid w:val="008175AE"/>
    <w:rsid w:val="00820DA2"/>
    <w:rsid w:val="0082139D"/>
    <w:rsid w:val="008217CA"/>
    <w:rsid w:val="008235EB"/>
    <w:rsid w:val="00826C3A"/>
    <w:rsid w:val="008276F3"/>
    <w:rsid w:val="00827A83"/>
    <w:rsid w:val="00827FAE"/>
    <w:rsid w:val="00833446"/>
    <w:rsid w:val="008353AD"/>
    <w:rsid w:val="008356AB"/>
    <w:rsid w:val="00836221"/>
    <w:rsid w:val="0084069A"/>
    <w:rsid w:val="008439FD"/>
    <w:rsid w:val="0084493D"/>
    <w:rsid w:val="00845ABF"/>
    <w:rsid w:val="00845BB7"/>
    <w:rsid w:val="00846B0F"/>
    <w:rsid w:val="008470F8"/>
    <w:rsid w:val="008501FD"/>
    <w:rsid w:val="008511A9"/>
    <w:rsid w:val="008516A0"/>
    <w:rsid w:val="0085194A"/>
    <w:rsid w:val="00854C95"/>
    <w:rsid w:val="008553C3"/>
    <w:rsid w:val="0085695A"/>
    <w:rsid w:val="0085751C"/>
    <w:rsid w:val="00862803"/>
    <w:rsid w:val="00862A8C"/>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7E7B"/>
    <w:rsid w:val="008B10C5"/>
    <w:rsid w:val="008B1E62"/>
    <w:rsid w:val="008B457B"/>
    <w:rsid w:val="008C037F"/>
    <w:rsid w:val="008C0580"/>
    <w:rsid w:val="008C0815"/>
    <w:rsid w:val="008C1455"/>
    <w:rsid w:val="008C1BC3"/>
    <w:rsid w:val="008C2F93"/>
    <w:rsid w:val="008C3DED"/>
    <w:rsid w:val="008C5860"/>
    <w:rsid w:val="008C59A1"/>
    <w:rsid w:val="008C605A"/>
    <w:rsid w:val="008C6C0A"/>
    <w:rsid w:val="008C7693"/>
    <w:rsid w:val="008C7C51"/>
    <w:rsid w:val="008D0660"/>
    <w:rsid w:val="008D0CDE"/>
    <w:rsid w:val="008D230C"/>
    <w:rsid w:val="008D2B5E"/>
    <w:rsid w:val="008D374F"/>
    <w:rsid w:val="008D37EE"/>
    <w:rsid w:val="008D55D2"/>
    <w:rsid w:val="008E0E0A"/>
    <w:rsid w:val="008E3028"/>
    <w:rsid w:val="008E4D40"/>
    <w:rsid w:val="008F2A0C"/>
    <w:rsid w:val="008F2C8A"/>
    <w:rsid w:val="008F6DCD"/>
    <w:rsid w:val="008F74E6"/>
    <w:rsid w:val="009007B7"/>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47AF"/>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D6"/>
    <w:rsid w:val="0098397F"/>
    <w:rsid w:val="00983A9C"/>
    <w:rsid w:val="009846F3"/>
    <w:rsid w:val="00985846"/>
    <w:rsid w:val="00985862"/>
    <w:rsid w:val="009860B3"/>
    <w:rsid w:val="0098616B"/>
    <w:rsid w:val="0099296E"/>
    <w:rsid w:val="00992DAD"/>
    <w:rsid w:val="00993DCD"/>
    <w:rsid w:val="00995292"/>
    <w:rsid w:val="00996FC2"/>
    <w:rsid w:val="0099716D"/>
    <w:rsid w:val="009975C1"/>
    <w:rsid w:val="00997893"/>
    <w:rsid w:val="009A01EB"/>
    <w:rsid w:val="009A08A2"/>
    <w:rsid w:val="009A1155"/>
    <w:rsid w:val="009A1670"/>
    <w:rsid w:val="009A17BF"/>
    <w:rsid w:val="009A1A44"/>
    <w:rsid w:val="009A269A"/>
    <w:rsid w:val="009A38D2"/>
    <w:rsid w:val="009A3B5E"/>
    <w:rsid w:val="009A40C7"/>
    <w:rsid w:val="009A4DF7"/>
    <w:rsid w:val="009A6AE2"/>
    <w:rsid w:val="009B43CC"/>
    <w:rsid w:val="009C0B8F"/>
    <w:rsid w:val="009C0F3B"/>
    <w:rsid w:val="009C13C6"/>
    <w:rsid w:val="009C17E7"/>
    <w:rsid w:val="009C1BA6"/>
    <w:rsid w:val="009C1F80"/>
    <w:rsid w:val="009C30C8"/>
    <w:rsid w:val="009C3304"/>
    <w:rsid w:val="009C407C"/>
    <w:rsid w:val="009C4376"/>
    <w:rsid w:val="009C5FB9"/>
    <w:rsid w:val="009C69B1"/>
    <w:rsid w:val="009C6FCA"/>
    <w:rsid w:val="009C70AE"/>
    <w:rsid w:val="009C7CE6"/>
    <w:rsid w:val="009D2E35"/>
    <w:rsid w:val="009D3676"/>
    <w:rsid w:val="009D3A0B"/>
    <w:rsid w:val="009D5BB8"/>
    <w:rsid w:val="009D6FB6"/>
    <w:rsid w:val="009E0D86"/>
    <w:rsid w:val="009E3AB8"/>
    <w:rsid w:val="009E4C95"/>
    <w:rsid w:val="009E6091"/>
    <w:rsid w:val="009E67A7"/>
    <w:rsid w:val="009E7D0B"/>
    <w:rsid w:val="009F04AC"/>
    <w:rsid w:val="009F3770"/>
    <w:rsid w:val="009F5065"/>
    <w:rsid w:val="009F5254"/>
    <w:rsid w:val="009F5C3B"/>
    <w:rsid w:val="009F630C"/>
    <w:rsid w:val="009F6508"/>
    <w:rsid w:val="009F6964"/>
    <w:rsid w:val="009F75E4"/>
    <w:rsid w:val="009F7D12"/>
    <w:rsid w:val="00A00F59"/>
    <w:rsid w:val="00A032F4"/>
    <w:rsid w:val="00A03AAF"/>
    <w:rsid w:val="00A0637E"/>
    <w:rsid w:val="00A065ED"/>
    <w:rsid w:val="00A06C15"/>
    <w:rsid w:val="00A06E23"/>
    <w:rsid w:val="00A07F55"/>
    <w:rsid w:val="00A1063D"/>
    <w:rsid w:val="00A10B52"/>
    <w:rsid w:val="00A10F22"/>
    <w:rsid w:val="00A12980"/>
    <w:rsid w:val="00A2467A"/>
    <w:rsid w:val="00A24E14"/>
    <w:rsid w:val="00A25E5A"/>
    <w:rsid w:val="00A27335"/>
    <w:rsid w:val="00A275B2"/>
    <w:rsid w:val="00A30939"/>
    <w:rsid w:val="00A30DC9"/>
    <w:rsid w:val="00A310A8"/>
    <w:rsid w:val="00A31E20"/>
    <w:rsid w:val="00A321D7"/>
    <w:rsid w:val="00A32D89"/>
    <w:rsid w:val="00A34A31"/>
    <w:rsid w:val="00A36FAB"/>
    <w:rsid w:val="00A37613"/>
    <w:rsid w:val="00A41F5B"/>
    <w:rsid w:val="00A43237"/>
    <w:rsid w:val="00A44A98"/>
    <w:rsid w:val="00A4528C"/>
    <w:rsid w:val="00A45ACC"/>
    <w:rsid w:val="00A46041"/>
    <w:rsid w:val="00A501A3"/>
    <w:rsid w:val="00A50649"/>
    <w:rsid w:val="00A50768"/>
    <w:rsid w:val="00A50DDF"/>
    <w:rsid w:val="00A51E84"/>
    <w:rsid w:val="00A52B9D"/>
    <w:rsid w:val="00A53C3C"/>
    <w:rsid w:val="00A54A7E"/>
    <w:rsid w:val="00A553E3"/>
    <w:rsid w:val="00A55A94"/>
    <w:rsid w:val="00A56EA5"/>
    <w:rsid w:val="00A6049F"/>
    <w:rsid w:val="00A606E7"/>
    <w:rsid w:val="00A62388"/>
    <w:rsid w:val="00A63852"/>
    <w:rsid w:val="00A63A1A"/>
    <w:rsid w:val="00A63FE4"/>
    <w:rsid w:val="00A653C7"/>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093F"/>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AF7D23"/>
    <w:rsid w:val="00B01F01"/>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1B6"/>
    <w:rsid w:val="00B262E8"/>
    <w:rsid w:val="00B26D4D"/>
    <w:rsid w:val="00B27156"/>
    <w:rsid w:val="00B271A5"/>
    <w:rsid w:val="00B27614"/>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B9"/>
    <w:rsid w:val="00B614E4"/>
    <w:rsid w:val="00B617B8"/>
    <w:rsid w:val="00B62D54"/>
    <w:rsid w:val="00B633CD"/>
    <w:rsid w:val="00B64155"/>
    <w:rsid w:val="00B64F4E"/>
    <w:rsid w:val="00B64F65"/>
    <w:rsid w:val="00B6776C"/>
    <w:rsid w:val="00B67ABE"/>
    <w:rsid w:val="00B67EB7"/>
    <w:rsid w:val="00B75982"/>
    <w:rsid w:val="00B774F3"/>
    <w:rsid w:val="00B779DB"/>
    <w:rsid w:val="00B77F64"/>
    <w:rsid w:val="00B831FE"/>
    <w:rsid w:val="00B83C7F"/>
    <w:rsid w:val="00B86670"/>
    <w:rsid w:val="00B900B5"/>
    <w:rsid w:val="00B9033E"/>
    <w:rsid w:val="00B90D86"/>
    <w:rsid w:val="00B927B4"/>
    <w:rsid w:val="00B92B37"/>
    <w:rsid w:val="00B92BED"/>
    <w:rsid w:val="00B92C90"/>
    <w:rsid w:val="00B94ED8"/>
    <w:rsid w:val="00B9726F"/>
    <w:rsid w:val="00B97F22"/>
    <w:rsid w:val="00BA0190"/>
    <w:rsid w:val="00BA1447"/>
    <w:rsid w:val="00BA233E"/>
    <w:rsid w:val="00BA4CCD"/>
    <w:rsid w:val="00BA4F48"/>
    <w:rsid w:val="00BA642A"/>
    <w:rsid w:val="00BA6A56"/>
    <w:rsid w:val="00BB05C3"/>
    <w:rsid w:val="00BB0677"/>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7974"/>
    <w:rsid w:val="00BF2FD1"/>
    <w:rsid w:val="00C00EFA"/>
    <w:rsid w:val="00C02832"/>
    <w:rsid w:val="00C02EE1"/>
    <w:rsid w:val="00C03821"/>
    <w:rsid w:val="00C03DAD"/>
    <w:rsid w:val="00C04554"/>
    <w:rsid w:val="00C0461E"/>
    <w:rsid w:val="00C073E6"/>
    <w:rsid w:val="00C07D8E"/>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1C48"/>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31EC"/>
    <w:rsid w:val="00C937E6"/>
    <w:rsid w:val="00C93E04"/>
    <w:rsid w:val="00C940D9"/>
    <w:rsid w:val="00C96DCD"/>
    <w:rsid w:val="00CA0B88"/>
    <w:rsid w:val="00CA1826"/>
    <w:rsid w:val="00CA1D08"/>
    <w:rsid w:val="00CA25DB"/>
    <w:rsid w:val="00CA283F"/>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1C72"/>
    <w:rsid w:val="00CC28A7"/>
    <w:rsid w:val="00CD02EB"/>
    <w:rsid w:val="00CD085E"/>
    <w:rsid w:val="00CD3030"/>
    <w:rsid w:val="00CD3378"/>
    <w:rsid w:val="00CD3BF9"/>
    <w:rsid w:val="00CD4839"/>
    <w:rsid w:val="00CD4BC8"/>
    <w:rsid w:val="00CD5C4D"/>
    <w:rsid w:val="00CD5CEA"/>
    <w:rsid w:val="00CD7B08"/>
    <w:rsid w:val="00CE7CEC"/>
    <w:rsid w:val="00CF0DE5"/>
    <w:rsid w:val="00CF1DAF"/>
    <w:rsid w:val="00CF2EA4"/>
    <w:rsid w:val="00CF5C81"/>
    <w:rsid w:val="00CF6DAA"/>
    <w:rsid w:val="00CF7B2E"/>
    <w:rsid w:val="00D00BA8"/>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0DCE"/>
    <w:rsid w:val="00D3110E"/>
    <w:rsid w:val="00D315AD"/>
    <w:rsid w:val="00D320C8"/>
    <w:rsid w:val="00D32E8F"/>
    <w:rsid w:val="00D3344C"/>
    <w:rsid w:val="00D35304"/>
    <w:rsid w:val="00D36368"/>
    <w:rsid w:val="00D4201E"/>
    <w:rsid w:val="00D42718"/>
    <w:rsid w:val="00D43142"/>
    <w:rsid w:val="00D43A16"/>
    <w:rsid w:val="00D442D1"/>
    <w:rsid w:val="00D452A5"/>
    <w:rsid w:val="00D50541"/>
    <w:rsid w:val="00D514DB"/>
    <w:rsid w:val="00D556A7"/>
    <w:rsid w:val="00D5709E"/>
    <w:rsid w:val="00D600BE"/>
    <w:rsid w:val="00D647E7"/>
    <w:rsid w:val="00D64842"/>
    <w:rsid w:val="00D65666"/>
    <w:rsid w:val="00D6570D"/>
    <w:rsid w:val="00D6618A"/>
    <w:rsid w:val="00D66306"/>
    <w:rsid w:val="00D67391"/>
    <w:rsid w:val="00D675EE"/>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DE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0EE"/>
    <w:rsid w:val="00DB132D"/>
    <w:rsid w:val="00DB3101"/>
    <w:rsid w:val="00DB47E9"/>
    <w:rsid w:val="00DB7024"/>
    <w:rsid w:val="00DC0845"/>
    <w:rsid w:val="00DC09A0"/>
    <w:rsid w:val="00DC233D"/>
    <w:rsid w:val="00DC4200"/>
    <w:rsid w:val="00DC6202"/>
    <w:rsid w:val="00DC6A07"/>
    <w:rsid w:val="00DD03CE"/>
    <w:rsid w:val="00DD2259"/>
    <w:rsid w:val="00DD24B1"/>
    <w:rsid w:val="00DD375E"/>
    <w:rsid w:val="00DD3D05"/>
    <w:rsid w:val="00DD4F22"/>
    <w:rsid w:val="00DD51BB"/>
    <w:rsid w:val="00DD5763"/>
    <w:rsid w:val="00DD5A80"/>
    <w:rsid w:val="00DD6F4A"/>
    <w:rsid w:val="00DE0385"/>
    <w:rsid w:val="00DE1C49"/>
    <w:rsid w:val="00DE2024"/>
    <w:rsid w:val="00DE4240"/>
    <w:rsid w:val="00DE550D"/>
    <w:rsid w:val="00DE57E6"/>
    <w:rsid w:val="00DE6D6A"/>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F87"/>
    <w:rsid w:val="00E2681E"/>
    <w:rsid w:val="00E312FE"/>
    <w:rsid w:val="00E31604"/>
    <w:rsid w:val="00E32662"/>
    <w:rsid w:val="00E34C8D"/>
    <w:rsid w:val="00E3785E"/>
    <w:rsid w:val="00E43E64"/>
    <w:rsid w:val="00E44BDA"/>
    <w:rsid w:val="00E452CA"/>
    <w:rsid w:val="00E4548F"/>
    <w:rsid w:val="00E46203"/>
    <w:rsid w:val="00E4712A"/>
    <w:rsid w:val="00E50EC0"/>
    <w:rsid w:val="00E524EA"/>
    <w:rsid w:val="00E52949"/>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209B"/>
    <w:rsid w:val="00EC2F81"/>
    <w:rsid w:val="00EC5E6A"/>
    <w:rsid w:val="00EC6915"/>
    <w:rsid w:val="00EC76A9"/>
    <w:rsid w:val="00EC7758"/>
    <w:rsid w:val="00ED0B82"/>
    <w:rsid w:val="00ED17A5"/>
    <w:rsid w:val="00ED3152"/>
    <w:rsid w:val="00ED3E7E"/>
    <w:rsid w:val="00EE025D"/>
    <w:rsid w:val="00EE02BB"/>
    <w:rsid w:val="00EE0782"/>
    <w:rsid w:val="00EE276D"/>
    <w:rsid w:val="00EE30C6"/>
    <w:rsid w:val="00EE32E7"/>
    <w:rsid w:val="00EE6384"/>
    <w:rsid w:val="00EE68A7"/>
    <w:rsid w:val="00EF1E7E"/>
    <w:rsid w:val="00EF1F5F"/>
    <w:rsid w:val="00EF414D"/>
    <w:rsid w:val="00EF7A48"/>
    <w:rsid w:val="00F00724"/>
    <w:rsid w:val="00F061F9"/>
    <w:rsid w:val="00F06881"/>
    <w:rsid w:val="00F10914"/>
    <w:rsid w:val="00F10F26"/>
    <w:rsid w:val="00F11530"/>
    <w:rsid w:val="00F122DA"/>
    <w:rsid w:val="00F12511"/>
    <w:rsid w:val="00F1275F"/>
    <w:rsid w:val="00F135DF"/>
    <w:rsid w:val="00F14473"/>
    <w:rsid w:val="00F1554D"/>
    <w:rsid w:val="00F157F1"/>
    <w:rsid w:val="00F20ADC"/>
    <w:rsid w:val="00F231F5"/>
    <w:rsid w:val="00F24B9A"/>
    <w:rsid w:val="00F25A34"/>
    <w:rsid w:val="00F2617B"/>
    <w:rsid w:val="00F26AF1"/>
    <w:rsid w:val="00F27C3A"/>
    <w:rsid w:val="00F312C1"/>
    <w:rsid w:val="00F34566"/>
    <w:rsid w:val="00F37121"/>
    <w:rsid w:val="00F376C5"/>
    <w:rsid w:val="00F37DB9"/>
    <w:rsid w:val="00F419D4"/>
    <w:rsid w:val="00F424DD"/>
    <w:rsid w:val="00F43B8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0357"/>
    <w:rsid w:val="00F703B8"/>
    <w:rsid w:val="00F70E5D"/>
    <w:rsid w:val="00F71B4E"/>
    <w:rsid w:val="00F727EF"/>
    <w:rsid w:val="00F72806"/>
    <w:rsid w:val="00F7387B"/>
    <w:rsid w:val="00F7536E"/>
    <w:rsid w:val="00F7564C"/>
    <w:rsid w:val="00F763DA"/>
    <w:rsid w:val="00F80A33"/>
    <w:rsid w:val="00F81DA7"/>
    <w:rsid w:val="00F82B48"/>
    <w:rsid w:val="00F8343B"/>
    <w:rsid w:val="00F843A2"/>
    <w:rsid w:val="00F85838"/>
    <w:rsid w:val="00F8665A"/>
    <w:rsid w:val="00F875AE"/>
    <w:rsid w:val="00F90262"/>
    <w:rsid w:val="00F90A19"/>
    <w:rsid w:val="00F90E0B"/>
    <w:rsid w:val="00F90FE2"/>
    <w:rsid w:val="00F9142C"/>
    <w:rsid w:val="00F92159"/>
    <w:rsid w:val="00F921F9"/>
    <w:rsid w:val="00F946B9"/>
    <w:rsid w:val="00FA1357"/>
    <w:rsid w:val="00FA6A12"/>
    <w:rsid w:val="00FA6A3F"/>
    <w:rsid w:val="00FA6E0C"/>
    <w:rsid w:val="00FA7D8C"/>
    <w:rsid w:val="00FB06DA"/>
    <w:rsid w:val="00FB2DF2"/>
    <w:rsid w:val="00FB5BE9"/>
    <w:rsid w:val="00FB7A5C"/>
    <w:rsid w:val="00FC0F02"/>
    <w:rsid w:val="00FC0F12"/>
    <w:rsid w:val="00FC1CA3"/>
    <w:rsid w:val="00FC3F44"/>
    <w:rsid w:val="00FC6B12"/>
    <w:rsid w:val="00FC7C4B"/>
    <w:rsid w:val="00FC7D49"/>
    <w:rsid w:val="00FD0DE3"/>
    <w:rsid w:val="00FD12B2"/>
    <w:rsid w:val="00FD142D"/>
    <w:rsid w:val="00FD2136"/>
    <w:rsid w:val="00FD272C"/>
    <w:rsid w:val="00FD59BF"/>
    <w:rsid w:val="00FD6C2B"/>
    <w:rsid w:val="00FD6ED5"/>
    <w:rsid w:val="00FD79D3"/>
    <w:rsid w:val="00FE05F0"/>
    <w:rsid w:val="00FE36E8"/>
    <w:rsid w:val="00FE5281"/>
    <w:rsid w:val="00FE666D"/>
    <w:rsid w:val="00FE73BF"/>
    <w:rsid w:val="00FE769F"/>
    <w:rsid w:val="00FF0307"/>
    <w:rsid w:val="00FF12A4"/>
    <w:rsid w:val="00FF14E5"/>
    <w:rsid w:val="00FF2649"/>
    <w:rsid w:val="00FF614A"/>
    <w:rsid w:val="00FF7AD6"/>
    <w:rsid w:val="00FF7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14:docId w14:val="38A73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5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link w:val="Heading3Char"/>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327D1A"/>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3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327D1A"/>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numPr>
        <w:ilvl w:val="0"/>
        <w:numId w:val="0"/>
      </w:numPr>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327D1A"/>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F72806"/>
    <w:pPr>
      <w:widowControl w:val="0"/>
      <w:suppressAutoHyphens/>
      <w:autoSpaceDE w:val="0"/>
      <w:autoSpaceDN w:val="0"/>
      <w:adjustRightInd w:val="0"/>
      <w:spacing w:before="60" w:after="60"/>
      <w:textAlignment w:val="center"/>
    </w:pPr>
    <w:rPr>
      <w:rFonts w:ascii="Arial" w:hAnsi="Arial" w:cs="MyriadPro-Bold"/>
      <w:b/>
      <w:bCs/>
      <w:color w:val="000000" w:themeColor="text1"/>
      <w:sz w:val="20"/>
      <w:szCs w:val="18"/>
      <w:lang w:val="en-US" w:eastAsia="en-US"/>
    </w:rPr>
  </w:style>
  <w:style w:type="paragraph" w:customStyle="1" w:styleId="listparagraph0">
    <w:name w:val="listparagraph"/>
    <w:basedOn w:val="Normal"/>
    <w:rsid w:val="007F5DE6"/>
    <w:pPr>
      <w:spacing w:before="100" w:beforeAutospacing="1" w:after="100" w:afterAutospacing="1"/>
    </w:pPr>
  </w:style>
  <w:style w:type="paragraph" w:customStyle="1" w:styleId="Scheduleitem">
    <w:name w:val="Schedule item"/>
    <w:basedOn w:val="Normal"/>
    <w:rsid w:val="00DE4240"/>
    <w:pPr>
      <w:keepNext/>
      <w:numPr>
        <w:numId w:val="23"/>
      </w:numPr>
    </w:pPr>
  </w:style>
  <w:style w:type="paragraph" w:customStyle="1" w:styleId="LegislativeHeading1">
    <w:name w:val="Legislative Heading 1"/>
    <w:basedOn w:val="ListParagraph"/>
    <w:qFormat/>
    <w:rsid w:val="00DE4240"/>
    <w:pPr>
      <w:numPr>
        <w:numId w:val="24"/>
      </w:numPr>
      <w:spacing w:before="240"/>
    </w:pPr>
    <w:rPr>
      <w:rFonts w:eastAsia="Calibri"/>
      <w:b/>
      <w:caps/>
      <w:szCs w:val="22"/>
      <w:lang w:eastAsia="en-US"/>
    </w:rPr>
  </w:style>
  <w:style w:type="paragraph" w:customStyle="1" w:styleId="LegislativeHeading2">
    <w:name w:val="Legislative Heading 2"/>
    <w:basedOn w:val="LegislativeHeading1"/>
    <w:link w:val="LegislativeHeading2Char"/>
    <w:qFormat/>
    <w:rsid w:val="00DE4240"/>
    <w:pPr>
      <w:numPr>
        <w:ilvl w:val="1"/>
      </w:numPr>
      <w:spacing w:before="120"/>
    </w:pPr>
    <w:rPr>
      <w:b w:val="0"/>
      <w:caps w:val="0"/>
    </w:rPr>
  </w:style>
  <w:style w:type="character" w:customStyle="1" w:styleId="LegislativeHeading2Char">
    <w:name w:val="Legislative Heading 2 Char"/>
    <w:basedOn w:val="DefaultParagraphFont"/>
    <w:link w:val="LegislativeHeading2"/>
    <w:rsid w:val="00DE4240"/>
    <w:rPr>
      <w:rFonts w:eastAsia="Calibri"/>
      <w:sz w:val="24"/>
      <w:szCs w:val="22"/>
      <w:lang w:eastAsia="en-US"/>
    </w:rPr>
  </w:style>
  <w:style w:type="character" w:customStyle="1" w:styleId="Heading3Char">
    <w:name w:val="Heading 3 Char"/>
    <w:basedOn w:val="DefaultParagraphFont"/>
    <w:link w:val="Heading3"/>
    <w:rsid w:val="007D360E"/>
    <w:rPr>
      <w:i/>
      <w:sz w:val="24"/>
      <w:szCs w:val="24"/>
    </w:rPr>
  </w:style>
  <w:style w:type="character" w:customStyle="1" w:styleId="field">
    <w:name w:val="field"/>
    <w:basedOn w:val="DefaultParagraphFont"/>
    <w:rsid w:val="00563A9A"/>
  </w:style>
  <w:style w:type="character" w:customStyle="1" w:styleId="FooterChar">
    <w:name w:val="Footer Char"/>
    <w:basedOn w:val="DefaultParagraphFont"/>
    <w:link w:val="Footer"/>
    <w:uiPriority w:val="99"/>
    <w:rsid w:val="00BB067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173348880">
      <w:bodyDiv w:val="1"/>
      <w:marLeft w:val="0"/>
      <w:marRight w:val="0"/>
      <w:marTop w:val="0"/>
      <w:marBottom w:val="0"/>
      <w:divBdr>
        <w:top w:val="none" w:sz="0" w:space="0" w:color="auto"/>
        <w:left w:val="none" w:sz="0" w:space="0" w:color="auto"/>
        <w:bottom w:val="none" w:sz="0" w:space="0" w:color="auto"/>
        <w:right w:val="none" w:sz="0" w:space="0" w:color="auto"/>
      </w:divBdr>
    </w:div>
    <w:div w:id="201947573">
      <w:bodyDiv w:val="1"/>
      <w:marLeft w:val="0"/>
      <w:marRight w:val="0"/>
      <w:marTop w:val="0"/>
      <w:marBottom w:val="0"/>
      <w:divBdr>
        <w:top w:val="none" w:sz="0" w:space="0" w:color="auto"/>
        <w:left w:val="none" w:sz="0" w:space="0" w:color="auto"/>
        <w:bottom w:val="none" w:sz="0" w:space="0" w:color="auto"/>
        <w:right w:val="none" w:sz="0" w:space="0" w:color="auto"/>
      </w:divBdr>
    </w:div>
    <w:div w:id="210190392">
      <w:bodyDiv w:val="1"/>
      <w:marLeft w:val="0"/>
      <w:marRight w:val="0"/>
      <w:marTop w:val="0"/>
      <w:marBottom w:val="0"/>
      <w:divBdr>
        <w:top w:val="none" w:sz="0" w:space="0" w:color="auto"/>
        <w:left w:val="none" w:sz="0" w:space="0" w:color="auto"/>
        <w:bottom w:val="none" w:sz="0" w:space="0" w:color="auto"/>
        <w:right w:val="none" w:sz="0" w:space="0" w:color="auto"/>
      </w:divBdr>
    </w:div>
    <w:div w:id="222758133">
      <w:bodyDiv w:val="1"/>
      <w:marLeft w:val="0"/>
      <w:marRight w:val="0"/>
      <w:marTop w:val="0"/>
      <w:marBottom w:val="0"/>
      <w:divBdr>
        <w:top w:val="none" w:sz="0" w:space="0" w:color="auto"/>
        <w:left w:val="none" w:sz="0" w:space="0" w:color="auto"/>
        <w:bottom w:val="none" w:sz="0" w:space="0" w:color="auto"/>
        <w:right w:val="none" w:sz="0" w:space="0" w:color="auto"/>
      </w:divBdr>
    </w:div>
    <w:div w:id="223882710">
      <w:bodyDiv w:val="1"/>
      <w:marLeft w:val="0"/>
      <w:marRight w:val="0"/>
      <w:marTop w:val="0"/>
      <w:marBottom w:val="0"/>
      <w:divBdr>
        <w:top w:val="none" w:sz="0" w:space="0" w:color="auto"/>
        <w:left w:val="none" w:sz="0" w:space="0" w:color="auto"/>
        <w:bottom w:val="none" w:sz="0" w:space="0" w:color="auto"/>
        <w:right w:val="none" w:sz="0" w:space="0" w:color="auto"/>
      </w:divBdr>
    </w:div>
    <w:div w:id="306471492">
      <w:bodyDiv w:val="1"/>
      <w:marLeft w:val="0"/>
      <w:marRight w:val="0"/>
      <w:marTop w:val="0"/>
      <w:marBottom w:val="0"/>
      <w:divBdr>
        <w:top w:val="none" w:sz="0" w:space="0" w:color="auto"/>
        <w:left w:val="none" w:sz="0" w:space="0" w:color="auto"/>
        <w:bottom w:val="none" w:sz="0" w:space="0" w:color="auto"/>
        <w:right w:val="none" w:sz="0" w:space="0" w:color="auto"/>
      </w:divBdr>
    </w:div>
    <w:div w:id="354429055">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2005266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570845487">
      <w:bodyDiv w:val="1"/>
      <w:marLeft w:val="0"/>
      <w:marRight w:val="0"/>
      <w:marTop w:val="0"/>
      <w:marBottom w:val="0"/>
      <w:divBdr>
        <w:top w:val="none" w:sz="0" w:space="0" w:color="auto"/>
        <w:left w:val="none" w:sz="0" w:space="0" w:color="auto"/>
        <w:bottom w:val="none" w:sz="0" w:space="0" w:color="auto"/>
        <w:right w:val="none" w:sz="0" w:space="0" w:color="auto"/>
      </w:divBdr>
    </w:div>
    <w:div w:id="634337020">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709498296">
      <w:bodyDiv w:val="1"/>
      <w:marLeft w:val="0"/>
      <w:marRight w:val="0"/>
      <w:marTop w:val="0"/>
      <w:marBottom w:val="0"/>
      <w:divBdr>
        <w:top w:val="none" w:sz="0" w:space="0" w:color="auto"/>
        <w:left w:val="none" w:sz="0" w:space="0" w:color="auto"/>
        <w:bottom w:val="none" w:sz="0" w:space="0" w:color="auto"/>
        <w:right w:val="none" w:sz="0" w:space="0" w:color="auto"/>
      </w:divBdr>
    </w:div>
    <w:div w:id="799306729">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879829958">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5745">
      <w:bodyDiv w:val="1"/>
      <w:marLeft w:val="0"/>
      <w:marRight w:val="0"/>
      <w:marTop w:val="0"/>
      <w:marBottom w:val="0"/>
      <w:divBdr>
        <w:top w:val="none" w:sz="0" w:space="0" w:color="auto"/>
        <w:left w:val="none" w:sz="0" w:space="0" w:color="auto"/>
        <w:bottom w:val="none" w:sz="0" w:space="0" w:color="auto"/>
        <w:right w:val="none" w:sz="0" w:space="0" w:color="auto"/>
      </w:divBdr>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76256204">
      <w:bodyDiv w:val="1"/>
      <w:marLeft w:val="0"/>
      <w:marRight w:val="0"/>
      <w:marTop w:val="0"/>
      <w:marBottom w:val="0"/>
      <w:divBdr>
        <w:top w:val="none" w:sz="0" w:space="0" w:color="auto"/>
        <w:left w:val="none" w:sz="0" w:space="0" w:color="auto"/>
        <w:bottom w:val="none" w:sz="0" w:space="0" w:color="auto"/>
        <w:right w:val="none" w:sz="0" w:space="0" w:color="auto"/>
      </w:divBdr>
    </w:div>
    <w:div w:id="979991652">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1021663027">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33987539">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669596353">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847212744">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58831992">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tertekinform.com/en-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ur-lex.europa.eu/homepage.html?locale=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ece.org/trans/main/welcwp29.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4CA2-E070-4A70-8095-B531DC29B495}">
  <ds:schemaRefs>
    <ds:schemaRef ds:uri="http://schemas.microsoft.com/sharepoint/v3/contenttype/forms"/>
  </ds:schemaRefs>
</ds:datastoreItem>
</file>

<file path=customXml/itemProps2.xml><?xml version="1.0" encoding="utf-8"?>
<ds:datastoreItem xmlns:ds="http://schemas.openxmlformats.org/officeDocument/2006/customXml" ds:itemID="{6727DAF6-D72B-44D9-821F-F7AAB9C0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D89B6-0C4B-45FB-9195-C4D24B5F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4776</Words>
  <Characters>28250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cp:lastModifiedBy/>
  <cp:revision>1</cp:revision>
  <dcterms:created xsi:type="dcterms:W3CDTF">2024-12-04T06:18:00Z</dcterms:created>
  <dcterms:modified xsi:type="dcterms:W3CDTF">2024-12-04T06:20:00Z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ies>
</file>