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291D5" w14:textId="6D19F17A" w:rsidR="00F5493C" w:rsidRPr="0069753D" w:rsidRDefault="00CF270F" w:rsidP="00D86E40">
      <w:pPr>
        <w:pStyle w:val="SecurityMarker"/>
        <w:framePr w:w="11873" w:h="465" w:hRule="exact" w:hSpace="181" w:wrap="around" w:vAnchor="page" w:hAnchor="page" w:x="29" w:y="353" w:anchorLock="1"/>
        <w:tabs>
          <w:tab w:val="center" w:pos="4932"/>
          <w:tab w:val="left" w:pos="7290"/>
        </w:tabs>
        <w:ind w:left="0"/>
        <w:rPr>
          <w:color w:val="FF0000"/>
        </w:rPr>
      </w:pPr>
      <w:bookmarkStart w:id="0" w:name="_Hlk148942573"/>
      <w:bookmarkStart w:id="1" w:name="_Hlk148942357"/>
      <w:r>
        <w:t xml:space="preserve"> </w:t>
      </w:r>
      <w:sdt>
        <w:sdtPr>
          <w:alias w:val="SecClass"/>
          <w:tag w:val="SecClass"/>
          <w:id w:val="108477640"/>
          <w:placeholder>
            <w:docPart w:val="B1C1E2CEB0324A04A11203FA9B9FF523"/>
          </w:placeholder>
          <w:comboBox>
            <w:listItem w:displayText="Select security classification" w:value="Select security classification"/>
            <w:listItem w:displayText="OFFICIAL" w:value="1"/>
            <w:listItem w:displayText="OFFICIAL: SENSITIVE" w:value="2"/>
            <w:listItem w:displayText="PROTECTED" w:value="3"/>
          </w:comboBox>
        </w:sdtPr>
        <w:sdtEndPr/>
        <w:sdtContent>
          <w:r w:rsidR="00A710A6">
            <w:t>OFFICIAL</w:t>
          </w:r>
        </w:sdtContent>
      </w:sdt>
      <w:bookmarkEnd w:id="0"/>
    </w:p>
    <w:bookmarkEnd w:id="1"/>
    <w:p w14:paraId="6BC14BDA" w14:textId="77777777" w:rsidR="00BA24FB" w:rsidRPr="00B54E13" w:rsidRDefault="00BA24FB" w:rsidP="00B54E13">
      <w:pPr>
        <w:spacing w:before="0" w:after="0"/>
        <w:rPr>
          <w:sz w:val="2"/>
          <w:szCs w:val="2"/>
        </w:rPr>
      </w:pPr>
    </w:p>
    <w:p w14:paraId="7187EDB9" w14:textId="77777777" w:rsidR="00827492" w:rsidRDefault="00827492" w:rsidP="00827492">
      <w:pPr>
        <w:framePr w:w="6237" w:h="1134" w:hSpace="181" w:wrap="around" w:vAnchor="page" w:hAnchor="page" w:x="1022" w:y="1135" w:anchorLock="1"/>
        <w:spacing w:before="0" w:after="0"/>
      </w:pPr>
      <w:r>
        <w:rPr>
          <w:noProof/>
          <w:lang w:eastAsia="en-AU"/>
        </w:rPr>
        <w:drawing>
          <wp:inline distT="0" distB="0" distL="0" distR="0" wp14:anchorId="5EF73CC2" wp14:editId="4DE2C0EF">
            <wp:extent cx="3647614"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47614" cy="669240"/>
                    </a:xfrm>
                    <a:prstGeom prst="rect">
                      <a:avLst/>
                    </a:prstGeom>
                  </pic:spPr>
                </pic:pic>
              </a:graphicData>
            </a:graphic>
          </wp:inline>
        </w:drawing>
      </w:r>
    </w:p>
    <w:p w14:paraId="06B7D902" w14:textId="77777777" w:rsidR="008456D5" w:rsidRDefault="008456D5" w:rsidP="00B54E13">
      <w:pPr>
        <w:spacing w:before="360" w:after="1200"/>
        <w:ind w:left="-1247"/>
      </w:pPr>
    </w:p>
    <w:p w14:paraId="560CCC82" w14:textId="77777777" w:rsidR="003261CF" w:rsidRDefault="00563722" w:rsidP="00B54E13">
      <w:pPr>
        <w:pStyle w:val="AreaHeading"/>
        <w:spacing w:after="120"/>
        <w:ind w:left="1276" w:firstLine="0"/>
      </w:pPr>
      <w:r>
        <w:t>Transport</w:t>
      </w:r>
      <w:r w:rsidR="003261CF">
        <w:t xml:space="preserve"> / </w:t>
      </w:r>
      <w:r>
        <w:t xml:space="preserve">Surface Transport, Emissions and Policy </w:t>
      </w:r>
      <w:r w:rsidR="003261CF">
        <w:t xml:space="preserve">/ </w:t>
      </w:r>
      <w:r>
        <w:t xml:space="preserve">Strategic Fleet </w:t>
      </w:r>
      <w:r w:rsidR="003261CF">
        <w:t xml:space="preserve">/ </w:t>
      </w:r>
      <w:r>
        <w:t>Legislative Reviews</w:t>
      </w:r>
    </w:p>
    <w:sdt>
      <w:sdtPr>
        <w:alias w:val="Title"/>
        <w:tag w:val=""/>
        <w:id w:val="975726233"/>
        <w:placeholder>
          <w:docPart w:val="B84E19D0411B4E8F8287838F3D844F3E"/>
        </w:placeholder>
        <w:dataBinding w:prefixMappings="xmlns:ns0='http://purl.org/dc/elements/1.1/' xmlns:ns1='http://schemas.openxmlformats.org/package/2006/metadata/core-properties' " w:xpath="/ns1:coreProperties[1]/ns0:title[1]" w:storeItemID="{6C3C8BC8-F283-45AE-878A-BAB7291924A1}"/>
        <w:text/>
      </w:sdtPr>
      <w:sdtEndPr/>
      <w:sdtContent>
        <w:p w14:paraId="440E8C90" w14:textId="77777777" w:rsidR="00F541A6" w:rsidRDefault="009261A2" w:rsidP="00B54E13">
          <w:pPr>
            <w:pStyle w:val="Title"/>
            <w:spacing w:before="600"/>
            <w:ind w:left="1276"/>
          </w:pPr>
          <w:r>
            <w:t>Consultation for Phase 1</w:t>
          </w:r>
        </w:p>
      </w:sdtContent>
    </w:sdt>
    <w:p w14:paraId="7D335B62" w14:textId="77777777" w:rsidR="00DE4FE2" w:rsidRDefault="009261A2" w:rsidP="00B54E13">
      <w:pPr>
        <w:pStyle w:val="Subtitle"/>
        <w:ind w:left="1276"/>
      </w:pPr>
      <w:bookmarkStart w:id="2" w:name="_Hlk178057230"/>
      <w:r w:rsidRPr="009261A2">
        <w:t>Independent Review of the Coastal Trading (Revitalising Australian Shipping) Act 2012</w:t>
      </w:r>
      <w:r w:rsidRPr="009261A2" w:rsidDel="009261A2">
        <w:t xml:space="preserve"> </w:t>
      </w:r>
    </w:p>
    <w:bookmarkEnd w:id="2" w:displacedByCustomXml="next"/>
    <w:sdt>
      <w:sdtPr>
        <w:alias w:val="Publish Date"/>
        <w:tag w:val=""/>
        <w:id w:val="452527336"/>
        <w:placeholder>
          <w:docPart w:val="9601E811A10340C7B2B0FBD6CE318424"/>
        </w:placeholder>
        <w:dataBinding w:prefixMappings="xmlns:ns0='http://schemas.microsoft.com/office/2006/coverPageProps' " w:xpath="/ns0:CoverPageProperties[1]/ns0:PublishDate[1]" w:storeItemID="{55AF091B-3C7A-41E3-B477-F2FDAA23CFDA}"/>
        <w:date w:fullDate="2024-10-01T00:00:00Z">
          <w:dateFormat w:val="MMMM yyyy"/>
          <w:lid w:val="en-AU"/>
          <w:storeMappedDataAs w:val="dateTime"/>
          <w:calendar w:val="gregorian"/>
        </w:date>
      </w:sdtPr>
      <w:sdtEndPr/>
      <w:sdtContent>
        <w:p w14:paraId="3645AE19" w14:textId="77777777" w:rsidR="00DE4FE2" w:rsidRDefault="00106DD7" w:rsidP="00B54E13">
          <w:pPr>
            <w:pStyle w:val="CoverDate"/>
            <w:ind w:left="1276"/>
          </w:pPr>
          <w:r>
            <w:t>October 2024</w:t>
          </w:r>
        </w:p>
      </w:sdtContent>
    </w:sdt>
    <w:p w14:paraId="2A34B359" w14:textId="77777777" w:rsidR="00B54E13" w:rsidRDefault="00992711" w:rsidP="00B54E13">
      <w:pPr>
        <w:framePr w:w="11907" w:h="5443" w:wrap="around" w:vAnchor="page" w:hAnchor="page" w:x="1" w:yAlign="bottom"/>
        <w:spacing w:before="0" w:after="0"/>
        <w:jc w:val="both"/>
      </w:pPr>
      <w:r>
        <w:rPr>
          <w:noProof/>
          <w:lang w:eastAsia="en-AU"/>
        </w:rPr>
        <w:drawing>
          <wp:inline distT="0" distB="0" distL="0" distR="0" wp14:anchorId="0F105E3A" wp14:editId="01FBA2E7">
            <wp:extent cx="7553325" cy="3493135"/>
            <wp:effectExtent l="0" t="0" r="9525" b="0"/>
            <wp:docPr id="3" name="Picture 3" descr="Department connected web graphic">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3325" cy="3493135"/>
                    </a:xfrm>
                    <a:prstGeom prst="rect">
                      <a:avLst/>
                    </a:prstGeom>
                    <a:noFill/>
                  </pic:spPr>
                </pic:pic>
              </a:graphicData>
            </a:graphic>
          </wp:inline>
        </w:drawing>
      </w:r>
    </w:p>
    <w:p w14:paraId="42D13500" w14:textId="77777777" w:rsidR="00992711" w:rsidRDefault="00992711" w:rsidP="00992711">
      <w:pPr>
        <w:pStyle w:val="CoverPhoto"/>
        <w:framePr w:h="6583" w:hRule="exact" w:hSpace="180" w:wrap="around" w:vAnchor="text" w:hAnchor="page" w:x="2275" w:y="1"/>
        <w:spacing w:before="1080" w:after="0"/>
        <w:jc w:val="right"/>
      </w:pPr>
    </w:p>
    <w:p w14:paraId="6EEB0867" w14:textId="77777777" w:rsidR="00B54E13" w:rsidRDefault="00B54E13">
      <w:pPr>
        <w:sectPr w:rsidR="00B54E13" w:rsidSect="00BA24FB">
          <w:headerReference w:type="default" r:id="rId13"/>
          <w:footerReference w:type="default" r:id="rId14"/>
          <w:headerReference w:type="first" r:id="rId15"/>
          <w:footerReference w:type="first" r:id="rId16"/>
          <w:pgSz w:w="11906" w:h="16838" w:code="9"/>
          <w:pgMar w:top="1021" w:right="1021" w:bottom="1021" w:left="1021" w:header="340" w:footer="397" w:gutter="0"/>
          <w:cols w:space="708"/>
          <w:docGrid w:linePitch="360"/>
        </w:sectPr>
      </w:pPr>
    </w:p>
    <w:p w14:paraId="49AE5B97" w14:textId="77777777" w:rsidR="00BB1B82" w:rsidRDefault="00BB1B82">
      <w:pPr>
        <w:suppressAutoHyphens w:val="0"/>
        <w:rPr>
          <w:rFonts w:asciiTheme="majorHAnsi" w:eastAsiaTheme="majorEastAsia" w:hAnsiTheme="majorHAnsi" w:cstheme="majorBidi"/>
          <w:color w:val="081E3E" w:themeColor="text2"/>
          <w:sz w:val="44"/>
          <w:szCs w:val="32"/>
        </w:rPr>
      </w:pPr>
      <w:r>
        <w:br w:type="page"/>
      </w:r>
    </w:p>
    <w:p w14:paraId="40FC9994" w14:textId="77777777" w:rsidR="00B741FA" w:rsidRDefault="00CE524A" w:rsidP="00B741FA">
      <w:pPr>
        <w:pStyle w:val="Heading1"/>
      </w:pPr>
      <w:bookmarkStart w:id="3" w:name="_Toc177556738"/>
      <w:bookmarkStart w:id="4" w:name="_Toc177572035"/>
      <w:r>
        <w:lastRenderedPageBreak/>
        <w:t>Introduction</w:t>
      </w:r>
      <w:bookmarkEnd w:id="3"/>
      <w:bookmarkEnd w:id="4"/>
    </w:p>
    <w:p w14:paraId="359CA7EB" w14:textId="2D5B1B71" w:rsidR="00B741FA" w:rsidRDefault="00870D24" w:rsidP="00433EA1">
      <w:r w:rsidRPr="00870D24">
        <w:t>The Government agreed</w:t>
      </w:r>
      <w:r w:rsidR="00A57A4A">
        <w:t xml:space="preserve"> to</w:t>
      </w:r>
      <w:r w:rsidRPr="00870D24">
        <w:t xml:space="preserve"> review the </w:t>
      </w:r>
      <w:r w:rsidRPr="00400FB5">
        <w:rPr>
          <w:i/>
        </w:rPr>
        <w:t>Coastal Trading (Revitalising Australian Shipping) Act 2012</w:t>
      </w:r>
      <w:r>
        <w:t xml:space="preserve"> (</w:t>
      </w:r>
      <w:r w:rsidR="00A57A4A">
        <w:t>the Act</w:t>
      </w:r>
      <w:r>
        <w:t xml:space="preserve">) </w:t>
      </w:r>
      <w:r w:rsidRPr="00870D24">
        <w:t xml:space="preserve">in its response to Recommendation </w:t>
      </w:r>
      <w:r w:rsidR="00F67AD6">
        <w:t>6</w:t>
      </w:r>
      <w:r w:rsidR="00F67AD6" w:rsidRPr="00870D24">
        <w:t xml:space="preserve"> </w:t>
      </w:r>
      <w:r>
        <w:t xml:space="preserve">from the </w:t>
      </w:r>
      <w:hyperlink r:id="rId17" w:history="1">
        <w:r w:rsidRPr="005F572E">
          <w:rPr>
            <w:rStyle w:val="Hyperlink"/>
          </w:rPr>
          <w:t>Strategic Fleet Taskforce</w:t>
        </w:r>
        <w:r w:rsidR="00676EC8" w:rsidRPr="005F572E">
          <w:rPr>
            <w:rStyle w:val="Hyperlink"/>
          </w:rPr>
          <w:t xml:space="preserve"> Final Report</w:t>
        </w:r>
      </w:hyperlink>
      <w:r w:rsidR="00D23B8D">
        <w:t>.</w:t>
      </w:r>
      <w:r w:rsidRPr="00870D24">
        <w:t xml:space="preserve"> </w:t>
      </w:r>
      <w:r w:rsidR="00400FB5">
        <w:t xml:space="preserve">On 20 August 2024, the </w:t>
      </w:r>
      <w:r w:rsidR="00400FB5" w:rsidRPr="00400FB5">
        <w:t xml:space="preserve">Australian Government appointed Ms Lynelle Briggs and Prof Nicholas Gaskell to co-chair the </w:t>
      </w:r>
      <w:r w:rsidR="00A57A4A">
        <w:t>R</w:t>
      </w:r>
      <w:r w:rsidR="00A57A4A" w:rsidRPr="00400FB5">
        <w:t xml:space="preserve">eview </w:t>
      </w:r>
      <w:r w:rsidR="00400FB5" w:rsidRPr="00400FB5">
        <w:t xml:space="preserve">of the </w:t>
      </w:r>
      <w:r w:rsidR="00055902">
        <w:t>Act</w:t>
      </w:r>
      <w:r w:rsidR="00F124F6">
        <w:t>.</w:t>
      </w:r>
    </w:p>
    <w:p w14:paraId="55E2C474" w14:textId="77777777" w:rsidR="004E1A6C" w:rsidRDefault="004E1A6C" w:rsidP="004E1A6C">
      <w:r>
        <w:t xml:space="preserve">The </w:t>
      </w:r>
      <w:r w:rsidR="00F124F6">
        <w:t>R</w:t>
      </w:r>
      <w:r>
        <w:t>eview</w:t>
      </w:r>
      <w:r w:rsidR="00433EA1">
        <w:t xml:space="preserve"> </w:t>
      </w:r>
      <w:r>
        <w:t xml:space="preserve">will be conducted over two phases. Phase 1 will focus on the object of the </w:t>
      </w:r>
      <w:r w:rsidR="00055902">
        <w:t xml:space="preserve">Act </w:t>
      </w:r>
      <w:r>
        <w:t>and how it impacts the design, structure and overall functionality of the Act. The second phase will consider</w:t>
      </w:r>
      <w:r w:rsidR="003F76E7">
        <w:t xml:space="preserve"> potential reforms to the Act and</w:t>
      </w:r>
      <w:r>
        <w:t xml:space="preserve"> </w:t>
      </w:r>
      <w:r w:rsidR="003F76E7">
        <w:t>the likely impacts of those</w:t>
      </w:r>
      <w:r>
        <w:t xml:space="preserve"> reforms.</w:t>
      </w:r>
      <w:r w:rsidR="00EE4BCD" w:rsidRPr="00EE4BCD">
        <w:t xml:space="preserve"> A written report will be provided to the Minister for Infrastructure, Transport, Regional Development</w:t>
      </w:r>
      <w:r w:rsidR="006A1911">
        <w:t xml:space="preserve"> and Local Government </w:t>
      </w:r>
      <w:r w:rsidR="00EE4BCD" w:rsidRPr="00EE4BCD">
        <w:t xml:space="preserve">at the conclusion of the </w:t>
      </w:r>
      <w:r w:rsidR="00055902">
        <w:t>R</w:t>
      </w:r>
      <w:r w:rsidR="00EE4BCD" w:rsidRPr="00EE4BCD">
        <w:t>eview.</w:t>
      </w:r>
    </w:p>
    <w:p w14:paraId="7797670F" w14:textId="0C366ED8" w:rsidR="00EE4BCD" w:rsidRDefault="00EE4BCD" w:rsidP="00EE4BCD">
      <w:pPr>
        <w:rPr>
          <w:b/>
        </w:rPr>
      </w:pPr>
      <w:r w:rsidRPr="003A0A4C">
        <w:t>The full Terms of Reference</w:t>
      </w:r>
      <w:r>
        <w:t xml:space="preserve"> including the scope</w:t>
      </w:r>
      <w:r w:rsidRPr="003A0A4C">
        <w:t xml:space="preserve"> for the Review </w:t>
      </w:r>
      <w:r>
        <w:t xml:space="preserve">of the </w:t>
      </w:r>
      <w:r w:rsidR="00A87E74">
        <w:t>Act</w:t>
      </w:r>
      <w:r>
        <w:t xml:space="preserve"> </w:t>
      </w:r>
      <w:r w:rsidRPr="003A0A4C">
        <w:t>are at</w:t>
      </w:r>
      <w:r w:rsidR="009F4A8D">
        <w:t xml:space="preserve"> </w:t>
      </w:r>
      <w:hyperlink r:id="rId18" w:history="1">
        <w:r w:rsidR="009F4A8D" w:rsidRPr="00FC5522">
          <w:rPr>
            <w:rStyle w:val="Hyperlink"/>
          </w:rPr>
          <w:t>https://www.infrastructure.gov.au/sites/default/files/documents/terms-of-reference-cta-review.pdf</w:t>
        </w:r>
      </w:hyperlink>
      <w:r w:rsidR="009F4A8D">
        <w:t xml:space="preserve">. </w:t>
      </w:r>
    </w:p>
    <w:p w14:paraId="0659B140" w14:textId="77777777" w:rsidR="00281742" w:rsidRDefault="00F124F6" w:rsidP="004E1A6C">
      <w:r w:rsidRPr="00F124F6">
        <w:t xml:space="preserve">This Review is being undertaken in parallel with the Review of </w:t>
      </w:r>
      <w:r>
        <w:t xml:space="preserve">the </w:t>
      </w:r>
      <w:r>
        <w:rPr>
          <w:i/>
        </w:rPr>
        <w:t>Shipping Registration Act 1981</w:t>
      </w:r>
      <w:r w:rsidRPr="00F124F6">
        <w:t xml:space="preserve">, </w:t>
      </w:r>
      <w:r w:rsidR="00CB71AC">
        <w:t>and by</w:t>
      </w:r>
      <w:r w:rsidRPr="00F124F6">
        <w:t xml:space="preserve"> the same co-chairs.</w:t>
      </w:r>
    </w:p>
    <w:p w14:paraId="39F18F09" w14:textId="77777777" w:rsidR="00301EBA" w:rsidRDefault="00301EBA" w:rsidP="00301EBA">
      <w:pPr>
        <w:pStyle w:val="Heading2"/>
      </w:pPr>
      <w:r>
        <w:t>Strategic Fleet</w:t>
      </w:r>
    </w:p>
    <w:p w14:paraId="03091B3F" w14:textId="77777777" w:rsidR="00301EBA" w:rsidRDefault="00301EBA" w:rsidP="00301EBA">
      <w:r w:rsidRPr="00406295">
        <w:t xml:space="preserve">The Australian Government </w:t>
      </w:r>
      <w:r>
        <w:t>committed to establishing</w:t>
      </w:r>
      <w:r w:rsidRPr="00406295">
        <w:t xml:space="preserve"> a strategic fleet of up to 12 Australian-flagged and crewed vessels. </w:t>
      </w:r>
      <w:r>
        <w:t>They will be</w:t>
      </w:r>
      <w:r w:rsidRPr="00406295">
        <w:t xml:space="preserve"> privately owned and operate on a commercial basis, but could be requisitioned by the Government in times of national crisis such as natural disaster or conflict. </w:t>
      </w:r>
      <w:r>
        <w:t xml:space="preserve">The </w:t>
      </w:r>
      <w:r w:rsidR="007B6080">
        <w:t>Government</w:t>
      </w:r>
      <w:r>
        <w:t xml:space="preserve"> appointed the Strategic Fleet Taskforce to guide the establishment of the fleet. The Taskforce provided their final report and recommendations to </w:t>
      </w:r>
      <w:r w:rsidR="007B6080">
        <w:t>Government</w:t>
      </w:r>
      <w:r>
        <w:t xml:space="preserve"> in June 2023. </w:t>
      </w:r>
    </w:p>
    <w:p w14:paraId="0F670499" w14:textId="3CE792A2" w:rsidR="00301EBA" w:rsidRDefault="00301EBA" w:rsidP="00301EBA">
      <w:r>
        <w:t>The Reviewers take as their starting point the findings and recommendations of the Strategic Fleet Taskforce: Final Report.</w:t>
      </w:r>
    </w:p>
    <w:p w14:paraId="7E282AB6" w14:textId="77777777" w:rsidR="003F4FBC" w:rsidRDefault="003F4FBC" w:rsidP="003F4FBC">
      <w:pPr>
        <w:pStyle w:val="Heading1"/>
      </w:pPr>
      <w:bookmarkStart w:id="5" w:name="_Toc177556740"/>
      <w:bookmarkStart w:id="6" w:name="_Toc177572037"/>
      <w:r>
        <w:t>Have your say</w:t>
      </w:r>
    </w:p>
    <w:p w14:paraId="65FB83BF" w14:textId="77777777" w:rsidR="003F4FBC" w:rsidRDefault="003F4FBC" w:rsidP="003F4FBC">
      <w:r>
        <w:t xml:space="preserve">The Reviewers are seeking submissions from interested stakeholders to inform the Review. Your input is extremely valuable to ensure the recommendations to the Australian Government are relevant and will positively impact industry. </w:t>
      </w:r>
    </w:p>
    <w:p w14:paraId="7CFA2B7F" w14:textId="3BB43189" w:rsidR="00C1366D" w:rsidRPr="0028117C" w:rsidRDefault="000853B7" w:rsidP="00F124F6">
      <w:r w:rsidRPr="00A710A6">
        <w:t>T</w:t>
      </w:r>
      <w:r w:rsidR="007E5EE7" w:rsidRPr="00A710A6">
        <w:t xml:space="preserve">he </w:t>
      </w:r>
      <w:r w:rsidR="00F6153F" w:rsidRPr="00A710A6">
        <w:t xml:space="preserve">Review of the </w:t>
      </w:r>
      <w:r w:rsidR="00055902" w:rsidRPr="00A710A6">
        <w:t>Act</w:t>
      </w:r>
      <w:r w:rsidR="00F6153F" w:rsidRPr="00A710A6">
        <w:t xml:space="preserve"> and consultation process is distinct from the </w:t>
      </w:r>
      <w:r w:rsidR="00452BBB" w:rsidRPr="00A710A6">
        <w:t>R</w:t>
      </w:r>
      <w:r w:rsidR="00F6153F" w:rsidRPr="00A710A6">
        <w:t xml:space="preserve">eview of the </w:t>
      </w:r>
      <w:r w:rsidR="00F6153F" w:rsidRPr="00A710A6">
        <w:rPr>
          <w:i/>
        </w:rPr>
        <w:t>Shipping Registration Act 1981</w:t>
      </w:r>
      <w:r w:rsidR="00F6153F" w:rsidRPr="00A710A6">
        <w:t xml:space="preserve">. However, we encourage stakeholders interested in providing a submission to this paper to consider </w:t>
      </w:r>
      <w:r w:rsidR="00073308" w:rsidRPr="00A710A6">
        <w:t xml:space="preserve">the </w:t>
      </w:r>
      <w:r w:rsidR="00F6153F" w:rsidRPr="00A710A6">
        <w:t xml:space="preserve">consultation </w:t>
      </w:r>
      <w:r w:rsidR="00073308" w:rsidRPr="00A710A6">
        <w:t xml:space="preserve">process being undertaken </w:t>
      </w:r>
      <w:r w:rsidR="00F6153F" w:rsidRPr="00A710A6">
        <w:t xml:space="preserve">on the </w:t>
      </w:r>
      <w:r w:rsidR="00452BBB" w:rsidRPr="00A710A6">
        <w:t>R</w:t>
      </w:r>
      <w:r w:rsidR="00F6153F" w:rsidRPr="00A710A6">
        <w:t xml:space="preserve">eview of the </w:t>
      </w:r>
      <w:r w:rsidR="00F6153F" w:rsidRPr="00A710A6">
        <w:rPr>
          <w:i/>
        </w:rPr>
        <w:t xml:space="preserve">Shipping Registration Act </w:t>
      </w:r>
      <w:r w:rsidR="00F6153F" w:rsidRPr="0028117C">
        <w:rPr>
          <w:i/>
        </w:rPr>
        <w:t>1981</w:t>
      </w:r>
      <w:r w:rsidRPr="0028117C">
        <w:rPr>
          <w:i/>
        </w:rPr>
        <w:t xml:space="preserve"> </w:t>
      </w:r>
      <w:bookmarkStart w:id="7" w:name="_Hlk178324419"/>
      <w:r w:rsidRPr="0028117C">
        <w:t>and the consultation paper</w:t>
      </w:r>
      <w:r w:rsidRPr="0028117C">
        <w:rPr>
          <w:i/>
        </w:rPr>
        <w:t xml:space="preserve"> </w:t>
      </w:r>
      <w:r w:rsidRPr="0028117C">
        <w:t>which</w:t>
      </w:r>
      <w:r w:rsidR="00F6153F" w:rsidRPr="0028117C">
        <w:t xml:space="preserve"> can be found </w:t>
      </w:r>
      <w:r w:rsidR="007E5EE7" w:rsidRPr="0028117C">
        <w:t xml:space="preserve">on the </w:t>
      </w:r>
      <w:r w:rsidR="009F4A8D" w:rsidRPr="0028117C">
        <w:t>Department of Infrastructure, Transport, Regional Development, Communications and the Arts</w:t>
      </w:r>
      <w:r w:rsidR="0076686E" w:rsidRPr="0028117C">
        <w:t xml:space="preserve"> Have Your Say website </w:t>
      </w:r>
      <w:r w:rsidR="00F6153F" w:rsidRPr="0028117C">
        <w:t xml:space="preserve">at </w:t>
      </w:r>
      <w:bookmarkEnd w:id="7"/>
      <w:r w:rsidR="00F53E2D">
        <w:fldChar w:fldCharType="begin"/>
      </w:r>
      <w:r w:rsidR="00F53E2D">
        <w:instrText xml:space="preserve"> HYPERLINK "http://www.infrastructure.gov.au/shipping-registration-act-review" </w:instrText>
      </w:r>
      <w:r w:rsidR="00F53E2D">
        <w:fldChar w:fldCharType="separate"/>
      </w:r>
      <w:r w:rsidR="00F53E2D">
        <w:rPr>
          <w:rStyle w:val="Hyperlink"/>
        </w:rPr>
        <w:t>www.infrastructure.gov.au/shipping-registration-act-review</w:t>
      </w:r>
      <w:r w:rsidR="00F53E2D">
        <w:fldChar w:fldCharType="end"/>
      </w:r>
      <w:r w:rsidR="0028117C" w:rsidRPr="00F53E2D">
        <w:t>.</w:t>
      </w:r>
    </w:p>
    <w:p w14:paraId="2463A3AB" w14:textId="77777777" w:rsidR="00F6376B" w:rsidRDefault="00F6376B" w:rsidP="00D57C2E">
      <w:pPr>
        <w:pStyle w:val="Heading1"/>
      </w:pPr>
      <w:bookmarkStart w:id="8" w:name="_Toc177556741"/>
      <w:bookmarkStart w:id="9" w:name="_Toc177572038"/>
      <w:bookmarkEnd w:id="5"/>
      <w:bookmarkEnd w:id="6"/>
      <w:r>
        <w:t>Next step</w:t>
      </w:r>
      <w:r w:rsidR="003E6FBD">
        <w:t>s</w:t>
      </w:r>
      <w:bookmarkStart w:id="10" w:name="_GoBack"/>
      <w:bookmarkEnd w:id="8"/>
      <w:bookmarkEnd w:id="9"/>
      <w:bookmarkEnd w:id="10"/>
    </w:p>
    <w:p w14:paraId="1D8AACC4" w14:textId="2BFC0CD6" w:rsidR="00305274" w:rsidRDefault="002516EC" w:rsidP="003E6FBD">
      <w:r>
        <w:t xml:space="preserve">This paper is for Phase 1 of the </w:t>
      </w:r>
      <w:r w:rsidR="00055902">
        <w:t>Coastal Trading Act R</w:t>
      </w:r>
      <w:r>
        <w:t xml:space="preserve">eview and further consultation will be conducted </w:t>
      </w:r>
      <w:r w:rsidR="00305274">
        <w:t xml:space="preserve">throughout the </w:t>
      </w:r>
      <w:r w:rsidR="00452BBB">
        <w:t>R</w:t>
      </w:r>
      <w:r w:rsidR="00305274">
        <w:t xml:space="preserve">eview. </w:t>
      </w:r>
      <w:r w:rsidR="00EB2C19">
        <w:t>Consultation w</w:t>
      </w:r>
      <w:r w:rsidR="00305274">
        <w:t xml:space="preserve">ill involve </w:t>
      </w:r>
      <w:r w:rsidR="007B6080">
        <w:t>several</w:t>
      </w:r>
      <w:r w:rsidR="00305274">
        <w:t xml:space="preserve"> </w:t>
      </w:r>
      <w:r w:rsidR="00EB2C19">
        <w:t xml:space="preserve">processes </w:t>
      </w:r>
      <w:bookmarkStart w:id="11" w:name="_Hlk178324511"/>
      <w:r w:rsidR="00EB2C19">
        <w:t xml:space="preserve">including meeting with </w:t>
      </w:r>
      <w:r w:rsidR="003D0FC0">
        <w:t xml:space="preserve">a range of </w:t>
      </w:r>
      <w:r w:rsidR="00DE22A9">
        <w:t xml:space="preserve">key </w:t>
      </w:r>
      <w:r w:rsidR="00305274">
        <w:t xml:space="preserve">stakeholders </w:t>
      </w:r>
      <w:r w:rsidR="00EB2C19">
        <w:t>to discuss their interests and concerns</w:t>
      </w:r>
      <w:bookmarkEnd w:id="11"/>
      <w:r w:rsidR="007B6080">
        <w:t>,</w:t>
      </w:r>
      <w:r w:rsidR="00EB2C19">
        <w:t xml:space="preserve"> and additional consultation papers requesting written stakeholder feedback.</w:t>
      </w:r>
    </w:p>
    <w:p w14:paraId="6C12A647" w14:textId="77777777" w:rsidR="007D4207" w:rsidRDefault="007D4207">
      <w:pPr>
        <w:suppressAutoHyphens w:val="0"/>
        <w:rPr>
          <w:rFonts w:asciiTheme="majorHAnsi" w:eastAsiaTheme="majorEastAsia" w:hAnsiTheme="majorHAnsi" w:cstheme="majorBidi"/>
          <w:color w:val="081E3E" w:themeColor="text2"/>
          <w:sz w:val="44"/>
          <w:szCs w:val="32"/>
        </w:rPr>
      </w:pPr>
      <w:bookmarkStart w:id="12" w:name="_Toc177556742"/>
      <w:bookmarkStart w:id="13" w:name="_Toc177572039"/>
      <w:r>
        <w:br w:type="page"/>
      </w:r>
    </w:p>
    <w:p w14:paraId="2281F226" w14:textId="77777777" w:rsidR="00B811F5" w:rsidRDefault="009E52FA" w:rsidP="0039128B">
      <w:pPr>
        <w:pStyle w:val="Heading1Numbered"/>
      </w:pPr>
      <w:r>
        <w:lastRenderedPageBreak/>
        <w:t>Brief background to coastal trading regulation</w:t>
      </w:r>
      <w:bookmarkEnd w:id="12"/>
      <w:bookmarkEnd w:id="13"/>
    </w:p>
    <w:p w14:paraId="6E33551F" w14:textId="77777777" w:rsidR="008663FE" w:rsidRDefault="005257B6" w:rsidP="00C668EC">
      <w:r>
        <w:t xml:space="preserve">Most countries </w:t>
      </w:r>
      <w:r w:rsidR="0024697B">
        <w:t>with</w:t>
      </w:r>
      <w:r>
        <w:t xml:space="preserve"> coastline</w:t>
      </w:r>
      <w:r w:rsidR="00305274">
        <w:t>s</w:t>
      </w:r>
      <w:r>
        <w:t xml:space="preserve"> have </w:t>
      </w:r>
      <w:r w:rsidR="008663FE">
        <w:t xml:space="preserve">coastal trading </w:t>
      </w:r>
      <w:r>
        <w:t>legislation</w:t>
      </w:r>
      <w:r w:rsidRPr="0039128B">
        <w:t xml:space="preserve"> </w:t>
      </w:r>
      <w:r w:rsidR="008663FE">
        <w:t xml:space="preserve">(sometimes </w:t>
      </w:r>
      <w:r w:rsidR="00DC18AE">
        <w:t xml:space="preserve">referred to as </w:t>
      </w:r>
      <w:r w:rsidR="008663FE">
        <w:t>‘cabotage’ l</w:t>
      </w:r>
      <w:r w:rsidR="008B4DD1">
        <w:t>egislation</w:t>
      </w:r>
      <w:r w:rsidR="008663FE">
        <w:t xml:space="preserve">) </w:t>
      </w:r>
      <w:r w:rsidRPr="0039128B">
        <w:t>t</w:t>
      </w:r>
      <w:r>
        <w:t xml:space="preserve">hat gives preference to </w:t>
      </w:r>
      <w:r w:rsidR="00C9573D">
        <w:t>local</w:t>
      </w:r>
      <w:r w:rsidRPr="0039128B">
        <w:t xml:space="preserve"> </w:t>
      </w:r>
      <w:r w:rsidR="008663FE">
        <w:t xml:space="preserve">ships in </w:t>
      </w:r>
      <w:r w:rsidR="001C0B77">
        <w:t xml:space="preserve">the </w:t>
      </w:r>
      <w:r w:rsidR="008663FE">
        <w:t>carr</w:t>
      </w:r>
      <w:r w:rsidR="001C0B77">
        <w:t>iage</w:t>
      </w:r>
      <w:r w:rsidR="00D367F9">
        <w:t xml:space="preserve"> of</w:t>
      </w:r>
      <w:r w:rsidR="001C0B77">
        <w:t xml:space="preserve"> </w:t>
      </w:r>
      <w:r w:rsidR="008663FE">
        <w:t xml:space="preserve">goods and/or passengers </w:t>
      </w:r>
      <w:r w:rsidR="005673D2">
        <w:t xml:space="preserve">between </w:t>
      </w:r>
      <w:r w:rsidR="008663FE">
        <w:t>th</w:t>
      </w:r>
      <w:r w:rsidR="00D9130E">
        <w:t>at</w:t>
      </w:r>
      <w:r w:rsidR="008663FE">
        <w:t xml:space="preserve"> country’s domestic </w:t>
      </w:r>
      <w:r w:rsidR="005673D2">
        <w:t xml:space="preserve">ports. </w:t>
      </w:r>
      <w:r w:rsidR="0031719E">
        <w:t xml:space="preserve">The regulatory approach to coastal trading or cabotage legislation across </w:t>
      </w:r>
      <w:r w:rsidR="00305274">
        <w:t xml:space="preserve">countries </w:t>
      </w:r>
      <w:r w:rsidR="0031719E">
        <w:t>varies substantially.</w:t>
      </w:r>
      <w:r w:rsidR="005673D2">
        <w:t xml:space="preserve"> </w:t>
      </w:r>
    </w:p>
    <w:p w14:paraId="425584BE" w14:textId="77777777" w:rsidR="008663FE" w:rsidRDefault="00305274" w:rsidP="00C668EC">
      <w:r>
        <w:t>The b</w:t>
      </w:r>
      <w:r w:rsidR="005673D2" w:rsidRPr="007F7E2B">
        <w:t xml:space="preserve">enefits of coastal trading legislation include protecting the </w:t>
      </w:r>
      <w:r w:rsidR="008663FE" w:rsidRPr="007F7E2B">
        <w:t>country’s</w:t>
      </w:r>
      <w:r w:rsidR="005673D2" w:rsidRPr="007F7E2B">
        <w:t xml:space="preserve"> </w:t>
      </w:r>
      <w:r w:rsidR="008663FE" w:rsidRPr="007F7E2B">
        <w:t xml:space="preserve">domestic </w:t>
      </w:r>
      <w:r w:rsidR="005673D2" w:rsidRPr="007F7E2B">
        <w:t xml:space="preserve">shipping industry from </w:t>
      </w:r>
      <w:r w:rsidR="001C0B77" w:rsidRPr="007F7E2B">
        <w:t xml:space="preserve">foreign </w:t>
      </w:r>
      <w:r w:rsidR="005673D2" w:rsidRPr="007F7E2B">
        <w:t>competition</w:t>
      </w:r>
      <w:r>
        <w:t xml:space="preserve"> and ensuring the </w:t>
      </w:r>
      <w:r w:rsidR="005673D2" w:rsidRPr="007F7E2B">
        <w:t>supply of domestic shipping for national security purposes</w:t>
      </w:r>
      <w:r>
        <w:t>. This should include</w:t>
      </w:r>
      <w:r w:rsidR="001C0B77" w:rsidRPr="007F7E2B">
        <w:t xml:space="preserve"> </w:t>
      </w:r>
      <w:r w:rsidR="00F63F25" w:rsidRPr="007F7E2B">
        <w:t>transport</w:t>
      </w:r>
      <w:r w:rsidR="001C0B77" w:rsidRPr="007F7E2B">
        <w:t xml:space="preserve">ation of </w:t>
      </w:r>
      <w:r w:rsidR="008663FE" w:rsidRPr="007F7E2B">
        <w:t xml:space="preserve">critical </w:t>
      </w:r>
      <w:r w:rsidR="005673D2" w:rsidRPr="007F7E2B">
        <w:t xml:space="preserve">cargo during times of disaster when </w:t>
      </w:r>
      <w:r w:rsidR="00F63F25" w:rsidRPr="007F7E2B">
        <w:t xml:space="preserve">road and rail </w:t>
      </w:r>
      <w:r w:rsidR="008C1A9B" w:rsidRPr="007F7E2B">
        <w:t xml:space="preserve">infrastructure </w:t>
      </w:r>
      <w:r w:rsidR="007B6080">
        <w:t>are</w:t>
      </w:r>
      <w:r w:rsidR="007B6080" w:rsidRPr="007F7E2B">
        <w:t xml:space="preserve"> </w:t>
      </w:r>
      <w:r w:rsidR="00F63F25" w:rsidRPr="007F7E2B">
        <w:t>not be available</w:t>
      </w:r>
      <w:r w:rsidR="005673D2">
        <w:t>.</w:t>
      </w:r>
    </w:p>
    <w:p w14:paraId="65D237E0" w14:textId="77777777" w:rsidR="007F7E2B" w:rsidRDefault="007242D0" w:rsidP="00DF3E15">
      <w:r>
        <w:t xml:space="preserve">Australia has </w:t>
      </w:r>
      <w:r w:rsidR="007F7E2B">
        <w:t>regulated coastal trading</w:t>
      </w:r>
      <w:r>
        <w:t xml:space="preserve"> since 191</w:t>
      </w:r>
      <w:r w:rsidR="00F63F25">
        <w:t>3</w:t>
      </w:r>
      <w:r>
        <w:t xml:space="preserve"> (with the commencement of the </w:t>
      </w:r>
      <w:r w:rsidRPr="0039128B">
        <w:rPr>
          <w:i/>
        </w:rPr>
        <w:t>Navigation Act 1912</w:t>
      </w:r>
      <w:r w:rsidR="00305274">
        <w:t xml:space="preserve">) </w:t>
      </w:r>
      <w:r w:rsidR="007F7E2B">
        <w:t xml:space="preserve">when </w:t>
      </w:r>
      <w:r w:rsidR="00DF070B">
        <w:t xml:space="preserve">ships </w:t>
      </w:r>
      <w:r w:rsidR="008C1A9B">
        <w:t xml:space="preserve">were not permitted to engage in </w:t>
      </w:r>
      <w:r w:rsidR="00DF070B">
        <w:t>coastal trading</w:t>
      </w:r>
      <w:r w:rsidR="008C1A9B">
        <w:t xml:space="preserve"> unless licensed.</w:t>
      </w:r>
      <w:r w:rsidR="00DF070B">
        <w:t xml:space="preserve"> Licen</w:t>
      </w:r>
      <w:r w:rsidR="00BB1C14">
        <w:t>c</w:t>
      </w:r>
      <w:r w:rsidR="00DF070B">
        <w:t xml:space="preserve">es </w:t>
      </w:r>
      <w:r w:rsidR="007F7E2B">
        <w:t>gave an</w:t>
      </w:r>
      <w:r w:rsidR="00DF070B">
        <w:t xml:space="preserve"> </w:t>
      </w:r>
      <w:r w:rsidR="00DF3E15">
        <w:t xml:space="preserve">unrestricted ability to carry coastal cargoes and passengers </w:t>
      </w:r>
      <w:r w:rsidR="007F7E2B">
        <w:t>to</w:t>
      </w:r>
      <w:r w:rsidR="00DF3E15">
        <w:t xml:space="preserve"> vessels of any </w:t>
      </w:r>
      <w:r w:rsidR="00195F1D">
        <w:t>nationality</w:t>
      </w:r>
      <w:r w:rsidR="00DF3E15">
        <w:t xml:space="preserve">, provided seafarers were paid Australian wages and vessels were not in receipt of a subsidy </w:t>
      </w:r>
      <w:r w:rsidR="007F7E2B">
        <w:t>from</w:t>
      </w:r>
      <w:r w:rsidR="00DF3E15">
        <w:t xml:space="preserve"> a foreign jurisdiction. </w:t>
      </w:r>
    </w:p>
    <w:p w14:paraId="4CB677D2" w14:textId="77777777" w:rsidR="007F7E2B" w:rsidRDefault="007F7E2B" w:rsidP="007F7E2B">
      <w:r>
        <w:t>Eventually</w:t>
      </w:r>
      <w:r w:rsidR="008C1A9B">
        <w:t>, t</w:t>
      </w:r>
      <w:r w:rsidR="00DF3E15">
        <w:t xml:space="preserve">he Navigation Act </w:t>
      </w:r>
      <w:r>
        <w:t xml:space="preserve">was amended to </w:t>
      </w:r>
      <w:r w:rsidR="00DF3E15">
        <w:t xml:space="preserve">provide for single voyage </w:t>
      </w:r>
      <w:r w:rsidR="00DF070B">
        <w:t xml:space="preserve">permits </w:t>
      </w:r>
      <w:r w:rsidR="00DF3E15">
        <w:t xml:space="preserve">or continuing permits </w:t>
      </w:r>
      <w:r>
        <w:t>for foreign flagged vessels to carry cargo or passengers where a licensed vessel was unavailable. Crewing requirements on vessels under these permits were exempt from Australian seafarer regulatory requirements and they operated with much lower cost structures.</w:t>
      </w:r>
    </w:p>
    <w:p w14:paraId="0F1F9F44" w14:textId="7924D940" w:rsidR="00F4392E" w:rsidRDefault="004E6421" w:rsidP="00F4392E">
      <w:r>
        <w:t xml:space="preserve">By 2012, </w:t>
      </w:r>
      <w:r w:rsidR="00F4392E">
        <w:t>the Australian fleet ha</w:t>
      </w:r>
      <w:r w:rsidR="00073308">
        <w:t>d</w:t>
      </w:r>
      <w:r w:rsidR="00F4392E">
        <w:t xml:space="preserve"> </w:t>
      </w:r>
      <w:r w:rsidR="00073308">
        <w:t>reduced to 21</w:t>
      </w:r>
      <w:r w:rsidR="00F4392E">
        <w:t xml:space="preserve"> ships </w:t>
      </w:r>
      <w:r w:rsidR="00073308">
        <w:t>from 55</w:t>
      </w:r>
      <w:r w:rsidR="00F4392E">
        <w:t xml:space="preserve">, with only </w:t>
      </w:r>
      <w:r w:rsidR="00A9397F">
        <w:t>4</w:t>
      </w:r>
      <w:r w:rsidR="00F4392E">
        <w:t xml:space="preserve"> operating on international routes. </w:t>
      </w:r>
      <w:r>
        <w:t>At th</w:t>
      </w:r>
      <w:r w:rsidR="00073308">
        <w:t>at</w:t>
      </w:r>
      <w:r>
        <w:t xml:space="preserve"> time, Australian</w:t>
      </w:r>
      <w:r w:rsidR="00F4392E">
        <w:t xml:space="preserve"> ports manage</w:t>
      </w:r>
      <w:r>
        <w:t>d</w:t>
      </w:r>
      <w:r w:rsidR="00F4392E">
        <w:t xml:space="preserve"> 10 per cent of the world's entire sea trade</w:t>
      </w:r>
      <w:r>
        <w:t xml:space="preserve"> and moved $</w:t>
      </w:r>
      <w:r w:rsidR="00F4392E">
        <w:t>200 billion worth of cargo annually.</w:t>
      </w:r>
    </w:p>
    <w:p w14:paraId="4B2D9D5D" w14:textId="15AF6AF5" w:rsidR="008C1A9B" w:rsidRDefault="004E6421" w:rsidP="00DF3E15">
      <w:r>
        <w:t>T</w:t>
      </w:r>
      <w:r w:rsidR="0022479A">
        <w:t xml:space="preserve">he </w:t>
      </w:r>
      <w:r w:rsidR="00055902">
        <w:t>Act</w:t>
      </w:r>
      <w:r w:rsidR="00055902" w:rsidRPr="0039128B">
        <w:t xml:space="preserve"> </w:t>
      </w:r>
      <w:r w:rsidR="00BE6D31">
        <w:t>was introduced</w:t>
      </w:r>
      <w:r>
        <w:t xml:space="preserve"> in 2012</w:t>
      </w:r>
      <w:r w:rsidR="00BE6D31">
        <w:t xml:space="preserve"> </w:t>
      </w:r>
      <w:r w:rsidR="00DF3E15" w:rsidRPr="0039128B">
        <w:t xml:space="preserve">as a part of a major reform package to revitalise the Australian shipping industry and reverse the decline in Australia’s major </w:t>
      </w:r>
      <w:r w:rsidR="00C9573D">
        <w:t>trading</w:t>
      </w:r>
      <w:r w:rsidR="00C9573D" w:rsidRPr="0039128B">
        <w:t xml:space="preserve"> </w:t>
      </w:r>
      <w:r w:rsidR="00DF3E15" w:rsidRPr="0039128B">
        <w:t xml:space="preserve">fleet. </w:t>
      </w:r>
      <w:r w:rsidR="008C1A9B">
        <w:t xml:space="preserve">The </w:t>
      </w:r>
      <w:r w:rsidR="00055902">
        <w:t xml:space="preserve">Act </w:t>
      </w:r>
      <w:r w:rsidR="008C1A9B">
        <w:t xml:space="preserve">provides for three types of licences: </w:t>
      </w:r>
    </w:p>
    <w:p w14:paraId="2FFAD253" w14:textId="77777777" w:rsidR="008C1A9B" w:rsidRPr="0039128B" w:rsidRDefault="008C1A9B" w:rsidP="008C1A9B">
      <w:pPr>
        <w:pStyle w:val="Bullet1"/>
        <w:rPr>
          <w:b/>
        </w:rPr>
      </w:pPr>
      <w:r w:rsidRPr="0039128B">
        <w:t xml:space="preserve">general licences, which authorise a vessel registered </w:t>
      </w:r>
      <w:proofErr w:type="spellStart"/>
      <w:r w:rsidR="007B6080">
        <w:rPr>
          <w:lang w:val="en-AU"/>
        </w:rPr>
        <w:t>i</w:t>
      </w:r>
      <w:proofErr w:type="spellEnd"/>
      <w:r w:rsidRPr="0039128B">
        <w:t>n the Australian General Shipping Register (Australian flagged and crewed) to engage in coastal trading</w:t>
      </w:r>
      <w:r w:rsidRPr="0039128B">
        <w:rPr>
          <w:lang w:val="en-AU"/>
        </w:rPr>
        <w:t xml:space="preserve"> </w:t>
      </w:r>
      <w:r w:rsidRPr="0039128B">
        <w:t>for a period of up to 5 years</w:t>
      </w:r>
      <w:r w:rsidR="00C9573D">
        <w:rPr>
          <w:lang w:val="en-AU"/>
        </w:rPr>
        <w:t xml:space="preserve"> and provides </w:t>
      </w:r>
      <w:r w:rsidR="00C9573D" w:rsidRPr="00F72F8B">
        <w:t>unrestricted access to coastal trade</w:t>
      </w:r>
    </w:p>
    <w:p w14:paraId="44639650" w14:textId="77777777" w:rsidR="008C1A9B" w:rsidRPr="0039128B" w:rsidRDefault="008C1A9B" w:rsidP="008C1A9B">
      <w:pPr>
        <w:pStyle w:val="Bullet1"/>
        <w:rPr>
          <w:b/>
        </w:rPr>
      </w:pPr>
      <w:r w:rsidRPr="0039128B">
        <w:t xml:space="preserve">temporary licences, which enable a foreign vessel (or vessel registered </w:t>
      </w:r>
      <w:proofErr w:type="spellStart"/>
      <w:r w:rsidR="007B6080">
        <w:rPr>
          <w:lang w:val="en-AU"/>
        </w:rPr>
        <w:t>i</w:t>
      </w:r>
      <w:proofErr w:type="spellEnd"/>
      <w:r w:rsidRPr="0039128B">
        <w:t>n the Australian International Shipping Register), to engage in coastal trading over a 12-month period</w:t>
      </w:r>
    </w:p>
    <w:p w14:paraId="3B8A64F0" w14:textId="77777777" w:rsidR="008C1A9B" w:rsidRPr="00005901" w:rsidRDefault="008C1A9B" w:rsidP="008C1A9B">
      <w:pPr>
        <w:pStyle w:val="Bullet1"/>
        <w:rPr>
          <w:b/>
        </w:rPr>
      </w:pPr>
      <w:r w:rsidRPr="0039128B">
        <w:t>emergency licence</w:t>
      </w:r>
      <w:r w:rsidR="00E0105D">
        <w:rPr>
          <w:lang w:val="en-AU"/>
        </w:rPr>
        <w:t>s</w:t>
      </w:r>
      <w:r w:rsidRPr="0039128B">
        <w:t>, for one or more vessels to engage in coastal trading in prescribed emergencies.</w:t>
      </w:r>
    </w:p>
    <w:p w14:paraId="474F17EA" w14:textId="70B0F202" w:rsidR="00840D17" w:rsidRDefault="00840D17" w:rsidP="00005901">
      <w:r w:rsidRPr="00F72F8B">
        <w:t xml:space="preserve">Temporary licence applications </w:t>
      </w:r>
      <w:r>
        <w:t xml:space="preserve">under the </w:t>
      </w:r>
      <w:r w:rsidR="00055902">
        <w:t xml:space="preserve">Act </w:t>
      </w:r>
      <w:r w:rsidRPr="00F72F8B">
        <w:t>are subject to an open process</w:t>
      </w:r>
      <w:r w:rsidR="007B6080">
        <w:rPr>
          <w:rFonts w:cstheme="minorHAnsi"/>
        </w:rPr>
        <w:t>―</w:t>
      </w:r>
      <w:r w:rsidRPr="00F72F8B">
        <w:t xml:space="preserve">a general licence holder can request, through giving notice, that they carry the applicant’s trade. </w:t>
      </w:r>
      <w:r>
        <w:t>Where a general licence holder has given notice, t</w:t>
      </w:r>
      <w:r w:rsidRPr="00F72F8B">
        <w:t xml:space="preserve">he temporary licence applicant and general licence holder must enter </w:t>
      </w:r>
      <w:r>
        <w:t xml:space="preserve">into </w:t>
      </w:r>
      <w:r w:rsidRPr="00F72F8B">
        <w:t>negotiations</w:t>
      </w:r>
      <w:r>
        <w:t xml:space="preserve"> </w:t>
      </w:r>
      <w:r w:rsidR="00BE6D31">
        <w:t>about the general licence holder carrying the cargo</w:t>
      </w:r>
      <w:r w:rsidR="000C7CF4">
        <w:t>.</w:t>
      </w:r>
      <w:r w:rsidR="00BE6D31">
        <w:t xml:space="preserve"> </w:t>
      </w:r>
      <w:r w:rsidR="000C7CF4">
        <w:t xml:space="preserve"> T</w:t>
      </w:r>
      <w:r>
        <w:t xml:space="preserve">he Minister (or their delegate) must </w:t>
      </w:r>
      <w:r w:rsidR="00480458">
        <w:t xml:space="preserve">then </w:t>
      </w:r>
      <w:r>
        <w:t xml:space="preserve">decide whether the temporary </w:t>
      </w:r>
      <w:r w:rsidR="00305274">
        <w:t xml:space="preserve">licence </w:t>
      </w:r>
      <w:r>
        <w:t xml:space="preserve">should be granted. </w:t>
      </w:r>
    </w:p>
    <w:p w14:paraId="405545D9" w14:textId="77777777" w:rsidR="00840D17" w:rsidRPr="00005901" w:rsidRDefault="00840D17" w:rsidP="00005901">
      <w:r>
        <w:t xml:space="preserve">When deciding an application for a temporary licence, the Minister (or delegate) must have regard to </w:t>
      </w:r>
      <w:r w:rsidR="007B6080">
        <w:t>several</w:t>
      </w:r>
      <w:r>
        <w:t xml:space="preserve"> matters, including the outcome of negotiations</w:t>
      </w:r>
      <w:r w:rsidR="00BE6D31">
        <w:t xml:space="preserve"> </w:t>
      </w:r>
      <w:r>
        <w:t xml:space="preserve">and </w:t>
      </w:r>
      <w:r>
        <w:rPr>
          <w:color w:val="000000"/>
        </w:rPr>
        <w:t>whether and to what extent the vessel authorised by the general licence holder’s licence is equipped to carry the passengers or cargo specified in the temporary licence application</w:t>
      </w:r>
      <w:r>
        <w:t xml:space="preserve">. </w:t>
      </w:r>
    </w:p>
    <w:p w14:paraId="22656782" w14:textId="77777777" w:rsidR="007627E1" w:rsidRDefault="004A6853" w:rsidP="007627E1">
      <w:r>
        <w:t xml:space="preserve">Despite the </w:t>
      </w:r>
      <w:r w:rsidR="00055902">
        <w:t xml:space="preserve">Act </w:t>
      </w:r>
      <w:r w:rsidR="003351C9">
        <w:t>being introduced</w:t>
      </w:r>
      <w:r>
        <w:t xml:space="preserve">, </w:t>
      </w:r>
      <w:r w:rsidR="00577474">
        <w:t>the Australian shipping industry has continued to decline</w:t>
      </w:r>
      <w:r w:rsidR="00073308">
        <w:t xml:space="preserve"> from the 21</w:t>
      </w:r>
      <w:r w:rsidR="00CB71AC">
        <w:t> vessels</w:t>
      </w:r>
      <w:r w:rsidR="00073308">
        <w:t xml:space="preserve"> i</w:t>
      </w:r>
      <w:r w:rsidR="00577474">
        <w:t>n 2012</w:t>
      </w:r>
      <w:r w:rsidR="00073308">
        <w:t xml:space="preserve"> to now having</w:t>
      </w:r>
      <w:r w:rsidR="00DF3E15" w:rsidRPr="0038160C">
        <w:t xml:space="preserve"> 11 major trading vessels operating under a </w:t>
      </w:r>
      <w:r>
        <w:t>g</w:t>
      </w:r>
      <w:r w:rsidR="00DF3E15" w:rsidRPr="0038160C">
        <w:t xml:space="preserve">eneral </w:t>
      </w:r>
      <w:r>
        <w:t>l</w:t>
      </w:r>
      <w:r w:rsidR="00DF3E15" w:rsidRPr="0038160C">
        <w:t>icence.</w:t>
      </w:r>
    </w:p>
    <w:p w14:paraId="27409941" w14:textId="77777777" w:rsidR="007627E1" w:rsidRDefault="007627E1" w:rsidP="003D18A6">
      <w:pPr>
        <w:pStyle w:val="Heading2Numbered"/>
      </w:pPr>
      <w:bookmarkStart w:id="14" w:name="_Toc177556743"/>
      <w:bookmarkStart w:id="15" w:name="_Toc177572040"/>
      <w:r>
        <w:lastRenderedPageBreak/>
        <w:t>Policy objectives to revitalise Australian shipping</w:t>
      </w:r>
      <w:bookmarkEnd w:id="14"/>
      <w:bookmarkEnd w:id="15"/>
    </w:p>
    <w:p w14:paraId="744420D6" w14:textId="3FA269B7" w:rsidR="007627E1" w:rsidRDefault="007627E1" w:rsidP="007627E1">
      <w:r>
        <w:t xml:space="preserve">Australia relies on shipping for our economic and social well-being. </w:t>
      </w:r>
      <w:r w:rsidRPr="00FE238A">
        <w:t xml:space="preserve">In 2022–23, coastal shipping </w:t>
      </w:r>
      <w:r w:rsidR="008D481C">
        <w:t>moved 91.3 billion tonne kilometres of all goods moved in Australia (</w:t>
      </w:r>
      <w:r w:rsidR="008D481C" w:rsidRPr="00FE238A">
        <w:t>account</w:t>
      </w:r>
      <w:r w:rsidR="008D481C">
        <w:t>ing</w:t>
      </w:r>
      <w:r w:rsidR="008D481C" w:rsidRPr="00FE238A">
        <w:t xml:space="preserve"> </w:t>
      </w:r>
      <w:r w:rsidRPr="00FE238A">
        <w:t>for 11.73 per cent</w:t>
      </w:r>
      <w:r w:rsidR="008D481C">
        <w:t>)</w:t>
      </w:r>
      <w:r w:rsidRPr="00FE238A">
        <w:t>.</w:t>
      </w:r>
      <w:r w:rsidR="00DB30DB">
        <w:rPr>
          <w:rStyle w:val="FootnoteReference"/>
        </w:rPr>
        <w:footnoteReference w:id="2"/>
      </w:r>
      <w:r w:rsidRPr="00FE238A">
        <w:t xml:space="preserve"> The types of cargo moved domestically can be separated into bulk cargo</w:t>
      </w:r>
      <w:r>
        <w:t xml:space="preserve"> (such as crude oil, chemicals, liquefied gases</w:t>
      </w:r>
      <w:r w:rsidR="00CB71AC">
        <w:t>,</w:t>
      </w:r>
      <w:r>
        <w:t xml:space="preserve"> grains, minerals and steel)</w:t>
      </w:r>
      <w:r w:rsidRPr="00FE238A">
        <w:t xml:space="preserve"> and containerised cargo</w:t>
      </w:r>
      <w:r>
        <w:t xml:space="preserve"> (such as raw materials and finished goods)</w:t>
      </w:r>
      <w:r w:rsidRPr="00FE238A">
        <w:t xml:space="preserve">. </w:t>
      </w:r>
    </w:p>
    <w:p w14:paraId="74ACA3DB" w14:textId="592E8ED7" w:rsidR="006876F5" w:rsidRDefault="007627E1" w:rsidP="007627E1">
      <w:r>
        <w:t>The importance of shipping was illustrated during the C</w:t>
      </w:r>
      <w:r w:rsidR="007B6080">
        <w:t>ovid-19</w:t>
      </w:r>
      <w:r>
        <w:t xml:space="preserve"> pandemic and was reinforced when the rail line to Western Australia was cut in 2022</w:t>
      </w:r>
      <w:r w:rsidR="00BE6D31">
        <w:t xml:space="preserve"> due to flooding</w:t>
      </w:r>
      <w:r>
        <w:t xml:space="preserve">. </w:t>
      </w:r>
      <w:r w:rsidR="00CB71AC">
        <w:t>In the latter example, s</w:t>
      </w:r>
      <w:r>
        <w:t>hipping was critical to keep</w:t>
      </w:r>
      <w:r w:rsidR="00306067">
        <w:t>ing</w:t>
      </w:r>
      <w:r>
        <w:t xml:space="preserve"> vital goods moving west and east </w:t>
      </w:r>
      <w:r w:rsidR="00BE6D31">
        <w:t xml:space="preserve">across </w:t>
      </w:r>
      <w:r>
        <w:t xml:space="preserve">Australia. </w:t>
      </w:r>
      <w:r w:rsidR="00306067">
        <w:t>With so few Australian flagged and crewed vessels operating</w:t>
      </w:r>
      <w:r w:rsidR="007B6080">
        <w:t>,</w:t>
      </w:r>
      <w:r w:rsidR="00306067">
        <w:t xml:space="preserve"> Australia would have great difficulty </w:t>
      </w:r>
      <w:r w:rsidR="00073308">
        <w:t xml:space="preserve">in a </w:t>
      </w:r>
      <w:r w:rsidR="00CF270F">
        <w:t xml:space="preserve">major </w:t>
      </w:r>
      <w:r w:rsidR="00073308">
        <w:t xml:space="preserve">crisis </w:t>
      </w:r>
      <w:r w:rsidR="00791F36">
        <w:t xml:space="preserve">in </w:t>
      </w:r>
      <w:r w:rsidR="00306067">
        <w:t xml:space="preserve">accessing and controlling the maritime assets that we might require. </w:t>
      </w:r>
    </w:p>
    <w:p w14:paraId="1E16FAFA" w14:textId="77777777" w:rsidR="007627E1" w:rsidRDefault="007627E1" w:rsidP="007627E1">
      <w:r>
        <w:t>Nations with larger fleets controlled under their flag or registration reap benefits such as</w:t>
      </w:r>
      <w:r w:rsidRPr="00FE238A">
        <w:t xml:space="preserve"> </w:t>
      </w:r>
      <w:r>
        <w:t>the creation of skills, revenue generation from the ensuing economic clusters that develop in support of large fleets, control of critical strategic assets, supply chain security and economic diversity.</w:t>
      </w:r>
    </w:p>
    <w:p w14:paraId="72A70A61" w14:textId="3084C107" w:rsidR="00306067" w:rsidRDefault="00306067" w:rsidP="00306067">
      <w:r>
        <w:t xml:space="preserve">Our maritime workforce is also of critical importance. Demand for Australian seafarers is outstripping supply across the maritime industry, </w:t>
      </w:r>
      <w:r w:rsidR="00B41D2F">
        <w:t xml:space="preserve">for roles both at sea </w:t>
      </w:r>
      <w:r w:rsidR="000A57B8">
        <w:t xml:space="preserve">(including pilots) </w:t>
      </w:r>
      <w:r w:rsidR="00B41D2F">
        <w:t xml:space="preserve">and </w:t>
      </w:r>
      <w:r w:rsidR="00074EA4">
        <w:t>a</w:t>
      </w:r>
      <w:r w:rsidR="00B41D2F">
        <w:t xml:space="preserve">shore </w:t>
      </w:r>
      <w:r w:rsidR="00242422">
        <w:t>(</w:t>
      </w:r>
      <w:r w:rsidR="00B41D2F">
        <w:t>like harbour masters</w:t>
      </w:r>
      <w:r w:rsidR="00242422">
        <w:t>)</w:t>
      </w:r>
      <w:r w:rsidR="00B41D2F">
        <w:t>. W</w:t>
      </w:r>
      <w:r>
        <w:t xml:space="preserve">ithout action, the Australian maritime workforce will not be able to meet the needs of the strategic fleet and the broader economy. There is </w:t>
      </w:r>
      <w:r w:rsidR="0088561C">
        <w:t xml:space="preserve">an </w:t>
      </w:r>
      <w:r>
        <w:t xml:space="preserve">increasing global demand for </w:t>
      </w:r>
      <w:r w:rsidR="00581EAE">
        <w:t xml:space="preserve">seafarers qualified </w:t>
      </w:r>
      <w:r w:rsidR="00B02654">
        <w:t>according</w:t>
      </w:r>
      <w:r w:rsidR="00303AFA">
        <w:t xml:space="preserve"> to </w:t>
      </w:r>
      <w:r w:rsidR="00C66AE2">
        <w:t>international standards</w:t>
      </w:r>
      <w:r>
        <w:t xml:space="preserve"> and this will make it increasingly difficult for Australia to attract and retain skilled people, even through the use of work visas and migration.</w:t>
      </w:r>
    </w:p>
    <w:p w14:paraId="0D4628F9" w14:textId="334D31DC" w:rsidR="007627E1" w:rsidRDefault="007627E1" w:rsidP="007627E1">
      <w:r>
        <w:t xml:space="preserve">Taking into consideration the Strategic Fleet Taskforce </w:t>
      </w:r>
      <w:r w:rsidR="00B05ED9">
        <w:t>Final Report</w:t>
      </w:r>
      <w:r>
        <w:t xml:space="preserve"> and the </w:t>
      </w:r>
      <w:r w:rsidR="00BE6D31">
        <w:t>G</w:t>
      </w:r>
      <w:r>
        <w:t xml:space="preserve">overnment’s commitment to implementing </w:t>
      </w:r>
      <w:r w:rsidR="00591E88">
        <w:t xml:space="preserve">a </w:t>
      </w:r>
      <w:r>
        <w:t>strategic</w:t>
      </w:r>
      <w:r w:rsidR="00591E88">
        <w:t xml:space="preserve"> merchant</w:t>
      </w:r>
      <w:r>
        <w:t xml:space="preserve"> fleet as a step to revitalise the industry</w:t>
      </w:r>
      <w:r w:rsidR="00A7394C">
        <w:t xml:space="preserve"> (starting with </w:t>
      </w:r>
      <w:r w:rsidR="00CF270F">
        <w:t xml:space="preserve">the </w:t>
      </w:r>
      <w:r w:rsidR="00A7394C">
        <w:t>three vessels for the Strategic Fleet pilot</w:t>
      </w:r>
      <w:r w:rsidR="00DD5160">
        <w:t xml:space="preserve"> </w:t>
      </w:r>
      <w:r w:rsidR="001A114D">
        <w:t>program</w:t>
      </w:r>
      <w:r w:rsidR="001A114D">
        <w:rPr>
          <w:rStyle w:val="FootnoteReference"/>
        </w:rPr>
        <w:footnoteReference w:id="3"/>
      </w:r>
      <w:r w:rsidR="00A7394C">
        <w:t>)</w:t>
      </w:r>
      <w:r>
        <w:t xml:space="preserve">, we propose to conduct the </w:t>
      </w:r>
      <w:r w:rsidR="00A87E74">
        <w:t xml:space="preserve">Review </w:t>
      </w:r>
      <w:r>
        <w:t xml:space="preserve">of the </w:t>
      </w:r>
      <w:r w:rsidR="00A87E74">
        <w:t xml:space="preserve">Act </w:t>
      </w:r>
      <w:r>
        <w:t>with the following policy objectives in mind:</w:t>
      </w:r>
    </w:p>
    <w:p w14:paraId="579E8424" w14:textId="337EA090" w:rsidR="007627E1" w:rsidRDefault="007627E1" w:rsidP="003D18A6">
      <w:pPr>
        <w:pStyle w:val="ListParagraph"/>
        <w:numPr>
          <w:ilvl w:val="0"/>
          <w:numId w:val="47"/>
        </w:numPr>
      </w:pPr>
      <w:r>
        <w:t>Revitalis</w:t>
      </w:r>
      <w:r w:rsidR="00490CBE">
        <w:t>ing</w:t>
      </w:r>
      <w:r>
        <w:t xml:space="preserve"> </w:t>
      </w:r>
      <w:r w:rsidR="00243AA2">
        <w:t xml:space="preserve">the </w:t>
      </w:r>
      <w:r>
        <w:t>Australia</w:t>
      </w:r>
      <w:r w:rsidR="00243AA2">
        <w:t>n</w:t>
      </w:r>
      <w:r>
        <w:t xml:space="preserve"> shipping industry by increasing Australian shipping capacity</w:t>
      </w:r>
      <w:r w:rsidR="007B6080">
        <w:t>.</w:t>
      </w:r>
    </w:p>
    <w:p w14:paraId="77402EF1" w14:textId="1BE2846A" w:rsidR="006876F5" w:rsidRDefault="006876F5" w:rsidP="006876F5">
      <w:pPr>
        <w:pStyle w:val="ListParagraph"/>
        <w:numPr>
          <w:ilvl w:val="0"/>
          <w:numId w:val="47"/>
        </w:numPr>
      </w:pPr>
      <w:r>
        <w:t>Ensur</w:t>
      </w:r>
      <w:r w:rsidR="00490CBE">
        <w:t>ing</w:t>
      </w:r>
      <w:r>
        <w:t xml:space="preserve"> the stability of our existing shipping industry and provide certainty for industry to invest long-term</w:t>
      </w:r>
      <w:r w:rsidR="007B6080">
        <w:t>.</w:t>
      </w:r>
    </w:p>
    <w:p w14:paraId="7455D9E5" w14:textId="5BFE90A7" w:rsidR="007627E1" w:rsidRDefault="007627E1" w:rsidP="003D18A6">
      <w:pPr>
        <w:pStyle w:val="ListParagraph"/>
        <w:numPr>
          <w:ilvl w:val="0"/>
          <w:numId w:val="47"/>
        </w:numPr>
      </w:pPr>
      <w:r>
        <w:t>Provid</w:t>
      </w:r>
      <w:r w:rsidR="000D22BC">
        <w:t>ing</w:t>
      </w:r>
      <w:r>
        <w:t xml:space="preserve"> a regulatory framework that supports our sovereign manufacturing base without undermining Australian shipping</w:t>
      </w:r>
      <w:r w:rsidR="00B41D2F">
        <w:t>.</w:t>
      </w:r>
    </w:p>
    <w:p w14:paraId="1C951A42" w14:textId="77777777" w:rsidR="005F794B" w:rsidRPr="005F794B" w:rsidRDefault="002E35D6" w:rsidP="002E35D6">
      <w:pPr>
        <w:pStyle w:val="Heading1Numbered"/>
      </w:pPr>
      <w:bookmarkStart w:id="16" w:name="_Toc177556744"/>
      <w:bookmarkStart w:id="17" w:name="_Toc177572041"/>
      <w:r>
        <w:t>Object</w:t>
      </w:r>
      <w:r w:rsidR="00AE3DD8">
        <w:t>s</w:t>
      </w:r>
      <w:r>
        <w:t xml:space="preserve"> of the </w:t>
      </w:r>
      <w:bookmarkEnd w:id="16"/>
      <w:bookmarkEnd w:id="17"/>
      <w:r w:rsidR="00055902">
        <w:t>Act</w:t>
      </w:r>
    </w:p>
    <w:p w14:paraId="1F1D1764" w14:textId="70B88233" w:rsidR="00AE3DD8" w:rsidRDefault="003351C9" w:rsidP="008764BC">
      <w:r>
        <w:t>Australian legislation often has a</w:t>
      </w:r>
      <w:r w:rsidR="00C441D7" w:rsidRPr="0038160C">
        <w:t>n objects</w:t>
      </w:r>
      <w:r w:rsidR="00073308" w:rsidRPr="0038160C">
        <w:t xml:space="preserve"> </w:t>
      </w:r>
      <w:r w:rsidR="00C441D7" w:rsidRPr="0038160C">
        <w:t xml:space="preserve">clause </w:t>
      </w:r>
      <w:r w:rsidR="00C441D7">
        <w:t>outlin</w:t>
      </w:r>
      <w:r w:rsidR="0039128B">
        <w:t>ing</w:t>
      </w:r>
      <w:r w:rsidR="00C441D7">
        <w:t xml:space="preserve"> the</w:t>
      </w:r>
      <w:r w:rsidR="00C441D7" w:rsidRPr="0038160C">
        <w:t xml:space="preserve"> underlying purposes of the legislation</w:t>
      </w:r>
      <w:r w:rsidR="00325719">
        <w:t xml:space="preserve">. </w:t>
      </w:r>
      <w:r w:rsidR="00C441D7" w:rsidRPr="0038160C">
        <w:t>Objects clauses have been described as a ‘modern day variant on the use of a preamble to indicate the intended purpose of legislation</w:t>
      </w:r>
      <w:r w:rsidR="00C441D7">
        <w:t>’</w:t>
      </w:r>
      <w:r w:rsidR="00C441D7" w:rsidRPr="0038160C">
        <w:t>.</w:t>
      </w:r>
      <w:r w:rsidR="00C441D7">
        <w:rPr>
          <w:rStyle w:val="FootnoteReference"/>
        </w:rPr>
        <w:footnoteReference w:id="4"/>
      </w:r>
      <w:r w:rsidR="00C441D7" w:rsidRPr="0038160C">
        <w:t xml:space="preserve"> </w:t>
      </w:r>
      <w:r w:rsidR="00AE3DD8" w:rsidRPr="0038160C">
        <w:t>Objects clauses are used to give readers a general understanding of the purpose of legislation, or to set out general aims or principles that help readers to interpret the detailed provisions of legislation.</w:t>
      </w:r>
      <w:r w:rsidR="00AE3DD8">
        <w:rPr>
          <w:rStyle w:val="FootnoteReference"/>
        </w:rPr>
        <w:footnoteReference w:id="5"/>
      </w:r>
      <w:r w:rsidR="00840D17" w:rsidRPr="00840D17">
        <w:t xml:space="preserve"> </w:t>
      </w:r>
      <w:r w:rsidR="00840D17">
        <w:t xml:space="preserve">Often the </w:t>
      </w:r>
      <w:r w:rsidR="00073308">
        <w:t xml:space="preserve">objects </w:t>
      </w:r>
      <w:r w:rsidR="00840D17">
        <w:t>clause is used</w:t>
      </w:r>
      <w:r w:rsidR="00840D17" w:rsidRPr="0038160C">
        <w:t xml:space="preserve"> to resolve uncertainty and ambiguity</w:t>
      </w:r>
      <w:r w:rsidR="00840D17">
        <w:t xml:space="preserve"> in decision making under legislation and the </w:t>
      </w:r>
      <w:r w:rsidR="00055902">
        <w:t xml:space="preserve">Act </w:t>
      </w:r>
      <w:r w:rsidR="00840D17">
        <w:t>is no exception to this</w:t>
      </w:r>
      <w:r w:rsidR="00840D17" w:rsidRPr="0038160C">
        <w:t>.</w:t>
      </w:r>
    </w:p>
    <w:p w14:paraId="3A1720C2" w14:textId="77777777" w:rsidR="005F794B" w:rsidRPr="00ED4385" w:rsidRDefault="009E52FA" w:rsidP="00ED4385">
      <w:pPr>
        <w:rPr>
          <w:b/>
        </w:rPr>
      </w:pPr>
      <w:r>
        <w:t>The object</w:t>
      </w:r>
      <w:r w:rsidR="007B6080">
        <w:t>,</w:t>
      </w:r>
      <w:r>
        <w:t xml:space="preserve"> outlined under s 3 of the </w:t>
      </w:r>
      <w:r w:rsidR="008D7716">
        <w:t>Act</w:t>
      </w:r>
      <w:r w:rsidR="007B6080">
        <w:t>,</w:t>
      </w:r>
      <w:r w:rsidR="008D7716">
        <w:t xml:space="preserve"> </w:t>
      </w:r>
      <w:r>
        <w:t>states:</w:t>
      </w:r>
    </w:p>
    <w:p w14:paraId="24508C9E" w14:textId="77777777" w:rsidR="00CF134F" w:rsidRDefault="00CF134F" w:rsidP="00CF134F">
      <w:pPr>
        <w:pStyle w:val="ListLegal1"/>
        <w:numPr>
          <w:ilvl w:val="0"/>
          <w:numId w:val="30"/>
        </w:numPr>
      </w:pPr>
      <w:r>
        <w:t>The object of this Act is to provide a regulatory framework for coastal trading in Australia that:</w:t>
      </w:r>
    </w:p>
    <w:p w14:paraId="412F5095" w14:textId="77777777" w:rsidR="00CF134F" w:rsidRPr="00B811F5" w:rsidRDefault="00CF134F" w:rsidP="00CF134F">
      <w:pPr>
        <w:pStyle w:val="ListLegal1"/>
        <w:numPr>
          <w:ilvl w:val="0"/>
          <w:numId w:val="31"/>
        </w:numPr>
      </w:pPr>
      <w:r w:rsidRPr="00B811F5">
        <w:t>promotes a viable shipping industry that contributes to the broader Australian economy; and</w:t>
      </w:r>
    </w:p>
    <w:p w14:paraId="4F332D09" w14:textId="77777777" w:rsidR="00CF134F" w:rsidRPr="00B811F5" w:rsidRDefault="00CF134F" w:rsidP="00CF134F">
      <w:pPr>
        <w:pStyle w:val="ListLegal1"/>
        <w:numPr>
          <w:ilvl w:val="0"/>
          <w:numId w:val="31"/>
        </w:numPr>
      </w:pPr>
      <w:r w:rsidRPr="00B811F5">
        <w:lastRenderedPageBreak/>
        <w:t>facilitates the long term growth of the Australian shipping industry; and</w:t>
      </w:r>
    </w:p>
    <w:p w14:paraId="795381FD" w14:textId="77777777" w:rsidR="00CF134F" w:rsidRDefault="00CF134F" w:rsidP="00CF134F">
      <w:pPr>
        <w:pStyle w:val="ListLegal1"/>
        <w:numPr>
          <w:ilvl w:val="0"/>
          <w:numId w:val="31"/>
        </w:numPr>
      </w:pPr>
      <w:r w:rsidRPr="00491E4E">
        <w:t>enhances the efficiency and reliability of Australian shipping as part of the national transport system</w:t>
      </w:r>
      <w:r>
        <w:t>; and</w:t>
      </w:r>
    </w:p>
    <w:p w14:paraId="13AED14E" w14:textId="77777777" w:rsidR="00CF134F" w:rsidRDefault="00CF134F" w:rsidP="00CF134F">
      <w:pPr>
        <w:pStyle w:val="ListLegal1"/>
        <w:numPr>
          <w:ilvl w:val="0"/>
          <w:numId w:val="31"/>
        </w:numPr>
      </w:pPr>
      <w:r>
        <w:t>maximises the use of vessels registered in the Australian General Shipping Register in coastal trading; and</w:t>
      </w:r>
    </w:p>
    <w:p w14:paraId="34A063B2" w14:textId="77777777" w:rsidR="00CF134F" w:rsidRDefault="00CF134F" w:rsidP="00CF134F">
      <w:pPr>
        <w:pStyle w:val="ListLegal1"/>
        <w:numPr>
          <w:ilvl w:val="0"/>
          <w:numId w:val="31"/>
        </w:numPr>
      </w:pPr>
      <w:r w:rsidRPr="00491E4E">
        <w:t>promotes competition in coastal trading</w:t>
      </w:r>
      <w:r>
        <w:t>; and</w:t>
      </w:r>
    </w:p>
    <w:p w14:paraId="081D6CA6" w14:textId="77777777" w:rsidR="00CF134F" w:rsidRDefault="00CF134F" w:rsidP="00CF134F">
      <w:pPr>
        <w:pStyle w:val="ListLegal1"/>
        <w:numPr>
          <w:ilvl w:val="0"/>
          <w:numId w:val="31"/>
        </w:numPr>
      </w:pPr>
      <w:r>
        <w:t>ensures efficient movement of passengers and cargo between Australian ports.</w:t>
      </w:r>
    </w:p>
    <w:p w14:paraId="6BDDCCA2" w14:textId="77777777" w:rsidR="00840D17" w:rsidRPr="00C03C9C" w:rsidRDefault="00073308" w:rsidP="00005901">
      <w:pPr>
        <w:pStyle w:val="Heading2Numbered"/>
      </w:pPr>
      <w:r>
        <w:t>O</w:t>
      </w:r>
      <w:r w:rsidR="007D4207">
        <w:t xml:space="preserve">ptions for a </w:t>
      </w:r>
      <w:r w:rsidR="00BE6D31">
        <w:t xml:space="preserve">future </w:t>
      </w:r>
      <w:r w:rsidR="00840D17">
        <w:t xml:space="preserve">Object of the </w:t>
      </w:r>
      <w:r w:rsidR="008D7716">
        <w:t>Act</w:t>
      </w:r>
    </w:p>
    <w:p w14:paraId="0B589D9A" w14:textId="183654C6" w:rsidR="00977F53" w:rsidRDefault="00FE02C9" w:rsidP="00005901">
      <w:r>
        <w:t xml:space="preserve">It is important that the </w:t>
      </w:r>
      <w:r w:rsidR="008D7716">
        <w:t xml:space="preserve">Act </w:t>
      </w:r>
      <w:r>
        <w:t>has a clearly stated</w:t>
      </w:r>
      <w:r w:rsidR="00917FE4">
        <w:t xml:space="preserve"> </w:t>
      </w:r>
      <w:r w:rsidR="00634B9B">
        <w:t>O</w:t>
      </w:r>
      <w:r w:rsidR="00917FE4">
        <w:t xml:space="preserve">bject section </w:t>
      </w:r>
      <w:r w:rsidR="00B47302">
        <w:t>that</w:t>
      </w:r>
      <w:r w:rsidR="00917FE4">
        <w:t xml:space="preserve"> is unambiguous and consistent with the primary intent of the legislation. </w:t>
      </w:r>
      <w:r w:rsidR="00B47302">
        <w:t>D</w:t>
      </w:r>
      <w:r w:rsidR="00917FE4">
        <w:t xml:space="preserve">ecision-makers take the </w:t>
      </w:r>
      <w:r w:rsidR="00634B9B">
        <w:t>O</w:t>
      </w:r>
      <w:r w:rsidR="00917FE4">
        <w:t xml:space="preserve">bject of the </w:t>
      </w:r>
      <w:r w:rsidR="008D7716">
        <w:t xml:space="preserve">Act </w:t>
      </w:r>
      <w:r w:rsidR="00917FE4">
        <w:t xml:space="preserve">into account when making </w:t>
      </w:r>
      <w:r w:rsidR="00840D17">
        <w:t xml:space="preserve">licensing </w:t>
      </w:r>
      <w:r w:rsidR="00917FE4">
        <w:t>decisions</w:t>
      </w:r>
      <w:r w:rsidR="006D4834">
        <w:t xml:space="preserve"> under the </w:t>
      </w:r>
      <w:r w:rsidR="008D7716">
        <w:t>Act</w:t>
      </w:r>
      <w:r w:rsidR="00917FE4">
        <w:t>.</w:t>
      </w:r>
      <w:r w:rsidR="00B47302" w:rsidRPr="00B47302">
        <w:t xml:space="preserve"> </w:t>
      </w:r>
      <w:r w:rsidR="00766F7D">
        <w:t xml:space="preserve">There is an internal tension </w:t>
      </w:r>
      <w:r w:rsidR="003C5E7F">
        <w:t>within the</w:t>
      </w:r>
      <w:r w:rsidR="00977F53" w:rsidRPr="00977F53">
        <w:t xml:space="preserve"> </w:t>
      </w:r>
      <w:r w:rsidR="003C5E7F">
        <w:t>O</w:t>
      </w:r>
      <w:r w:rsidR="00977F53" w:rsidRPr="00977F53">
        <w:t xml:space="preserve">bjects section </w:t>
      </w:r>
      <w:r w:rsidR="003C5E7F">
        <w:t>which provides for a number of aims</w:t>
      </w:r>
      <w:r w:rsidR="00766F7D">
        <w:t xml:space="preserve">. </w:t>
      </w:r>
      <w:r w:rsidR="007D0616">
        <w:t xml:space="preserve">Some objects are aimed at maximising the use of Australian vessels (with local crew), while others promote competition in coastal trading, supporting </w:t>
      </w:r>
      <w:r w:rsidR="003C5E7F">
        <w:t xml:space="preserve">the </w:t>
      </w:r>
      <w:r w:rsidR="007D0616">
        <w:t>entry of foreign vessels into Australia’s coastal trade</w:t>
      </w:r>
      <w:r w:rsidR="00B96767">
        <w:t xml:space="preserve">. </w:t>
      </w:r>
    </w:p>
    <w:p w14:paraId="370042C3" w14:textId="439FC6D8" w:rsidR="00E94E95" w:rsidRDefault="00B47302" w:rsidP="00005901">
      <w:r>
        <w:t xml:space="preserve">The internal conflict in the </w:t>
      </w:r>
      <w:r w:rsidR="00634B9B">
        <w:t>O</w:t>
      </w:r>
      <w:r w:rsidR="00BE6D31">
        <w:t>bject</w:t>
      </w:r>
      <w:r>
        <w:t xml:space="preserve"> gives rise to ambiguity and </w:t>
      </w:r>
      <w:r w:rsidR="007239C9">
        <w:t>difficulties</w:t>
      </w:r>
      <w:r w:rsidR="00467C3B">
        <w:t>—b</w:t>
      </w:r>
      <w:r w:rsidR="007E29AC">
        <w:t xml:space="preserve">oth </w:t>
      </w:r>
      <w:r>
        <w:t xml:space="preserve">in decision making and </w:t>
      </w:r>
      <w:r w:rsidR="007E29AC">
        <w:t xml:space="preserve">in </w:t>
      </w:r>
      <w:r>
        <w:t>negotiations between temporary licence applicants and general licence holders.</w:t>
      </w:r>
      <w:r w:rsidR="00840D17">
        <w:t xml:space="preserve"> </w:t>
      </w:r>
      <w:r w:rsidR="007B6080">
        <w:t>Several</w:t>
      </w:r>
      <w:r w:rsidR="00895D2C">
        <w:t xml:space="preserve"> court decisions have noted the </w:t>
      </w:r>
      <w:r w:rsidR="005F1887">
        <w:t>unresolved tension</w:t>
      </w:r>
      <w:r w:rsidR="00895D2C">
        <w:t xml:space="preserve"> </w:t>
      </w:r>
      <w:r w:rsidR="00795D6A">
        <w:t xml:space="preserve">in the </w:t>
      </w:r>
      <w:r w:rsidR="005F1887">
        <w:t>O</w:t>
      </w:r>
      <w:r w:rsidR="00795D6A">
        <w:t>bject section, which may give decision-makers</w:t>
      </w:r>
      <w:r w:rsidR="00321056">
        <w:t xml:space="preserve"> a </w:t>
      </w:r>
      <w:r w:rsidR="00795D6A">
        <w:t>significant</w:t>
      </w:r>
      <w:r w:rsidR="008D3999">
        <w:t xml:space="preserve"> degree</w:t>
      </w:r>
      <w:r w:rsidR="00795D6A">
        <w:t xml:space="preserve"> </w:t>
      </w:r>
      <w:r w:rsidR="00321056">
        <w:t xml:space="preserve">of </w:t>
      </w:r>
      <w:r w:rsidR="00795D6A">
        <w:t xml:space="preserve">latitude in </w:t>
      </w:r>
      <w:r w:rsidR="008D3999" w:rsidRPr="00081F12">
        <w:t xml:space="preserve">administering the </w:t>
      </w:r>
      <w:r w:rsidR="008D7716">
        <w:t>Act</w:t>
      </w:r>
      <w:r w:rsidR="008D3999" w:rsidRPr="00081F12">
        <w:t>.</w:t>
      </w:r>
      <w:r w:rsidR="00747EC1">
        <w:rPr>
          <w:rStyle w:val="FootnoteReference"/>
        </w:rPr>
        <w:footnoteReference w:id="6"/>
      </w:r>
    </w:p>
    <w:p w14:paraId="200DF980" w14:textId="056BA300" w:rsidR="009E52FA" w:rsidRDefault="006A1911" w:rsidP="00C668EC">
      <w:r w:rsidRPr="006A1911">
        <w:t xml:space="preserve">Given the tensions in the current Object and the acknowledgement from </w:t>
      </w:r>
      <w:r w:rsidR="007B6080">
        <w:t>Government</w:t>
      </w:r>
      <w:r w:rsidRPr="006A1911">
        <w:t xml:space="preserve"> that we must grow the </w:t>
      </w:r>
      <w:r w:rsidR="000746C9">
        <w:t xml:space="preserve">shipping </w:t>
      </w:r>
      <w:r w:rsidRPr="006A1911">
        <w:t>industry, the Objects clause in the Act may require a reweighting. The reweighting would be in favour of Australian shipping so that it reflects more than a merely neutral regulatory framework for coastal trading in Australia. We have identified the following 3 options for how it could be amended:</w:t>
      </w:r>
    </w:p>
    <w:p w14:paraId="532961FD" w14:textId="7E8F1B7E" w:rsidR="00A518B2" w:rsidRPr="00A710A6" w:rsidRDefault="00A518B2">
      <w:pPr>
        <w:pStyle w:val="ListParagraph"/>
        <w:numPr>
          <w:ilvl w:val="0"/>
          <w:numId w:val="49"/>
        </w:numPr>
        <w:rPr>
          <w:b/>
        </w:rPr>
      </w:pPr>
      <w:r w:rsidRPr="00A710A6">
        <w:rPr>
          <w:b/>
        </w:rPr>
        <w:t>Option 1</w:t>
      </w:r>
      <w:r w:rsidR="007B6080" w:rsidRPr="00A710A6">
        <w:rPr>
          <w:rFonts w:cstheme="minorHAnsi"/>
          <w:b/>
        </w:rPr>
        <w:t>―</w:t>
      </w:r>
      <w:r w:rsidRPr="00A710A6">
        <w:rPr>
          <w:b/>
        </w:rPr>
        <w:t>A simplified Object</w:t>
      </w:r>
    </w:p>
    <w:p w14:paraId="75A1137A" w14:textId="77777777" w:rsidR="00073308" w:rsidRDefault="00073308" w:rsidP="00D57C2E">
      <w:pPr>
        <w:pStyle w:val="ListParagraph"/>
      </w:pPr>
      <w:r>
        <w:t>The object of this Act is to provide a regulatory framework for coastal trading in Australia that:</w:t>
      </w:r>
    </w:p>
    <w:p w14:paraId="3F753717" w14:textId="77777777" w:rsidR="00073308" w:rsidRPr="00E0429C" w:rsidRDefault="00073308" w:rsidP="00073308">
      <w:pPr>
        <w:pStyle w:val="ListParagraph"/>
        <w:numPr>
          <w:ilvl w:val="1"/>
          <w:numId w:val="49"/>
        </w:numPr>
      </w:pPr>
      <w:r w:rsidRPr="00E0429C">
        <w:t>promotes a</w:t>
      </w:r>
      <w:r w:rsidRPr="003D18A6">
        <w:t xml:space="preserve">n </w:t>
      </w:r>
      <w:r w:rsidRPr="004C55A9">
        <w:t>efficient</w:t>
      </w:r>
      <w:r w:rsidRPr="003D18A6">
        <w:t xml:space="preserve"> and</w:t>
      </w:r>
      <w:r w:rsidRPr="00E0429C">
        <w:t xml:space="preserve"> viable</w:t>
      </w:r>
      <w:r w:rsidRPr="003D18A6">
        <w:t xml:space="preserve"> </w:t>
      </w:r>
      <w:r w:rsidRPr="004C55A9">
        <w:t>Australian</w:t>
      </w:r>
      <w:r w:rsidRPr="00E0429C">
        <w:t xml:space="preserve"> shipping industry that contributes to the broader Australian economy; </w:t>
      </w:r>
      <w:r>
        <w:t>and</w:t>
      </w:r>
    </w:p>
    <w:p w14:paraId="0ECF4C4B" w14:textId="5B748AE4" w:rsidR="00073308" w:rsidRDefault="00073308" w:rsidP="00073308">
      <w:pPr>
        <w:pStyle w:val="ListParagraph"/>
        <w:numPr>
          <w:ilvl w:val="1"/>
          <w:numId w:val="49"/>
        </w:numPr>
      </w:pPr>
      <w:r w:rsidRPr="00E0429C">
        <w:t>facilitat</w:t>
      </w:r>
      <w:r>
        <w:t>e</w:t>
      </w:r>
      <w:r w:rsidR="00CF270F">
        <w:t>s</w:t>
      </w:r>
      <w:r w:rsidRPr="00E0429C">
        <w:t xml:space="preserve"> the long-term growth of the Australian shipping industr</w:t>
      </w:r>
      <w:r w:rsidRPr="00403164">
        <w:t>y</w:t>
      </w:r>
      <w:r>
        <w:t>; and</w:t>
      </w:r>
    </w:p>
    <w:p w14:paraId="41AE920B" w14:textId="0D58F0A0" w:rsidR="00073308" w:rsidRDefault="00073308" w:rsidP="00073308">
      <w:pPr>
        <w:pStyle w:val="ListParagraph"/>
        <w:numPr>
          <w:ilvl w:val="1"/>
          <w:numId w:val="49"/>
        </w:numPr>
      </w:pPr>
      <w:r>
        <w:t>promotes competition in Australia’s coastal trading industry.</w:t>
      </w:r>
    </w:p>
    <w:p w14:paraId="61257DB2" w14:textId="77777777" w:rsidR="00A518B2" w:rsidRPr="00A710A6" w:rsidRDefault="00A518B2">
      <w:pPr>
        <w:pStyle w:val="ListParagraph"/>
        <w:numPr>
          <w:ilvl w:val="0"/>
          <w:numId w:val="49"/>
        </w:numPr>
        <w:rPr>
          <w:b/>
        </w:rPr>
      </w:pPr>
      <w:r w:rsidRPr="00A710A6">
        <w:rPr>
          <w:b/>
        </w:rPr>
        <w:t>Option 2</w:t>
      </w:r>
      <w:r w:rsidR="007B6080" w:rsidRPr="00A710A6">
        <w:rPr>
          <w:rFonts w:cstheme="minorHAnsi"/>
          <w:b/>
        </w:rPr>
        <w:t>―</w:t>
      </w:r>
      <w:r w:rsidRPr="00A710A6">
        <w:rPr>
          <w:b/>
        </w:rPr>
        <w:t>A combination of primary and secondary Objects</w:t>
      </w:r>
    </w:p>
    <w:p w14:paraId="7653FD5D" w14:textId="2813D164" w:rsidR="00073308" w:rsidRDefault="00073308" w:rsidP="00D57C2E">
      <w:pPr>
        <w:pStyle w:val="ListParagraph"/>
      </w:pPr>
      <w:r>
        <w:t xml:space="preserve">The main object of this Act is to provide a regulatory framework for coastal trading in Australia that </w:t>
      </w:r>
      <w:r w:rsidRPr="00E0429C">
        <w:t>promotes a</w:t>
      </w:r>
      <w:r w:rsidRPr="003D18A6">
        <w:t xml:space="preserve">n </w:t>
      </w:r>
      <w:r w:rsidRPr="00400443">
        <w:t>efficient</w:t>
      </w:r>
      <w:r w:rsidRPr="003D18A6">
        <w:t xml:space="preserve"> and</w:t>
      </w:r>
      <w:r w:rsidRPr="00E0429C">
        <w:t xml:space="preserve"> viable</w:t>
      </w:r>
      <w:r w:rsidRPr="003D18A6">
        <w:t xml:space="preserve"> </w:t>
      </w:r>
      <w:r w:rsidRPr="00400443">
        <w:t>Australian</w:t>
      </w:r>
      <w:r w:rsidRPr="00E0429C">
        <w:t xml:space="preserve"> shipping industry </w:t>
      </w:r>
      <w:r w:rsidR="000D2841">
        <w:t>which</w:t>
      </w:r>
      <w:r w:rsidR="000D2841" w:rsidRPr="00E0429C">
        <w:t xml:space="preserve"> </w:t>
      </w:r>
      <w:r w:rsidRPr="00E0429C">
        <w:t>contributes to the broader Australian economy</w:t>
      </w:r>
      <w:r w:rsidR="00B41D2F">
        <w:t>.</w:t>
      </w:r>
      <w:r w:rsidRPr="00E0429C">
        <w:t xml:space="preserve"> </w:t>
      </w:r>
    </w:p>
    <w:p w14:paraId="0F2BC19D" w14:textId="77777777" w:rsidR="00073308" w:rsidRPr="00E0429C" w:rsidRDefault="00073308" w:rsidP="00D57C2E">
      <w:pPr>
        <w:pStyle w:val="ListParagraph"/>
      </w:pPr>
      <w:r>
        <w:t>The Act is also intended to:</w:t>
      </w:r>
    </w:p>
    <w:p w14:paraId="1CAF5C02" w14:textId="77777777" w:rsidR="00073308" w:rsidRDefault="00073308" w:rsidP="00073308">
      <w:pPr>
        <w:pStyle w:val="ListParagraph"/>
        <w:numPr>
          <w:ilvl w:val="1"/>
          <w:numId w:val="49"/>
        </w:numPr>
      </w:pPr>
      <w:r>
        <w:t>facilitate the long-term growth of the Australian shipping industry; and</w:t>
      </w:r>
    </w:p>
    <w:p w14:paraId="0E698681" w14:textId="77777777" w:rsidR="00073308" w:rsidRDefault="00073308" w:rsidP="00073308">
      <w:pPr>
        <w:pStyle w:val="ListParagraph"/>
        <w:numPr>
          <w:ilvl w:val="1"/>
          <w:numId w:val="49"/>
        </w:numPr>
      </w:pPr>
      <w:r>
        <w:t>enhance the efficiency and reliability of Australian shipping as part of the national transport system; and</w:t>
      </w:r>
    </w:p>
    <w:p w14:paraId="0159CB2C" w14:textId="77777777" w:rsidR="00073308" w:rsidRDefault="00073308" w:rsidP="00073308">
      <w:pPr>
        <w:pStyle w:val="ListParagraph"/>
        <w:numPr>
          <w:ilvl w:val="1"/>
          <w:numId w:val="49"/>
        </w:numPr>
      </w:pPr>
      <w:r>
        <w:t>maximise the use of vessel</w:t>
      </w:r>
      <w:r w:rsidR="007B6080">
        <w:t>s</w:t>
      </w:r>
      <w:r>
        <w:t xml:space="preserve"> registered in the Australian General Shipping Register in coastal trading; and</w:t>
      </w:r>
    </w:p>
    <w:p w14:paraId="6CD41553" w14:textId="77777777" w:rsidR="00073308" w:rsidRDefault="00073308" w:rsidP="00073308">
      <w:pPr>
        <w:pStyle w:val="ListParagraph"/>
        <w:numPr>
          <w:ilvl w:val="1"/>
          <w:numId w:val="49"/>
        </w:numPr>
      </w:pPr>
      <w:r>
        <w:t>promote competition in coastal trading; and</w:t>
      </w:r>
    </w:p>
    <w:p w14:paraId="1F42EFCA" w14:textId="77777777" w:rsidR="00073308" w:rsidRDefault="00073308" w:rsidP="00073308">
      <w:pPr>
        <w:pStyle w:val="ListParagraph"/>
        <w:numPr>
          <w:ilvl w:val="1"/>
          <w:numId w:val="49"/>
        </w:numPr>
      </w:pPr>
      <w:r>
        <w:t>ensure efficient movement of passengers and cargo between Australian ports.</w:t>
      </w:r>
    </w:p>
    <w:p w14:paraId="65F5E748" w14:textId="77777777" w:rsidR="00A518B2" w:rsidRPr="00A710A6" w:rsidRDefault="00A518B2" w:rsidP="00A518B2">
      <w:pPr>
        <w:pStyle w:val="ListParagraph"/>
        <w:numPr>
          <w:ilvl w:val="0"/>
          <w:numId w:val="49"/>
        </w:numPr>
        <w:rPr>
          <w:b/>
        </w:rPr>
      </w:pPr>
      <w:r w:rsidRPr="00A710A6">
        <w:rPr>
          <w:b/>
        </w:rPr>
        <w:t>Option 3</w:t>
      </w:r>
      <w:r w:rsidR="007B6080" w:rsidRPr="00A710A6">
        <w:rPr>
          <w:rFonts w:cstheme="minorHAnsi"/>
          <w:b/>
        </w:rPr>
        <w:t>―</w:t>
      </w:r>
      <w:r w:rsidR="007B6080" w:rsidRPr="00A710A6">
        <w:rPr>
          <w:b/>
        </w:rPr>
        <w:t xml:space="preserve">Keep </w:t>
      </w:r>
      <w:r w:rsidR="002F65E8" w:rsidRPr="00A710A6">
        <w:rPr>
          <w:b/>
        </w:rPr>
        <w:t xml:space="preserve">the current Object </w:t>
      </w:r>
      <w:r w:rsidR="00B41D2F" w:rsidRPr="00A710A6">
        <w:rPr>
          <w:b/>
        </w:rPr>
        <w:t xml:space="preserve">of </w:t>
      </w:r>
      <w:r w:rsidR="002F65E8" w:rsidRPr="00A710A6">
        <w:rPr>
          <w:b/>
        </w:rPr>
        <w:t xml:space="preserve">the </w:t>
      </w:r>
      <w:r w:rsidR="00B41D2F" w:rsidRPr="00A710A6">
        <w:rPr>
          <w:b/>
        </w:rPr>
        <w:t>Act without changes.</w:t>
      </w:r>
    </w:p>
    <w:p w14:paraId="25B69943" w14:textId="07AD58E9" w:rsidR="0063370B" w:rsidRPr="00F541A6" w:rsidRDefault="0063370B" w:rsidP="002A1167">
      <w:pPr>
        <w:pStyle w:val="Box2Heading"/>
        <w:pBdr>
          <w:left w:val="single" w:sz="4" w:space="0" w:color="F2F6E8" w:themeColor="accent5" w:themeTint="33"/>
        </w:pBdr>
        <w:tabs>
          <w:tab w:val="left" w:pos="1701"/>
        </w:tabs>
        <w:rPr>
          <w:lang w:val="en-AU"/>
        </w:rPr>
      </w:pPr>
      <w:bookmarkStart w:id="18" w:name="_Hlk178325447"/>
      <w:bookmarkStart w:id="19" w:name="_Hlk178325403"/>
      <w:r>
        <w:rPr>
          <w:lang w:val="en-AU"/>
        </w:rPr>
        <w:t>Consultation question</w:t>
      </w:r>
      <w:r w:rsidR="00C16ABC">
        <w:rPr>
          <w:lang w:val="en-AU"/>
        </w:rPr>
        <w:t>s</w:t>
      </w:r>
      <w:bookmarkEnd w:id="18"/>
    </w:p>
    <w:bookmarkEnd w:id="19"/>
    <w:p w14:paraId="69226C97" w14:textId="6BC8D71C" w:rsidR="002D3089" w:rsidRPr="00D57C2E" w:rsidRDefault="002F65E8" w:rsidP="009C280F">
      <w:pPr>
        <w:pStyle w:val="Box2Bullet1"/>
        <w:numPr>
          <w:ilvl w:val="1"/>
          <w:numId w:val="35"/>
        </w:numPr>
        <w:pBdr>
          <w:left w:val="single" w:sz="4" w:space="0" w:color="F2F6E8" w:themeColor="accent5" w:themeTint="33"/>
        </w:pBdr>
      </w:pPr>
      <w:r>
        <w:rPr>
          <w:lang w:val="en-AU"/>
        </w:rPr>
        <w:t xml:space="preserve">Of the 3 proposed options for the Object of the </w:t>
      </w:r>
      <w:r w:rsidR="00A87E74">
        <w:rPr>
          <w:lang w:val="en-AU"/>
        </w:rPr>
        <w:t>Act</w:t>
      </w:r>
      <w:r>
        <w:rPr>
          <w:lang w:val="en-AU"/>
        </w:rPr>
        <w:t xml:space="preserve">, </w:t>
      </w:r>
      <w:r w:rsidR="009E5B5E">
        <w:rPr>
          <w:lang w:val="en-AU"/>
        </w:rPr>
        <w:t xml:space="preserve">with </w:t>
      </w:r>
      <w:r>
        <w:rPr>
          <w:lang w:val="en-AU"/>
        </w:rPr>
        <w:t xml:space="preserve">which do </w:t>
      </w:r>
      <w:r w:rsidR="007B45EE">
        <w:rPr>
          <w:lang w:val="en-AU"/>
        </w:rPr>
        <w:t xml:space="preserve">you </w:t>
      </w:r>
      <w:r w:rsidR="004922D5">
        <w:rPr>
          <w:lang w:val="en-AU"/>
        </w:rPr>
        <w:t xml:space="preserve">agree </w:t>
      </w:r>
      <w:r>
        <w:rPr>
          <w:lang w:val="en-AU"/>
        </w:rPr>
        <w:t>most</w:t>
      </w:r>
      <w:r w:rsidR="00B811F5">
        <w:rPr>
          <w:lang w:val="en-AU"/>
        </w:rPr>
        <w:t xml:space="preserve">? </w:t>
      </w:r>
      <w:r>
        <w:rPr>
          <w:lang w:val="en-AU"/>
        </w:rPr>
        <w:t xml:space="preserve">Please explain why. </w:t>
      </w:r>
    </w:p>
    <w:p w14:paraId="68ACC11B" w14:textId="77777777" w:rsidR="002F65E8" w:rsidRPr="00581584" w:rsidRDefault="004349B3" w:rsidP="009C280F">
      <w:pPr>
        <w:pStyle w:val="Box2Bullet1"/>
        <w:numPr>
          <w:ilvl w:val="1"/>
          <w:numId w:val="35"/>
        </w:numPr>
        <w:pBdr>
          <w:left w:val="single" w:sz="4" w:space="0" w:color="F2F6E8" w:themeColor="accent5" w:themeTint="33"/>
        </w:pBdr>
      </w:pPr>
      <w:r>
        <w:rPr>
          <w:lang w:val="en-AU"/>
        </w:rPr>
        <w:lastRenderedPageBreak/>
        <w:t>Is there anything else that should</w:t>
      </w:r>
      <w:r w:rsidR="00450811">
        <w:rPr>
          <w:lang w:val="en-AU"/>
        </w:rPr>
        <w:t xml:space="preserve"> be</w:t>
      </w:r>
      <w:r>
        <w:rPr>
          <w:lang w:val="en-AU"/>
        </w:rPr>
        <w:t xml:space="preserve"> consider</w:t>
      </w:r>
      <w:r w:rsidR="00450811">
        <w:rPr>
          <w:lang w:val="en-AU"/>
        </w:rPr>
        <w:t>ed for inclusion</w:t>
      </w:r>
      <w:r>
        <w:rPr>
          <w:lang w:val="en-AU"/>
        </w:rPr>
        <w:t xml:space="preserve"> in the Object of the </w:t>
      </w:r>
      <w:r w:rsidR="00A87E74">
        <w:rPr>
          <w:lang w:val="en-AU"/>
        </w:rPr>
        <w:t>Act</w:t>
      </w:r>
      <w:r>
        <w:rPr>
          <w:lang w:val="en-AU"/>
        </w:rPr>
        <w:t>?</w:t>
      </w:r>
      <w:r w:rsidR="00450811">
        <w:rPr>
          <w:lang w:val="en-AU"/>
        </w:rPr>
        <w:t xml:space="preserve"> Please explain why.</w:t>
      </w:r>
    </w:p>
    <w:p w14:paraId="46792A5C" w14:textId="77777777" w:rsidR="001C29C7" w:rsidRDefault="001C29C7" w:rsidP="001C29C7">
      <w:pPr>
        <w:pStyle w:val="Heading1Numbered"/>
      </w:pPr>
      <w:bookmarkStart w:id="20" w:name="_Toc177409648"/>
      <w:bookmarkStart w:id="21" w:name="_Toc177410243"/>
      <w:bookmarkStart w:id="22" w:name="_Toc177410957"/>
      <w:bookmarkStart w:id="23" w:name="_Toc177411382"/>
      <w:bookmarkStart w:id="24" w:name="_Toc177411408"/>
      <w:bookmarkStart w:id="25" w:name="_Toc177411474"/>
      <w:bookmarkStart w:id="26" w:name="_Toc177409649"/>
      <w:bookmarkStart w:id="27" w:name="_Toc177410244"/>
      <w:bookmarkStart w:id="28" w:name="_Toc177410958"/>
      <w:bookmarkStart w:id="29" w:name="_Toc177411383"/>
      <w:bookmarkStart w:id="30" w:name="_Toc177411409"/>
      <w:bookmarkStart w:id="31" w:name="_Toc177411475"/>
      <w:bookmarkStart w:id="32" w:name="_Toc177409650"/>
      <w:bookmarkStart w:id="33" w:name="_Toc177410245"/>
      <w:bookmarkStart w:id="34" w:name="_Toc177410959"/>
      <w:bookmarkStart w:id="35" w:name="_Toc177411384"/>
      <w:bookmarkStart w:id="36" w:name="_Toc177411410"/>
      <w:bookmarkStart w:id="37" w:name="_Toc177411476"/>
      <w:bookmarkStart w:id="38" w:name="_Toc177409651"/>
      <w:bookmarkStart w:id="39" w:name="_Toc177410246"/>
      <w:bookmarkStart w:id="40" w:name="_Toc177410960"/>
      <w:bookmarkStart w:id="41" w:name="_Toc177411385"/>
      <w:bookmarkStart w:id="42" w:name="_Toc177411411"/>
      <w:bookmarkStart w:id="43" w:name="_Toc177411477"/>
      <w:bookmarkStart w:id="44" w:name="_Toc177556745"/>
      <w:bookmarkStart w:id="45" w:name="_Toc17757204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C</w:t>
      </w:r>
      <w:r w:rsidR="00561861">
        <w:t>urrent c</w:t>
      </w:r>
      <w:r>
        <w:t xml:space="preserve">oastal trading </w:t>
      </w:r>
      <w:r w:rsidR="00561861">
        <w:t>regulatory framework</w:t>
      </w:r>
      <w:bookmarkEnd w:id="44"/>
      <w:bookmarkEnd w:id="45"/>
    </w:p>
    <w:p w14:paraId="315AE76F" w14:textId="3050AD40" w:rsidR="001C29C7" w:rsidRDefault="001C29C7" w:rsidP="001C29C7">
      <w:r>
        <w:t>The regulation of coastal trading can take a variety of forms depending on the policy intent of each jurisdiction. Australia has always had</w:t>
      </w:r>
      <w:r w:rsidR="00AB16CA">
        <w:t>,</w:t>
      </w:r>
      <w:r>
        <w:t xml:space="preserve"> and continues to have</w:t>
      </w:r>
      <w:r w:rsidR="00AB16CA">
        <w:t>,</w:t>
      </w:r>
      <w:r>
        <w:t xml:space="preserve"> a general prohibition </w:t>
      </w:r>
      <w:r w:rsidR="00E62BFB">
        <w:t>on</w:t>
      </w:r>
      <w:r>
        <w:t xml:space="preserve"> unlicensed coastal trading in Australia</w:t>
      </w:r>
      <w:r>
        <w:rPr>
          <w:rStyle w:val="FootnoteReference"/>
        </w:rPr>
        <w:footnoteReference w:id="7"/>
      </w:r>
      <w:r>
        <w:t xml:space="preserve">. The current licencing regime enables unrestricted access for Australian vessels and strong monitoring of foreign vessels. In the past, Australia has had a combination of licensing and permits to regulate coastal trading. </w:t>
      </w:r>
    </w:p>
    <w:p w14:paraId="076D6944" w14:textId="77777777" w:rsidR="001C29C7" w:rsidRDefault="001C29C7" w:rsidP="001C29C7">
      <w:r>
        <w:t>Some jurisdictions such as the United States of America have a prohibition for all foreign vessels coastal trading while other countries such as the United Kingdom, Denmark and New Zealand have a fully open coast with minimal to no regulation.</w:t>
      </w:r>
    </w:p>
    <w:p w14:paraId="0B6C0450" w14:textId="77777777" w:rsidR="001C29C7" w:rsidRDefault="001C29C7" w:rsidP="001C29C7">
      <w:r>
        <w:t>Canada has the most similar coastal trading regulatory framework to Australia</w:t>
      </w:r>
      <w:r w:rsidR="007B6080">
        <w:t>;</w:t>
      </w:r>
      <w:r>
        <w:t xml:space="preserve"> however</w:t>
      </w:r>
      <w:r w:rsidR="007B6080">
        <w:t>,</w:t>
      </w:r>
      <w:r>
        <w:t xml:space="preserve"> </w:t>
      </w:r>
      <w:r w:rsidR="006876F5">
        <w:t xml:space="preserve">Canada </w:t>
      </w:r>
      <w:r>
        <w:t>only allow</w:t>
      </w:r>
      <w:r w:rsidR="006876F5">
        <w:t>s</w:t>
      </w:r>
      <w:r>
        <w:t xml:space="preserve"> foreign vessels to trade under licence where no suitable Canadian vessel is available to perform the service or activity. </w:t>
      </w:r>
      <w:r w:rsidR="006876F5">
        <w:t xml:space="preserve">Canada </w:t>
      </w:r>
      <w:r>
        <w:t>also require</w:t>
      </w:r>
      <w:r w:rsidR="006876F5">
        <w:t>s</w:t>
      </w:r>
      <w:r>
        <w:t xml:space="preserve"> foreign vessels </w:t>
      </w:r>
      <w:r w:rsidR="006876F5">
        <w:t xml:space="preserve">involved in </w:t>
      </w:r>
      <w:r>
        <w:t xml:space="preserve">coastal trading to follow Canadian labour regulations. </w:t>
      </w:r>
    </w:p>
    <w:p w14:paraId="6366ED06" w14:textId="77777777" w:rsidR="00813718" w:rsidRDefault="001C29C7" w:rsidP="001C29C7">
      <w:r>
        <w:t xml:space="preserve">The proposed simplified Object of the </w:t>
      </w:r>
      <w:r w:rsidR="00406295">
        <w:t xml:space="preserve">Act </w:t>
      </w:r>
      <w:r>
        <w:t>prioritise</w:t>
      </w:r>
      <w:r w:rsidR="004A61F4">
        <w:t>s</w:t>
      </w:r>
      <w:r>
        <w:t xml:space="preserve"> Australian shipping and facilitate</w:t>
      </w:r>
      <w:r w:rsidR="006876F5">
        <w:t>s</w:t>
      </w:r>
      <w:r>
        <w:t xml:space="preserve"> its long-term growth. However, as was recognised when the </w:t>
      </w:r>
      <w:r w:rsidR="00406295">
        <w:t xml:space="preserve">Act </w:t>
      </w:r>
      <w:r>
        <w:t xml:space="preserve">was first introduced in 2012, we consider </w:t>
      </w:r>
      <w:r w:rsidRPr="00350997">
        <w:t xml:space="preserve">there </w:t>
      </w:r>
      <w:r>
        <w:t>continues to be</w:t>
      </w:r>
      <w:r w:rsidRPr="00350997">
        <w:t xml:space="preserve"> a legitimate role for foreign flagged vessels in our domestic shipping industry</w:t>
      </w:r>
      <w:r>
        <w:t xml:space="preserve">. Given this, we would like stakeholder views on the current licensing framework, whether it aligns with our proposed simplified Object and </w:t>
      </w:r>
      <w:r w:rsidR="004A61F4">
        <w:t xml:space="preserve">provides the right balance between helping grow Australian shipping and </w:t>
      </w:r>
      <w:r>
        <w:t xml:space="preserve">recognition of the role of foreign flagged vessels in coastal trading. </w:t>
      </w:r>
      <w:r w:rsidR="006A153F">
        <w:t xml:space="preserve"> </w:t>
      </w:r>
    </w:p>
    <w:p w14:paraId="49EE23CA" w14:textId="55EC2A1C" w:rsidR="001C29C7" w:rsidRDefault="006A153F" w:rsidP="001C29C7">
      <w:r>
        <w:t>Questio</w:t>
      </w:r>
      <w:r w:rsidR="008E5830">
        <w:t xml:space="preserve">ns 3-5 </w:t>
      </w:r>
      <w:r w:rsidR="00320697">
        <w:t xml:space="preserve">address </w:t>
      </w:r>
      <w:r w:rsidR="008E5830">
        <w:t xml:space="preserve">general </w:t>
      </w:r>
      <w:r w:rsidR="00320697">
        <w:t xml:space="preserve">issues, while </w:t>
      </w:r>
      <w:r w:rsidR="00F0387C">
        <w:t xml:space="preserve">more specific issues </w:t>
      </w:r>
      <w:r w:rsidR="00D53F86">
        <w:t>on</w:t>
      </w:r>
      <w:r w:rsidR="00D43DFB">
        <w:t xml:space="preserve"> to the regulatory framework </w:t>
      </w:r>
      <w:r w:rsidR="00F0387C">
        <w:t xml:space="preserve">are addressed in </w:t>
      </w:r>
      <w:r w:rsidR="00813718">
        <w:t>Questions</w:t>
      </w:r>
      <w:r w:rsidR="00F0387C">
        <w:t xml:space="preserve"> 6-8 (</w:t>
      </w:r>
      <w:r w:rsidR="00813718">
        <w:t>temporary licences) and Questions 9-1</w:t>
      </w:r>
      <w:r w:rsidR="00D53F86">
        <w:t>1</w:t>
      </w:r>
      <w:r w:rsidR="00813718">
        <w:t xml:space="preserve"> (</w:t>
      </w:r>
      <w:r w:rsidR="00E503BA">
        <w:t>passengers).</w:t>
      </w:r>
      <w:r w:rsidR="00320697">
        <w:t xml:space="preserve"> </w:t>
      </w:r>
    </w:p>
    <w:p w14:paraId="4FDFD519" w14:textId="77777777" w:rsidR="001C29C7" w:rsidRPr="00F541A6" w:rsidRDefault="001C29C7" w:rsidP="001C29C7">
      <w:pPr>
        <w:pStyle w:val="Box2Heading"/>
        <w:tabs>
          <w:tab w:val="left" w:pos="1701"/>
        </w:tabs>
        <w:rPr>
          <w:lang w:val="en-AU"/>
        </w:rPr>
      </w:pPr>
      <w:r>
        <w:rPr>
          <w:lang w:val="en-AU"/>
        </w:rPr>
        <w:t>Consultation question</w:t>
      </w:r>
      <w:r w:rsidR="00F53E21">
        <w:rPr>
          <w:lang w:val="en-AU"/>
        </w:rPr>
        <w:t>s</w:t>
      </w:r>
    </w:p>
    <w:p w14:paraId="58FEFC51" w14:textId="77777777" w:rsidR="00064D68" w:rsidRPr="00EC13BB" w:rsidRDefault="00064D68" w:rsidP="00064D68">
      <w:pPr>
        <w:pStyle w:val="Box2Bullet1"/>
        <w:numPr>
          <w:ilvl w:val="1"/>
          <w:numId w:val="35"/>
        </w:numPr>
      </w:pPr>
      <w:r>
        <w:rPr>
          <w:lang w:val="en-AU"/>
        </w:rPr>
        <w:t>Is the current licencing framework fit-for-purpose?</w:t>
      </w:r>
    </w:p>
    <w:p w14:paraId="4922A044" w14:textId="77777777" w:rsidR="001C29C7" w:rsidRPr="00C668EC" w:rsidRDefault="001C29C7" w:rsidP="001C29C7">
      <w:pPr>
        <w:pStyle w:val="Box2Bullet1"/>
        <w:numPr>
          <w:ilvl w:val="1"/>
          <w:numId w:val="35"/>
        </w:numPr>
      </w:pPr>
      <w:r>
        <w:rPr>
          <w:lang w:val="en-AU"/>
        </w:rPr>
        <w:t>Are there alternative coastal trading regulatory frameworks that are better suited to Australia’s coastal trading market? Why/why not?</w:t>
      </w:r>
    </w:p>
    <w:p w14:paraId="506B3FAC" w14:textId="08FF547B" w:rsidR="001C29C7" w:rsidRPr="008D26AB" w:rsidRDefault="001C29C7" w:rsidP="001C29C7">
      <w:pPr>
        <w:pStyle w:val="Box2Bullet1"/>
        <w:numPr>
          <w:ilvl w:val="1"/>
          <w:numId w:val="35"/>
        </w:numPr>
      </w:pPr>
      <w:r>
        <w:rPr>
          <w:lang w:val="en-AU"/>
        </w:rPr>
        <w:t>How can Australia’s coastal trading regulatory framework better support the growth of the Australian</w:t>
      </w:r>
      <w:r w:rsidR="00D53F86">
        <w:rPr>
          <w:lang w:val="en-AU"/>
        </w:rPr>
        <w:t xml:space="preserve"> shipping</w:t>
      </w:r>
      <w:r>
        <w:rPr>
          <w:lang w:val="en-AU"/>
        </w:rPr>
        <w:t xml:space="preserve"> industry while still enabling foreign vessels to engage in coastal trading?</w:t>
      </w:r>
    </w:p>
    <w:p w14:paraId="3D7683B3" w14:textId="77777777" w:rsidR="001C29C7" w:rsidRDefault="001C29C7" w:rsidP="00754BCB">
      <w:pPr>
        <w:pStyle w:val="Heading2Numbered"/>
      </w:pPr>
      <w:bookmarkStart w:id="46" w:name="_Toc177556746"/>
      <w:bookmarkStart w:id="47" w:name="_Toc177572044"/>
      <w:r>
        <w:t>Temporary licences</w:t>
      </w:r>
      <w:bookmarkEnd w:id="46"/>
      <w:bookmarkEnd w:id="47"/>
    </w:p>
    <w:p w14:paraId="06A7382E" w14:textId="7A668BE6" w:rsidR="00A36FCA" w:rsidRDefault="00A36FCA" w:rsidP="00005901">
      <w:r>
        <w:t>Temporary licence data from the Department indicate</w:t>
      </w:r>
      <w:r w:rsidR="00E9261A">
        <w:t>s</w:t>
      </w:r>
      <w:r>
        <w:t xml:space="preserve"> that there </w:t>
      </w:r>
      <w:r w:rsidR="004A61F4">
        <w:t xml:space="preserve">have </w:t>
      </w:r>
      <w:r>
        <w:t>been 40-51</w:t>
      </w:r>
      <w:r w:rsidR="005E3E44">
        <w:t xml:space="preserve"> individual</w:t>
      </w:r>
      <w:r>
        <w:t xml:space="preserve"> temporary </w:t>
      </w:r>
      <w:r w:rsidRPr="00A65640">
        <w:t xml:space="preserve">licence </w:t>
      </w:r>
      <w:r w:rsidR="005E3E44" w:rsidRPr="00A65640">
        <w:t xml:space="preserve">holders </w:t>
      </w:r>
      <w:r w:rsidRPr="00A65640">
        <w:t>each year since 2013. Of those licence</w:t>
      </w:r>
      <w:r w:rsidR="005E3E44" w:rsidRPr="00A65640">
        <w:t xml:space="preserve"> holders</w:t>
      </w:r>
      <w:r w:rsidRPr="00A65640">
        <w:t>,</w:t>
      </w:r>
      <w:r w:rsidR="008D2D8C" w:rsidRPr="00A65640">
        <w:t xml:space="preserve"> roughly </w:t>
      </w:r>
      <w:r w:rsidR="00D97B9A" w:rsidRPr="00A65640">
        <w:t>50%</w:t>
      </w:r>
      <w:r w:rsidRPr="00A65640">
        <w:t xml:space="preserve"> </w:t>
      </w:r>
      <w:r w:rsidR="00094688" w:rsidRPr="00A65640">
        <w:t xml:space="preserve">are regularly granted </w:t>
      </w:r>
      <w:r w:rsidR="008D2D8C" w:rsidRPr="00A65640">
        <w:t>to the same organisation</w:t>
      </w:r>
      <w:r w:rsidRPr="00A65640">
        <w:t>.</w:t>
      </w:r>
      <w:r w:rsidR="00094688" w:rsidRPr="00A65640">
        <w:t xml:space="preserve"> That</w:t>
      </w:r>
      <w:r w:rsidR="00094688">
        <w:t xml:space="preserve"> is, </w:t>
      </w:r>
      <w:r w:rsidR="00967D8A">
        <w:t xml:space="preserve">as temporary licences lapse </w:t>
      </w:r>
      <w:r w:rsidR="00C15857">
        <w:t xml:space="preserve">applicants </w:t>
      </w:r>
      <w:r w:rsidR="00A21C83">
        <w:t>apply for</w:t>
      </w:r>
      <w:r w:rsidR="00967D8A">
        <w:t xml:space="preserve"> </w:t>
      </w:r>
      <w:r w:rsidR="00A21C83">
        <w:t xml:space="preserve">and are </w:t>
      </w:r>
      <w:r w:rsidR="007B6080">
        <w:t xml:space="preserve">often </w:t>
      </w:r>
      <w:r w:rsidR="00967D8A">
        <w:t xml:space="preserve">subsequently </w:t>
      </w:r>
      <w:r w:rsidR="00A21C83">
        <w:t xml:space="preserve">granted </w:t>
      </w:r>
      <w:r w:rsidR="00967D8A">
        <w:t xml:space="preserve">new </w:t>
      </w:r>
      <w:r w:rsidR="00A21C83">
        <w:t>temporary licences to engage in coastal trading</w:t>
      </w:r>
      <w:r w:rsidR="00967D8A">
        <w:t xml:space="preserve"> for a further 12 months</w:t>
      </w:r>
      <w:r w:rsidR="00CF270F">
        <w:t>—equivalent to a rollover of their licence each year</w:t>
      </w:r>
      <w:r w:rsidR="00A21C83">
        <w:t>.</w:t>
      </w:r>
      <w:r>
        <w:t xml:space="preserve"> This suggests Australia has a viable market for these organisations to </w:t>
      </w:r>
      <w:r w:rsidR="00017016">
        <w:t xml:space="preserve">engage in </w:t>
      </w:r>
      <w:r w:rsidR="00A21C83">
        <w:t xml:space="preserve">coastal </w:t>
      </w:r>
      <w:r>
        <w:t xml:space="preserve">trade. Regularly granting these temporary licences </w:t>
      </w:r>
      <w:r w:rsidR="004A61F4">
        <w:t>indicates there is an</w:t>
      </w:r>
      <w:r>
        <w:t xml:space="preserve"> opportunity for Australia to grow its fleet and </w:t>
      </w:r>
      <w:r w:rsidR="004A61F4">
        <w:t xml:space="preserve">raises questions about whether these licences are </w:t>
      </w:r>
      <w:r>
        <w:t xml:space="preserve">‘temporary’ </w:t>
      </w:r>
      <w:r w:rsidR="004A61F4">
        <w:t xml:space="preserve">in </w:t>
      </w:r>
      <w:r>
        <w:t>nature.</w:t>
      </w:r>
    </w:p>
    <w:p w14:paraId="5823017E" w14:textId="77777777" w:rsidR="00094688" w:rsidRDefault="00094688" w:rsidP="00094688">
      <w:r>
        <w:t>Temporary licences should be not be granted on a regular basis</w:t>
      </w:r>
      <w:r w:rsidR="007B6080">
        <w:t>,</w:t>
      </w:r>
      <w:r>
        <w:t xml:space="preserve"> particularly when we know that Australia needs more Australian flagged and crewed vessels. However, we recognise there may be a legitimate </w:t>
      </w:r>
      <w:r>
        <w:lastRenderedPageBreak/>
        <w:t xml:space="preserve">commercial value in the temporary licence and as such we’d like to understand that value and how it may be leveraged to encourage more vessels to transition to being Australian flagged and crewed. </w:t>
      </w:r>
    </w:p>
    <w:p w14:paraId="51FD353C" w14:textId="77777777" w:rsidR="006876F5" w:rsidRDefault="00FC4AC7" w:rsidP="000912E1">
      <w:r>
        <w:t xml:space="preserve">We agree with the Strategic Fleet Taskforce that the </w:t>
      </w:r>
      <w:r w:rsidR="00406295">
        <w:t xml:space="preserve">Act </w:t>
      </w:r>
      <w:r>
        <w:t xml:space="preserve">has not achieved its purpose, and that strategic fleet cargo volumes and trade could be undermined by the current </w:t>
      </w:r>
      <w:r w:rsidR="004A61F4">
        <w:t xml:space="preserve">regulatory provisions for the </w:t>
      </w:r>
      <w:r>
        <w:t xml:space="preserve">award of </w:t>
      </w:r>
      <w:r w:rsidR="00870D24">
        <w:t>temporary licence</w:t>
      </w:r>
      <w:r>
        <w:t>s</w:t>
      </w:r>
      <w:r w:rsidR="00094688">
        <w:rPr>
          <w:rStyle w:val="FootnoteReference"/>
        </w:rPr>
        <w:footnoteReference w:id="8"/>
      </w:r>
      <w:r>
        <w:t>.</w:t>
      </w:r>
      <w:r w:rsidR="000912E1">
        <w:t xml:space="preserve"> </w:t>
      </w:r>
    </w:p>
    <w:p w14:paraId="79F01F4D" w14:textId="71F85486" w:rsidR="006876F5" w:rsidRDefault="000912E1" w:rsidP="000912E1">
      <w:r>
        <w:t xml:space="preserve">However, </w:t>
      </w:r>
      <w:r w:rsidR="006876F5">
        <w:t>there</w:t>
      </w:r>
      <w:r>
        <w:t xml:space="preserve"> is not enough capacity in the Australian major trading fleet to transport all the freight currently carried under </w:t>
      </w:r>
      <w:r w:rsidR="00870D24">
        <w:t>temporary licence</w:t>
      </w:r>
      <w:r>
        <w:t xml:space="preserve"> by foreign-flagged vessels. In 2018-19, foreign-flagged vessels operating under coastal trading </w:t>
      </w:r>
      <w:r w:rsidR="00870D24">
        <w:t xml:space="preserve">temporary licences </w:t>
      </w:r>
      <w:r>
        <w:t xml:space="preserve">transported approximately 76.3% of total tonnage under licence and approximately 58% of total coastal freight carried (including intrastate shipping). </w:t>
      </w:r>
    </w:p>
    <w:p w14:paraId="0BEDCB61" w14:textId="5A3D8979" w:rsidR="000912E1" w:rsidRDefault="006C239D" w:rsidP="000912E1">
      <w:r>
        <w:t>We understand that c</w:t>
      </w:r>
      <w:r w:rsidR="000912E1">
        <w:t xml:space="preserve">argo owners are entitled to make commercial decisions for their businesses about which </w:t>
      </w:r>
      <w:r w:rsidR="007B6080">
        <w:t xml:space="preserve">vessel </w:t>
      </w:r>
      <w:r w:rsidR="000912E1">
        <w:t>they use</w:t>
      </w:r>
      <w:r w:rsidR="004A61F4">
        <w:t xml:space="preserve"> and that economic efficiency should be a consideration in the design of a </w:t>
      </w:r>
      <w:r w:rsidR="00105D3C">
        <w:t xml:space="preserve">coastal trading </w:t>
      </w:r>
      <w:r w:rsidR="004A61F4">
        <w:t>system</w:t>
      </w:r>
      <w:r w:rsidR="000912E1">
        <w:t>.</w:t>
      </w:r>
    </w:p>
    <w:p w14:paraId="3CA00C33" w14:textId="77777777" w:rsidR="001C29C7" w:rsidRDefault="001C29C7" w:rsidP="001C29C7">
      <w:pPr>
        <w:pStyle w:val="Box2Heading"/>
        <w:tabs>
          <w:tab w:val="left" w:pos="1701"/>
        </w:tabs>
        <w:rPr>
          <w:lang w:val="en-AU"/>
        </w:rPr>
      </w:pPr>
      <w:r>
        <w:rPr>
          <w:lang w:val="en-AU"/>
        </w:rPr>
        <w:t>Consultation question</w:t>
      </w:r>
      <w:r w:rsidR="00F53E21">
        <w:rPr>
          <w:lang w:val="en-AU"/>
        </w:rPr>
        <w:t>s</w:t>
      </w:r>
    </w:p>
    <w:p w14:paraId="6300D0B3" w14:textId="0EB6BD30" w:rsidR="001C29C7" w:rsidRPr="003B65C7" w:rsidRDefault="001C29C7" w:rsidP="001C29C7">
      <w:pPr>
        <w:pStyle w:val="Box2Bullet1"/>
        <w:numPr>
          <w:ilvl w:val="1"/>
          <w:numId w:val="35"/>
        </w:numPr>
      </w:pPr>
      <w:r>
        <w:rPr>
          <w:lang w:val="en-AU"/>
        </w:rPr>
        <w:t xml:space="preserve">Should </w:t>
      </w:r>
      <w:r w:rsidR="00B651D6">
        <w:rPr>
          <w:lang w:val="en-AU"/>
        </w:rPr>
        <w:t xml:space="preserve">temporary licence </w:t>
      </w:r>
      <w:r>
        <w:rPr>
          <w:lang w:val="en-AU"/>
        </w:rPr>
        <w:t xml:space="preserve">holders who have held </w:t>
      </w:r>
      <w:r w:rsidR="00B651D6">
        <w:rPr>
          <w:lang w:val="en-AU"/>
        </w:rPr>
        <w:t xml:space="preserve">temporary licences </w:t>
      </w:r>
      <w:r>
        <w:rPr>
          <w:lang w:val="en-AU"/>
        </w:rPr>
        <w:t xml:space="preserve">year after year be required to transition to a </w:t>
      </w:r>
      <w:r w:rsidR="008A1E39">
        <w:rPr>
          <w:lang w:val="en-AU"/>
        </w:rPr>
        <w:t>g</w:t>
      </w:r>
      <w:r w:rsidR="00B72CC7">
        <w:rPr>
          <w:lang w:val="en-AU"/>
        </w:rPr>
        <w:t>eneral licence</w:t>
      </w:r>
      <w:r>
        <w:rPr>
          <w:lang w:val="en-AU"/>
        </w:rPr>
        <w:t xml:space="preserve"> or a new category of licence that better represents the </w:t>
      </w:r>
      <w:r w:rsidR="00B72CC7">
        <w:rPr>
          <w:lang w:val="en-AU"/>
        </w:rPr>
        <w:t>regularity</w:t>
      </w:r>
      <w:r>
        <w:rPr>
          <w:lang w:val="en-AU"/>
        </w:rPr>
        <w:t xml:space="preserve"> of trading they engage in?</w:t>
      </w:r>
    </w:p>
    <w:p w14:paraId="31534A81" w14:textId="77777777" w:rsidR="001C29C7" w:rsidRPr="00403164" w:rsidRDefault="001C29C7" w:rsidP="001C29C7">
      <w:pPr>
        <w:pStyle w:val="Box2Bullet1"/>
        <w:numPr>
          <w:ilvl w:val="1"/>
          <w:numId w:val="35"/>
        </w:numPr>
      </w:pPr>
      <w:r>
        <w:rPr>
          <w:lang w:val="en-AU"/>
        </w:rPr>
        <w:t xml:space="preserve">If you regularly hold </w:t>
      </w:r>
      <w:r w:rsidR="00B651D6">
        <w:rPr>
          <w:lang w:val="en-AU"/>
        </w:rPr>
        <w:t>temporary licence</w:t>
      </w:r>
      <w:r>
        <w:rPr>
          <w:lang w:val="en-AU"/>
        </w:rPr>
        <w:t xml:space="preserve">s, </w:t>
      </w:r>
      <w:r w:rsidR="00B72CC7">
        <w:rPr>
          <w:lang w:val="en-AU"/>
        </w:rPr>
        <w:t>what is</w:t>
      </w:r>
      <w:r>
        <w:rPr>
          <w:lang w:val="en-AU"/>
        </w:rPr>
        <w:t xml:space="preserve"> inhibiting you from transitioning towards </w:t>
      </w:r>
      <w:r w:rsidR="00B72CC7">
        <w:rPr>
          <w:lang w:val="en-AU"/>
        </w:rPr>
        <w:t>being Australian flagged and crewed</w:t>
      </w:r>
      <w:r>
        <w:rPr>
          <w:lang w:val="en-AU"/>
        </w:rPr>
        <w:t>?  What would encourage you/</w:t>
      </w:r>
      <w:r w:rsidR="004A61F4">
        <w:rPr>
          <w:lang w:val="en-AU"/>
        </w:rPr>
        <w:t xml:space="preserve">provide an incentive for </w:t>
      </w:r>
      <w:r>
        <w:rPr>
          <w:lang w:val="en-AU"/>
        </w:rPr>
        <w:t xml:space="preserve">you to transition to </w:t>
      </w:r>
      <w:r w:rsidR="00B72CC7">
        <w:rPr>
          <w:lang w:val="en-AU"/>
        </w:rPr>
        <w:t>being Australian flagged and crewed</w:t>
      </w:r>
      <w:r>
        <w:rPr>
          <w:lang w:val="en-AU"/>
        </w:rPr>
        <w:t>?</w:t>
      </w:r>
    </w:p>
    <w:p w14:paraId="635E0AC8" w14:textId="77777777" w:rsidR="00AF5716" w:rsidRPr="003B65C7" w:rsidRDefault="00783794" w:rsidP="001C29C7">
      <w:pPr>
        <w:pStyle w:val="Box2Bullet1"/>
        <w:numPr>
          <w:ilvl w:val="1"/>
          <w:numId w:val="35"/>
        </w:numPr>
      </w:pPr>
      <w:r w:rsidRPr="00783794">
        <w:rPr>
          <w:lang w:val="en-AU"/>
        </w:rPr>
        <w:t>If you regularly hold temporary licences, please identify the impact, financial or otherwise, a move to the use of an Australian vessel may have on your business operations? Please provide as much detail as possible.</w:t>
      </w:r>
      <w:r w:rsidR="00AF5716">
        <w:rPr>
          <w:lang w:val="en-AU"/>
        </w:rPr>
        <w:t xml:space="preserve"> </w:t>
      </w:r>
    </w:p>
    <w:p w14:paraId="29D08548" w14:textId="09AF56C1" w:rsidR="001C29C7" w:rsidRDefault="001C29C7" w:rsidP="001C29C7">
      <w:pPr>
        <w:pStyle w:val="Heading2Numbered"/>
      </w:pPr>
      <w:bookmarkStart w:id="48" w:name="_Toc177556747"/>
      <w:bookmarkStart w:id="49" w:name="_Toc177572045"/>
      <w:r>
        <w:t>Treatment of passengers</w:t>
      </w:r>
      <w:bookmarkEnd w:id="48"/>
      <w:bookmarkEnd w:id="49"/>
    </w:p>
    <w:p w14:paraId="3F95E0D7" w14:textId="77777777" w:rsidR="001C29C7" w:rsidRDefault="001C29C7" w:rsidP="001C29C7">
      <w:r>
        <w:t xml:space="preserve">The </w:t>
      </w:r>
      <w:r w:rsidR="00406295">
        <w:t xml:space="preserve">Act </w:t>
      </w:r>
      <w:r>
        <w:t xml:space="preserve">defines </w:t>
      </w:r>
      <w:r w:rsidR="005553F2">
        <w:t>‘</w:t>
      </w:r>
      <w:r w:rsidRPr="00D57C2E">
        <w:t>coastal trading</w:t>
      </w:r>
      <w:r w:rsidR="005553F2">
        <w:t>’</w:t>
      </w:r>
      <w:r>
        <w:t xml:space="preserve"> to include the </w:t>
      </w:r>
      <w:r w:rsidRPr="00466D35">
        <w:t>carriage of passengers or</w:t>
      </w:r>
      <w:r>
        <w:t xml:space="preserve"> cargo (for, or in connection with</w:t>
      </w:r>
      <w:r w:rsidR="007B6080">
        <w:t>,</w:t>
      </w:r>
      <w:r>
        <w:t xml:space="preserve"> a commercial activity) between interstate Australian ports. A person must not engage in coastal trading without a licence unless the person or the vessel is exempt from the </w:t>
      </w:r>
      <w:r w:rsidR="00406295">
        <w:t>Act</w:t>
      </w:r>
      <w:r>
        <w:t>.</w:t>
      </w:r>
    </w:p>
    <w:p w14:paraId="73DF6F18" w14:textId="623359ED" w:rsidR="005E3F07" w:rsidRDefault="000515E9" w:rsidP="000515E9">
      <w:r w:rsidRPr="000515E9">
        <w:t xml:space="preserve">We consider that the application of the </w:t>
      </w:r>
      <w:r w:rsidR="00406295">
        <w:t>Act</w:t>
      </w:r>
      <w:r w:rsidRPr="000515E9">
        <w:t xml:space="preserve"> raises rather different issues for passengers than for cargo. For instance, </w:t>
      </w:r>
      <w:r w:rsidR="00967D8A">
        <w:t>passengers</w:t>
      </w:r>
      <w:r w:rsidRPr="000515E9">
        <w:t xml:space="preserve"> pay</w:t>
      </w:r>
      <w:r w:rsidR="005E3F07">
        <w:t xml:space="preserve"> </w:t>
      </w:r>
      <w:r>
        <w:t>for a fare to arrive at a particular destination and to do so with particular facilities, service standards or experience</w:t>
      </w:r>
      <w:r w:rsidR="005E3F07">
        <w:t>s</w:t>
      </w:r>
      <w:r>
        <w:t xml:space="preserve">. </w:t>
      </w:r>
    </w:p>
    <w:p w14:paraId="2365B9B6" w14:textId="1542979F" w:rsidR="00B963B5" w:rsidRDefault="000515E9" w:rsidP="00B963B5">
      <w:r>
        <w:t xml:space="preserve">However, we acknowledge that not all passengers are the same. For example, a person paying for a ferry to cross the Bass Strait is likely to have different requirements and expectations to a cruise passenger who pays not only for coastal travel but the overall experience of a cruise. </w:t>
      </w:r>
      <w:r w:rsidR="00B963B5">
        <w:t>Cruise operators provide forward looking schedules to secure bookings from customers who may want to know what specific vessel they will be sailing on. Unlike cargo owners, many cruise passengers are unlikely to be ‘vessel agnostic’ and are willing and able to pay what is required to ensure they get the experience they are looking for from a vessel.</w:t>
      </w:r>
    </w:p>
    <w:p w14:paraId="7DEAF6BA" w14:textId="00F8131E" w:rsidR="002C3F40" w:rsidRDefault="00EF3262" w:rsidP="00B963B5">
      <w:r>
        <w:t>Australia</w:t>
      </w:r>
      <w:r w:rsidR="006F008F">
        <w:t xml:space="preserve"> </w:t>
      </w:r>
      <w:r>
        <w:t xml:space="preserve">has made specific arrangements </w:t>
      </w:r>
      <w:r w:rsidR="00E9594F">
        <w:t>for two categories of passenger</w:t>
      </w:r>
      <w:r w:rsidR="0085588C">
        <w:t>s in the coastal trade</w:t>
      </w:r>
      <w:r w:rsidR="00E9594F">
        <w:t>: those</w:t>
      </w:r>
      <w:r w:rsidR="00FF42EB">
        <w:t xml:space="preserve"> crossing the Bass Strait</w:t>
      </w:r>
      <w:r w:rsidR="000959EC">
        <w:t xml:space="preserve"> to Tasmania by ferry</w:t>
      </w:r>
      <w:r w:rsidR="009D2AB9">
        <w:t xml:space="preserve">, and those going on a cruise in Australian waters. </w:t>
      </w:r>
    </w:p>
    <w:p w14:paraId="267EF60A" w14:textId="77777777" w:rsidR="001C29C7" w:rsidRDefault="001C29C7" w:rsidP="001C29C7">
      <w:r>
        <w:t xml:space="preserve">Section 11 of the </w:t>
      </w:r>
      <w:r w:rsidR="00406295">
        <w:t xml:space="preserve">Act </w:t>
      </w:r>
      <w:r>
        <w:t xml:space="preserve">provides that the Minister may, by legislative instrument, direct that the </w:t>
      </w:r>
      <w:r w:rsidR="00406295">
        <w:t xml:space="preserve">Act </w:t>
      </w:r>
      <w:r>
        <w:t xml:space="preserve">does not apply to a vessel or a class of vessels or to a person or a class of persons. An exemption may be confined to one or more specified periods and/or to one or more specified voyages. An exemption is subject to any such conditions as are specified in the direction. </w:t>
      </w:r>
    </w:p>
    <w:p w14:paraId="6FB19D9E" w14:textId="382D7517" w:rsidR="00E27BDE" w:rsidRDefault="001C29C7" w:rsidP="00E27BDE">
      <w:r>
        <w:lastRenderedPageBreak/>
        <w:t xml:space="preserve">An exemption under section 11 of the </w:t>
      </w:r>
      <w:r w:rsidR="00406295">
        <w:t xml:space="preserve">Act </w:t>
      </w:r>
      <w:r w:rsidR="00EA41F4">
        <w:t xml:space="preserve">currently </w:t>
      </w:r>
      <w:r>
        <w:t xml:space="preserve">applies in relation to cruise </w:t>
      </w:r>
      <w:r w:rsidR="00E27BDE">
        <w:t>vessels in excess of 5,000 gross tonnes which are:</w:t>
      </w:r>
    </w:p>
    <w:p w14:paraId="0BF8BB40" w14:textId="77777777" w:rsidR="00E27BDE" w:rsidRDefault="00E27BDE" w:rsidP="00E27BDE">
      <w:pPr>
        <w:pStyle w:val="ListParagraph"/>
        <w:numPr>
          <w:ilvl w:val="0"/>
          <w:numId w:val="46"/>
        </w:numPr>
      </w:pPr>
      <w:r>
        <w:t>capable of a speed of at least 15 knots</w:t>
      </w:r>
    </w:p>
    <w:p w14:paraId="60343BAC" w14:textId="77777777" w:rsidR="00E27BDE" w:rsidRDefault="00E27BDE" w:rsidP="00E27BDE">
      <w:pPr>
        <w:pStyle w:val="ListParagraph"/>
        <w:numPr>
          <w:ilvl w:val="0"/>
          <w:numId w:val="46"/>
        </w:numPr>
      </w:pPr>
      <w:r>
        <w:t>capable of carrying at least 100 passengers; and</w:t>
      </w:r>
    </w:p>
    <w:p w14:paraId="4EE222E1" w14:textId="77777777" w:rsidR="001C29C7" w:rsidRDefault="00E27BDE" w:rsidP="00D57C2E">
      <w:pPr>
        <w:pStyle w:val="ListParagraph"/>
        <w:numPr>
          <w:ilvl w:val="0"/>
          <w:numId w:val="46"/>
        </w:numPr>
      </w:pPr>
      <w:r>
        <w:t>utilised wholly or primarily for the carriage of passengers between any ports in the Commonwealth or in the Territories, except between Victoria and Tasmania</w:t>
      </w:r>
      <w:r w:rsidR="00B15E67">
        <w:rPr>
          <w:rStyle w:val="FootnoteReference"/>
        </w:rPr>
        <w:footnoteReference w:id="9"/>
      </w:r>
      <w:r>
        <w:t>.</w:t>
      </w:r>
    </w:p>
    <w:p w14:paraId="5460F312" w14:textId="77777777" w:rsidR="001C29C7" w:rsidRDefault="001C29C7" w:rsidP="00403164">
      <w:r>
        <w:t xml:space="preserve">The exemption has been in place under successive legislative instruments made since the </w:t>
      </w:r>
      <w:r w:rsidR="00406295">
        <w:t>Act</w:t>
      </w:r>
      <w:r>
        <w:t>’s commencement, with the most recent</w:t>
      </w:r>
      <w:r w:rsidR="00652316">
        <w:t xml:space="preserve"> legislative instrument </w:t>
      </w:r>
      <w:r>
        <w:t>having been notified on the Federal Register of Legislation on 19 August 2024 to have effect from 1 January 2025 to 31 December 2026.</w:t>
      </w:r>
      <w:r w:rsidR="00652316">
        <w:t xml:space="preserve"> </w:t>
      </w:r>
      <w:r w:rsidR="007B6080">
        <w:t>Several</w:t>
      </w:r>
      <w:r w:rsidR="001B2DB5">
        <w:t xml:space="preserve"> media articles released in mid-2024 sought to have the exemption (which was to expire on 31 December 2024) reviewed and extended. A petition to the House of Representatives asked the House to </w:t>
      </w:r>
      <w:r w:rsidR="001B2DB5" w:rsidRPr="001B2DB5">
        <w:t>prioritise a review of the exemption and extend it for at least five more years</w:t>
      </w:r>
      <w:r w:rsidR="001B2DB5">
        <w:t xml:space="preserve"> </w:t>
      </w:r>
      <w:r w:rsidR="001B2DB5" w:rsidRPr="001B2DB5">
        <w:t>to aid in providing the cruise industry with stability and confidence.</w:t>
      </w:r>
      <w:r w:rsidR="00175FCA">
        <w:t xml:space="preserve"> </w:t>
      </w:r>
    </w:p>
    <w:p w14:paraId="1449D89F" w14:textId="4BADB1B0" w:rsidR="004968E3" w:rsidRDefault="004968E3" w:rsidP="00005901">
      <w:r>
        <w:t xml:space="preserve">We believe that </w:t>
      </w:r>
      <w:r w:rsidR="004A63AD">
        <w:t xml:space="preserve">passenger carriage raises many different issues to cargo carriage that it would be </w:t>
      </w:r>
      <w:r w:rsidR="00EC4059" w:rsidRPr="00EC4059">
        <w:t>more coherent to treat them separately in the legislation</w:t>
      </w:r>
      <w:r w:rsidR="001D0623">
        <w:t xml:space="preserve">, so that provisions can be designed to take account of </w:t>
      </w:r>
      <w:r w:rsidR="0051723E">
        <w:t xml:space="preserve">those differences. </w:t>
      </w:r>
    </w:p>
    <w:p w14:paraId="3E238395" w14:textId="77777777" w:rsidR="006467BA" w:rsidRDefault="00DC73F4" w:rsidP="00005901">
      <w:r>
        <w:t xml:space="preserve">We </w:t>
      </w:r>
      <w:r w:rsidR="00A42650">
        <w:t xml:space="preserve">also </w:t>
      </w:r>
      <w:r>
        <w:t xml:space="preserve">believe it is necessary to </w:t>
      </w:r>
      <w:r w:rsidR="00323CB9">
        <w:t>assess</w:t>
      </w:r>
      <w:r>
        <w:t xml:space="preserve"> what amendments may be required in the </w:t>
      </w:r>
      <w:r w:rsidR="00406295">
        <w:t xml:space="preserve">Act </w:t>
      </w:r>
      <w:r>
        <w:t xml:space="preserve">to provide certainty for cruise ships currently exempt from the </w:t>
      </w:r>
      <w:r w:rsidR="00406295">
        <w:t xml:space="preserve">Act </w:t>
      </w:r>
      <w:r>
        <w:t xml:space="preserve">and </w:t>
      </w:r>
      <w:r w:rsidR="00F93F95">
        <w:t xml:space="preserve">to </w:t>
      </w:r>
      <w:r>
        <w:t xml:space="preserve">ensure passengers are not inappropriately </w:t>
      </w:r>
      <w:r w:rsidR="00323CB9">
        <w:t>treated under the Act</w:t>
      </w:r>
      <w:r w:rsidR="006A26A1">
        <w:t>.</w:t>
      </w:r>
      <w:r w:rsidR="00946F22">
        <w:t xml:space="preserve"> </w:t>
      </w:r>
    </w:p>
    <w:p w14:paraId="5EC72524" w14:textId="7B073BEB" w:rsidR="00AF61B5" w:rsidRDefault="008824A8" w:rsidP="00005901">
      <w:r>
        <w:t>In addition, we</w:t>
      </w:r>
      <w:r w:rsidR="00E27BDE">
        <w:t xml:space="preserve"> believe that the </w:t>
      </w:r>
      <w:r w:rsidR="00406295">
        <w:t xml:space="preserve">Act </w:t>
      </w:r>
      <w:r w:rsidR="00E27BDE">
        <w:t xml:space="preserve">should support the growth of </w:t>
      </w:r>
      <w:r w:rsidR="003850D3">
        <w:t xml:space="preserve">an </w:t>
      </w:r>
      <w:r w:rsidR="00E27BDE">
        <w:t>Australian</w:t>
      </w:r>
      <w:r w:rsidR="00641DCA">
        <w:t>-</w:t>
      </w:r>
      <w:r w:rsidR="002C3580">
        <w:t xml:space="preserve">flagged </w:t>
      </w:r>
      <w:r w:rsidR="00E27BDE">
        <w:t>cruise industry while recognising the role of foreign flagged vessels in specific segments of the industry.</w:t>
      </w:r>
    </w:p>
    <w:p w14:paraId="18E8C9C5" w14:textId="5B6E685D" w:rsidR="001C29C7" w:rsidRPr="00F541A6" w:rsidRDefault="001C29C7" w:rsidP="001C29C7">
      <w:pPr>
        <w:pStyle w:val="Box2Heading"/>
        <w:tabs>
          <w:tab w:val="left" w:pos="1701"/>
        </w:tabs>
        <w:rPr>
          <w:lang w:val="en-AU"/>
        </w:rPr>
      </w:pPr>
      <w:r>
        <w:rPr>
          <w:lang w:val="en-AU"/>
        </w:rPr>
        <w:t>Consultation question</w:t>
      </w:r>
      <w:r w:rsidR="00DC3EE0">
        <w:rPr>
          <w:lang w:val="en-AU"/>
        </w:rPr>
        <w:t>s</w:t>
      </w:r>
    </w:p>
    <w:p w14:paraId="2DACE32B" w14:textId="77777777" w:rsidR="00F94059" w:rsidRPr="00C668EC" w:rsidRDefault="00F94059" w:rsidP="00F94059">
      <w:pPr>
        <w:pStyle w:val="Box2Bullet1"/>
        <w:numPr>
          <w:ilvl w:val="1"/>
          <w:numId w:val="35"/>
        </w:numPr>
      </w:pPr>
      <w:r>
        <w:rPr>
          <w:lang w:val="en-AU"/>
        </w:rPr>
        <w:t>Do you think that passenger travel (cruise ships and ferries) should be treated separately in the legislation to other coastal trades? Why/why not?</w:t>
      </w:r>
    </w:p>
    <w:p w14:paraId="0EC7BCFD" w14:textId="16652A31" w:rsidR="003F7FFD" w:rsidRPr="00A710A6" w:rsidRDefault="001C29C7" w:rsidP="001C29C7">
      <w:pPr>
        <w:pStyle w:val="Box2Bullet1"/>
        <w:numPr>
          <w:ilvl w:val="1"/>
          <w:numId w:val="35"/>
        </w:numPr>
      </w:pPr>
      <w:r w:rsidRPr="002D3089">
        <w:rPr>
          <w:lang w:val="en-AU"/>
        </w:rPr>
        <w:t>How can coastal trading regulation be improved for p</w:t>
      </w:r>
      <w:r w:rsidRPr="009C280F">
        <w:rPr>
          <w:lang w:val="en-AU"/>
        </w:rPr>
        <w:t>assengers and</w:t>
      </w:r>
      <w:r w:rsidR="001F0E48">
        <w:rPr>
          <w:lang w:val="en-AU"/>
        </w:rPr>
        <w:t xml:space="preserve"> the </w:t>
      </w:r>
      <w:r w:rsidR="006E1A44">
        <w:rPr>
          <w:lang w:val="en-AU"/>
        </w:rPr>
        <w:t>Australian</w:t>
      </w:r>
      <w:r w:rsidR="001F0E48">
        <w:rPr>
          <w:lang w:val="en-AU"/>
        </w:rPr>
        <w:t xml:space="preserve"> touris</w:t>
      </w:r>
      <w:r w:rsidR="00833159">
        <w:rPr>
          <w:lang w:val="en-AU"/>
        </w:rPr>
        <w:t>m</w:t>
      </w:r>
      <w:r w:rsidR="001F0E48">
        <w:rPr>
          <w:lang w:val="en-AU"/>
        </w:rPr>
        <w:t xml:space="preserve"> </w:t>
      </w:r>
      <w:r w:rsidR="006E1A44">
        <w:rPr>
          <w:lang w:val="en-AU"/>
        </w:rPr>
        <w:t>industry</w:t>
      </w:r>
      <w:r w:rsidR="00833159">
        <w:rPr>
          <w:lang w:val="en-AU"/>
        </w:rPr>
        <w:t>?</w:t>
      </w:r>
      <w:r w:rsidR="006E1A44">
        <w:rPr>
          <w:lang w:val="en-AU"/>
        </w:rPr>
        <w:t xml:space="preserve"> </w:t>
      </w:r>
      <w:r w:rsidRPr="009C280F">
        <w:rPr>
          <w:lang w:val="en-AU"/>
        </w:rPr>
        <w:t xml:space="preserve"> </w:t>
      </w:r>
    </w:p>
    <w:p w14:paraId="35914F6D" w14:textId="06015383" w:rsidR="001C29C7" w:rsidRPr="00A66CFC" w:rsidRDefault="003F7FFD" w:rsidP="001C29C7">
      <w:pPr>
        <w:pStyle w:val="Box2Bullet1"/>
        <w:numPr>
          <w:ilvl w:val="1"/>
          <w:numId w:val="35"/>
        </w:numPr>
      </w:pPr>
      <w:r w:rsidRPr="002D3089">
        <w:rPr>
          <w:lang w:val="en-AU"/>
        </w:rPr>
        <w:t>How can coastal trading regulation be improved</w:t>
      </w:r>
      <w:r>
        <w:rPr>
          <w:lang w:val="en-AU"/>
        </w:rPr>
        <w:t xml:space="preserve"> </w:t>
      </w:r>
      <w:r w:rsidR="00EF3B5C">
        <w:rPr>
          <w:lang w:val="en-AU"/>
        </w:rPr>
        <w:t xml:space="preserve">to </w:t>
      </w:r>
      <w:r w:rsidR="00B049ED">
        <w:rPr>
          <w:lang w:val="en-AU"/>
        </w:rPr>
        <w:t>support</w:t>
      </w:r>
      <w:r w:rsidR="00EF3B5C">
        <w:rPr>
          <w:lang w:val="en-AU"/>
        </w:rPr>
        <w:t xml:space="preserve"> </w:t>
      </w:r>
      <w:r w:rsidR="001C29C7" w:rsidRPr="009C280F">
        <w:rPr>
          <w:lang w:val="en-AU"/>
        </w:rPr>
        <w:t xml:space="preserve">the </w:t>
      </w:r>
      <w:r w:rsidR="000515E9">
        <w:rPr>
          <w:lang w:val="en-AU"/>
        </w:rPr>
        <w:t>Australian</w:t>
      </w:r>
      <w:r w:rsidR="008E0410">
        <w:rPr>
          <w:lang w:val="en-AU"/>
        </w:rPr>
        <w:t>-</w:t>
      </w:r>
      <w:r w:rsidR="002C3580">
        <w:rPr>
          <w:lang w:val="en-AU"/>
        </w:rPr>
        <w:t xml:space="preserve">flagged </w:t>
      </w:r>
      <w:r w:rsidR="001C29C7" w:rsidRPr="009C280F">
        <w:rPr>
          <w:lang w:val="en-AU"/>
        </w:rPr>
        <w:t>cruise industry?</w:t>
      </w:r>
    </w:p>
    <w:p w14:paraId="10B15926" w14:textId="77777777" w:rsidR="001D295C" w:rsidRDefault="001D295C" w:rsidP="003D18A6">
      <w:pPr>
        <w:pStyle w:val="Heading1Numbered"/>
      </w:pPr>
      <w:bookmarkStart w:id="50" w:name="_Toc177556748"/>
      <w:bookmarkStart w:id="51" w:name="_Toc177572046"/>
      <w:r>
        <w:t>Future of Australian shipping</w:t>
      </w:r>
      <w:bookmarkEnd w:id="50"/>
      <w:bookmarkEnd w:id="51"/>
      <w:r>
        <w:t xml:space="preserve"> </w:t>
      </w:r>
    </w:p>
    <w:p w14:paraId="7EB5B8DA" w14:textId="77777777" w:rsidR="00C832F5" w:rsidRDefault="00754BCB" w:rsidP="003F55F6">
      <w:r>
        <w:t>Shipping activity is set to increase around Australia</w:t>
      </w:r>
      <w:r w:rsidR="008E759B">
        <w:t xml:space="preserve"> in the future.</w:t>
      </w:r>
      <w:r>
        <w:t xml:space="preserve"> </w:t>
      </w:r>
      <w:r w:rsidRPr="00754BCB">
        <w:t>Most offshore oil and gas projects in Australia will be decommissioned in the next 30 years, with some being decommissioned in the next decade. About $60 billion worth of offshore decommissioning activity is expected to occur in Australia over the next 30 to 50 years.</w:t>
      </w:r>
      <w:r>
        <w:t xml:space="preserve"> </w:t>
      </w:r>
      <w:r w:rsidR="008E759B">
        <w:t>Similarly</w:t>
      </w:r>
      <w:r>
        <w:t xml:space="preserve">, the </w:t>
      </w:r>
      <w:r w:rsidR="007B6080">
        <w:t>Government</w:t>
      </w:r>
      <w:r>
        <w:t xml:space="preserve"> is investing</w:t>
      </w:r>
      <w:r w:rsidR="00DB3E31">
        <w:t xml:space="preserve"> in</w:t>
      </w:r>
      <w:r>
        <w:t xml:space="preserve"> offshore wind development in </w:t>
      </w:r>
      <w:r w:rsidR="00E27BDE">
        <w:t>six</w:t>
      </w:r>
      <w:r>
        <w:t xml:space="preserve"> priority areas around Australia</w:t>
      </w:r>
      <w:r w:rsidR="008E759B">
        <w:t xml:space="preserve"> and shipping will be required to move materials to and from offshore wind sites and local ports to build them and then to regularly maintain the wind farms</w:t>
      </w:r>
      <w:r>
        <w:t xml:space="preserve">. </w:t>
      </w:r>
    </w:p>
    <w:p w14:paraId="1C81904A" w14:textId="028CB44A" w:rsidR="00117FE4" w:rsidRPr="00117FE4" w:rsidRDefault="00C832F5" w:rsidP="00117FE4">
      <w:r>
        <w:t>The definition of coastal trading</w:t>
      </w:r>
      <w:r w:rsidR="008E759B">
        <w:t xml:space="preserve"> under the </w:t>
      </w:r>
      <w:r w:rsidR="00406295">
        <w:t xml:space="preserve">Act </w:t>
      </w:r>
      <w:r>
        <w:t xml:space="preserve">is limited </w:t>
      </w:r>
      <w:r w:rsidR="00117FE4">
        <w:t xml:space="preserve">to </w:t>
      </w:r>
      <w:r w:rsidR="008E759B">
        <w:t xml:space="preserve">vessels used for or in connection with </w:t>
      </w:r>
      <w:r w:rsidR="00117FE4" w:rsidRPr="00117FE4">
        <w:t>a commercial activity; and engage</w:t>
      </w:r>
      <w:r w:rsidR="00CF270F">
        <w:t>d</w:t>
      </w:r>
      <w:r w:rsidR="00117FE4" w:rsidRPr="00117FE4">
        <w:t xml:space="preserve"> in:</w:t>
      </w:r>
    </w:p>
    <w:p w14:paraId="31891B8F" w14:textId="77777777" w:rsidR="00117FE4" w:rsidRPr="00117FE4" w:rsidRDefault="00117FE4" w:rsidP="008E759B">
      <w:pPr>
        <w:pStyle w:val="ListParagraph"/>
        <w:numPr>
          <w:ilvl w:val="0"/>
          <w:numId w:val="48"/>
        </w:numPr>
      </w:pPr>
      <w:r w:rsidRPr="00117FE4">
        <w:t>interstate trading and/or passenger transport, or;</w:t>
      </w:r>
    </w:p>
    <w:p w14:paraId="73F30B06" w14:textId="77777777" w:rsidR="00117FE4" w:rsidRPr="00117FE4" w:rsidRDefault="00117FE4" w:rsidP="008E759B">
      <w:pPr>
        <w:pStyle w:val="ListParagraph"/>
        <w:numPr>
          <w:ilvl w:val="0"/>
          <w:numId w:val="48"/>
        </w:numPr>
      </w:pPr>
      <w:r w:rsidRPr="00117FE4">
        <w:t>intrastate trading and interstate trading; or</w:t>
      </w:r>
    </w:p>
    <w:p w14:paraId="4DFAC95C" w14:textId="77777777" w:rsidR="003655E2" w:rsidRDefault="00117FE4" w:rsidP="008E759B">
      <w:pPr>
        <w:pStyle w:val="ListParagraph"/>
        <w:numPr>
          <w:ilvl w:val="0"/>
          <w:numId w:val="48"/>
        </w:numPr>
      </w:pPr>
      <w:r w:rsidRPr="00117FE4">
        <w:t>intrastate trading and the Minister has declare</w:t>
      </w:r>
      <w:r w:rsidR="00B441FC">
        <w:t>d</w:t>
      </w:r>
      <w:r w:rsidRPr="00117FE4">
        <w:t xml:space="preserve"> that the Act applies to the particular vessel (upon application of the vessel owner) under s 12 of the Act.</w:t>
      </w:r>
    </w:p>
    <w:p w14:paraId="290BA2B8" w14:textId="77777777" w:rsidR="008E759B" w:rsidRDefault="008E759B" w:rsidP="008E759B">
      <w:r>
        <w:lastRenderedPageBreak/>
        <w:t>It does not apply to passenger and cargo movements from outside Australia coming into Australia or vice versa.</w:t>
      </w:r>
      <w:r w:rsidR="00E27BDE">
        <w:t xml:space="preserve"> It also does not apply to smaller vessels operating in the context of offshore industries and to vessels operating to and from an offshore facility.</w:t>
      </w:r>
    </w:p>
    <w:p w14:paraId="3E6E2D95" w14:textId="77777777" w:rsidR="00DB3E31" w:rsidRDefault="00DB3E31" w:rsidP="008E759B">
      <w:r>
        <w:t xml:space="preserve">Given what we know about the future of Australian shipping, we would like to know if you think the definition of coastal trading under the </w:t>
      </w:r>
      <w:r w:rsidR="00406295">
        <w:t xml:space="preserve">Act </w:t>
      </w:r>
      <w:r>
        <w:t xml:space="preserve">is sufficiently broad to accommodate for Australia’s increased shipping activity. </w:t>
      </w:r>
    </w:p>
    <w:p w14:paraId="23D78493" w14:textId="3EAA3E1A" w:rsidR="003655E2" w:rsidRPr="00F541A6" w:rsidRDefault="003655E2" w:rsidP="003655E2">
      <w:pPr>
        <w:pStyle w:val="Box2Heading"/>
        <w:tabs>
          <w:tab w:val="left" w:pos="1701"/>
        </w:tabs>
        <w:rPr>
          <w:lang w:val="en-AU"/>
        </w:rPr>
      </w:pPr>
      <w:r>
        <w:rPr>
          <w:lang w:val="en-AU"/>
        </w:rPr>
        <w:t>Consultation question</w:t>
      </w:r>
      <w:r w:rsidR="00C2478D">
        <w:rPr>
          <w:lang w:val="en-AU"/>
        </w:rPr>
        <w:t>s</w:t>
      </w:r>
    </w:p>
    <w:p w14:paraId="1E05ADE8" w14:textId="77777777" w:rsidR="003655E2" w:rsidRPr="008D26AB" w:rsidRDefault="003655E2" w:rsidP="003655E2">
      <w:pPr>
        <w:pStyle w:val="Box2Bullet1"/>
        <w:numPr>
          <w:ilvl w:val="1"/>
          <w:numId w:val="35"/>
        </w:numPr>
      </w:pPr>
      <w:r>
        <w:rPr>
          <w:lang w:val="en-AU"/>
        </w:rPr>
        <w:t>Is</w:t>
      </w:r>
      <w:r w:rsidRPr="007A0C5F">
        <w:rPr>
          <w:lang w:val="en-AU"/>
        </w:rPr>
        <w:t xml:space="preserve"> the</w:t>
      </w:r>
      <w:r w:rsidR="00EC13BB">
        <w:rPr>
          <w:lang w:val="en-AU"/>
        </w:rPr>
        <w:t xml:space="preserve"> current</w:t>
      </w:r>
      <w:r w:rsidRPr="007A0C5F">
        <w:rPr>
          <w:lang w:val="en-AU"/>
        </w:rPr>
        <w:t xml:space="preserve"> definition of coastal </w:t>
      </w:r>
      <w:r w:rsidRPr="007A0C5F" w:rsidDel="00EC13BB">
        <w:rPr>
          <w:lang w:val="en-AU"/>
        </w:rPr>
        <w:t>trading</w:t>
      </w:r>
      <w:r w:rsidDel="00EC13BB">
        <w:rPr>
          <w:lang w:val="en-AU"/>
        </w:rPr>
        <w:t xml:space="preserve"> </w:t>
      </w:r>
      <w:r>
        <w:rPr>
          <w:lang w:val="en-AU"/>
        </w:rPr>
        <w:t xml:space="preserve">sufficiently broad </w:t>
      </w:r>
      <w:r w:rsidR="009323FC">
        <w:rPr>
          <w:lang w:val="en-AU"/>
        </w:rPr>
        <w:t>to encompass relevant activities in</w:t>
      </w:r>
      <w:r>
        <w:rPr>
          <w:lang w:val="en-AU"/>
        </w:rPr>
        <w:t xml:space="preserve"> the maritime industry today and </w:t>
      </w:r>
      <w:r w:rsidR="009323FC">
        <w:rPr>
          <w:lang w:val="en-AU"/>
        </w:rPr>
        <w:t xml:space="preserve">in </w:t>
      </w:r>
      <w:r>
        <w:rPr>
          <w:lang w:val="en-AU"/>
        </w:rPr>
        <w:t xml:space="preserve">the future? </w:t>
      </w:r>
    </w:p>
    <w:p w14:paraId="5AED6117" w14:textId="77777777" w:rsidR="003655E2" w:rsidRPr="008D26AB" w:rsidRDefault="003655E2" w:rsidP="003655E2">
      <w:pPr>
        <w:pStyle w:val="Box2Bullet1"/>
        <w:numPr>
          <w:ilvl w:val="1"/>
          <w:numId w:val="35"/>
        </w:numPr>
      </w:pPr>
      <w:r>
        <w:rPr>
          <w:lang w:val="en-AU"/>
        </w:rPr>
        <w:t xml:space="preserve">Does the </w:t>
      </w:r>
      <w:r w:rsidR="00EC13BB">
        <w:rPr>
          <w:lang w:val="en-AU"/>
        </w:rPr>
        <w:t xml:space="preserve">current </w:t>
      </w:r>
      <w:r>
        <w:rPr>
          <w:lang w:val="en-AU"/>
        </w:rPr>
        <w:t xml:space="preserve">definition of coastal trading </w:t>
      </w:r>
      <w:r w:rsidRPr="007A0C5F">
        <w:rPr>
          <w:lang w:val="en-AU"/>
        </w:rPr>
        <w:t>account for</w:t>
      </w:r>
      <w:r>
        <w:rPr>
          <w:lang w:val="en-AU"/>
        </w:rPr>
        <w:t xml:space="preserve"> or include</w:t>
      </w:r>
      <w:r w:rsidRPr="007A0C5F">
        <w:rPr>
          <w:lang w:val="en-AU"/>
        </w:rPr>
        <w:t xml:space="preserve"> emerging maritime developments and investments</w:t>
      </w:r>
      <w:r w:rsidRPr="001D30C1">
        <w:t>?</w:t>
      </w:r>
      <w:r>
        <w:rPr>
          <w:lang w:val="en-AU"/>
        </w:rPr>
        <w:t xml:space="preserve"> </w:t>
      </w:r>
    </w:p>
    <w:p w14:paraId="5FB297F4" w14:textId="77777777" w:rsidR="001D295C" w:rsidRDefault="001D295C" w:rsidP="001D295C">
      <w:pPr>
        <w:pStyle w:val="Heading2Numbered"/>
      </w:pPr>
      <w:bookmarkStart w:id="52" w:name="_Toc177556749"/>
      <w:bookmarkStart w:id="53" w:name="_Toc177572047"/>
      <w:r>
        <w:t>Strategic Fleet Taskforce recommendations</w:t>
      </w:r>
      <w:bookmarkEnd w:id="52"/>
      <w:bookmarkEnd w:id="53"/>
    </w:p>
    <w:p w14:paraId="617C5B5B" w14:textId="0286A5BB" w:rsidR="0045048A" w:rsidRDefault="0045048A" w:rsidP="0045048A">
      <w:r>
        <w:t>The Strategic Fleet Taskforce noted that strategic fleet vessels are likely to be deployed on Australian coastal trades, either on a fully-dedicated basis</w:t>
      </w:r>
      <w:r w:rsidR="007B6080">
        <w:rPr>
          <w:rFonts w:cstheme="minorHAnsi"/>
        </w:rPr>
        <w:t>―</w:t>
      </w:r>
      <w:r>
        <w:t>such as high-volume, high-frequency dry bulk trades</w:t>
      </w:r>
      <w:r w:rsidR="007B6080">
        <w:rPr>
          <w:rFonts w:cstheme="minorHAnsi"/>
        </w:rPr>
        <w:t>―</w:t>
      </w:r>
      <w:r>
        <w:t>or on a partial basis as part of a near-region international trade</w:t>
      </w:r>
      <w:r w:rsidR="001B2C6E">
        <w:rPr>
          <w:rStyle w:val="FootnoteReference"/>
        </w:rPr>
        <w:footnoteReference w:id="10"/>
      </w:r>
      <w:r>
        <w:t>. This means they will likely operate under Australia’s coastal trading regulatory framework</w:t>
      </w:r>
      <w:r w:rsidR="00420F39">
        <w:t xml:space="preserve"> and it is important that strategic fleet vessels can sustainably maintain coastal trading operations where </w:t>
      </w:r>
      <w:r w:rsidR="004D512B">
        <w:t>it</w:t>
      </w:r>
      <w:r w:rsidR="00420F39">
        <w:t xml:space="preserve"> is important to their operating structures.</w:t>
      </w:r>
    </w:p>
    <w:p w14:paraId="7AC9AB97" w14:textId="6AED26B7" w:rsidR="00D42CA8" w:rsidRDefault="00D42CA8" w:rsidP="004011FD">
      <w:r>
        <w:t xml:space="preserve">In their recommendation to </w:t>
      </w:r>
      <w:r w:rsidR="007B6080">
        <w:t>Government</w:t>
      </w:r>
      <w:r>
        <w:t xml:space="preserve"> to review the </w:t>
      </w:r>
      <w:r w:rsidR="00A87E74">
        <w:t>Act</w:t>
      </w:r>
      <w:r>
        <w:t>, t</w:t>
      </w:r>
      <w:r w:rsidR="004011FD">
        <w:t>he</w:t>
      </w:r>
      <w:r>
        <w:t xml:space="preserve"> Strategic Fleet</w:t>
      </w:r>
      <w:r w:rsidR="004011FD">
        <w:t xml:space="preserve"> Taskforce consider</w:t>
      </w:r>
      <w:r>
        <w:t>ed</w:t>
      </w:r>
      <w:r w:rsidR="004011FD">
        <w:t xml:space="preserve"> that the following should be key considerations of the </w:t>
      </w:r>
      <w:r w:rsidR="00BB3107">
        <w:t>R</w:t>
      </w:r>
      <w:r w:rsidR="004011FD">
        <w:t>eview:</w:t>
      </w:r>
    </w:p>
    <w:p w14:paraId="25C8B186" w14:textId="77777777" w:rsidR="00D42CA8" w:rsidRDefault="004011FD" w:rsidP="00D42CA8">
      <w:pPr>
        <w:pStyle w:val="ListParagraph"/>
        <w:numPr>
          <w:ilvl w:val="0"/>
          <w:numId w:val="38"/>
        </w:numPr>
      </w:pPr>
      <w:r>
        <w:t>That a strategic fleet ship be defined.</w:t>
      </w:r>
    </w:p>
    <w:p w14:paraId="1F4F2A4A" w14:textId="57DDC556" w:rsidR="004011FD" w:rsidRDefault="004011FD" w:rsidP="00D42CA8">
      <w:pPr>
        <w:pStyle w:val="ListParagraph"/>
        <w:numPr>
          <w:ilvl w:val="0"/>
          <w:numId w:val="38"/>
        </w:numPr>
      </w:pPr>
      <w:r>
        <w:t xml:space="preserve">Ensure that cargo volume and trade (including strategic fleet cargo/trade) on </w:t>
      </w:r>
      <w:r w:rsidR="001B2C6E">
        <w:t>g</w:t>
      </w:r>
      <w:r>
        <w:t xml:space="preserve">eneral </w:t>
      </w:r>
      <w:r w:rsidR="001B2C6E">
        <w:t>l</w:t>
      </w:r>
      <w:r>
        <w:t xml:space="preserve">icence vessels are not undermined by the awarding of </w:t>
      </w:r>
      <w:r w:rsidR="00B651D6">
        <w:t>temporary licence</w:t>
      </w:r>
      <w:r>
        <w:t>s.</w:t>
      </w:r>
    </w:p>
    <w:p w14:paraId="3B160CBC" w14:textId="5FD4E692" w:rsidR="004011FD" w:rsidRDefault="004011FD" w:rsidP="00D42CA8">
      <w:pPr>
        <w:pStyle w:val="ListParagraph"/>
        <w:numPr>
          <w:ilvl w:val="0"/>
          <w:numId w:val="38"/>
        </w:numPr>
      </w:pPr>
      <w:r>
        <w:t xml:space="preserve">A </w:t>
      </w:r>
      <w:r w:rsidR="00661767">
        <w:t>g</w:t>
      </w:r>
      <w:r>
        <w:t xml:space="preserve">eneral </w:t>
      </w:r>
      <w:r w:rsidR="00661767">
        <w:t>l</w:t>
      </w:r>
      <w:r>
        <w:t xml:space="preserve">icence holder (including a General Licence owner/operator of a strategic fleet ship) be given the first right of refusal to arrange for a </w:t>
      </w:r>
      <w:r w:rsidR="00B651D6">
        <w:t xml:space="preserve">temporary licence </w:t>
      </w:r>
      <w:r>
        <w:t xml:space="preserve">ship/s to carry cargo in the trade of the </w:t>
      </w:r>
      <w:r w:rsidR="00661767">
        <w:t>g</w:t>
      </w:r>
      <w:r>
        <w:t xml:space="preserve">eneral </w:t>
      </w:r>
      <w:r w:rsidR="00661767">
        <w:t>l</w:t>
      </w:r>
      <w:r>
        <w:t xml:space="preserve">icence ship/s cargo in excess of that able to be transported by its </w:t>
      </w:r>
      <w:r w:rsidR="00661767">
        <w:t>g</w:t>
      </w:r>
      <w:r>
        <w:t xml:space="preserve">eneral </w:t>
      </w:r>
      <w:r w:rsidR="00661767">
        <w:t>l</w:t>
      </w:r>
      <w:r>
        <w:t>icence ship/s.</w:t>
      </w:r>
    </w:p>
    <w:p w14:paraId="57F35672" w14:textId="06EAB9C7" w:rsidR="004011FD" w:rsidRDefault="004011FD" w:rsidP="00D42CA8">
      <w:pPr>
        <w:pStyle w:val="ListParagraph"/>
        <w:numPr>
          <w:ilvl w:val="0"/>
          <w:numId w:val="38"/>
        </w:numPr>
      </w:pPr>
      <w:r>
        <w:t xml:space="preserve">If the </w:t>
      </w:r>
      <w:r w:rsidR="00661767">
        <w:t>g</w:t>
      </w:r>
      <w:r>
        <w:t xml:space="preserve">eneral </w:t>
      </w:r>
      <w:r w:rsidR="00661767">
        <w:t>l</w:t>
      </w:r>
      <w:r>
        <w:t xml:space="preserve">icence ship owner/operator does not exercise that right, the owner, charterer, master or agent of a vessel, or a shipper (as defined in the Act) have the opportunity to apply for a </w:t>
      </w:r>
      <w:r w:rsidR="00B651D6">
        <w:t xml:space="preserve">temporary licence </w:t>
      </w:r>
      <w:r>
        <w:t>to carry that cargo/ trade.</w:t>
      </w:r>
    </w:p>
    <w:p w14:paraId="2D483E90" w14:textId="0951E835" w:rsidR="004011FD" w:rsidRDefault="004011FD" w:rsidP="00D42CA8">
      <w:pPr>
        <w:pStyle w:val="ListParagraph"/>
        <w:numPr>
          <w:ilvl w:val="0"/>
          <w:numId w:val="38"/>
        </w:numPr>
      </w:pPr>
      <w:r>
        <w:t>That the s</w:t>
      </w:r>
      <w:r w:rsidR="00BB3107">
        <w:t xml:space="preserve"> </w:t>
      </w:r>
      <w:r>
        <w:t xml:space="preserve">33 </w:t>
      </w:r>
      <w:r w:rsidR="00987769">
        <w:t>‘</w:t>
      </w:r>
      <w:r>
        <w:t>Comments by third parties</w:t>
      </w:r>
      <w:r w:rsidR="00987769">
        <w:t>’</w:t>
      </w:r>
      <w:r>
        <w:t xml:space="preserve"> provision in the </w:t>
      </w:r>
      <w:r w:rsidR="00A87E74">
        <w:t xml:space="preserve">Act </w:t>
      </w:r>
      <w:r>
        <w:t xml:space="preserve">be strengthened to provide for monitoring, reviewing and scrutinising the awarding of </w:t>
      </w:r>
      <w:r w:rsidR="00661767">
        <w:t>t</w:t>
      </w:r>
      <w:r>
        <w:t xml:space="preserve">emporary </w:t>
      </w:r>
      <w:r w:rsidR="00661767">
        <w:t>l</w:t>
      </w:r>
      <w:r>
        <w:t>icenses in accordance with the principles outlined above.</w:t>
      </w:r>
      <w:r w:rsidR="00E91D44">
        <w:rPr>
          <w:rStyle w:val="FootnoteReference"/>
        </w:rPr>
        <w:footnoteReference w:id="11"/>
      </w:r>
    </w:p>
    <w:p w14:paraId="4794EA69" w14:textId="77777777" w:rsidR="00420F39" w:rsidRDefault="00420F39" w:rsidP="00420F39">
      <w:r>
        <w:t xml:space="preserve">With the proposed new </w:t>
      </w:r>
      <w:r w:rsidR="004D512B">
        <w:t>O</w:t>
      </w:r>
      <w:r>
        <w:t>bject</w:t>
      </w:r>
      <w:r w:rsidR="004D512B">
        <w:t xml:space="preserve"> of the </w:t>
      </w:r>
      <w:r w:rsidR="00A87E74">
        <w:t xml:space="preserve">Act </w:t>
      </w:r>
      <w:r w:rsidR="004D512B">
        <w:t xml:space="preserve">outlined </w:t>
      </w:r>
      <w:r w:rsidR="004D512B" w:rsidRPr="00717A83">
        <w:t xml:space="preserve">at </w:t>
      </w:r>
      <w:r w:rsidR="004D512B" w:rsidRPr="00A710A6">
        <w:t xml:space="preserve">Section </w:t>
      </w:r>
      <w:r w:rsidR="008E759B" w:rsidRPr="00A710A6">
        <w:t>2</w:t>
      </w:r>
      <w:r w:rsidR="00005901" w:rsidRPr="00A710A6">
        <w:t>.1</w:t>
      </w:r>
      <w:r w:rsidR="004D512B" w:rsidRPr="00717A83">
        <w:t xml:space="preserve"> </w:t>
      </w:r>
      <w:r w:rsidR="00725E0C" w:rsidRPr="00717A83">
        <w:t>in</w:t>
      </w:r>
      <w:r w:rsidR="00725E0C">
        <w:t xml:space="preserve"> mind</w:t>
      </w:r>
      <w:r>
        <w:t xml:space="preserve">, we would like to better understand how the Strategic Fleet Taskforce considerations may operate. </w:t>
      </w:r>
    </w:p>
    <w:p w14:paraId="36F19EA7" w14:textId="77777777" w:rsidR="001D295C" w:rsidRPr="00F541A6" w:rsidRDefault="001D295C" w:rsidP="001D295C">
      <w:pPr>
        <w:pStyle w:val="Box2Heading"/>
        <w:tabs>
          <w:tab w:val="left" w:pos="1701"/>
        </w:tabs>
        <w:rPr>
          <w:lang w:val="en-AU"/>
        </w:rPr>
      </w:pPr>
      <w:r>
        <w:rPr>
          <w:lang w:val="en-AU"/>
        </w:rPr>
        <w:t>Consultation question</w:t>
      </w:r>
    </w:p>
    <w:p w14:paraId="6E6044B5" w14:textId="77777777" w:rsidR="001D295C" w:rsidRPr="00FB28B6" w:rsidRDefault="001D295C" w:rsidP="001D295C">
      <w:pPr>
        <w:pStyle w:val="Box2Bullet1"/>
        <w:numPr>
          <w:ilvl w:val="1"/>
          <w:numId w:val="35"/>
        </w:numPr>
      </w:pPr>
      <w:r>
        <w:rPr>
          <w:lang w:val="en-AU"/>
        </w:rPr>
        <w:t>H</w:t>
      </w:r>
      <w:r w:rsidRPr="002D3089">
        <w:rPr>
          <w:lang w:val="en-AU"/>
        </w:rPr>
        <w:t xml:space="preserve">ow can the </w:t>
      </w:r>
      <w:r w:rsidR="00A87E74">
        <w:rPr>
          <w:lang w:val="en-AU"/>
        </w:rPr>
        <w:t>Act</w:t>
      </w:r>
      <w:r w:rsidR="00A87E74" w:rsidRPr="002D3089">
        <w:rPr>
          <w:lang w:val="en-AU"/>
        </w:rPr>
        <w:t xml:space="preserve"> </w:t>
      </w:r>
      <w:r w:rsidR="004D512B">
        <w:rPr>
          <w:lang w:val="en-AU"/>
        </w:rPr>
        <w:t>ensure that</w:t>
      </w:r>
      <w:r w:rsidRPr="002D3089">
        <w:rPr>
          <w:lang w:val="en-AU"/>
        </w:rPr>
        <w:t xml:space="preserve"> S</w:t>
      </w:r>
      <w:r w:rsidR="004D512B">
        <w:rPr>
          <w:lang w:val="en-AU"/>
        </w:rPr>
        <w:t xml:space="preserve">trategic </w:t>
      </w:r>
      <w:r w:rsidRPr="002D3089">
        <w:rPr>
          <w:lang w:val="en-AU"/>
        </w:rPr>
        <w:t>F</w:t>
      </w:r>
      <w:r w:rsidR="004D512B">
        <w:rPr>
          <w:lang w:val="en-AU"/>
        </w:rPr>
        <w:t>leet</w:t>
      </w:r>
      <w:r w:rsidRPr="002D3089">
        <w:rPr>
          <w:lang w:val="en-AU"/>
        </w:rPr>
        <w:t xml:space="preserve"> vessel</w:t>
      </w:r>
      <w:r>
        <w:rPr>
          <w:lang w:val="en-AU"/>
        </w:rPr>
        <w:t>s</w:t>
      </w:r>
      <w:r w:rsidR="004D512B">
        <w:rPr>
          <w:lang w:val="en-AU"/>
        </w:rPr>
        <w:t xml:space="preserve"> </w:t>
      </w:r>
      <w:r w:rsidR="00B6122D">
        <w:rPr>
          <w:lang w:val="en-AU"/>
        </w:rPr>
        <w:t>operate</w:t>
      </w:r>
      <w:r w:rsidR="004D512B">
        <w:rPr>
          <w:lang w:val="en-AU"/>
        </w:rPr>
        <w:t xml:space="preserve"> competitive</w:t>
      </w:r>
      <w:r w:rsidR="00B6122D">
        <w:rPr>
          <w:lang w:val="en-AU"/>
        </w:rPr>
        <w:t>ly</w:t>
      </w:r>
      <w:r w:rsidR="009F75EC">
        <w:rPr>
          <w:lang w:val="en-AU"/>
        </w:rPr>
        <w:t xml:space="preserve"> to help grow the Australian maritime industry</w:t>
      </w:r>
      <w:r w:rsidRPr="002D3089">
        <w:rPr>
          <w:lang w:val="en-AU"/>
        </w:rPr>
        <w:t>?</w:t>
      </w:r>
    </w:p>
    <w:p w14:paraId="7E38BE00" w14:textId="77777777" w:rsidR="001D295C" w:rsidRPr="00D57C2E" w:rsidRDefault="001D295C" w:rsidP="001D295C">
      <w:pPr>
        <w:pStyle w:val="Box2Bullet1"/>
        <w:numPr>
          <w:ilvl w:val="1"/>
          <w:numId w:val="35"/>
        </w:numPr>
      </w:pPr>
      <w:r>
        <w:rPr>
          <w:lang w:val="en-AU"/>
        </w:rPr>
        <w:t>Beyond the recommendations from the Strategic Fleet Taskforce, what else is required to ensure the Australian shipping industry can continue to grow?</w:t>
      </w:r>
    </w:p>
    <w:p w14:paraId="61DDF5B7" w14:textId="12AF4FDD" w:rsidR="00A4259D" w:rsidRPr="00145C49" w:rsidRDefault="00A4259D" w:rsidP="001D295C">
      <w:pPr>
        <w:pStyle w:val="Box2Bullet1"/>
        <w:numPr>
          <w:ilvl w:val="1"/>
          <w:numId w:val="35"/>
        </w:numPr>
      </w:pPr>
      <w:r>
        <w:rPr>
          <w:lang w:val="en-AU"/>
        </w:rPr>
        <w:lastRenderedPageBreak/>
        <w:t xml:space="preserve">Should </w:t>
      </w:r>
      <w:r w:rsidR="00B15E67">
        <w:rPr>
          <w:lang w:val="en-AU"/>
        </w:rPr>
        <w:t xml:space="preserve">strategic fleet </w:t>
      </w:r>
      <w:r>
        <w:rPr>
          <w:lang w:val="en-AU"/>
        </w:rPr>
        <w:t xml:space="preserve">vessels be treated differently to </w:t>
      </w:r>
      <w:r w:rsidR="00B15E67">
        <w:rPr>
          <w:lang w:val="en-AU"/>
        </w:rPr>
        <w:t>other general licenc</w:t>
      </w:r>
      <w:r w:rsidR="004F0A92">
        <w:rPr>
          <w:lang w:val="en-AU"/>
        </w:rPr>
        <w:t>e</w:t>
      </w:r>
      <w:r w:rsidR="00B15E67">
        <w:rPr>
          <w:lang w:val="en-AU"/>
        </w:rPr>
        <w:t xml:space="preserve"> holder</w:t>
      </w:r>
      <w:r w:rsidR="004F0A92">
        <w:rPr>
          <w:lang w:val="en-AU"/>
        </w:rPr>
        <w:t>s</w:t>
      </w:r>
      <w:r>
        <w:rPr>
          <w:lang w:val="en-AU"/>
        </w:rPr>
        <w:t>?</w:t>
      </w:r>
      <w:r w:rsidR="00B15E67">
        <w:rPr>
          <w:lang w:val="en-AU"/>
        </w:rPr>
        <w:t xml:space="preserve"> Are there any unintended consequences of treating a strategic fleet vessel </w:t>
      </w:r>
      <w:r w:rsidR="000638E6">
        <w:rPr>
          <w:lang w:val="en-AU"/>
        </w:rPr>
        <w:t xml:space="preserve">in a </w:t>
      </w:r>
      <w:r w:rsidR="00B15E67">
        <w:rPr>
          <w:lang w:val="en-AU"/>
        </w:rPr>
        <w:t xml:space="preserve">different </w:t>
      </w:r>
      <w:r w:rsidR="000638E6">
        <w:rPr>
          <w:lang w:val="en-AU"/>
        </w:rPr>
        <w:t xml:space="preserve">way </w:t>
      </w:r>
      <w:r w:rsidR="00B15E67">
        <w:rPr>
          <w:lang w:val="en-AU"/>
        </w:rPr>
        <w:t>to a general licence holder?</w:t>
      </w:r>
    </w:p>
    <w:p w14:paraId="1B286717" w14:textId="77777777" w:rsidR="001D295C" w:rsidRDefault="001D295C" w:rsidP="001D295C">
      <w:pPr>
        <w:pStyle w:val="Heading2Numbered"/>
      </w:pPr>
      <w:bookmarkStart w:id="54" w:name="_Toc177556750"/>
      <w:bookmarkStart w:id="55" w:name="_Toc177572048"/>
      <w:r>
        <w:t>Addressing workforce supply challenges</w:t>
      </w:r>
      <w:bookmarkEnd w:id="54"/>
      <w:bookmarkEnd w:id="55"/>
    </w:p>
    <w:p w14:paraId="7807AFA0" w14:textId="1085A5FF" w:rsidR="00595C08" w:rsidRDefault="00636715" w:rsidP="00636715">
      <w:r>
        <w:t>T</w:t>
      </w:r>
      <w:r w:rsidR="003B65C7">
        <w:t>he</w:t>
      </w:r>
      <w:r w:rsidR="00595C08">
        <w:t xml:space="preserve"> 2024 Workforce Plan</w:t>
      </w:r>
      <w:r w:rsidR="00915D17">
        <w:rPr>
          <w:rStyle w:val="FootnoteReference"/>
        </w:rPr>
        <w:footnoteReference w:id="12"/>
      </w:r>
      <w:r w:rsidR="009E674C">
        <w:t xml:space="preserve"> from the</w:t>
      </w:r>
      <w:r w:rsidR="009E674C" w:rsidRPr="009E674C">
        <w:t xml:space="preserve"> </w:t>
      </w:r>
      <w:r w:rsidR="009E674C">
        <w:t>Transport and Logistics Jobs and Skills Council</w:t>
      </w:r>
      <w:r>
        <w:t xml:space="preserve"> </w:t>
      </w:r>
      <w:r w:rsidR="00595C08">
        <w:t xml:space="preserve">reported that workforce planning and development for maritime initiatives need to commence immediately to address the ongoing decline in supply of maritime workers. Current shortages in the maritime workforce have been further exacerbated by long lead times for training, with some highly-skilled roles requiring up to 10 years of training before receiving AMSA approved </w:t>
      </w:r>
      <w:r w:rsidR="00595C08" w:rsidRPr="00DE49C6">
        <w:t>Standards of Training, Certification and Watchkeeping</w:t>
      </w:r>
      <w:r w:rsidR="00595C08">
        <w:t xml:space="preserve"> (STCW) qualifications. </w:t>
      </w:r>
    </w:p>
    <w:p w14:paraId="59E977E6" w14:textId="77777777" w:rsidR="00C57598" w:rsidRDefault="00C57598" w:rsidP="00595C08">
      <w:r w:rsidRPr="00C57598">
        <w:t>The Strategic Fleet Taskforce identified that a major barrier to increasing the number of Australian seafarers has been the limited access of training berths available for seafarers to undertake their mandatory sea-time. This shortage in available vessels for trainees has been the result of a compounding of factors including vessel operators taking on the high costs of training, the decline in the number of Australian operated ships, and a lack of alternate pathways for self-funded seafarers to carry-out their training.</w:t>
      </w:r>
    </w:p>
    <w:p w14:paraId="6CA9863F" w14:textId="77777777" w:rsidR="00420F39" w:rsidRDefault="00636715" w:rsidP="00636715">
      <w:r>
        <w:t xml:space="preserve">As a part of this </w:t>
      </w:r>
      <w:r w:rsidR="00452BBB">
        <w:t>Review</w:t>
      </w:r>
      <w:r>
        <w:t xml:space="preserve">, we are assessing whether the </w:t>
      </w:r>
      <w:r w:rsidR="00A87E74">
        <w:t xml:space="preserve">Act </w:t>
      </w:r>
      <w:r>
        <w:t>supports the long-term sustainability of an Australian strategic fleet. A key objective to the strategic fleet is to support</w:t>
      </w:r>
      <w:r w:rsidRPr="00636715">
        <w:t xml:space="preserve"> a</w:t>
      </w:r>
      <w:r>
        <w:t xml:space="preserve"> </w:t>
      </w:r>
      <w:r w:rsidRPr="00636715">
        <w:t>training and workforce environment that encourages and grows Australia’s sovereign maritime skills.</w:t>
      </w:r>
      <w:r>
        <w:t xml:space="preserve"> With this in mind we would like to understand how or if the </w:t>
      </w:r>
      <w:r w:rsidR="00A87E74">
        <w:t xml:space="preserve">Act </w:t>
      </w:r>
      <w:r>
        <w:t>may further support this objective and address workforce supply challenges identified by the Strategic Fleet Taskforce</w:t>
      </w:r>
      <w:r w:rsidR="009E674C">
        <w:t xml:space="preserve"> and</w:t>
      </w:r>
      <w:r>
        <w:t xml:space="preserve"> the Transport and Logistics Jobs and Skills Council’s 2024 Workforce Plan.</w:t>
      </w:r>
    </w:p>
    <w:p w14:paraId="3E901AF8" w14:textId="77777777" w:rsidR="001D295C" w:rsidRPr="00F541A6" w:rsidRDefault="001D295C" w:rsidP="001D295C">
      <w:pPr>
        <w:pStyle w:val="Box2Heading"/>
        <w:tabs>
          <w:tab w:val="left" w:pos="1701"/>
        </w:tabs>
        <w:rPr>
          <w:lang w:val="en-AU"/>
        </w:rPr>
      </w:pPr>
      <w:r>
        <w:rPr>
          <w:lang w:val="en-AU"/>
        </w:rPr>
        <w:t>Consultation question</w:t>
      </w:r>
    </w:p>
    <w:p w14:paraId="39676E24" w14:textId="77777777" w:rsidR="004A3726" w:rsidRPr="00403164" w:rsidRDefault="00636715" w:rsidP="00DB3E31">
      <w:pPr>
        <w:pStyle w:val="Box2Bullet1"/>
        <w:numPr>
          <w:ilvl w:val="1"/>
          <w:numId w:val="35"/>
        </w:numPr>
      </w:pPr>
      <w:r>
        <w:rPr>
          <w:lang w:val="en-AU"/>
        </w:rPr>
        <w:t xml:space="preserve">How can the </w:t>
      </w:r>
      <w:r w:rsidR="00A87E74">
        <w:rPr>
          <w:lang w:val="en-AU"/>
        </w:rPr>
        <w:t xml:space="preserve">Act </w:t>
      </w:r>
      <w:r>
        <w:rPr>
          <w:lang w:val="en-AU"/>
        </w:rPr>
        <w:t>support a training and workforce environment that encourages and grows Australia’s maritime workforce and sovereign maritime skills</w:t>
      </w:r>
      <w:r w:rsidR="001D295C" w:rsidRPr="002D3089">
        <w:rPr>
          <w:lang w:val="en-AU"/>
        </w:rPr>
        <w:t>?</w:t>
      </w:r>
      <w:bookmarkStart w:id="56" w:name="_Toc177410962"/>
      <w:bookmarkStart w:id="57" w:name="_Toc177411387"/>
      <w:bookmarkStart w:id="58" w:name="_Toc177411413"/>
      <w:bookmarkStart w:id="59" w:name="_Toc177411479"/>
      <w:bookmarkStart w:id="60" w:name="_Toc177409655"/>
      <w:bookmarkStart w:id="61" w:name="_Toc177410251"/>
      <w:bookmarkStart w:id="62" w:name="_Toc177410966"/>
      <w:bookmarkStart w:id="63" w:name="_Toc177411391"/>
      <w:bookmarkStart w:id="64" w:name="_Toc177411417"/>
      <w:bookmarkStart w:id="65" w:name="_Toc177411482"/>
      <w:bookmarkStart w:id="66" w:name="_Toc177409656"/>
      <w:bookmarkStart w:id="67" w:name="_Toc177410252"/>
      <w:bookmarkStart w:id="68" w:name="_Toc177410967"/>
      <w:bookmarkStart w:id="69" w:name="_Toc177411392"/>
      <w:bookmarkStart w:id="70" w:name="_Toc177411418"/>
      <w:bookmarkStart w:id="71" w:name="_Toc177411483"/>
      <w:bookmarkStart w:id="72" w:name="_Toc177409657"/>
      <w:bookmarkStart w:id="73" w:name="_Toc177410253"/>
      <w:bookmarkStart w:id="74" w:name="_Toc177410968"/>
      <w:bookmarkStart w:id="75" w:name="_Toc177411393"/>
      <w:bookmarkStart w:id="76" w:name="_Toc177411419"/>
      <w:bookmarkStart w:id="77" w:name="_Toc177411484"/>
      <w:bookmarkStart w:id="78" w:name="_Toc177409658"/>
      <w:bookmarkStart w:id="79" w:name="_Toc177410254"/>
      <w:bookmarkStart w:id="80" w:name="_Toc177410969"/>
      <w:bookmarkStart w:id="81" w:name="_Toc177411394"/>
      <w:bookmarkStart w:id="82" w:name="_Toc177411420"/>
      <w:bookmarkStart w:id="83" w:name="_Toc17741148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FF930F2" w14:textId="77777777" w:rsidR="00877DCE" w:rsidRPr="00D57C2E" w:rsidRDefault="00877DCE" w:rsidP="004F0A92">
      <w:pPr>
        <w:pStyle w:val="Box2Bullet1"/>
        <w:numPr>
          <w:ilvl w:val="1"/>
          <w:numId w:val="35"/>
        </w:numPr>
      </w:pPr>
      <w:r w:rsidRPr="00D57C2E">
        <w:rPr>
          <w:lang w:val="en-AU"/>
        </w:rPr>
        <w:t xml:space="preserve">The Strategic Fleet Taskforce recommended </w:t>
      </w:r>
      <w:r w:rsidRPr="004F0A92">
        <w:rPr>
          <w:lang w:val="en-AU"/>
        </w:rPr>
        <w:t>that the Government explore opportunities to partner with other countries and with non-Australian shipping companies to secure additional shipping capacity to supplement the capability of the strategic fleet that may be required in times of a national emergency</w:t>
      </w:r>
      <w:r w:rsidRPr="004F0A92">
        <w:rPr>
          <w:rStyle w:val="FootnoteReference"/>
          <w:lang w:val="en-AU"/>
        </w:rPr>
        <w:footnoteReference w:id="13"/>
      </w:r>
      <w:r w:rsidRPr="004F0A92">
        <w:rPr>
          <w:lang w:val="en-AU"/>
        </w:rPr>
        <w:t>.</w:t>
      </w:r>
      <w:r w:rsidR="004E47F3" w:rsidRPr="004F0A92">
        <w:rPr>
          <w:lang w:val="en-AU"/>
        </w:rPr>
        <w:t xml:space="preserve"> </w:t>
      </w:r>
      <w:r w:rsidR="00B15E67">
        <w:rPr>
          <w:lang w:val="en-AU"/>
        </w:rPr>
        <w:t>How can the</w:t>
      </w:r>
      <w:r w:rsidR="004E47F3" w:rsidRPr="005553F2">
        <w:rPr>
          <w:lang w:val="en-AU"/>
        </w:rPr>
        <w:t xml:space="preserve"> </w:t>
      </w:r>
      <w:r w:rsidR="00A87E74">
        <w:rPr>
          <w:lang w:val="en-AU"/>
        </w:rPr>
        <w:t>Act</w:t>
      </w:r>
      <w:r w:rsidR="004E47F3" w:rsidRPr="005553F2">
        <w:rPr>
          <w:lang w:val="en-AU"/>
        </w:rPr>
        <w:t xml:space="preserve"> enable</w:t>
      </w:r>
      <w:r w:rsidR="004E47F3" w:rsidRPr="00094688">
        <w:rPr>
          <w:lang w:val="en-AU"/>
        </w:rPr>
        <w:t xml:space="preserve"> or support access for seafarers from other countries that Australia partners with to work on Australian vessels?</w:t>
      </w:r>
      <w:r w:rsidR="004E47F3" w:rsidRPr="00237387">
        <w:rPr>
          <w:lang w:val="en-AU"/>
        </w:rPr>
        <w:t xml:space="preserve"> </w:t>
      </w:r>
    </w:p>
    <w:p w14:paraId="25D793E6" w14:textId="77777777" w:rsidR="0014089F" w:rsidRPr="00005901" w:rsidRDefault="0014089F" w:rsidP="0014089F">
      <w:pPr>
        <w:pStyle w:val="Box2Bullet1"/>
        <w:numPr>
          <w:ilvl w:val="1"/>
          <w:numId w:val="35"/>
        </w:numPr>
      </w:pPr>
      <w:r w:rsidRPr="00D57C2E">
        <w:rPr>
          <w:lang w:val="en-AU"/>
        </w:rPr>
        <w:t>Should Temporary Licence holders be required to provide training berths for a specific number of Australian nationals?</w:t>
      </w:r>
    </w:p>
    <w:p w14:paraId="5A51AC2E" w14:textId="77777777" w:rsidR="00B6122D" w:rsidRDefault="00B6122D" w:rsidP="00DB3E31">
      <w:pPr>
        <w:pStyle w:val="Box2Bullet1"/>
        <w:numPr>
          <w:ilvl w:val="1"/>
          <w:numId w:val="35"/>
        </w:numPr>
      </w:pPr>
      <w:r>
        <w:rPr>
          <w:lang w:val="en-AU"/>
        </w:rPr>
        <w:t xml:space="preserve">Do the current requirements for </w:t>
      </w:r>
      <w:r w:rsidR="00B651D6">
        <w:rPr>
          <w:lang w:val="en-AU"/>
        </w:rPr>
        <w:t>temporary licence</w:t>
      </w:r>
      <w:r>
        <w:rPr>
          <w:lang w:val="en-AU"/>
        </w:rPr>
        <w:t xml:space="preserve"> holders to pay Schedule A wages under the </w:t>
      </w:r>
      <w:r>
        <w:rPr>
          <w:i/>
          <w:lang w:val="en-AU"/>
        </w:rPr>
        <w:t xml:space="preserve">Fair Work </w:t>
      </w:r>
      <w:r w:rsidR="002516EC">
        <w:rPr>
          <w:i/>
          <w:lang w:val="en-AU"/>
        </w:rPr>
        <w:t>Regulation 2009 r 1.15E</w:t>
      </w:r>
      <w:r>
        <w:rPr>
          <w:i/>
          <w:lang w:val="en-AU"/>
        </w:rPr>
        <w:t xml:space="preserve"> </w:t>
      </w:r>
      <w:r>
        <w:rPr>
          <w:lang w:val="en-AU"/>
        </w:rPr>
        <w:t>provide a</w:t>
      </w:r>
      <w:r w:rsidR="002516EC">
        <w:rPr>
          <w:lang w:val="en-AU"/>
        </w:rPr>
        <w:t>n</w:t>
      </w:r>
      <w:r>
        <w:rPr>
          <w:lang w:val="en-AU"/>
        </w:rPr>
        <w:t xml:space="preserve"> effective incentive</w:t>
      </w:r>
      <w:r w:rsidR="002516EC">
        <w:rPr>
          <w:lang w:val="en-AU"/>
        </w:rPr>
        <w:t xml:space="preserve"> for foreign vessel owners</w:t>
      </w:r>
      <w:r>
        <w:rPr>
          <w:lang w:val="en-AU"/>
        </w:rPr>
        <w:t xml:space="preserve"> to engage Australian vessels and crews?</w:t>
      </w:r>
    </w:p>
    <w:p w14:paraId="0A474172" w14:textId="77777777" w:rsidR="00D57C2E" w:rsidRDefault="00D57C2E" w:rsidP="00D57C2E">
      <w:pPr>
        <w:pStyle w:val="Heading1"/>
      </w:pPr>
      <w:r>
        <w:t>7.</w:t>
      </w:r>
      <w:r>
        <w:tab/>
        <w:t>Other relevant matters</w:t>
      </w:r>
    </w:p>
    <w:p w14:paraId="6AA678FF" w14:textId="77777777" w:rsidR="00D57C2E" w:rsidRDefault="00D57C2E" w:rsidP="00D57C2E">
      <w:r>
        <w:t>The Reviewers invite any additional insights or comments stakeholders would like to provide to inform the Review.</w:t>
      </w:r>
    </w:p>
    <w:p w14:paraId="0F7CAC86" w14:textId="77777777" w:rsidR="00D57C2E" w:rsidRPr="000400AD" w:rsidRDefault="00D57C2E" w:rsidP="00D57C2E">
      <w:pPr>
        <w:pStyle w:val="Box2Bullet1"/>
        <w:numPr>
          <w:ilvl w:val="1"/>
          <w:numId w:val="35"/>
        </w:numPr>
      </w:pPr>
      <w:r w:rsidRPr="00DB3E31">
        <w:rPr>
          <w:lang w:val="en-AU"/>
        </w:rPr>
        <w:t xml:space="preserve">Apart from the offshore industry, strategic fleet and maritime workforce, are there any other areas of maritime development that we should consider in our </w:t>
      </w:r>
      <w:r>
        <w:rPr>
          <w:lang w:val="en-AU"/>
        </w:rPr>
        <w:t>R</w:t>
      </w:r>
      <w:r w:rsidRPr="00DB3E31">
        <w:rPr>
          <w:lang w:val="en-AU"/>
        </w:rPr>
        <w:t xml:space="preserve">eview of the </w:t>
      </w:r>
      <w:r>
        <w:rPr>
          <w:lang w:val="en-AU"/>
        </w:rPr>
        <w:t>Act?</w:t>
      </w:r>
    </w:p>
    <w:p w14:paraId="3CF35B02" w14:textId="77777777" w:rsidR="00D57C2E" w:rsidRPr="000400AD" w:rsidRDefault="00D57C2E" w:rsidP="00D57C2E">
      <w:pPr>
        <w:pStyle w:val="Box2Bullet1"/>
        <w:numPr>
          <w:ilvl w:val="1"/>
          <w:numId w:val="35"/>
        </w:numPr>
      </w:pPr>
      <w:r>
        <w:rPr>
          <w:lang w:val="en-AU"/>
        </w:rPr>
        <w:lastRenderedPageBreak/>
        <w:t>Are there any other issues you would like to raise that you consider relevant to phase 1 of the Coastal Trading Act Review?</w:t>
      </w:r>
    </w:p>
    <w:sectPr w:rsidR="00D57C2E" w:rsidRPr="000400AD" w:rsidSect="000075AC">
      <w:headerReference w:type="default" r:id="rId19"/>
      <w:headerReference w:type="first" r:id="rId20"/>
      <w:type w:val="continuous"/>
      <w:pgSz w:w="11906" w:h="16838" w:code="9"/>
      <w:pgMar w:top="1021" w:right="1021" w:bottom="1021" w:left="1021" w:header="340"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7C9EAB" w16cex:dateUtc="2024-09-25T06:16:00Z"/>
  <w16cex:commentExtensible w16cex:durableId="4EB5585E" w16cex:dateUtc="2024-09-25T06:22:00Z"/>
  <w16cex:commentExtensible w16cex:durableId="3C3DD4EB" w16cex:dateUtc="2024-09-25T06:30:00Z"/>
  <w16cex:commentExtensible w16cex:durableId="4086AEC9" w16cex:dateUtc="2024-09-25T10:05:00Z"/>
  <w16cex:commentExtensible w16cex:durableId="5CEE031C" w16cex:dateUtc="2024-09-25T06:40:00Z"/>
  <w16cex:commentExtensible w16cex:durableId="27122CA9" w16cex:dateUtc="2024-09-24T07:35:00Z"/>
  <w16cex:commentExtensible w16cex:durableId="430836D1" w16cex:dateUtc="2024-09-25T07:02:00Z"/>
  <w16cex:commentExtensible w16cex:durableId="6EE58C79" w16cex:dateUtc="2024-09-25T06:59:00Z"/>
  <w16cex:commentExtensible w16cex:durableId="51F6E481" w16cex:dateUtc="2024-09-25T06:54:00Z"/>
  <w16cex:commentExtensible w16cex:durableId="1E7F2BF3" w16cex:dateUtc="2024-09-25T07:04:00Z"/>
  <w16cex:commentExtensible w16cex:durableId="29AB41C1" w16cex:dateUtc="2024-09-25T07:10:00Z"/>
  <w16cex:commentExtensible w16cex:durableId="04503909" w16cex:dateUtc="2024-09-25T07:19:00Z"/>
  <w16cex:commentExtensible w16cex:durableId="3965E5AA" w16cex:dateUtc="2024-09-25T07:12:00Z"/>
  <w16cex:commentExtensible w16cex:durableId="6935992B" w16cex:dateUtc="2024-09-25T07:24:00Z"/>
  <w16cex:commentExtensible w16cex:durableId="2AA96613" w16cex:dateUtc="2024-09-25T07:38:00Z"/>
  <w16cex:commentExtensible w16cex:durableId="2FC1E48B" w16cex:dateUtc="2024-09-25T07:35:00Z"/>
  <w16cex:commentExtensible w16cex:durableId="4E09FBFE" w16cex:dateUtc="2024-09-25T07:40:00Z"/>
  <w16cex:commentExtensible w16cex:durableId="58E9C4CA" w16cex:dateUtc="2024-09-25T07:45:00Z"/>
  <w16cex:commentExtensible w16cex:durableId="506B9172" w16cex:dateUtc="2024-09-25T08:08:00Z"/>
  <w16cex:commentExtensible w16cex:durableId="45042918" w16cex:dateUtc="2024-09-25T10:12:00Z"/>
  <w16cex:commentExtensible w16cex:durableId="47D41F0D" w16cex:dateUtc="2024-09-25T10:12:00Z"/>
  <w16cex:commentExtensible w16cex:durableId="1DBD71EE" w16cex:dateUtc="2024-09-25T10:11:00Z"/>
  <w16cex:commentExtensible w16cex:durableId="5F7E728B" w16cex:dateUtc="2024-09-25T08:11:00Z"/>
  <w16cex:commentExtensible w16cex:durableId="607B10C1" w16cex:dateUtc="2024-09-25T07:58:00Z"/>
  <w16cex:commentExtensible w16cex:durableId="4B3A0C07" w16cex:dateUtc="2024-09-25T08:37:00Z"/>
  <w16cex:commentExtensible w16cex:durableId="498A7384" w16cex:dateUtc="2024-09-25T08:00:00Z"/>
  <w16cex:commentExtensible w16cex:durableId="6D1C6CE5" w16cex:dateUtc="2024-09-25T08:07:00Z"/>
  <w16cex:commentExtensible w16cex:durableId="0661A166" w16cex:dateUtc="2024-09-25T08:44:00Z"/>
  <w16cex:commentExtensible w16cex:durableId="1E59B06C" w16cex:dateUtc="2024-09-25T08:45:00Z"/>
  <w16cex:commentExtensible w16cex:durableId="1E2681E2" w16cex:dateUtc="2024-09-25T08: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B662F" w14:textId="77777777" w:rsidR="005502CA" w:rsidRDefault="005502CA" w:rsidP="008456D5">
      <w:pPr>
        <w:spacing w:before="0" w:after="0"/>
      </w:pPr>
      <w:r>
        <w:separator/>
      </w:r>
    </w:p>
  </w:endnote>
  <w:endnote w:type="continuationSeparator" w:id="0">
    <w:p w14:paraId="684B4B2F" w14:textId="77777777" w:rsidR="005502CA" w:rsidRDefault="005502CA" w:rsidP="008456D5">
      <w:pPr>
        <w:spacing w:before="0" w:after="0"/>
      </w:pPr>
      <w:r>
        <w:continuationSeparator/>
      </w:r>
    </w:p>
  </w:endnote>
  <w:endnote w:type="continuationNotice" w:id="1">
    <w:p w14:paraId="54B2EEB0" w14:textId="77777777" w:rsidR="005502CA" w:rsidRDefault="005502C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4920714"/>
      <w:docPartObj>
        <w:docPartGallery w:val="Page Numbers (Bottom of Page)"/>
        <w:docPartUnique/>
      </w:docPartObj>
    </w:sdtPr>
    <w:sdtEndPr>
      <w:rPr>
        <w:noProof/>
      </w:rPr>
    </w:sdtEndPr>
    <w:sdtContent>
      <w:p w14:paraId="0F808017" w14:textId="77777777" w:rsidR="00DB6730" w:rsidRDefault="00DB67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BEA36F" w14:textId="77777777" w:rsidR="00DB6730" w:rsidRPr="003C67CE" w:rsidRDefault="00DB6730" w:rsidP="00D86E40">
    <w:pPr>
      <w:pStyle w:val="SecurityMark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78C9" w14:textId="77777777" w:rsidR="00DB6730" w:rsidRDefault="00DB6730" w:rsidP="00BA24FB">
    <w:pPr>
      <w:pStyle w:val="Footer"/>
      <w:spacing w:before="360"/>
    </w:pPr>
  </w:p>
  <w:p w14:paraId="71A18A30" w14:textId="77777777" w:rsidR="00DB6730" w:rsidRDefault="00F53E2D" w:rsidP="00827492">
    <w:pPr>
      <w:pStyle w:val="SecurityMarker"/>
    </w:pPr>
    <w:sdt>
      <w:sdtPr>
        <w:alias w:val="Status"/>
        <w:tag w:val=""/>
        <w:id w:val="-1420637097"/>
        <w:placeholder>
          <w:docPart w:val="9601E811A10340C7B2B0FBD6CE318424"/>
        </w:placeholder>
        <w:dataBinding w:prefixMappings="xmlns:ns0='http://purl.org/dc/elements/1.1/' xmlns:ns1='http://schemas.openxmlformats.org/package/2006/metadata/core-properties' " w:xpath="/ns1:coreProperties[1]/ns1:contentStatus[1]" w:storeItemID="{6C3C8BC8-F283-45AE-878A-BAB7291924A1}"/>
        <w:text/>
      </w:sdtPr>
      <w:sdtEndPr/>
      <w:sdtContent>
        <w:r w:rsidR="00DB6730">
          <w:t>OFFICIAL / OFFICIAL: SENSITIVE / PROTECTEDSELECT THE CLASSIFICATION MARKER ABOVE THAT APPLIES TO YOUR DOCUMENT, THEN DELETE THE OTHERS AND THIS TEXT&gt;</w:t>
        </w:r>
      </w:sdtContent>
    </w:sdt>
    <w:r w:rsidR="00DB6730">
      <w:rPr>
        <w:noProof/>
        <w:lang w:eastAsia="en-AU"/>
      </w:rPr>
      <mc:AlternateContent>
        <mc:Choice Requires="wps">
          <w:drawing>
            <wp:inline distT="0" distB="0" distL="0" distR="0" wp14:anchorId="461E46B6" wp14:editId="128B7D53">
              <wp:extent cx="1007640" cy="720000"/>
              <wp:effectExtent l="0" t="0" r="0" b="0"/>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3A92B3BF" w14:textId="77777777" w:rsidR="00DB6730" w:rsidRDefault="00DB6730"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290677B0" w14:textId="77777777" w:rsidR="00DB6730" w:rsidRPr="00077FE0" w:rsidRDefault="00DB6730" w:rsidP="00827492">
                          <w:pPr>
                            <w:pStyle w:val="SecurityMarke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inline>
          </w:drawing>
        </mc:Choice>
        <mc:Fallback>
          <w:pict>
            <v:shapetype w14:anchorId="461E46B6" id="_x0000_t202" coordsize="21600,21600" o:spt="202" path="m,l,21600r21600,l21600,xe">
              <v:stroke joinstyle="miter"/>
              <v:path gradientshapeok="t" o:connecttype="rect"/>
            </v:shapetype>
            <v:shape id="Text Box 10" o:spid="_x0000_s1026" type="#_x0000_t202" style="width:79.35pt;height:56.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" filled="f" stroked="f" strokeweight=".5pt">
              <v:textbox inset="0,0,18mm,7mm">
                <w:txbxContent>
                  <w:p w14:paraId="3A92B3BF" w14:textId="77777777" w:rsidR="00DB6730" w:rsidRDefault="00DB6730"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290677B0" w14:textId="77777777" w:rsidR="00DB6730" w:rsidRPr="00077FE0" w:rsidRDefault="00DB6730" w:rsidP="00827492">
                    <w:pPr>
                      <w:pStyle w:val="SecurityMark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80A4E" w14:textId="77777777" w:rsidR="005502CA" w:rsidRPr="005912BE" w:rsidRDefault="005502CA" w:rsidP="005912BE">
      <w:pPr>
        <w:spacing w:before="300"/>
        <w:rPr>
          <w:color w:val="008089" w:themeColor="accent2"/>
        </w:rPr>
      </w:pPr>
      <w:r w:rsidRPr="004063DE">
        <w:rPr>
          <w:color w:val="004044" w:themeColor="accent2" w:themeShade="80"/>
        </w:rPr>
        <w:t>----------</w:t>
      </w:r>
    </w:p>
  </w:footnote>
  <w:footnote w:type="continuationSeparator" w:id="0">
    <w:p w14:paraId="7484AA35" w14:textId="77777777" w:rsidR="005502CA" w:rsidRDefault="005502CA" w:rsidP="008456D5">
      <w:pPr>
        <w:spacing w:before="0" w:after="0"/>
      </w:pPr>
      <w:r>
        <w:continuationSeparator/>
      </w:r>
    </w:p>
  </w:footnote>
  <w:footnote w:type="continuationNotice" w:id="1">
    <w:p w14:paraId="4D264F8D" w14:textId="77777777" w:rsidR="005502CA" w:rsidRDefault="005502CA">
      <w:pPr>
        <w:spacing w:before="0" w:after="0"/>
      </w:pPr>
    </w:p>
  </w:footnote>
  <w:footnote w:id="2">
    <w:p w14:paraId="0E61C96B" w14:textId="5BBBE568" w:rsidR="00DB6730" w:rsidRDefault="00DB6730">
      <w:pPr>
        <w:pStyle w:val="FootnoteText"/>
      </w:pPr>
      <w:r>
        <w:rPr>
          <w:rStyle w:val="FootnoteReference"/>
        </w:rPr>
        <w:footnoteRef/>
      </w:r>
      <w:r>
        <w:t xml:space="preserve"> Bureau of Infrastructure and Transport Research Economics Statistical Report, </w:t>
      </w:r>
      <w:r w:rsidRPr="00723B2C">
        <w:t>Australian Infrastructure and Transport Statistics: Yearbook 2023</w:t>
      </w:r>
      <w:r>
        <w:t xml:space="preserve"> (December 2023), </w:t>
      </w:r>
      <w:hyperlink r:id="rId1" w:history="1">
        <w:r w:rsidRPr="002876FE">
          <w:rPr>
            <w:rStyle w:val="Hyperlink"/>
          </w:rPr>
          <w:t>http://www.bitre.gov.au/sites/default/files/documents/bitre-yearbook-2023.pdf</w:t>
        </w:r>
      </w:hyperlink>
      <w:r>
        <w:t>, p. 86</w:t>
      </w:r>
    </w:p>
  </w:footnote>
  <w:footnote w:id="3">
    <w:p w14:paraId="275ED6CF" w14:textId="344FB8D2" w:rsidR="00DB6730" w:rsidRDefault="00DB6730">
      <w:pPr>
        <w:pStyle w:val="FootnoteText"/>
      </w:pPr>
      <w:r>
        <w:rPr>
          <w:rStyle w:val="FootnoteReference"/>
        </w:rPr>
        <w:footnoteRef/>
      </w:r>
      <w:r>
        <w:t xml:space="preserve"> </w:t>
      </w:r>
      <w:hyperlink r:id="rId2" w:history="1">
        <w:r w:rsidR="005138DE">
          <w:rPr>
            <w:rStyle w:val="Hyperlink"/>
          </w:rPr>
          <w:t>Implementation of the Strategic Fleet | Department of Infrastructure, Transport, Regional Development, Communications and the Arts</w:t>
        </w:r>
      </w:hyperlink>
    </w:p>
  </w:footnote>
  <w:footnote w:id="4">
    <w:p w14:paraId="7EF00F82" w14:textId="77777777" w:rsidR="00DB6730" w:rsidRPr="00BB1C14" w:rsidRDefault="00DB6730">
      <w:pPr>
        <w:pStyle w:val="FootnoteText"/>
        <w:rPr>
          <w:rFonts w:cstheme="minorHAnsi"/>
        </w:rPr>
      </w:pPr>
      <w:r>
        <w:rPr>
          <w:rStyle w:val="FootnoteReference"/>
        </w:rPr>
        <w:footnoteRef/>
      </w:r>
      <w:r>
        <w:t xml:space="preserve"> </w:t>
      </w:r>
      <w:r w:rsidRPr="00BB1C14">
        <w:rPr>
          <w:rFonts w:cstheme="minorHAnsi"/>
        </w:rPr>
        <w:t xml:space="preserve">Australian Law Reform Commission, </w:t>
      </w:r>
      <w:hyperlink r:id="rId3" w:tooltip="Go to For Your Information: Australian Privacy Law and Practice (ALRC Report 108)." w:history="1">
        <w:r w:rsidRPr="00A710A6">
          <w:rPr>
            <w:rStyle w:val="Hyperlink"/>
            <w:rFonts w:cstheme="minorHAnsi"/>
            <w:i/>
            <w:color w:val="000000"/>
            <w:spacing w:val="2"/>
            <w:u w:val="none"/>
          </w:rPr>
          <w:t xml:space="preserve">For Your Information: Australian Privacy Law and Practice </w:t>
        </w:r>
        <w:r w:rsidRPr="00A710A6">
          <w:rPr>
            <w:rStyle w:val="Hyperlink"/>
            <w:rFonts w:cstheme="minorHAnsi"/>
            <w:color w:val="000000"/>
            <w:spacing w:val="2"/>
            <w:u w:val="none"/>
          </w:rPr>
          <w:t>(ALRC Report 108)</w:t>
        </w:r>
      </w:hyperlink>
    </w:p>
  </w:footnote>
  <w:footnote w:id="5">
    <w:p w14:paraId="5A8FDC5F" w14:textId="77777777" w:rsidR="00DB6730" w:rsidRDefault="00DB6730">
      <w:pPr>
        <w:pStyle w:val="FootnoteText"/>
      </w:pPr>
      <w:r w:rsidRPr="00BB1C14">
        <w:rPr>
          <w:rStyle w:val="FootnoteReference"/>
          <w:rFonts w:cstheme="minorHAnsi"/>
        </w:rPr>
        <w:footnoteRef/>
      </w:r>
      <w:r w:rsidRPr="00BB1C14">
        <w:rPr>
          <w:rFonts w:cstheme="minorHAnsi"/>
        </w:rPr>
        <w:t xml:space="preserve"> Office of the Parliamentary Council, </w:t>
      </w:r>
      <w:r w:rsidRPr="00BB1C14">
        <w:rPr>
          <w:rFonts w:cstheme="minorHAnsi"/>
          <w:i/>
        </w:rPr>
        <w:t>OPC’s dr</w:t>
      </w:r>
      <w:r w:rsidRPr="00225455">
        <w:rPr>
          <w:rFonts w:cstheme="minorHAnsi"/>
          <w:i/>
        </w:rPr>
        <w:t>afting services: a guide for clients</w:t>
      </w:r>
      <w:r w:rsidRPr="00225455">
        <w:rPr>
          <w:rFonts w:cstheme="minorHAnsi"/>
        </w:rPr>
        <w:t xml:space="preserve">, </w:t>
      </w:r>
      <w:hyperlink r:id="rId4" w:history="1">
        <w:r w:rsidRPr="00BB1C14">
          <w:rPr>
            <w:rStyle w:val="Hyperlink"/>
            <w:rFonts w:cstheme="minorHAnsi"/>
          </w:rPr>
          <w:t>s13ag320.v55.pdf (opc.gov.au)</w:t>
        </w:r>
      </w:hyperlink>
      <w:r w:rsidRPr="00BB1C14">
        <w:rPr>
          <w:rFonts w:cstheme="minorHAnsi"/>
        </w:rPr>
        <w:t>.</w:t>
      </w:r>
    </w:p>
  </w:footnote>
  <w:footnote w:id="6">
    <w:p w14:paraId="5C0602F3" w14:textId="52EBD416" w:rsidR="00DB6730" w:rsidRDefault="00DB6730">
      <w:pPr>
        <w:pStyle w:val="FootnoteText"/>
      </w:pPr>
      <w:r>
        <w:rPr>
          <w:rStyle w:val="FootnoteReference"/>
        </w:rPr>
        <w:footnoteRef/>
      </w:r>
      <w:r w:rsidR="008D481C">
        <w:t xml:space="preserve"> See </w:t>
      </w:r>
      <w:proofErr w:type="spellStart"/>
      <w:r w:rsidR="008D481C">
        <w:t>eg</w:t>
      </w:r>
      <w:proofErr w:type="spellEnd"/>
      <w:r w:rsidR="008D481C">
        <w:t xml:space="preserve"> </w:t>
      </w:r>
      <w:hyperlink r:id="rId5" w:history="1">
        <w:r w:rsidR="008D481C" w:rsidRPr="00511A47">
          <w:rPr>
            <w:rStyle w:val="Hyperlink"/>
            <w:i/>
          </w:rPr>
          <w:t>CSL Australia Pty Limited v Minister for Infrastructure and Transport</w:t>
        </w:r>
        <w:r w:rsidR="008D481C" w:rsidRPr="00511A47">
          <w:rPr>
            <w:rStyle w:val="Hyperlink"/>
          </w:rPr>
          <w:t xml:space="preserve"> [2014] FCAFC 10</w:t>
        </w:r>
      </w:hyperlink>
      <w:r w:rsidR="008D481C" w:rsidRPr="00081F12">
        <w:t xml:space="preserve"> </w:t>
      </w:r>
      <w:r w:rsidR="008D481C">
        <w:t>[</w:t>
      </w:r>
      <w:r w:rsidR="008D481C" w:rsidRPr="00081F12">
        <w:t>30-31</w:t>
      </w:r>
      <w:r w:rsidR="008D481C">
        <w:t>, 345-352]</w:t>
      </w:r>
      <w:r w:rsidR="008D481C" w:rsidRPr="00081F12">
        <w:t>.</w:t>
      </w:r>
    </w:p>
  </w:footnote>
  <w:footnote w:id="7">
    <w:p w14:paraId="6DAC0755" w14:textId="40CBEBB8" w:rsidR="00DB6730" w:rsidRDefault="00DB6730" w:rsidP="001C29C7">
      <w:pPr>
        <w:pStyle w:val="FootnoteText"/>
      </w:pPr>
      <w:r>
        <w:rPr>
          <w:rStyle w:val="FootnoteReference"/>
        </w:rPr>
        <w:footnoteRef/>
      </w:r>
      <w:r>
        <w:t xml:space="preserve"> S</w:t>
      </w:r>
      <w:r w:rsidR="0020701F">
        <w:t>ection</w:t>
      </w:r>
      <w:r>
        <w:t xml:space="preserve"> 83 </w:t>
      </w:r>
      <w:r w:rsidR="0020701F">
        <w:t xml:space="preserve">of the </w:t>
      </w:r>
      <w:r w:rsidR="0020701F" w:rsidRPr="00400FB5">
        <w:rPr>
          <w:i/>
        </w:rPr>
        <w:t>Coastal Trading (Revitalising Australian Shipping) Act 2012</w:t>
      </w:r>
      <w:r>
        <w:t>.</w:t>
      </w:r>
    </w:p>
  </w:footnote>
  <w:footnote w:id="8">
    <w:p w14:paraId="7BA226A9" w14:textId="6FCB608C" w:rsidR="00DB6730" w:rsidRDefault="00DB6730">
      <w:pPr>
        <w:pStyle w:val="FootnoteText"/>
      </w:pPr>
      <w:r>
        <w:rPr>
          <w:rStyle w:val="FootnoteReference"/>
        </w:rPr>
        <w:footnoteRef/>
      </w:r>
      <w:r>
        <w:t xml:space="preserve"> Recommendation 6, Strategic Fleet Taskforce: Final Report, November 2023.</w:t>
      </w:r>
    </w:p>
  </w:footnote>
  <w:footnote w:id="9">
    <w:p w14:paraId="49780B12" w14:textId="5F02A8D5" w:rsidR="00DB6730" w:rsidRDefault="00DB6730">
      <w:pPr>
        <w:pStyle w:val="FootnoteText"/>
      </w:pPr>
      <w:r>
        <w:rPr>
          <w:rStyle w:val="FootnoteReference"/>
        </w:rPr>
        <w:footnoteRef/>
      </w:r>
      <w:r>
        <w:t xml:space="preserve"> </w:t>
      </w:r>
      <w:r w:rsidRPr="00D57C2E">
        <w:rPr>
          <w:i/>
        </w:rPr>
        <w:t>Coastal Trading (Revitalising Australian Shipping) Act 2012 Section 11 Exemption for Cruise Vessels 2023</w:t>
      </w:r>
      <w:r>
        <w:rPr>
          <w:i/>
        </w:rPr>
        <w:t>.</w:t>
      </w:r>
    </w:p>
  </w:footnote>
  <w:footnote w:id="10">
    <w:p w14:paraId="02909D3A" w14:textId="598BB58B" w:rsidR="00DB6730" w:rsidRDefault="00DB6730">
      <w:pPr>
        <w:pStyle w:val="FootnoteText"/>
      </w:pPr>
      <w:r>
        <w:rPr>
          <w:rStyle w:val="FootnoteReference"/>
        </w:rPr>
        <w:footnoteRef/>
      </w:r>
      <w:r>
        <w:t xml:space="preserve"> Strategic Fleet Taskforce: Final Report, p 43, November 2023.</w:t>
      </w:r>
    </w:p>
  </w:footnote>
  <w:footnote w:id="11">
    <w:p w14:paraId="707F24C1" w14:textId="6C199FC5" w:rsidR="00DB6730" w:rsidRDefault="00DB6730">
      <w:pPr>
        <w:pStyle w:val="FootnoteText"/>
      </w:pPr>
      <w:r>
        <w:rPr>
          <w:rStyle w:val="FootnoteReference"/>
        </w:rPr>
        <w:footnoteRef/>
      </w:r>
      <w:r>
        <w:t xml:space="preserve"> Recommendation 6, Strategic Fleet Taskforce: Final Report, November 2023.</w:t>
      </w:r>
    </w:p>
  </w:footnote>
  <w:footnote w:id="12">
    <w:p w14:paraId="723DDC89" w14:textId="77B502CB" w:rsidR="00DB6730" w:rsidRDefault="00DB6730">
      <w:pPr>
        <w:pStyle w:val="FootnoteText"/>
      </w:pPr>
      <w:r>
        <w:rPr>
          <w:rStyle w:val="FootnoteReference"/>
        </w:rPr>
        <w:footnoteRef/>
      </w:r>
      <w:r>
        <w:t xml:space="preserve"> Maritime Industry 2024 Workforce Plan. </w:t>
      </w:r>
    </w:p>
  </w:footnote>
  <w:footnote w:id="13">
    <w:p w14:paraId="1D4D9B57" w14:textId="77777777" w:rsidR="00DB6730" w:rsidRDefault="00DB6730">
      <w:pPr>
        <w:pStyle w:val="FootnoteText"/>
      </w:pPr>
      <w:r>
        <w:rPr>
          <w:rStyle w:val="FootnoteReference"/>
        </w:rPr>
        <w:footnoteRef/>
      </w:r>
      <w:r>
        <w:t xml:space="preserve"> Recommendation 15(b), Strategic Fleet Taskforce Report,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CB455" w14:textId="77777777" w:rsidR="00DB6730" w:rsidRDefault="00DB6730" w:rsidP="00D86E4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0C59C" w14:textId="77777777" w:rsidR="00DB6730" w:rsidRDefault="00DB6730"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AE56A" w14:textId="77777777" w:rsidR="00DB6730" w:rsidRPr="003C67CE" w:rsidRDefault="00DB6730" w:rsidP="00D86E40">
    <w:pPr>
      <w:pStyle w:val="SecurityMarker"/>
      <w:ind w:left="0"/>
    </w:pPr>
    <w:r>
      <w:t>Official</w:t>
    </w:r>
  </w:p>
  <w:p w14:paraId="574FEDB8" w14:textId="77777777" w:rsidR="00DB6730" w:rsidRPr="00D86E40" w:rsidRDefault="00DB6730" w:rsidP="00D86E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075507228"/>
      <w:dataBinding w:prefixMappings="xmlns:ns0='http://purl.org/dc/elements/1.1/' xmlns:ns1='http://schemas.openxmlformats.org/package/2006/metadata/core-properties' " w:xpath="/ns1:coreProperties[1]/ns1:contentStatus[1]" w:storeItemID="{6C3C8BC8-F283-45AE-878A-BAB7291924A1}"/>
      <w:text/>
    </w:sdtPr>
    <w:sdtEndPr/>
    <w:sdtContent>
      <w:p w14:paraId="5F97AE34" w14:textId="77777777" w:rsidR="00DB6730" w:rsidRDefault="00DB6730" w:rsidP="00827492">
        <w:pPr>
          <w:pStyle w:val="SecurityMarker"/>
        </w:pPr>
        <w:r>
          <w:t>OFFICIAL / OFFICIAL: SENSITIVE / PROTECTEDSELECT THE CLASSIFICATION MARKER ABOVE THAT APPLIES TO YOUR DOCUMENT, THEN DELETE THE OTHERS AND THIS TEXT&gt;</w:t>
        </w:r>
      </w:p>
    </w:sdtContent>
  </w:sdt>
  <w:p w14:paraId="5902F75A" w14:textId="68185B6F" w:rsidR="00DB6730" w:rsidRDefault="00F53E2D" w:rsidP="00BA24FB">
    <w:pPr>
      <w:pStyle w:val="Header"/>
      <w:spacing w:after="720"/>
    </w:pPr>
    <w:r>
      <w:fldChar w:fldCharType="begin"/>
    </w:r>
    <w:r>
      <w:instrText xml:space="preserve"> STYLEREF  "Heading 1" \l  \* MERGEFORMAT </w:instrText>
    </w:r>
    <w:r>
      <w:fldChar w:fldCharType="separate"/>
    </w:r>
    <w:r w:rsidR="00DB6730">
      <w:rPr>
        <w:noProof/>
      </w:rPr>
      <w:t>Introduction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D440C"/>
    <w:multiLevelType w:val="hybridMultilevel"/>
    <w:tmpl w:val="8B32A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9F060E7"/>
    <w:multiLevelType w:val="hybridMultilevel"/>
    <w:tmpl w:val="6A2448F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4B75FA"/>
    <w:multiLevelType w:val="hybridMultilevel"/>
    <w:tmpl w:val="447230CC"/>
    <w:lvl w:ilvl="0" w:tplc="069264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0D5077E2"/>
    <w:multiLevelType w:val="hybridMultilevel"/>
    <w:tmpl w:val="D0863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621AED"/>
    <w:multiLevelType w:val="multilevel"/>
    <w:tmpl w:val="C2EED61A"/>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CB3495"/>
    <w:multiLevelType w:val="hybridMultilevel"/>
    <w:tmpl w:val="CDB8A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2BB4ED1"/>
    <w:multiLevelType w:val="multilevel"/>
    <w:tmpl w:val="C074D320"/>
    <w:lvl w:ilvl="0">
      <w:start w:val="1"/>
      <w:numFmt w:val="bullet"/>
      <w:lvlText w:val=""/>
      <w:lvlJc w:val="left"/>
      <w:pPr>
        <w:ind w:left="567" w:hanging="283"/>
      </w:pPr>
      <w:rPr>
        <w:rFonts w:ascii="Symbol" w:hAnsi="Symbol" w:hint="default"/>
        <w:color w:val="auto"/>
      </w:rPr>
    </w:lvl>
    <w:lvl w:ilvl="1">
      <w:start w:val="1"/>
      <w:numFmt w:val="decimal"/>
      <w:lvlText w:val="%2."/>
      <w:lvlJc w:val="left"/>
      <w:pPr>
        <w:ind w:left="567" w:hanging="283"/>
      </w:pPr>
      <w:rPr>
        <w:rFonts w:hint="default"/>
        <w:color w:val="auto"/>
      </w:rPr>
    </w:lvl>
    <w:lvl w:ilvl="2">
      <w:start w:val="1"/>
      <w:numFmt w:val="bulle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2FA4652"/>
    <w:multiLevelType w:val="hybridMultilevel"/>
    <w:tmpl w:val="E6DAF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7B3507C"/>
    <w:multiLevelType w:val="hybridMultilevel"/>
    <w:tmpl w:val="C8CCD91C"/>
    <w:lvl w:ilvl="0" w:tplc="BEA4147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866403D"/>
    <w:multiLevelType w:val="multilevel"/>
    <w:tmpl w:val="603AFD54"/>
    <w:lvl w:ilvl="0">
      <w:start w:val="1"/>
      <w:numFmt w:val="decimal"/>
      <w:lvlText w:val="%1."/>
      <w:lvlJc w:val="left"/>
      <w:pPr>
        <w:ind w:left="567" w:hanging="283"/>
      </w:pPr>
      <w:rPr>
        <w:rFonts w:hint="default"/>
        <w:color w:val="auto"/>
      </w:rPr>
    </w:lvl>
    <w:lvl w:ilvl="1">
      <w:start w:val="1"/>
      <w:numFmt w:val="decimal"/>
      <w:lvlText w:val="%2."/>
      <w:lvlJc w:val="left"/>
      <w:pPr>
        <w:ind w:left="567" w:hanging="283"/>
      </w:pPr>
      <w:rPr>
        <w:rFonts w:hint="default"/>
        <w:color w:val="auto"/>
      </w:rPr>
    </w:lvl>
    <w:lvl w:ilvl="2">
      <w:start w:val="1"/>
      <w:numFmt w:val="bulle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C0F3376"/>
    <w:multiLevelType w:val="hybridMultilevel"/>
    <w:tmpl w:val="EFDA4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234C27"/>
    <w:multiLevelType w:val="hybridMultilevel"/>
    <w:tmpl w:val="36F6E528"/>
    <w:lvl w:ilvl="0" w:tplc="87CAC6B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271872AE"/>
    <w:multiLevelType w:val="multilevel"/>
    <w:tmpl w:val="C074D320"/>
    <w:lvl w:ilvl="0">
      <w:start w:val="1"/>
      <w:numFmt w:val="bullet"/>
      <w:lvlText w:val=""/>
      <w:lvlJc w:val="left"/>
      <w:pPr>
        <w:ind w:left="567" w:hanging="283"/>
      </w:pPr>
      <w:rPr>
        <w:rFonts w:ascii="Symbol" w:hAnsi="Symbol" w:hint="default"/>
        <w:color w:val="auto"/>
      </w:rPr>
    </w:lvl>
    <w:lvl w:ilvl="1">
      <w:start w:val="1"/>
      <w:numFmt w:val="decimal"/>
      <w:lvlText w:val="%2."/>
      <w:lvlJc w:val="left"/>
      <w:pPr>
        <w:ind w:left="567" w:hanging="283"/>
      </w:pPr>
      <w:rPr>
        <w:rFonts w:hint="default"/>
        <w:color w:val="auto"/>
      </w:rPr>
    </w:lvl>
    <w:lvl w:ilvl="2">
      <w:start w:val="1"/>
      <w:numFmt w:val="bulle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0487939"/>
    <w:multiLevelType w:val="hybridMultilevel"/>
    <w:tmpl w:val="3300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A51938"/>
    <w:multiLevelType w:val="multilevel"/>
    <w:tmpl w:val="298C34E4"/>
    <w:numStyleLink w:val="AppendixNumbers"/>
  </w:abstractNum>
  <w:abstractNum w:abstractNumId="27" w15:restartNumberingAfterBreak="0">
    <w:nsid w:val="3D942862"/>
    <w:multiLevelType w:val="hybridMultilevel"/>
    <w:tmpl w:val="6A2448F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EFE6A8B"/>
    <w:multiLevelType w:val="hybridMultilevel"/>
    <w:tmpl w:val="6A2448F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F166873"/>
    <w:multiLevelType w:val="multilevel"/>
    <w:tmpl w:val="C2EED61A"/>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46002AA6"/>
    <w:multiLevelType w:val="hybridMultilevel"/>
    <w:tmpl w:val="97CA8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D700D80"/>
    <w:multiLevelType w:val="hybridMultilevel"/>
    <w:tmpl w:val="1616B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854B40"/>
    <w:multiLevelType w:val="hybridMultilevel"/>
    <w:tmpl w:val="36F6E528"/>
    <w:lvl w:ilvl="0" w:tplc="87CAC6B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9EC0E33"/>
    <w:multiLevelType w:val="hybridMultilevel"/>
    <w:tmpl w:val="D6CE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A5500CE"/>
    <w:multiLevelType w:val="hybridMultilevel"/>
    <w:tmpl w:val="1B562AE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9A09B2"/>
    <w:multiLevelType w:val="hybridMultilevel"/>
    <w:tmpl w:val="1D1C41A4"/>
    <w:lvl w:ilvl="0" w:tplc="7CD8E1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B425C6"/>
    <w:multiLevelType w:val="hybridMultilevel"/>
    <w:tmpl w:val="1888687A"/>
    <w:lvl w:ilvl="0" w:tplc="BEA4147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5"/>
  </w:num>
  <w:num w:numId="19">
    <w:abstractNumId w:val="2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6"/>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7"/>
  </w:num>
  <w:num w:numId="26">
    <w:abstractNumId w:val="37"/>
  </w:num>
  <w:num w:numId="27">
    <w:abstractNumId w:val="37"/>
  </w:num>
  <w:num w:numId="28">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40"/>
  </w:num>
  <w:num w:numId="31">
    <w:abstractNumId w:val="34"/>
  </w:num>
  <w:num w:numId="32">
    <w:abstractNumId w:val="13"/>
  </w:num>
  <w:num w:numId="33">
    <w:abstractNumId w:val="23"/>
  </w:num>
  <w:num w:numId="34">
    <w:abstractNumId w:val="22"/>
  </w:num>
  <w:num w:numId="35">
    <w:abstractNumId w:val="17"/>
  </w:num>
  <w:num w:numId="36">
    <w:abstractNumId w:val="20"/>
  </w:num>
  <w:num w:numId="37">
    <w:abstractNumId w:val="19"/>
  </w:num>
  <w:num w:numId="38">
    <w:abstractNumId w:val="25"/>
  </w:num>
  <w:num w:numId="39">
    <w:abstractNumId w:val="31"/>
  </w:num>
  <w:num w:numId="40">
    <w:abstractNumId w:val="28"/>
  </w:num>
  <w:num w:numId="41">
    <w:abstractNumId w:val="35"/>
  </w:num>
  <w:num w:numId="42">
    <w:abstractNumId w:val="27"/>
  </w:num>
  <w:num w:numId="43">
    <w:abstractNumId w:val="14"/>
  </w:num>
  <w:num w:numId="44">
    <w:abstractNumId w:val="18"/>
  </w:num>
  <w:num w:numId="45">
    <w:abstractNumId w:val="32"/>
  </w:num>
  <w:num w:numId="46">
    <w:abstractNumId w:val="39"/>
  </w:num>
  <w:num w:numId="47">
    <w:abstractNumId w:val="38"/>
  </w:num>
  <w:num w:numId="48">
    <w:abstractNumId w:val="16"/>
  </w:num>
  <w:num w:numId="49">
    <w:abstractNumId w:val="10"/>
  </w:num>
  <w:num w:numId="50">
    <w:abstractNumId w:val="12"/>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C2"/>
    <w:rsid w:val="00005901"/>
    <w:rsid w:val="00006FD1"/>
    <w:rsid w:val="000075AC"/>
    <w:rsid w:val="00010EBA"/>
    <w:rsid w:val="00011524"/>
    <w:rsid w:val="00011966"/>
    <w:rsid w:val="0001430B"/>
    <w:rsid w:val="00017016"/>
    <w:rsid w:val="00017ED2"/>
    <w:rsid w:val="00027AE2"/>
    <w:rsid w:val="00032E77"/>
    <w:rsid w:val="00034A2C"/>
    <w:rsid w:val="00037C55"/>
    <w:rsid w:val="00040B94"/>
    <w:rsid w:val="00041240"/>
    <w:rsid w:val="000515E9"/>
    <w:rsid w:val="000540F6"/>
    <w:rsid w:val="0005476A"/>
    <w:rsid w:val="00055902"/>
    <w:rsid w:val="00060947"/>
    <w:rsid w:val="00061D1B"/>
    <w:rsid w:val="000629CB"/>
    <w:rsid w:val="000638E6"/>
    <w:rsid w:val="00064D68"/>
    <w:rsid w:val="00073308"/>
    <w:rsid w:val="000746C9"/>
    <w:rsid w:val="000749C1"/>
    <w:rsid w:val="00074EA4"/>
    <w:rsid w:val="00075A1E"/>
    <w:rsid w:val="00081F12"/>
    <w:rsid w:val="000853B7"/>
    <w:rsid w:val="00085622"/>
    <w:rsid w:val="00085C7C"/>
    <w:rsid w:val="00086BA9"/>
    <w:rsid w:val="00086DC0"/>
    <w:rsid w:val="000912E1"/>
    <w:rsid w:val="00094688"/>
    <w:rsid w:val="000959EC"/>
    <w:rsid w:val="000A57B8"/>
    <w:rsid w:val="000B17CC"/>
    <w:rsid w:val="000B4847"/>
    <w:rsid w:val="000B5E79"/>
    <w:rsid w:val="000B6F9F"/>
    <w:rsid w:val="000C0EE8"/>
    <w:rsid w:val="000C3DD1"/>
    <w:rsid w:val="000C588A"/>
    <w:rsid w:val="000C5CBA"/>
    <w:rsid w:val="000C7CF4"/>
    <w:rsid w:val="000D22BC"/>
    <w:rsid w:val="000D2841"/>
    <w:rsid w:val="000D342C"/>
    <w:rsid w:val="000D591D"/>
    <w:rsid w:val="000E24BA"/>
    <w:rsid w:val="000E5674"/>
    <w:rsid w:val="000F1AED"/>
    <w:rsid w:val="000F7478"/>
    <w:rsid w:val="00101909"/>
    <w:rsid w:val="00102C5A"/>
    <w:rsid w:val="00103321"/>
    <w:rsid w:val="001041F2"/>
    <w:rsid w:val="00104385"/>
    <w:rsid w:val="00105D3C"/>
    <w:rsid w:val="00106DD7"/>
    <w:rsid w:val="00117FE4"/>
    <w:rsid w:val="001349C6"/>
    <w:rsid w:val="001365F1"/>
    <w:rsid w:val="0014089F"/>
    <w:rsid w:val="001421C1"/>
    <w:rsid w:val="001438A0"/>
    <w:rsid w:val="00145C49"/>
    <w:rsid w:val="00151861"/>
    <w:rsid w:val="00152042"/>
    <w:rsid w:val="0015668F"/>
    <w:rsid w:val="00160951"/>
    <w:rsid w:val="00163E10"/>
    <w:rsid w:val="0016454B"/>
    <w:rsid w:val="00167AB4"/>
    <w:rsid w:val="00171AD8"/>
    <w:rsid w:val="00175FCA"/>
    <w:rsid w:val="00176512"/>
    <w:rsid w:val="001779DC"/>
    <w:rsid w:val="001803E3"/>
    <w:rsid w:val="001832D5"/>
    <w:rsid w:val="00183BEE"/>
    <w:rsid w:val="00187D9C"/>
    <w:rsid w:val="001924F4"/>
    <w:rsid w:val="001934DE"/>
    <w:rsid w:val="0019556E"/>
    <w:rsid w:val="00195A92"/>
    <w:rsid w:val="00195F1D"/>
    <w:rsid w:val="001A114D"/>
    <w:rsid w:val="001A6C69"/>
    <w:rsid w:val="001B2C6E"/>
    <w:rsid w:val="001B2DB5"/>
    <w:rsid w:val="001B2DF9"/>
    <w:rsid w:val="001B3702"/>
    <w:rsid w:val="001B43C8"/>
    <w:rsid w:val="001B6533"/>
    <w:rsid w:val="001B7B0A"/>
    <w:rsid w:val="001B7E9D"/>
    <w:rsid w:val="001C0B77"/>
    <w:rsid w:val="001C2451"/>
    <w:rsid w:val="001C29C7"/>
    <w:rsid w:val="001C4DCF"/>
    <w:rsid w:val="001C4FD9"/>
    <w:rsid w:val="001C5B22"/>
    <w:rsid w:val="001D0623"/>
    <w:rsid w:val="001D295C"/>
    <w:rsid w:val="001D30C1"/>
    <w:rsid w:val="001D6CC0"/>
    <w:rsid w:val="001D75F7"/>
    <w:rsid w:val="001E0723"/>
    <w:rsid w:val="001E3F34"/>
    <w:rsid w:val="001F0E48"/>
    <w:rsid w:val="001F602D"/>
    <w:rsid w:val="0020003E"/>
    <w:rsid w:val="00202511"/>
    <w:rsid w:val="0020345E"/>
    <w:rsid w:val="002048B0"/>
    <w:rsid w:val="0020577E"/>
    <w:rsid w:val="00206A26"/>
    <w:rsid w:val="00206DF0"/>
    <w:rsid w:val="00207017"/>
    <w:rsid w:val="0020701F"/>
    <w:rsid w:val="0021019B"/>
    <w:rsid w:val="00213696"/>
    <w:rsid w:val="00215442"/>
    <w:rsid w:val="00216AED"/>
    <w:rsid w:val="00220B6F"/>
    <w:rsid w:val="00222628"/>
    <w:rsid w:val="00223C48"/>
    <w:rsid w:val="0022479A"/>
    <w:rsid w:val="00225455"/>
    <w:rsid w:val="002254D5"/>
    <w:rsid w:val="0022611D"/>
    <w:rsid w:val="00236C31"/>
    <w:rsid w:val="00237387"/>
    <w:rsid w:val="002423D6"/>
    <w:rsid w:val="00242422"/>
    <w:rsid w:val="00242B05"/>
    <w:rsid w:val="00243AA2"/>
    <w:rsid w:val="002451DB"/>
    <w:rsid w:val="0024697B"/>
    <w:rsid w:val="002504D2"/>
    <w:rsid w:val="002516EC"/>
    <w:rsid w:val="00260D41"/>
    <w:rsid w:val="0026450C"/>
    <w:rsid w:val="002655DC"/>
    <w:rsid w:val="0028117C"/>
    <w:rsid w:val="00281742"/>
    <w:rsid w:val="00284164"/>
    <w:rsid w:val="00291050"/>
    <w:rsid w:val="00295814"/>
    <w:rsid w:val="002A1167"/>
    <w:rsid w:val="002A2534"/>
    <w:rsid w:val="002A4303"/>
    <w:rsid w:val="002A694C"/>
    <w:rsid w:val="002B3569"/>
    <w:rsid w:val="002B622C"/>
    <w:rsid w:val="002B7197"/>
    <w:rsid w:val="002C2B7A"/>
    <w:rsid w:val="002C3580"/>
    <w:rsid w:val="002C3F40"/>
    <w:rsid w:val="002D01AA"/>
    <w:rsid w:val="002D3089"/>
    <w:rsid w:val="002D707A"/>
    <w:rsid w:val="002E1ADA"/>
    <w:rsid w:val="002E35D6"/>
    <w:rsid w:val="002F65E8"/>
    <w:rsid w:val="002F6875"/>
    <w:rsid w:val="00301EBA"/>
    <w:rsid w:val="00302183"/>
    <w:rsid w:val="00303AFA"/>
    <w:rsid w:val="00305274"/>
    <w:rsid w:val="00306067"/>
    <w:rsid w:val="00306BF2"/>
    <w:rsid w:val="00307C5F"/>
    <w:rsid w:val="00310A51"/>
    <w:rsid w:val="00314854"/>
    <w:rsid w:val="0031633C"/>
    <w:rsid w:val="0031719E"/>
    <w:rsid w:val="00320697"/>
    <w:rsid w:val="00321056"/>
    <w:rsid w:val="0032172A"/>
    <w:rsid w:val="00323CB9"/>
    <w:rsid w:val="00324ACA"/>
    <w:rsid w:val="00325719"/>
    <w:rsid w:val="003261CF"/>
    <w:rsid w:val="003351C9"/>
    <w:rsid w:val="00345513"/>
    <w:rsid w:val="00345C81"/>
    <w:rsid w:val="00347C68"/>
    <w:rsid w:val="003503D5"/>
    <w:rsid w:val="00350997"/>
    <w:rsid w:val="0035390B"/>
    <w:rsid w:val="003607B1"/>
    <w:rsid w:val="00362561"/>
    <w:rsid w:val="003655E2"/>
    <w:rsid w:val="003702C3"/>
    <w:rsid w:val="003720E9"/>
    <w:rsid w:val="00372EE0"/>
    <w:rsid w:val="0037498A"/>
    <w:rsid w:val="003779DD"/>
    <w:rsid w:val="003803CB"/>
    <w:rsid w:val="0038160C"/>
    <w:rsid w:val="00383C81"/>
    <w:rsid w:val="003850D3"/>
    <w:rsid w:val="00385191"/>
    <w:rsid w:val="00385483"/>
    <w:rsid w:val="00385D50"/>
    <w:rsid w:val="0039128B"/>
    <w:rsid w:val="003939AB"/>
    <w:rsid w:val="003A01A4"/>
    <w:rsid w:val="003A0A4C"/>
    <w:rsid w:val="003A4CF8"/>
    <w:rsid w:val="003A7D34"/>
    <w:rsid w:val="003B0AFB"/>
    <w:rsid w:val="003B3EE4"/>
    <w:rsid w:val="003B65C7"/>
    <w:rsid w:val="003B6BDF"/>
    <w:rsid w:val="003C1498"/>
    <w:rsid w:val="003C25A8"/>
    <w:rsid w:val="003C5E7F"/>
    <w:rsid w:val="003C625A"/>
    <w:rsid w:val="003C62AB"/>
    <w:rsid w:val="003D0E30"/>
    <w:rsid w:val="003D0FC0"/>
    <w:rsid w:val="003D18A6"/>
    <w:rsid w:val="003D1CEC"/>
    <w:rsid w:val="003E0E8C"/>
    <w:rsid w:val="003E3FAB"/>
    <w:rsid w:val="003E6FBD"/>
    <w:rsid w:val="003F045E"/>
    <w:rsid w:val="003F3005"/>
    <w:rsid w:val="003F44FB"/>
    <w:rsid w:val="003F4C91"/>
    <w:rsid w:val="003F4FBC"/>
    <w:rsid w:val="003F55F6"/>
    <w:rsid w:val="003F76E7"/>
    <w:rsid w:val="003F775D"/>
    <w:rsid w:val="003F7FFD"/>
    <w:rsid w:val="00400FB5"/>
    <w:rsid w:val="004011FD"/>
    <w:rsid w:val="004028FF"/>
    <w:rsid w:val="00403164"/>
    <w:rsid w:val="00405471"/>
    <w:rsid w:val="00406295"/>
    <w:rsid w:val="004063DE"/>
    <w:rsid w:val="004136F5"/>
    <w:rsid w:val="00420F04"/>
    <w:rsid w:val="00420F39"/>
    <w:rsid w:val="0042391F"/>
    <w:rsid w:val="0042656B"/>
    <w:rsid w:val="00426B4D"/>
    <w:rsid w:val="00433EA1"/>
    <w:rsid w:val="004349B3"/>
    <w:rsid w:val="00436652"/>
    <w:rsid w:val="00436DE9"/>
    <w:rsid w:val="00444FA9"/>
    <w:rsid w:val="00446CFE"/>
    <w:rsid w:val="0045048A"/>
    <w:rsid w:val="00450811"/>
    <w:rsid w:val="0045208E"/>
    <w:rsid w:val="00452BBB"/>
    <w:rsid w:val="00454581"/>
    <w:rsid w:val="00466A68"/>
    <w:rsid w:val="00467C3B"/>
    <w:rsid w:val="004706AA"/>
    <w:rsid w:val="0047079C"/>
    <w:rsid w:val="00474496"/>
    <w:rsid w:val="00477E77"/>
    <w:rsid w:val="00480458"/>
    <w:rsid w:val="00487DA0"/>
    <w:rsid w:val="00490837"/>
    <w:rsid w:val="00490CBE"/>
    <w:rsid w:val="00491E4E"/>
    <w:rsid w:val="004922D5"/>
    <w:rsid w:val="00493E51"/>
    <w:rsid w:val="00494248"/>
    <w:rsid w:val="004968E3"/>
    <w:rsid w:val="004A3726"/>
    <w:rsid w:val="004A61F4"/>
    <w:rsid w:val="004A63AD"/>
    <w:rsid w:val="004A6853"/>
    <w:rsid w:val="004B1273"/>
    <w:rsid w:val="004B4F2A"/>
    <w:rsid w:val="004C5609"/>
    <w:rsid w:val="004D4D67"/>
    <w:rsid w:val="004D512B"/>
    <w:rsid w:val="004D5B51"/>
    <w:rsid w:val="004D71AF"/>
    <w:rsid w:val="004D7270"/>
    <w:rsid w:val="004E1A6C"/>
    <w:rsid w:val="004E237B"/>
    <w:rsid w:val="004E47F3"/>
    <w:rsid w:val="004E6421"/>
    <w:rsid w:val="004F0A92"/>
    <w:rsid w:val="004F5670"/>
    <w:rsid w:val="005022E0"/>
    <w:rsid w:val="00511A47"/>
    <w:rsid w:val="005138DE"/>
    <w:rsid w:val="0051723E"/>
    <w:rsid w:val="005257B6"/>
    <w:rsid w:val="00530E92"/>
    <w:rsid w:val="00532FD2"/>
    <w:rsid w:val="00535938"/>
    <w:rsid w:val="00541213"/>
    <w:rsid w:val="00546218"/>
    <w:rsid w:val="005502CA"/>
    <w:rsid w:val="00553D8A"/>
    <w:rsid w:val="005553F2"/>
    <w:rsid w:val="00561861"/>
    <w:rsid w:val="00563722"/>
    <w:rsid w:val="00566873"/>
    <w:rsid w:val="005673D2"/>
    <w:rsid w:val="005724EC"/>
    <w:rsid w:val="00572FB9"/>
    <w:rsid w:val="0057502D"/>
    <w:rsid w:val="00577474"/>
    <w:rsid w:val="00581584"/>
    <w:rsid w:val="00581EAE"/>
    <w:rsid w:val="0058230F"/>
    <w:rsid w:val="00583131"/>
    <w:rsid w:val="00590213"/>
    <w:rsid w:val="00590C5E"/>
    <w:rsid w:val="005912BE"/>
    <w:rsid w:val="00591E88"/>
    <w:rsid w:val="00595C08"/>
    <w:rsid w:val="005A0322"/>
    <w:rsid w:val="005A397F"/>
    <w:rsid w:val="005A4A45"/>
    <w:rsid w:val="005A5A2D"/>
    <w:rsid w:val="005A6352"/>
    <w:rsid w:val="005A6DAA"/>
    <w:rsid w:val="005A72FC"/>
    <w:rsid w:val="005B0803"/>
    <w:rsid w:val="005B7DCE"/>
    <w:rsid w:val="005C0FE3"/>
    <w:rsid w:val="005C27A4"/>
    <w:rsid w:val="005C739F"/>
    <w:rsid w:val="005C7B46"/>
    <w:rsid w:val="005D071D"/>
    <w:rsid w:val="005D2DB6"/>
    <w:rsid w:val="005E1F81"/>
    <w:rsid w:val="005E3014"/>
    <w:rsid w:val="005E3E44"/>
    <w:rsid w:val="005E3F07"/>
    <w:rsid w:val="005E7A4A"/>
    <w:rsid w:val="005F1887"/>
    <w:rsid w:val="005F572E"/>
    <w:rsid w:val="005F794B"/>
    <w:rsid w:val="00610169"/>
    <w:rsid w:val="00610804"/>
    <w:rsid w:val="006109E5"/>
    <w:rsid w:val="00610B5B"/>
    <w:rsid w:val="006114D7"/>
    <w:rsid w:val="00612180"/>
    <w:rsid w:val="00614046"/>
    <w:rsid w:val="00620527"/>
    <w:rsid w:val="00620AF3"/>
    <w:rsid w:val="006215F7"/>
    <w:rsid w:val="00626440"/>
    <w:rsid w:val="0063370B"/>
    <w:rsid w:val="00634B9B"/>
    <w:rsid w:val="00636715"/>
    <w:rsid w:val="00641DCA"/>
    <w:rsid w:val="00646420"/>
    <w:rsid w:val="006467BA"/>
    <w:rsid w:val="006475EE"/>
    <w:rsid w:val="006515F6"/>
    <w:rsid w:val="0065211C"/>
    <w:rsid w:val="00652316"/>
    <w:rsid w:val="006563CF"/>
    <w:rsid w:val="0066119E"/>
    <w:rsid w:val="00661767"/>
    <w:rsid w:val="00666580"/>
    <w:rsid w:val="00666D51"/>
    <w:rsid w:val="00674620"/>
    <w:rsid w:val="00676EC8"/>
    <w:rsid w:val="006803CF"/>
    <w:rsid w:val="006862DC"/>
    <w:rsid w:val="006876F5"/>
    <w:rsid w:val="0069325C"/>
    <w:rsid w:val="006A153F"/>
    <w:rsid w:val="006A1911"/>
    <w:rsid w:val="006A26A1"/>
    <w:rsid w:val="006B6D95"/>
    <w:rsid w:val="006C0FD3"/>
    <w:rsid w:val="006C239D"/>
    <w:rsid w:val="006C63A8"/>
    <w:rsid w:val="006D2899"/>
    <w:rsid w:val="006D4834"/>
    <w:rsid w:val="006D6348"/>
    <w:rsid w:val="006D6B5F"/>
    <w:rsid w:val="006D7563"/>
    <w:rsid w:val="006D7B39"/>
    <w:rsid w:val="006E1A44"/>
    <w:rsid w:val="006E1ECA"/>
    <w:rsid w:val="006E58CE"/>
    <w:rsid w:val="006E7ADF"/>
    <w:rsid w:val="006F008F"/>
    <w:rsid w:val="006F24AE"/>
    <w:rsid w:val="00700998"/>
    <w:rsid w:val="00701000"/>
    <w:rsid w:val="00717A83"/>
    <w:rsid w:val="00720C20"/>
    <w:rsid w:val="007239C9"/>
    <w:rsid w:val="00723B2C"/>
    <w:rsid w:val="007242D0"/>
    <w:rsid w:val="00725E0C"/>
    <w:rsid w:val="00732700"/>
    <w:rsid w:val="0073372A"/>
    <w:rsid w:val="00733EF8"/>
    <w:rsid w:val="00734681"/>
    <w:rsid w:val="00740289"/>
    <w:rsid w:val="007421E5"/>
    <w:rsid w:val="00747EC1"/>
    <w:rsid w:val="00754BCB"/>
    <w:rsid w:val="00756C92"/>
    <w:rsid w:val="007578E1"/>
    <w:rsid w:val="00760667"/>
    <w:rsid w:val="007627E1"/>
    <w:rsid w:val="007652CB"/>
    <w:rsid w:val="0076686E"/>
    <w:rsid w:val="00766F7D"/>
    <w:rsid w:val="00772F07"/>
    <w:rsid w:val="00781C21"/>
    <w:rsid w:val="00781C7D"/>
    <w:rsid w:val="0078201C"/>
    <w:rsid w:val="00783794"/>
    <w:rsid w:val="007863F0"/>
    <w:rsid w:val="00791F36"/>
    <w:rsid w:val="00795D6A"/>
    <w:rsid w:val="007A05BE"/>
    <w:rsid w:val="007A077D"/>
    <w:rsid w:val="007A0C5F"/>
    <w:rsid w:val="007A11CF"/>
    <w:rsid w:val="007A4F59"/>
    <w:rsid w:val="007B38C2"/>
    <w:rsid w:val="007B45EE"/>
    <w:rsid w:val="007B481C"/>
    <w:rsid w:val="007B6080"/>
    <w:rsid w:val="007B67C3"/>
    <w:rsid w:val="007C3CF4"/>
    <w:rsid w:val="007D0616"/>
    <w:rsid w:val="007D15EF"/>
    <w:rsid w:val="007D3D06"/>
    <w:rsid w:val="007D4207"/>
    <w:rsid w:val="007D474B"/>
    <w:rsid w:val="007D514D"/>
    <w:rsid w:val="007E29AC"/>
    <w:rsid w:val="007E4201"/>
    <w:rsid w:val="007E5EE7"/>
    <w:rsid w:val="007F1774"/>
    <w:rsid w:val="007F7E2B"/>
    <w:rsid w:val="00801645"/>
    <w:rsid w:val="00801FD9"/>
    <w:rsid w:val="00806340"/>
    <w:rsid w:val="008067A1"/>
    <w:rsid w:val="008127C4"/>
    <w:rsid w:val="00813718"/>
    <w:rsid w:val="00820FEF"/>
    <w:rsid w:val="00823BC6"/>
    <w:rsid w:val="00824403"/>
    <w:rsid w:val="00827492"/>
    <w:rsid w:val="00833159"/>
    <w:rsid w:val="00833280"/>
    <w:rsid w:val="00840D17"/>
    <w:rsid w:val="0084160B"/>
    <w:rsid w:val="00842B40"/>
    <w:rsid w:val="008456D5"/>
    <w:rsid w:val="00845C59"/>
    <w:rsid w:val="0084634B"/>
    <w:rsid w:val="00854C2C"/>
    <w:rsid w:val="0085588C"/>
    <w:rsid w:val="0086531F"/>
    <w:rsid w:val="0086632F"/>
    <w:rsid w:val="008663FE"/>
    <w:rsid w:val="0086686A"/>
    <w:rsid w:val="008674E4"/>
    <w:rsid w:val="00870D24"/>
    <w:rsid w:val="00871575"/>
    <w:rsid w:val="00873560"/>
    <w:rsid w:val="008764BC"/>
    <w:rsid w:val="0087665C"/>
    <w:rsid w:val="00876BE8"/>
    <w:rsid w:val="00877DCE"/>
    <w:rsid w:val="008824A8"/>
    <w:rsid w:val="008847F8"/>
    <w:rsid w:val="00884D02"/>
    <w:rsid w:val="0088561C"/>
    <w:rsid w:val="00891EA7"/>
    <w:rsid w:val="00892A76"/>
    <w:rsid w:val="00893B7D"/>
    <w:rsid w:val="008945C0"/>
    <w:rsid w:val="00895D2C"/>
    <w:rsid w:val="008A04D3"/>
    <w:rsid w:val="008A1887"/>
    <w:rsid w:val="008A1E39"/>
    <w:rsid w:val="008A2F9E"/>
    <w:rsid w:val="008A36AB"/>
    <w:rsid w:val="008A39D7"/>
    <w:rsid w:val="008A41CE"/>
    <w:rsid w:val="008A745D"/>
    <w:rsid w:val="008B0927"/>
    <w:rsid w:val="008B4DD1"/>
    <w:rsid w:val="008B6A81"/>
    <w:rsid w:val="008C1A9B"/>
    <w:rsid w:val="008C2594"/>
    <w:rsid w:val="008C486F"/>
    <w:rsid w:val="008C4CEF"/>
    <w:rsid w:val="008D03EF"/>
    <w:rsid w:val="008D26AB"/>
    <w:rsid w:val="008D2D8C"/>
    <w:rsid w:val="008D3999"/>
    <w:rsid w:val="008D481C"/>
    <w:rsid w:val="008D6FE5"/>
    <w:rsid w:val="008D7716"/>
    <w:rsid w:val="008E0410"/>
    <w:rsid w:val="008E06FD"/>
    <w:rsid w:val="008E10E6"/>
    <w:rsid w:val="008E1673"/>
    <w:rsid w:val="008E27B7"/>
    <w:rsid w:val="008E2A0D"/>
    <w:rsid w:val="008E4199"/>
    <w:rsid w:val="008E5733"/>
    <w:rsid w:val="008E5830"/>
    <w:rsid w:val="008E5E0F"/>
    <w:rsid w:val="008E71E6"/>
    <w:rsid w:val="008E759B"/>
    <w:rsid w:val="008F1A95"/>
    <w:rsid w:val="008F297F"/>
    <w:rsid w:val="009071B7"/>
    <w:rsid w:val="00910771"/>
    <w:rsid w:val="00915D17"/>
    <w:rsid w:val="00916028"/>
    <w:rsid w:val="00916B49"/>
    <w:rsid w:val="00917FE4"/>
    <w:rsid w:val="00925030"/>
    <w:rsid w:val="009261A2"/>
    <w:rsid w:val="00931887"/>
    <w:rsid w:val="00931B12"/>
    <w:rsid w:val="009323FC"/>
    <w:rsid w:val="00940608"/>
    <w:rsid w:val="00946819"/>
    <w:rsid w:val="00946F22"/>
    <w:rsid w:val="00951BD1"/>
    <w:rsid w:val="0096121E"/>
    <w:rsid w:val="00964608"/>
    <w:rsid w:val="009662FA"/>
    <w:rsid w:val="00967D8A"/>
    <w:rsid w:val="00972E87"/>
    <w:rsid w:val="00977458"/>
    <w:rsid w:val="009774AE"/>
    <w:rsid w:val="00977F53"/>
    <w:rsid w:val="00980602"/>
    <w:rsid w:val="0098517C"/>
    <w:rsid w:val="00987769"/>
    <w:rsid w:val="009919E0"/>
    <w:rsid w:val="00992711"/>
    <w:rsid w:val="0099641F"/>
    <w:rsid w:val="009A4A1F"/>
    <w:rsid w:val="009B00F2"/>
    <w:rsid w:val="009B4485"/>
    <w:rsid w:val="009B4B40"/>
    <w:rsid w:val="009C0F1C"/>
    <w:rsid w:val="009C280F"/>
    <w:rsid w:val="009D1EBF"/>
    <w:rsid w:val="009D20A4"/>
    <w:rsid w:val="009D2AB9"/>
    <w:rsid w:val="009D3890"/>
    <w:rsid w:val="009D6F7F"/>
    <w:rsid w:val="009D7CCE"/>
    <w:rsid w:val="009E4A4A"/>
    <w:rsid w:val="009E52FA"/>
    <w:rsid w:val="009E5B5E"/>
    <w:rsid w:val="009E63CB"/>
    <w:rsid w:val="009E674C"/>
    <w:rsid w:val="009F4A8D"/>
    <w:rsid w:val="009F4DFF"/>
    <w:rsid w:val="009F75EC"/>
    <w:rsid w:val="00A015E3"/>
    <w:rsid w:val="00A070A2"/>
    <w:rsid w:val="00A07273"/>
    <w:rsid w:val="00A11F85"/>
    <w:rsid w:val="00A13ED7"/>
    <w:rsid w:val="00A21C83"/>
    <w:rsid w:val="00A31492"/>
    <w:rsid w:val="00A355DE"/>
    <w:rsid w:val="00A36FCA"/>
    <w:rsid w:val="00A4259D"/>
    <w:rsid w:val="00A42650"/>
    <w:rsid w:val="00A45C89"/>
    <w:rsid w:val="00A518B2"/>
    <w:rsid w:val="00A528B1"/>
    <w:rsid w:val="00A57A4A"/>
    <w:rsid w:val="00A65640"/>
    <w:rsid w:val="00A66CFC"/>
    <w:rsid w:val="00A705DF"/>
    <w:rsid w:val="00A710A6"/>
    <w:rsid w:val="00A718CE"/>
    <w:rsid w:val="00A71EDF"/>
    <w:rsid w:val="00A7394C"/>
    <w:rsid w:val="00A763A6"/>
    <w:rsid w:val="00A80976"/>
    <w:rsid w:val="00A8572D"/>
    <w:rsid w:val="00A87E74"/>
    <w:rsid w:val="00A90D8B"/>
    <w:rsid w:val="00A9196B"/>
    <w:rsid w:val="00A919BC"/>
    <w:rsid w:val="00A9397F"/>
    <w:rsid w:val="00A95112"/>
    <w:rsid w:val="00A951E6"/>
    <w:rsid w:val="00A95970"/>
    <w:rsid w:val="00AA1208"/>
    <w:rsid w:val="00AA5228"/>
    <w:rsid w:val="00AB16CA"/>
    <w:rsid w:val="00AB5688"/>
    <w:rsid w:val="00AB6DC3"/>
    <w:rsid w:val="00AC05FA"/>
    <w:rsid w:val="00AC1302"/>
    <w:rsid w:val="00AD555C"/>
    <w:rsid w:val="00AD5F86"/>
    <w:rsid w:val="00AD7703"/>
    <w:rsid w:val="00AE0378"/>
    <w:rsid w:val="00AE3DD8"/>
    <w:rsid w:val="00AE4B78"/>
    <w:rsid w:val="00AE4F4C"/>
    <w:rsid w:val="00AF5716"/>
    <w:rsid w:val="00AF61B5"/>
    <w:rsid w:val="00AF7469"/>
    <w:rsid w:val="00B02654"/>
    <w:rsid w:val="00B049ED"/>
    <w:rsid w:val="00B05ED9"/>
    <w:rsid w:val="00B06D96"/>
    <w:rsid w:val="00B071D5"/>
    <w:rsid w:val="00B15E67"/>
    <w:rsid w:val="00B21FE2"/>
    <w:rsid w:val="00B248E4"/>
    <w:rsid w:val="00B277FF"/>
    <w:rsid w:val="00B31781"/>
    <w:rsid w:val="00B3499A"/>
    <w:rsid w:val="00B36DEC"/>
    <w:rsid w:val="00B36E05"/>
    <w:rsid w:val="00B40E07"/>
    <w:rsid w:val="00B4196D"/>
    <w:rsid w:val="00B419B9"/>
    <w:rsid w:val="00B41D2F"/>
    <w:rsid w:val="00B42AC2"/>
    <w:rsid w:val="00B441FC"/>
    <w:rsid w:val="00B47302"/>
    <w:rsid w:val="00B54E13"/>
    <w:rsid w:val="00B560A4"/>
    <w:rsid w:val="00B6122D"/>
    <w:rsid w:val="00B62F45"/>
    <w:rsid w:val="00B651D6"/>
    <w:rsid w:val="00B65294"/>
    <w:rsid w:val="00B67A16"/>
    <w:rsid w:val="00B7163A"/>
    <w:rsid w:val="00B72CC7"/>
    <w:rsid w:val="00B72D40"/>
    <w:rsid w:val="00B741FA"/>
    <w:rsid w:val="00B811F5"/>
    <w:rsid w:val="00B82E68"/>
    <w:rsid w:val="00B90ADF"/>
    <w:rsid w:val="00B95055"/>
    <w:rsid w:val="00B953A0"/>
    <w:rsid w:val="00B963B5"/>
    <w:rsid w:val="00B96767"/>
    <w:rsid w:val="00B97606"/>
    <w:rsid w:val="00BA1E7C"/>
    <w:rsid w:val="00BA24FB"/>
    <w:rsid w:val="00BA68B2"/>
    <w:rsid w:val="00BB1B82"/>
    <w:rsid w:val="00BB1C14"/>
    <w:rsid w:val="00BB30F2"/>
    <w:rsid w:val="00BB3107"/>
    <w:rsid w:val="00BB3241"/>
    <w:rsid w:val="00BB3AAC"/>
    <w:rsid w:val="00BB5893"/>
    <w:rsid w:val="00BC4BAA"/>
    <w:rsid w:val="00BC7100"/>
    <w:rsid w:val="00BD277C"/>
    <w:rsid w:val="00BD491E"/>
    <w:rsid w:val="00BE1475"/>
    <w:rsid w:val="00BE6D31"/>
    <w:rsid w:val="00BF1B01"/>
    <w:rsid w:val="00BF67EB"/>
    <w:rsid w:val="00BF6E91"/>
    <w:rsid w:val="00C0204C"/>
    <w:rsid w:val="00C03C9C"/>
    <w:rsid w:val="00C1366D"/>
    <w:rsid w:val="00C151F5"/>
    <w:rsid w:val="00C15857"/>
    <w:rsid w:val="00C16ABC"/>
    <w:rsid w:val="00C202F4"/>
    <w:rsid w:val="00C2478D"/>
    <w:rsid w:val="00C27BB8"/>
    <w:rsid w:val="00C3007A"/>
    <w:rsid w:val="00C3414D"/>
    <w:rsid w:val="00C403C8"/>
    <w:rsid w:val="00C441D7"/>
    <w:rsid w:val="00C53633"/>
    <w:rsid w:val="00C57598"/>
    <w:rsid w:val="00C6432A"/>
    <w:rsid w:val="00C6540F"/>
    <w:rsid w:val="00C65B2C"/>
    <w:rsid w:val="00C663A9"/>
    <w:rsid w:val="00C668EC"/>
    <w:rsid w:val="00C66AE2"/>
    <w:rsid w:val="00C810E9"/>
    <w:rsid w:val="00C8154C"/>
    <w:rsid w:val="00C832F5"/>
    <w:rsid w:val="00C83B88"/>
    <w:rsid w:val="00C879E5"/>
    <w:rsid w:val="00C90F44"/>
    <w:rsid w:val="00C91138"/>
    <w:rsid w:val="00C9181C"/>
    <w:rsid w:val="00C9573D"/>
    <w:rsid w:val="00C9623B"/>
    <w:rsid w:val="00C96C12"/>
    <w:rsid w:val="00CA139F"/>
    <w:rsid w:val="00CA4B04"/>
    <w:rsid w:val="00CA674F"/>
    <w:rsid w:val="00CA6BC8"/>
    <w:rsid w:val="00CB0997"/>
    <w:rsid w:val="00CB3AB1"/>
    <w:rsid w:val="00CB62A6"/>
    <w:rsid w:val="00CB71AC"/>
    <w:rsid w:val="00CD07ED"/>
    <w:rsid w:val="00CD11F1"/>
    <w:rsid w:val="00CD1719"/>
    <w:rsid w:val="00CD233E"/>
    <w:rsid w:val="00CD7EA5"/>
    <w:rsid w:val="00CE510B"/>
    <w:rsid w:val="00CE524A"/>
    <w:rsid w:val="00CE673D"/>
    <w:rsid w:val="00CE6D2F"/>
    <w:rsid w:val="00CE7AC1"/>
    <w:rsid w:val="00CE7D84"/>
    <w:rsid w:val="00CF0360"/>
    <w:rsid w:val="00CF0439"/>
    <w:rsid w:val="00CF134F"/>
    <w:rsid w:val="00CF270F"/>
    <w:rsid w:val="00CF6CFD"/>
    <w:rsid w:val="00D047FC"/>
    <w:rsid w:val="00D04BE0"/>
    <w:rsid w:val="00D07F07"/>
    <w:rsid w:val="00D10117"/>
    <w:rsid w:val="00D11459"/>
    <w:rsid w:val="00D11838"/>
    <w:rsid w:val="00D15F6A"/>
    <w:rsid w:val="00D201F5"/>
    <w:rsid w:val="00D23B8D"/>
    <w:rsid w:val="00D2496D"/>
    <w:rsid w:val="00D2573E"/>
    <w:rsid w:val="00D2713B"/>
    <w:rsid w:val="00D367F9"/>
    <w:rsid w:val="00D41631"/>
    <w:rsid w:val="00D42CA8"/>
    <w:rsid w:val="00D43DFB"/>
    <w:rsid w:val="00D441FD"/>
    <w:rsid w:val="00D46589"/>
    <w:rsid w:val="00D51015"/>
    <w:rsid w:val="00D53F86"/>
    <w:rsid w:val="00D54A4F"/>
    <w:rsid w:val="00D5655E"/>
    <w:rsid w:val="00D56C49"/>
    <w:rsid w:val="00D57C2E"/>
    <w:rsid w:val="00D6065F"/>
    <w:rsid w:val="00D63489"/>
    <w:rsid w:val="00D64058"/>
    <w:rsid w:val="00D70C90"/>
    <w:rsid w:val="00D74F8B"/>
    <w:rsid w:val="00D76454"/>
    <w:rsid w:val="00D77E00"/>
    <w:rsid w:val="00D86E40"/>
    <w:rsid w:val="00D87AD8"/>
    <w:rsid w:val="00D9130E"/>
    <w:rsid w:val="00D92301"/>
    <w:rsid w:val="00D9441E"/>
    <w:rsid w:val="00D96875"/>
    <w:rsid w:val="00D97B9A"/>
    <w:rsid w:val="00DA587E"/>
    <w:rsid w:val="00DA6370"/>
    <w:rsid w:val="00DB30DB"/>
    <w:rsid w:val="00DB3D8F"/>
    <w:rsid w:val="00DB3E31"/>
    <w:rsid w:val="00DB63E6"/>
    <w:rsid w:val="00DB6730"/>
    <w:rsid w:val="00DC0C3E"/>
    <w:rsid w:val="00DC18AE"/>
    <w:rsid w:val="00DC377F"/>
    <w:rsid w:val="00DC37A1"/>
    <w:rsid w:val="00DC3DBA"/>
    <w:rsid w:val="00DC3EE0"/>
    <w:rsid w:val="00DC586D"/>
    <w:rsid w:val="00DC73F4"/>
    <w:rsid w:val="00DD0C5B"/>
    <w:rsid w:val="00DD5160"/>
    <w:rsid w:val="00DE0603"/>
    <w:rsid w:val="00DE22A9"/>
    <w:rsid w:val="00DE4362"/>
    <w:rsid w:val="00DE4FE2"/>
    <w:rsid w:val="00DF070B"/>
    <w:rsid w:val="00DF3E15"/>
    <w:rsid w:val="00E009B6"/>
    <w:rsid w:val="00E009BF"/>
    <w:rsid w:val="00E0105D"/>
    <w:rsid w:val="00E0429C"/>
    <w:rsid w:val="00E04908"/>
    <w:rsid w:val="00E14DF0"/>
    <w:rsid w:val="00E21FBE"/>
    <w:rsid w:val="00E23718"/>
    <w:rsid w:val="00E2636A"/>
    <w:rsid w:val="00E27BDE"/>
    <w:rsid w:val="00E31570"/>
    <w:rsid w:val="00E37653"/>
    <w:rsid w:val="00E419BE"/>
    <w:rsid w:val="00E503BA"/>
    <w:rsid w:val="00E50D64"/>
    <w:rsid w:val="00E51781"/>
    <w:rsid w:val="00E62BFB"/>
    <w:rsid w:val="00E663C8"/>
    <w:rsid w:val="00E728D9"/>
    <w:rsid w:val="00E75601"/>
    <w:rsid w:val="00E80200"/>
    <w:rsid w:val="00E91D44"/>
    <w:rsid w:val="00E9261A"/>
    <w:rsid w:val="00E943C4"/>
    <w:rsid w:val="00E94E95"/>
    <w:rsid w:val="00E9594F"/>
    <w:rsid w:val="00E95A60"/>
    <w:rsid w:val="00E96EB7"/>
    <w:rsid w:val="00EA3672"/>
    <w:rsid w:val="00EA40F6"/>
    <w:rsid w:val="00EA41F4"/>
    <w:rsid w:val="00EA5821"/>
    <w:rsid w:val="00EB2C19"/>
    <w:rsid w:val="00EB799F"/>
    <w:rsid w:val="00EC13BB"/>
    <w:rsid w:val="00EC4059"/>
    <w:rsid w:val="00ED2E19"/>
    <w:rsid w:val="00ED4385"/>
    <w:rsid w:val="00ED56C0"/>
    <w:rsid w:val="00EE3490"/>
    <w:rsid w:val="00EE450B"/>
    <w:rsid w:val="00EE4BCD"/>
    <w:rsid w:val="00EF1ED7"/>
    <w:rsid w:val="00EF30BA"/>
    <w:rsid w:val="00EF3262"/>
    <w:rsid w:val="00EF3B5C"/>
    <w:rsid w:val="00F0239F"/>
    <w:rsid w:val="00F035D0"/>
    <w:rsid w:val="00F0387C"/>
    <w:rsid w:val="00F0795C"/>
    <w:rsid w:val="00F11264"/>
    <w:rsid w:val="00F124F6"/>
    <w:rsid w:val="00F1428D"/>
    <w:rsid w:val="00F22134"/>
    <w:rsid w:val="00F24703"/>
    <w:rsid w:val="00F33EF2"/>
    <w:rsid w:val="00F3427B"/>
    <w:rsid w:val="00F4392E"/>
    <w:rsid w:val="00F45F1F"/>
    <w:rsid w:val="00F46ECA"/>
    <w:rsid w:val="00F47A98"/>
    <w:rsid w:val="00F519AA"/>
    <w:rsid w:val="00F53E21"/>
    <w:rsid w:val="00F53E2D"/>
    <w:rsid w:val="00F541A6"/>
    <w:rsid w:val="00F5493C"/>
    <w:rsid w:val="00F6153F"/>
    <w:rsid w:val="00F620E5"/>
    <w:rsid w:val="00F6376B"/>
    <w:rsid w:val="00F63F25"/>
    <w:rsid w:val="00F66BBD"/>
    <w:rsid w:val="00F67AD6"/>
    <w:rsid w:val="00F67CDB"/>
    <w:rsid w:val="00F70F85"/>
    <w:rsid w:val="00F84501"/>
    <w:rsid w:val="00F93F95"/>
    <w:rsid w:val="00F94059"/>
    <w:rsid w:val="00F947DB"/>
    <w:rsid w:val="00F9785C"/>
    <w:rsid w:val="00FA33EF"/>
    <w:rsid w:val="00FA37D0"/>
    <w:rsid w:val="00FA7D9F"/>
    <w:rsid w:val="00FB31B2"/>
    <w:rsid w:val="00FB3449"/>
    <w:rsid w:val="00FB444B"/>
    <w:rsid w:val="00FC1083"/>
    <w:rsid w:val="00FC32B2"/>
    <w:rsid w:val="00FC34AF"/>
    <w:rsid w:val="00FC4AC7"/>
    <w:rsid w:val="00FD09C2"/>
    <w:rsid w:val="00FD2FF5"/>
    <w:rsid w:val="00FD4F75"/>
    <w:rsid w:val="00FD525E"/>
    <w:rsid w:val="00FE02C9"/>
    <w:rsid w:val="00FE238A"/>
    <w:rsid w:val="00FE3936"/>
    <w:rsid w:val="00FE6F02"/>
    <w:rsid w:val="00FF42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DD4BDA"/>
  <w15:chartTrackingRefBased/>
  <w15:docId w15:val="{17E6D4A3-8950-488A-AAC4-C9F894EE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3DE"/>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4063DE"/>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4063DE"/>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4063DE"/>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4063DE"/>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D7CCE"/>
    <w:pPr>
      <w:numPr>
        <w:numId w:val="27"/>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D7CCE"/>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B06D96"/>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29105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AreaHeading">
    <w:name w:val="Area Heading"/>
    <w:basedOn w:val="Normal"/>
    <w:qFormat/>
    <w:rsid w:val="004063DE"/>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9D7CCE"/>
    <w:pPr>
      <w:numPr>
        <w:ilvl w:val="2"/>
        <w:numId w:val="27"/>
      </w:numPr>
    </w:pPr>
    <w:rPr>
      <w:kern w:val="12"/>
      <w:sz w:val="20"/>
      <w:szCs w:val="20"/>
    </w:rPr>
  </w:style>
  <w:style w:type="numbering" w:customStyle="1" w:styleId="BoxedBullets">
    <w:name w:val="Boxed Bullets"/>
    <w:uiPriority w:val="99"/>
    <w:rsid w:val="009D7CCE"/>
    <w:pPr>
      <w:numPr>
        <w:numId w:val="24"/>
      </w:numPr>
    </w:pPr>
  </w:style>
  <w:style w:type="paragraph" w:customStyle="1" w:styleId="SecurityMarker">
    <w:name w:val="Security Marker"/>
    <w:basedOn w:val="Normal"/>
    <w:qFormat/>
    <w:rsid w:val="00827492"/>
    <w:pPr>
      <w:spacing w:before="60" w:after="60"/>
      <w:ind w:left="-1247"/>
      <w:jc w:val="center"/>
    </w:pPr>
    <w:rPr>
      <w:b/>
      <w:bCs/>
      <w:caps/>
      <w:color w:val="E10000"/>
      <w:sz w:val="28"/>
      <w:szCs w:val="28"/>
    </w:rPr>
  </w:style>
  <w:style w:type="character" w:styleId="FollowedHyperlink">
    <w:name w:val="FollowedHyperlink"/>
    <w:basedOn w:val="DefaultParagraphFont"/>
    <w:uiPriority w:val="99"/>
    <w:semiHidden/>
    <w:unhideWhenUsed/>
    <w:rsid w:val="00216AED"/>
    <w:rPr>
      <w:color w:val="0046FF" w:themeColor="followedHyperlink"/>
      <w:u w:val="single"/>
    </w:rPr>
  </w:style>
  <w:style w:type="character" w:styleId="CommentReference">
    <w:name w:val="annotation reference"/>
    <w:basedOn w:val="DefaultParagraphFont"/>
    <w:uiPriority w:val="99"/>
    <w:semiHidden/>
    <w:unhideWhenUsed/>
    <w:rsid w:val="00666D51"/>
    <w:rPr>
      <w:sz w:val="16"/>
      <w:szCs w:val="16"/>
    </w:rPr>
  </w:style>
  <w:style w:type="paragraph" w:styleId="CommentText">
    <w:name w:val="annotation text"/>
    <w:basedOn w:val="Normal"/>
    <w:link w:val="CommentTextChar"/>
    <w:uiPriority w:val="99"/>
    <w:unhideWhenUsed/>
    <w:rsid w:val="00666D51"/>
    <w:rPr>
      <w:sz w:val="20"/>
      <w:szCs w:val="20"/>
    </w:rPr>
  </w:style>
  <w:style w:type="character" w:customStyle="1" w:styleId="CommentTextChar">
    <w:name w:val="Comment Text Char"/>
    <w:basedOn w:val="DefaultParagraphFont"/>
    <w:link w:val="CommentText"/>
    <w:uiPriority w:val="99"/>
    <w:rsid w:val="00666D51"/>
    <w:rPr>
      <w:sz w:val="20"/>
      <w:szCs w:val="20"/>
    </w:rPr>
  </w:style>
  <w:style w:type="paragraph" w:styleId="CommentSubject">
    <w:name w:val="annotation subject"/>
    <w:basedOn w:val="CommentText"/>
    <w:next w:val="CommentText"/>
    <w:link w:val="CommentSubjectChar"/>
    <w:uiPriority w:val="99"/>
    <w:semiHidden/>
    <w:unhideWhenUsed/>
    <w:rsid w:val="00666D51"/>
    <w:rPr>
      <w:b/>
      <w:bCs/>
    </w:rPr>
  </w:style>
  <w:style w:type="character" w:customStyle="1" w:styleId="CommentSubjectChar">
    <w:name w:val="Comment Subject Char"/>
    <w:basedOn w:val="CommentTextChar"/>
    <w:link w:val="CommentSubject"/>
    <w:uiPriority w:val="99"/>
    <w:semiHidden/>
    <w:rsid w:val="00666D51"/>
    <w:rPr>
      <w:b/>
      <w:bCs/>
      <w:sz w:val="20"/>
      <w:szCs w:val="20"/>
    </w:rPr>
  </w:style>
  <w:style w:type="paragraph" w:styleId="BalloonText">
    <w:name w:val="Balloon Text"/>
    <w:basedOn w:val="Normal"/>
    <w:link w:val="BalloonTextChar"/>
    <w:uiPriority w:val="99"/>
    <w:semiHidden/>
    <w:unhideWhenUsed/>
    <w:rsid w:val="00666D5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D51"/>
    <w:rPr>
      <w:rFonts w:ascii="Segoe UI" w:hAnsi="Segoe UI" w:cs="Segoe UI"/>
      <w:sz w:val="18"/>
      <w:szCs w:val="18"/>
    </w:rPr>
  </w:style>
  <w:style w:type="paragraph" w:styleId="ListParagraph">
    <w:name w:val="List Paragraph"/>
    <w:basedOn w:val="Normal"/>
    <w:uiPriority w:val="34"/>
    <w:unhideWhenUsed/>
    <w:qFormat/>
    <w:rsid w:val="000075AC"/>
    <w:pPr>
      <w:ind w:left="720"/>
      <w:contextualSpacing/>
    </w:pPr>
  </w:style>
  <w:style w:type="character" w:styleId="UnresolvedMention">
    <w:name w:val="Unresolved Mention"/>
    <w:basedOn w:val="DefaultParagraphFont"/>
    <w:uiPriority w:val="99"/>
    <w:semiHidden/>
    <w:unhideWhenUsed/>
    <w:rsid w:val="004E1A6C"/>
    <w:rPr>
      <w:color w:val="605E5C"/>
      <w:shd w:val="clear" w:color="auto" w:fill="E1DFDD"/>
    </w:rPr>
  </w:style>
  <w:style w:type="paragraph" w:styleId="Revision">
    <w:name w:val="Revision"/>
    <w:hidden/>
    <w:uiPriority w:val="99"/>
    <w:semiHidden/>
    <w:rsid w:val="008D26AB"/>
    <w:pPr>
      <w:spacing w:before="0" w:after="0"/>
    </w:pPr>
  </w:style>
  <w:style w:type="paragraph" w:styleId="BodyText">
    <w:name w:val="Body Text"/>
    <w:aliases w:val="Body Text Cab,CAB - Body Text,CAB Body Text"/>
    <w:link w:val="BodyTextChar"/>
    <w:qFormat/>
    <w:rsid w:val="00595C08"/>
    <w:pPr>
      <w:spacing w:before="120" w:after="0"/>
    </w:pPr>
    <w:rPr>
      <w:rFonts w:ascii="Arial" w:hAnsi="Arial"/>
      <w:color w:val="auto"/>
    </w:rPr>
  </w:style>
  <w:style w:type="character" w:customStyle="1" w:styleId="BodyTextChar">
    <w:name w:val="Body Text Char"/>
    <w:aliases w:val="Body Text Cab Char,CAB - Body Text Char,CAB Body Text Char"/>
    <w:basedOn w:val="DefaultParagraphFont"/>
    <w:link w:val="BodyText"/>
    <w:rsid w:val="00595C08"/>
    <w:rPr>
      <w:rFonts w:ascii="Arial" w:hAnsi="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392">
      <w:bodyDiv w:val="1"/>
      <w:marLeft w:val="0"/>
      <w:marRight w:val="0"/>
      <w:marTop w:val="0"/>
      <w:marBottom w:val="0"/>
      <w:divBdr>
        <w:top w:val="none" w:sz="0" w:space="0" w:color="auto"/>
        <w:left w:val="none" w:sz="0" w:space="0" w:color="auto"/>
        <w:bottom w:val="none" w:sz="0" w:space="0" w:color="auto"/>
        <w:right w:val="none" w:sz="0" w:space="0" w:color="auto"/>
      </w:divBdr>
    </w:div>
    <w:div w:id="625626326">
      <w:bodyDiv w:val="1"/>
      <w:marLeft w:val="0"/>
      <w:marRight w:val="0"/>
      <w:marTop w:val="0"/>
      <w:marBottom w:val="0"/>
      <w:divBdr>
        <w:top w:val="none" w:sz="0" w:space="0" w:color="auto"/>
        <w:left w:val="none" w:sz="0" w:space="0" w:color="auto"/>
        <w:bottom w:val="none" w:sz="0" w:space="0" w:color="auto"/>
        <w:right w:val="none" w:sz="0" w:space="0" w:color="auto"/>
      </w:divBdr>
    </w:div>
    <w:div w:id="677735845">
      <w:bodyDiv w:val="1"/>
      <w:marLeft w:val="0"/>
      <w:marRight w:val="0"/>
      <w:marTop w:val="0"/>
      <w:marBottom w:val="0"/>
      <w:divBdr>
        <w:top w:val="none" w:sz="0" w:space="0" w:color="auto"/>
        <w:left w:val="none" w:sz="0" w:space="0" w:color="auto"/>
        <w:bottom w:val="none" w:sz="0" w:space="0" w:color="auto"/>
        <w:right w:val="none" w:sz="0" w:space="0" w:color="auto"/>
      </w:divBdr>
    </w:div>
    <w:div w:id="723794503">
      <w:bodyDiv w:val="1"/>
      <w:marLeft w:val="0"/>
      <w:marRight w:val="0"/>
      <w:marTop w:val="0"/>
      <w:marBottom w:val="0"/>
      <w:divBdr>
        <w:top w:val="none" w:sz="0" w:space="0" w:color="auto"/>
        <w:left w:val="none" w:sz="0" w:space="0" w:color="auto"/>
        <w:bottom w:val="none" w:sz="0" w:space="0" w:color="auto"/>
        <w:right w:val="none" w:sz="0" w:space="0" w:color="auto"/>
      </w:divBdr>
    </w:div>
    <w:div w:id="893197996">
      <w:bodyDiv w:val="1"/>
      <w:marLeft w:val="0"/>
      <w:marRight w:val="0"/>
      <w:marTop w:val="0"/>
      <w:marBottom w:val="0"/>
      <w:divBdr>
        <w:top w:val="none" w:sz="0" w:space="0" w:color="auto"/>
        <w:left w:val="none" w:sz="0" w:space="0" w:color="auto"/>
        <w:bottom w:val="none" w:sz="0" w:space="0" w:color="auto"/>
        <w:right w:val="none" w:sz="0" w:space="0" w:color="auto"/>
      </w:divBdr>
    </w:div>
    <w:div w:id="896937659">
      <w:bodyDiv w:val="1"/>
      <w:marLeft w:val="0"/>
      <w:marRight w:val="0"/>
      <w:marTop w:val="0"/>
      <w:marBottom w:val="0"/>
      <w:divBdr>
        <w:top w:val="none" w:sz="0" w:space="0" w:color="auto"/>
        <w:left w:val="none" w:sz="0" w:space="0" w:color="auto"/>
        <w:bottom w:val="none" w:sz="0" w:space="0" w:color="auto"/>
        <w:right w:val="none" w:sz="0" w:space="0" w:color="auto"/>
      </w:divBdr>
    </w:div>
    <w:div w:id="946161563">
      <w:bodyDiv w:val="1"/>
      <w:marLeft w:val="0"/>
      <w:marRight w:val="0"/>
      <w:marTop w:val="0"/>
      <w:marBottom w:val="0"/>
      <w:divBdr>
        <w:top w:val="none" w:sz="0" w:space="0" w:color="auto"/>
        <w:left w:val="none" w:sz="0" w:space="0" w:color="auto"/>
        <w:bottom w:val="none" w:sz="0" w:space="0" w:color="auto"/>
        <w:right w:val="none" w:sz="0" w:space="0" w:color="auto"/>
      </w:divBdr>
    </w:div>
    <w:div w:id="997155071">
      <w:bodyDiv w:val="1"/>
      <w:marLeft w:val="0"/>
      <w:marRight w:val="0"/>
      <w:marTop w:val="0"/>
      <w:marBottom w:val="0"/>
      <w:divBdr>
        <w:top w:val="none" w:sz="0" w:space="0" w:color="auto"/>
        <w:left w:val="none" w:sz="0" w:space="0" w:color="auto"/>
        <w:bottom w:val="none" w:sz="0" w:space="0" w:color="auto"/>
        <w:right w:val="none" w:sz="0" w:space="0" w:color="auto"/>
      </w:divBdr>
    </w:div>
    <w:div w:id="1093625094">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53412733">
      <w:bodyDiv w:val="1"/>
      <w:marLeft w:val="0"/>
      <w:marRight w:val="0"/>
      <w:marTop w:val="0"/>
      <w:marBottom w:val="0"/>
      <w:divBdr>
        <w:top w:val="none" w:sz="0" w:space="0" w:color="auto"/>
        <w:left w:val="none" w:sz="0" w:space="0" w:color="auto"/>
        <w:bottom w:val="none" w:sz="0" w:space="0" w:color="auto"/>
        <w:right w:val="none" w:sz="0" w:space="0" w:color="auto"/>
      </w:divBdr>
    </w:div>
    <w:div w:id="1357121951">
      <w:bodyDiv w:val="1"/>
      <w:marLeft w:val="0"/>
      <w:marRight w:val="0"/>
      <w:marTop w:val="0"/>
      <w:marBottom w:val="0"/>
      <w:divBdr>
        <w:top w:val="none" w:sz="0" w:space="0" w:color="auto"/>
        <w:left w:val="none" w:sz="0" w:space="0" w:color="auto"/>
        <w:bottom w:val="none" w:sz="0" w:space="0" w:color="auto"/>
        <w:right w:val="none" w:sz="0" w:space="0" w:color="auto"/>
      </w:divBdr>
    </w:div>
    <w:div w:id="1390959579">
      <w:bodyDiv w:val="1"/>
      <w:marLeft w:val="0"/>
      <w:marRight w:val="0"/>
      <w:marTop w:val="0"/>
      <w:marBottom w:val="0"/>
      <w:divBdr>
        <w:top w:val="none" w:sz="0" w:space="0" w:color="auto"/>
        <w:left w:val="none" w:sz="0" w:space="0" w:color="auto"/>
        <w:bottom w:val="none" w:sz="0" w:space="0" w:color="auto"/>
        <w:right w:val="none" w:sz="0" w:space="0" w:color="auto"/>
      </w:divBdr>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 w:id="1464035542">
      <w:bodyDiv w:val="1"/>
      <w:marLeft w:val="0"/>
      <w:marRight w:val="0"/>
      <w:marTop w:val="0"/>
      <w:marBottom w:val="0"/>
      <w:divBdr>
        <w:top w:val="none" w:sz="0" w:space="0" w:color="auto"/>
        <w:left w:val="none" w:sz="0" w:space="0" w:color="auto"/>
        <w:bottom w:val="none" w:sz="0" w:space="0" w:color="auto"/>
        <w:right w:val="none" w:sz="0" w:space="0" w:color="auto"/>
      </w:divBdr>
    </w:div>
    <w:div w:id="1804931087">
      <w:bodyDiv w:val="1"/>
      <w:marLeft w:val="0"/>
      <w:marRight w:val="0"/>
      <w:marTop w:val="0"/>
      <w:marBottom w:val="0"/>
      <w:divBdr>
        <w:top w:val="none" w:sz="0" w:space="0" w:color="auto"/>
        <w:left w:val="none" w:sz="0" w:space="0" w:color="auto"/>
        <w:bottom w:val="none" w:sz="0" w:space="0" w:color="auto"/>
        <w:right w:val="none" w:sz="0" w:space="0" w:color="auto"/>
      </w:divBdr>
      <w:divsChild>
        <w:div w:id="398138258">
          <w:marLeft w:val="446"/>
          <w:marRight w:val="0"/>
          <w:marTop w:val="120"/>
          <w:marBottom w:val="0"/>
          <w:divBdr>
            <w:top w:val="none" w:sz="0" w:space="0" w:color="auto"/>
            <w:left w:val="none" w:sz="0" w:space="0" w:color="auto"/>
            <w:bottom w:val="none" w:sz="0" w:space="0" w:color="auto"/>
            <w:right w:val="none" w:sz="0" w:space="0" w:color="auto"/>
          </w:divBdr>
        </w:div>
        <w:div w:id="713315256">
          <w:marLeft w:val="1166"/>
          <w:marRight w:val="0"/>
          <w:marTop w:val="120"/>
          <w:marBottom w:val="0"/>
          <w:divBdr>
            <w:top w:val="none" w:sz="0" w:space="0" w:color="auto"/>
            <w:left w:val="none" w:sz="0" w:space="0" w:color="auto"/>
            <w:bottom w:val="none" w:sz="0" w:space="0" w:color="auto"/>
            <w:right w:val="none" w:sz="0" w:space="0" w:color="auto"/>
          </w:divBdr>
        </w:div>
        <w:div w:id="754672437">
          <w:marLeft w:val="1166"/>
          <w:marRight w:val="0"/>
          <w:marTop w:val="120"/>
          <w:marBottom w:val="0"/>
          <w:divBdr>
            <w:top w:val="none" w:sz="0" w:space="0" w:color="auto"/>
            <w:left w:val="none" w:sz="0" w:space="0" w:color="auto"/>
            <w:bottom w:val="none" w:sz="0" w:space="0" w:color="auto"/>
            <w:right w:val="none" w:sz="0" w:space="0" w:color="auto"/>
          </w:divBdr>
        </w:div>
        <w:div w:id="1858228489">
          <w:marLeft w:val="1166"/>
          <w:marRight w:val="0"/>
          <w:marTop w:val="120"/>
          <w:marBottom w:val="0"/>
          <w:divBdr>
            <w:top w:val="none" w:sz="0" w:space="0" w:color="auto"/>
            <w:left w:val="none" w:sz="0" w:space="0" w:color="auto"/>
            <w:bottom w:val="none" w:sz="0" w:space="0" w:color="auto"/>
            <w:right w:val="none" w:sz="0" w:space="0" w:color="auto"/>
          </w:divBdr>
        </w:div>
      </w:divsChild>
    </w:div>
    <w:div w:id="1870873375">
      <w:bodyDiv w:val="1"/>
      <w:marLeft w:val="0"/>
      <w:marRight w:val="0"/>
      <w:marTop w:val="0"/>
      <w:marBottom w:val="0"/>
      <w:divBdr>
        <w:top w:val="none" w:sz="0" w:space="0" w:color="auto"/>
        <w:left w:val="none" w:sz="0" w:space="0" w:color="auto"/>
        <w:bottom w:val="none" w:sz="0" w:space="0" w:color="auto"/>
        <w:right w:val="none" w:sz="0" w:space="0" w:color="auto"/>
      </w:divBdr>
    </w:div>
    <w:div w:id="1905292652">
      <w:bodyDiv w:val="1"/>
      <w:marLeft w:val="0"/>
      <w:marRight w:val="0"/>
      <w:marTop w:val="0"/>
      <w:marBottom w:val="0"/>
      <w:divBdr>
        <w:top w:val="none" w:sz="0" w:space="0" w:color="auto"/>
        <w:left w:val="none" w:sz="0" w:space="0" w:color="auto"/>
        <w:bottom w:val="none" w:sz="0" w:space="0" w:color="auto"/>
        <w:right w:val="none" w:sz="0" w:space="0" w:color="auto"/>
      </w:divBdr>
    </w:div>
    <w:div w:id="20403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infrastructure.gov.au/sites/default/files/documents/terms-of-reference-cta-review.pdf"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nfrastructure.gov.au/sites/default/files/documents/strategic-fleet-taskforce-final-report.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alrc.gov.au/publication/for-your-information-australian-privacy-law-and-practice-alrc-report-108/" TargetMode="External"/><Relationship Id="rId2" Type="http://schemas.openxmlformats.org/officeDocument/2006/relationships/hyperlink" Target="https://www.infrastructure.gov.au/infrastructure-transport-vehicles/maritime/maritime-strategic-fleet/implementation-strategic-fleet" TargetMode="External"/><Relationship Id="rId1" Type="http://schemas.openxmlformats.org/officeDocument/2006/relationships/hyperlink" Target="http://www.bitre.gov.au/sites/default/files/documents/bitre-yearbook-2023.pdf" TargetMode="External"/><Relationship Id="rId5" Type="http://schemas.openxmlformats.org/officeDocument/2006/relationships/hyperlink" Target="https://www.judgments.fedcourt.gov.au/judgments/Judgments/fca/full/2014/2014fcafc0010" TargetMode="External"/><Relationship Id="rId4" Type="http://schemas.openxmlformats.org/officeDocument/2006/relationships/hyperlink" Target="https://www.opc.gov.au/sites/default/files/2023-01/s13ag320.v5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Report%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C1E2CEB0324A04A11203FA9B9FF523"/>
        <w:category>
          <w:name w:val="General"/>
          <w:gallery w:val="placeholder"/>
        </w:category>
        <w:types>
          <w:type w:val="bbPlcHdr"/>
        </w:types>
        <w:behaviors>
          <w:behavior w:val="content"/>
        </w:behaviors>
        <w:guid w:val="{B4FC0FF6-E357-4D7B-A811-6C5AC03D6FD7}"/>
      </w:docPartPr>
      <w:docPartBody>
        <w:p w:rsidR="005E70E4" w:rsidRDefault="005E70E4">
          <w:pPr>
            <w:pStyle w:val="B1C1E2CEB0324A04A11203FA9B9FF523"/>
          </w:pPr>
          <w:r w:rsidRPr="007F2826">
            <w:rPr>
              <w:rStyle w:val="PlaceholderText"/>
            </w:rPr>
            <w:t>Choose an item.</w:t>
          </w:r>
        </w:p>
      </w:docPartBody>
    </w:docPart>
    <w:docPart>
      <w:docPartPr>
        <w:name w:val="B84E19D0411B4E8F8287838F3D844F3E"/>
        <w:category>
          <w:name w:val="General"/>
          <w:gallery w:val="placeholder"/>
        </w:category>
        <w:types>
          <w:type w:val="bbPlcHdr"/>
        </w:types>
        <w:behaviors>
          <w:behavior w:val="content"/>
        </w:behaviors>
        <w:guid w:val="{AA21E032-A998-4672-BC5B-75C7FD7B980E}"/>
      </w:docPartPr>
      <w:docPartBody>
        <w:p w:rsidR="005E70E4" w:rsidRDefault="005E70E4">
          <w:pPr>
            <w:pStyle w:val="B84E19D0411B4E8F8287838F3D844F3E"/>
          </w:pPr>
          <w:r w:rsidRPr="00EC51DD">
            <w:rPr>
              <w:rStyle w:val="PlaceholderText"/>
            </w:rPr>
            <w:t>[Title]</w:t>
          </w:r>
        </w:p>
      </w:docPartBody>
    </w:docPart>
    <w:docPart>
      <w:docPartPr>
        <w:name w:val="9601E811A10340C7B2B0FBD6CE318424"/>
        <w:category>
          <w:name w:val="General"/>
          <w:gallery w:val="placeholder"/>
        </w:category>
        <w:types>
          <w:type w:val="bbPlcHdr"/>
        </w:types>
        <w:behaviors>
          <w:behavior w:val="content"/>
        </w:behaviors>
        <w:guid w:val="{181CE2A3-F440-46DA-A401-4406D656F799}"/>
      </w:docPartPr>
      <w:docPartBody>
        <w:p w:rsidR="005E70E4" w:rsidRDefault="005E70E4">
          <w:pPr>
            <w:pStyle w:val="9601E811A10340C7B2B0FBD6CE318424"/>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E4"/>
    <w:rsid w:val="000F7478"/>
    <w:rsid w:val="001B692F"/>
    <w:rsid w:val="0026346C"/>
    <w:rsid w:val="00304E4A"/>
    <w:rsid w:val="003063E0"/>
    <w:rsid w:val="003163F9"/>
    <w:rsid w:val="005E70E4"/>
    <w:rsid w:val="00692325"/>
    <w:rsid w:val="006C1665"/>
    <w:rsid w:val="00783CB0"/>
    <w:rsid w:val="008114CC"/>
    <w:rsid w:val="008C150A"/>
    <w:rsid w:val="009919E0"/>
    <w:rsid w:val="009F21E2"/>
    <w:rsid w:val="00A10AE0"/>
    <w:rsid w:val="00B25589"/>
    <w:rsid w:val="00B7480B"/>
    <w:rsid w:val="00BF1D8C"/>
    <w:rsid w:val="00C41E5F"/>
    <w:rsid w:val="00E66C92"/>
    <w:rsid w:val="00EE2252"/>
    <w:rsid w:val="00FE7F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1C1E2CEB0324A04A11203FA9B9FF523">
    <w:name w:val="B1C1E2CEB0324A04A11203FA9B9FF523"/>
  </w:style>
  <w:style w:type="paragraph" w:customStyle="1" w:styleId="B84E19D0411B4E8F8287838F3D844F3E">
    <w:name w:val="B84E19D0411B4E8F8287838F3D844F3E"/>
  </w:style>
  <w:style w:type="paragraph" w:customStyle="1" w:styleId="9601E811A10340C7B2B0FBD6CE318424">
    <w:name w:val="9601E811A10340C7B2B0FBD6CE318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2024-10-01T00:00:00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4F7469F833C847A5B3FBA3B52DF2CB" ma:contentTypeVersion="5" ma:contentTypeDescription="Create a new document." ma:contentTypeScope="" ma:versionID="e309a4580dd13722a29835ba9bc00707">
  <xsd:schema xmlns:xsd="http://www.w3.org/2001/XMLSchema" xmlns:xs="http://www.w3.org/2001/XMLSchema" xmlns:p="http://schemas.microsoft.com/office/2006/metadata/properties" xmlns:ns2="dbebc40f-f9ee-46fe-882d-981698ee0453" targetNamespace="http://schemas.microsoft.com/office/2006/metadata/properties" ma:root="true" ma:fieldsID="260548f6974434520d4424a8d6dd8ce7" ns2:_="">
    <xsd:import namespace="dbebc40f-f9ee-46fe-882d-981698ee0453"/>
    <xsd:element name="properties">
      <xsd:complexType>
        <xsd:sequence>
          <xsd:element name="documentManagement">
            <xsd:complexType>
              <xsd:all>
                <xsd:element ref="ns2:RecordNumber" minOccurs="0"/>
                <xsd:element ref="ns2:gd8b8488099b49cc860a2a6e7d8d90fa" minOccurs="0"/>
                <xsd:element ref="ns2:TaxCatchAll" minOccurs="0"/>
                <xsd:element ref="ns2:TaxCatchAllLabel" minOccurs="0"/>
                <xsd:element ref="ns2:la5be840687e41c7a95fc7e04ecab72f"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bc40f-f9ee-46fe-882d-981698ee0453"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d8b8488099b49cc860a2a6e7d8d90fa" ma:index="9" ma:taxonomy="true" ma:internalName="gd8b8488099b49cc860a2a6e7d8d90fa" ma:taxonomyFieldName="Security_x0020_Classification" ma:displayName="Security Classification" ma:readOnly="false" ma:default="1;#OFFICIAL|66ee57a8-59d0-46bc-a5fc-78440ee0cf81" ma:fieldId="{0d8b8488-099b-49cc-860a-2a6e7d8d90fa}"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b70660b-af5f-4d79-83ab-2f8d0584ef06}" ma:internalName="TaxCatchAll" ma:showField="CatchAllData" ma:web="dbebc40f-f9ee-46fe-882d-981698ee04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b70660b-af5f-4d79-83ab-2f8d0584ef06}" ma:internalName="TaxCatchAllLabel" ma:readOnly="true" ma:showField="CatchAllDataLabel" ma:web="dbebc40f-f9ee-46fe-882d-981698ee0453">
      <xsd:complexType>
        <xsd:complexContent>
          <xsd:extension base="dms:MultiChoiceLookup">
            <xsd:sequence>
              <xsd:element name="Value" type="dms:Lookup" maxOccurs="unbounded" minOccurs="0" nillable="true"/>
            </xsd:sequence>
          </xsd:extension>
        </xsd:complexContent>
      </xsd:complexType>
    </xsd:element>
    <xsd:element name="la5be840687e41c7a95fc7e04ecab72f" ma:index="13" nillable="true" ma:taxonomy="true" ma:internalName="la5be840687e41c7a95fc7e04ecab72f" ma:taxonomyFieldName="Information_x0020_Management_x0020_Marker" ma:displayName="Information Management Marker" ma:default="" ma:fieldId="{5a5be840-687e-41c7-a95f-c7e04ecab72f}"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C9BB2B-4515-4C2E-8488-8FD69A15DB81}">
  <ds:schemaRefs>
    <ds:schemaRef ds:uri="http://schemas.microsoft.com/sharepoint/v3/contenttype/forms"/>
  </ds:schemaRefs>
</ds:datastoreItem>
</file>

<file path=customXml/itemProps3.xml><?xml version="1.0" encoding="utf-8"?>
<ds:datastoreItem xmlns:ds="http://schemas.openxmlformats.org/officeDocument/2006/customXml" ds:itemID="{6DD86726-0E21-469E-A488-1C6F18794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bc40f-f9ee-46fe-882d-981698ee0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827286-38F7-4E85-A275-8C66468C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portrait.dotx</Template>
  <TotalTime>2</TotalTime>
  <Pages>11</Pages>
  <Words>4383</Words>
  <Characters>24986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Consultation for Phase 1</vt:lpstr>
    </vt:vector>
  </TitlesOfParts>
  <Company>Department of Infrastructure &amp; Regional Development</Company>
  <LinksUpToDate>false</LinksUpToDate>
  <CharactersWithSpaces>29311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for Phase 1</dc:title>
  <dc:subject/>
  <dc:creator>SIM, Charmian</dc:creator>
  <cp:keywords/>
  <dc:description/>
  <cp:lastModifiedBy>ELLIS, Mark</cp:lastModifiedBy>
  <cp:revision>3</cp:revision>
  <cp:lastPrinted>2024-09-24T05:45:00Z</cp:lastPrinted>
  <dcterms:created xsi:type="dcterms:W3CDTF">2024-10-02T02:07:00Z</dcterms:created>
  <dcterms:modified xsi:type="dcterms:W3CDTF">2024-10-02T04:03:00Z</dcterms:modified>
  <cp:contentStatus>OFFICIAL / OFFICIAL: SENSITIVE / PROTECTEDSELECT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0x010100774F7469F833C847A5B3FBA3B52DF2CB</vt:lpwstr>
  </property>
</Properties>
</file>