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4.jpg" ContentType="image/png"/>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65868" w14:textId="77777777" w:rsidR="00A054CB" w:rsidRDefault="00A054CB" w:rsidP="00A054CB"/>
    <w:p w14:paraId="4DAA8537" w14:textId="77777777" w:rsidR="00A054CB" w:rsidRDefault="00A054CB" w:rsidP="00A054CB">
      <w:pPr>
        <w:tabs>
          <w:tab w:val="left" w:pos="7072"/>
        </w:tabs>
      </w:pPr>
      <w:r>
        <w:tab/>
      </w:r>
    </w:p>
    <w:p w14:paraId="21C57D5A" w14:textId="77777777" w:rsidR="00A054CB" w:rsidRDefault="00A054CB" w:rsidP="00A054CB"/>
    <w:p w14:paraId="3066AE87" w14:textId="77777777" w:rsidR="00A054CB" w:rsidRDefault="00A054CB" w:rsidP="00A054CB">
      <w:r>
        <w:t xml:space="preserve">This information paper is made under subclause 8.3.1 of the Ministerial Directions for the Tasmanian Freight Equalisation Scheme (TFES).  </w:t>
      </w:r>
    </w:p>
    <w:p w14:paraId="6E4239CC" w14:textId="77777777" w:rsidR="00A054CB" w:rsidRDefault="00A054CB" w:rsidP="00A054CB">
      <w:pPr>
        <w:pStyle w:val="Heading1"/>
      </w:pPr>
      <w:r>
        <w:t>Conversion Factors</w:t>
      </w:r>
    </w:p>
    <w:p w14:paraId="7DB02F42" w14:textId="5B84ED45" w:rsidR="00A054CB" w:rsidRDefault="00A054CB" w:rsidP="00A054CB">
      <w:r>
        <w:t>The TFES Ministerial Directions provide that where a claimant’s freight invoice includes transport units of a different size to a TEU (twenty-foot equivalent unit) and/or represents less than a Full Container Load (LCL), the invoice is adjusted by converting the tra</w:t>
      </w:r>
      <w:r w:rsidR="009111A9">
        <w:t>nsport unit to a TEU equivalent.</w:t>
      </w:r>
      <w:r>
        <w:t xml:space="preserve"> This information paper sets out conversion factors used by the Scheme to calculate assistance. </w:t>
      </w:r>
    </w:p>
    <w:p w14:paraId="6B11E365" w14:textId="77777777" w:rsidR="00A054CB" w:rsidDel="001D685C" w:rsidRDefault="00A054CB" w:rsidP="00A054CB">
      <w:pPr>
        <w:pStyle w:val="Note"/>
      </w:pPr>
      <w:r w:rsidDel="001D685C">
        <w:t xml:space="preserve">Note: </w:t>
      </w:r>
      <w:r w:rsidRPr="00F0638A" w:rsidDel="001D685C">
        <w:t xml:space="preserve">The list in this Schedule is not exhaustive. If you have any queries regarding this list, contact Tasmanian Transport Schemes, </w:t>
      </w:r>
      <w:r>
        <w:t>Services Australia</w:t>
      </w:r>
      <w:r w:rsidRPr="00F0638A" w:rsidDel="001D685C">
        <w:t>.</w:t>
      </w:r>
    </w:p>
    <w:p w14:paraId="284D939A" w14:textId="77777777" w:rsidR="00A054CB" w:rsidRDefault="00A054CB" w:rsidP="00A054CB">
      <w:pPr>
        <w:pStyle w:val="Heading2"/>
      </w:pPr>
      <w:r>
        <w:t>General Conversions</w:t>
      </w:r>
    </w:p>
    <w:p w14:paraId="432442CD" w14:textId="77777777" w:rsidR="00A054CB" w:rsidRDefault="00A054CB" w:rsidP="00A054CB">
      <w:pPr>
        <w:pStyle w:val="Bullet"/>
        <w:numPr>
          <w:ilvl w:val="0"/>
          <w:numId w:val="0"/>
        </w:numPr>
      </w:pPr>
      <w:r>
        <w:t>Average capacity of a TEU = 30 m3 or 21 tonnes</w:t>
      </w:r>
    </w:p>
    <w:p w14:paraId="612393BA" w14:textId="77777777" w:rsidR="00A054CB" w:rsidRDefault="00A054CB" w:rsidP="00A054CB">
      <w:pPr>
        <w:pStyle w:val="Heading3"/>
      </w:pPr>
      <w:r>
        <w:t>Pallets</w:t>
      </w:r>
    </w:p>
    <w:p w14:paraId="2CE73DEF" w14:textId="77777777" w:rsidR="00A054CB" w:rsidRDefault="00A054CB" w:rsidP="00BD7CFE">
      <w:pPr>
        <w:pStyle w:val="Bullet"/>
        <w:ind w:hanging="436"/>
      </w:pPr>
      <w:r>
        <w:t>1 pallet = 0.020 tonnes</w:t>
      </w:r>
    </w:p>
    <w:p w14:paraId="3E3FBADD" w14:textId="128E8BC5" w:rsidR="00A054CB" w:rsidRPr="007F4E4A" w:rsidRDefault="00A054CB" w:rsidP="00BD7CFE">
      <w:pPr>
        <w:pStyle w:val="Bullet"/>
        <w:ind w:hanging="436"/>
      </w:pPr>
      <w:r>
        <w:t>1 pallet = 0.2m</w:t>
      </w:r>
      <w:r>
        <w:rPr>
          <w:vertAlign w:val="superscript"/>
        </w:rPr>
        <w:t>3</w:t>
      </w:r>
    </w:p>
    <w:p w14:paraId="0194C203" w14:textId="77777777" w:rsidR="007F4E4A" w:rsidRPr="008D709B" w:rsidRDefault="007F4E4A" w:rsidP="007F4E4A">
      <w:pPr>
        <w:pStyle w:val="Bullet"/>
        <w:numPr>
          <w:ilvl w:val="0"/>
          <w:numId w:val="0"/>
        </w:numPr>
        <w:ind w:left="720"/>
      </w:pPr>
    </w:p>
    <w:p w14:paraId="4916C45D" w14:textId="5E0D9DA6" w:rsidR="00BD7CFE" w:rsidRPr="008D709B" w:rsidRDefault="007F4E4A" w:rsidP="00BD7CFE">
      <w:pPr>
        <w:rPr>
          <w:rFonts w:eastAsiaTheme="majorEastAsia" w:cstheme="majorBidi"/>
          <w:bCs/>
          <w:color w:val="auto"/>
          <w:sz w:val="24"/>
        </w:rPr>
      </w:pPr>
      <w:r>
        <w:rPr>
          <w:rFonts w:eastAsiaTheme="majorEastAsia" w:cstheme="majorBidi"/>
          <w:bCs/>
          <w:color w:val="auto"/>
          <w:sz w:val="24"/>
        </w:rPr>
        <w:t>Motor Vehicle</w:t>
      </w:r>
      <w:r w:rsidR="00BD7CFE" w:rsidRPr="008D709B">
        <w:rPr>
          <w:rFonts w:eastAsiaTheme="majorEastAsia" w:cstheme="majorBidi"/>
          <w:bCs/>
          <w:color w:val="auto"/>
          <w:sz w:val="24"/>
        </w:rPr>
        <w:t xml:space="preserve"> Conversions</w:t>
      </w:r>
    </w:p>
    <w:p w14:paraId="69F6CFE1" w14:textId="7D5B58A4" w:rsidR="005E2107" w:rsidRDefault="005E2107" w:rsidP="00B15030">
      <w:pPr>
        <w:pStyle w:val="Bullet"/>
        <w:numPr>
          <w:ilvl w:val="0"/>
          <w:numId w:val="0"/>
        </w:numPr>
      </w:pPr>
      <w:r>
        <w:t>Assistance for:</w:t>
      </w:r>
    </w:p>
    <w:p w14:paraId="7325261E" w14:textId="519C084A" w:rsidR="00BD7CFE" w:rsidRDefault="00BD7CFE" w:rsidP="008B1B09">
      <w:pPr>
        <w:pStyle w:val="Bullet"/>
        <w:ind w:hanging="436"/>
      </w:pPr>
      <w:r>
        <w:t>rigid tray trucks length is based on the length of the tray</w:t>
      </w:r>
    </w:p>
    <w:p w14:paraId="73344DC6" w14:textId="77777777" w:rsidR="00BD7CFE" w:rsidRDefault="00BD7CFE" w:rsidP="008B1B09">
      <w:pPr>
        <w:pStyle w:val="Bullet"/>
        <w:ind w:hanging="436"/>
      </w:pPr>
      <w:r>
        <w:t>prime movers and trailers is based on the length of the trailer</w:t>
      </w:r>
    </w:p>
    <w:p w14:paraId="38988EF4" w14:textId="237DE5CF" w:rsidR="00BD7CFE" w:rsidRDefault="00BD7CFE" w:rsidP="008B1B09">
      <w:pPr>
        <w:pStyle w:val="Bullet"/>
        <w:ind w:hanging="436"/>
      </w:pPr>
      <w:r>
        <w:t>pantechnicons is based on the length of the cargo tray and includes any portion which overhangs the driver cab</w:t>
      </w:r>
    </w:p>
    <w:p w14:paraId="3FDB87FB" w14:textId="12F2898A" w:rsidR="007876C6" w:rsidRPr="007876C6" w:rsidRDefault="007876C6" w:rsidP="008B1B09">
      <w:pPr>
        <w:pStyle w:val="Bullet"/>
        <w:ind w:hanging="436"/>
      </w:pPr>
      <w:r w:rsidRPr="007876C6">
        <w:t>trailers towed behind cars is based on the length of the trailer less the length of the draw bar. One metre is to be deducted where the exact draw bar length is not readily available</w:t>
      </w:r>
    </w:p>
    <w:p w14:paraId="63FC8F95" w14:textId="6CBCEB31" w:rsidR="007876C6" w:rsidRPr="007876C6" w:rsidRDefault="007876C6" w:rsidP="008B1B09">
      <w:pPr>
        <w:pStyle w:val="Bullet"/>
        <w:ind w:hanging="436"/>
      </w:pPr>
      <w:r w:rsidRPr="007876C6">
        <w:t xml:space="preserve">horse floats - where the float has an internal width of less than 2 metres, is paid on </w:t>
      </w:r>
      <w:proofErr w:type="gramStart"/>
      <w:r w:rsidRPr="007876C6">
        <w:t>a</w:t>
      </w:r>
      <w:proofErr w:type="gramEnd"/>
      <w:r w:rsidRPr="007876C6">
        <w:t xml:space="preserve"> LCL basis. Where the cargo space width is equal to or greater than 2 metres, assistance is paid on a FCL basis</w:t>
      </w:r>
    </w:p>
    <w:p w14:paraId="6B1D3A71" w14:textId="74F6D4FB" w:rsidR="007876C6" w:rsidRPr="007876C6" w:rsidRDefault="00E007E1" w:rsidP="008B1B09">
      <w:pPr>
        <w:pStyle w:val="Bullet"/>
        <w:ind w:hanging="436"/>
      </w:pPr>
      <w:r>
        <w:t>c</w:t>
      </w:r>
      <w:r w:rsidR="007876C6" w:rsidRPr="007876C6">
        <w:t>argo moved in vans (less than 2m internal width), utilities or cars is paid on the space occupied and is not to include any unused space</w:t>
      </w:r>
    </w:p>
    <w:p w14:paraId="5B57EFCB" w14:textId="3C764F04" w:rsidR="007876C6" w:rsidRPr="007876C6" w:rsidRDefault="00E007E1" w:rsidP="008B1B09">
      <w:pPr>
        <w:pStyle w:val="Bullet"/>
        <w:ind w:hanging="436"/>
      </w:pPr>
      <w:r>
        <w:t>v</w:t>
      </w:r>
      <w:r w:rsidR="007876C6" w:rsidRPr="007876C6">
        <w:t>ans with cargo space equal to or greater than 2 metres in width are paid as pantechnicons - Note: Where freight has been charged on the entire vehicle, it is necessary to pro rata the freight applicable to the eligible cargo space</w:t>
      </w:r>
    </w:p>
    <w:p w14:paraId="57972A91" w14:textId="2D94DBD4" w:rsidR="007876C6" w:rsidRPr="007876C6" w:rsidRDefault="00E007E1" w:rsidP="008B1B09">
      <w:pPr>
        <w:pStyle w:val="Bullet"/>
        <w:ind w:hanging="436"/>
      </w:pPr>
      <w:r>
        <w:lastRenderedPageBreak/>
        <w:t>f</w:t>
      </w:r>
      <w:r w:rsidR="007876C6" w:rsidRPr="007876C6">
        <w:t>inished product</w:t>
      </w:r>
      <w:r w:rsidR="005E2107">
        <w:t>s</w:t>
      </w:r>
      <w:r w:rsidR="007876C6" w:rsidRPr="007876C6">
        <w:t xml:space="preserve"> that </w:t>
      </w:r>
      <w:r w:rsidR="005E2107">
        <w:t>are</w:t>
      </w:r>
      <w:r w:rsidR="005E2107" w:rsidRPr="007876C6">
        <w:t xml:space="preserve"> </w:t>
      </w:r>
      <w:r w:rsidR="007876C6" w:rsidRPr="007876C6">
        <w:t xml:space="preserve">self-loading such as vehicles shipped as roll-on roll-off units (e.g. buses manufactured in Tasmania) </w:t>
      </w:r>
      <w:r w:rsidR="009564B0">
        <w:t>is</w:t>
      </w:r>
      <w:r w:rsidR="007876C6" w:rsidRPr="007876C6">
        <w:t xml:space="preserve"> paid on the measurements of the entire product (vehicle)</w:t>
      </w:r>
    </w:p>
    <w:p w14:paraId="5D48E520" w14:textId="2C74B29B" w:rsidR="007876C6" w:rsidRPr="007876C6" w:rsidRDefault="00E007E1" w:rsidP="008B1B09">
      <w:pPr>
        <w:pStyle w:val="Bullet"/>
        <w:ind w:hanging="436"/>
      </w:pPr>
      <w:r>
        <w:t>w</w:t>
      </w:r>
      <w:r w:rsidR="007876C6" w:rsidRPr="007876C6">
        <w:t xml:space="preserve">here the cargo exceeds the length or the width of the transport unit, (e.g. 9m pipes on a 6.1m flat) assistance is payable on </w:t>
      </w:r>
      <w:proofErr w:type="gramStart"/>
      <w:r w:rsidR="007876C6" w:rsidRPr="007876C6">
        <w:t>a</w:t>
      </w:r>
      <w:proofErr w:type="gramEnd"/>
      <w:r w:rsidR="007876C6" w:rsidRPr="007876C6">
        <w:t xml:space="preserve"> LCL basis as it is an oversize shipment</w:t>
      </w:r>
    </w:p>
    <w:p w14:paraId="508ADE68" w14:textId="77777777" w:rsidR="007876C6" w:rsidRPr="007876C6" w:rsidRDefault="007876C6" w:rsidP="008B1B09">
      <w:pPr>
        <w:pStyle w:val="Bullet"/>
        <w:ind w:hanging="436"/>
      </w:pPr>
      <w:r w:rsidRPr="007876C6">
        <w:t xml:space="preserve">B Doubles (i.e. 2 transport units towed by a prime mover) are to be assessed on the total length of the two transport units.  </w:t>
      </w:r>
    </w:p>
    <w:p w14:paraId="7A831731" w14:textId="2CBA05CD" w:rsidR="007876C6" w:rsidRPr="007876C6" w:rsidRDefault="00E007E1" w:rsidP="008B1B09">
      <w:pPr>
        <w:pStyle w:val="Bullet"/>
        <w:ind w:hanging="436"/>
      </w:pPr>
      <w:r>
        <w:t>t</w:t>
      </w:r>
      <w:bookmarkStart w:id="0" w:name="_GoBack"/>
      <w:bookmarkEnd w:id="0"/>
      <w:r w:rsidR="007876C6" w:rsidRPr="007876C6">
        <w:t>imber bolsters are treated as 6.1 metre transport units for the purposes of the TFES.  Assistance is calculated as follows:</w:t>
      </w:r>
    </w:p>
    <w:p w14:paraId="161E997F" w14:textId="30A908C7" w:rsidR="007876C6" w:rsidRDefault="007876C6" w:rsidP="00B15030">
      <w:pPr>
        <w:pStyle w:val="Bullet"/>
        <w:numPr>
          <w:ilvl w:val="1"/>
          <w:numId w:val="2"/>
        </w:numPr>
      </w:pPr>
      <w:r w:rsidRPr="007876C6">
        <w:t>1 x 6.1m bolster = 1 TEU; or where the timber bolster is not fully utilised (i.e. = &lt; 80% of 30 cubic metres), it is to be calculated on a LCL per cubic metre basis.</w:t>
      </w:r>
    </w:p>
    <w:p w14:paraId="5FC2757C" w14:textId="77777777" w:rsidR="007F4E4A" w:rsidRPr="007876C6" w:rsidRDefault="007F4E4A" w:rsidP="008B1B09">
      <w:pPr>
        <w:pStyle w:val="Bullet"/>
        <w:numPr>
          <w:ilvl w:val="0"/>
          <w:numId w:val="0"/>
        </w:numPr>
        <w:ind w:left="720"/>
      </w:pPr>
    </w:p>
    <w:p w14:paraId="143B7ACF" w14:textId="77777777" w:rsidR="00A054CB" w:rsidRPr="008D709B" w:rsidRDefault="00A054CB" w:rsidP="00A054CB">
      <w:pPr>
        <w:rPr>
          <w:rFonts w:eastAsiaTheme="majorEastAsia" w:cstheme="majorBidi"/>
          <w:bCs/>
          <w:color w:val="auto"/>
          <w:sz w:val="24"/>
        </w:rPr>
      </w:pPr>
      <w:r w:rsidRPr="008D709B">
        <w:rPr>
          <w:rFonts w:eastAsiaTheme="majorEastAsia" w:cstheme="majorBidi"/>
          <w:bCs/>
          <w:color w:val="auto"/>
          <w:sz w:val="24"/>
        </w:rPr>
        <w:t>Trailer Conversions</w:t>
      </w:r>
    </w:p>
    <w:p w14:paraId="48E30B6D" w14:textId="77777777" w:rsidR="00A054CB" w:rsidRDefault="00A054CB" w:rsidP="008B1B09">
      <w:pPr>
        <w:pStyle w:val="Bullet"/>
        <w:ind w:hanging="436"/>
      </w:pPr>
      <w:r>
        <w:t>20 foot = 6.1 metre</w:t>
      </w:r>
    </w:p>
    <w:p w14:paraId="493A1F3A" w14:textId="77777777" w:rsidR="00A054CB" w:rsidRDefault="00A054CB" w:rsidP="008B1B09">
      <w:pPr>
        <w:pStyle w:val="Bullet"/>
        <w:ind w:hanging="436"/>
      </w:pPr>
      <w:r>
        <w:t>40 foot = 12.2 metre</w:t>
      </w:r>
    </w:p>
    <w:p w14:paraId="55CCCA9D" w14:textId="77777777" w:rsidR="00A054CB" w:rsidRDefault="00A054CB" w:rsidP="008B1B09">
      <w:pPr>
        <w:pStyle w:val="Bullet"/>
        <w:ind w:hanging="436"/>
      </w:pPr>
      <w:r>
        <w:t>42 foot = 13 metre</w:t>
      </w:r>
    </w:p>
    <w:p w14:paraId="2C85BB02" w14:textId="77777777" w:rsidR="00A054CB" w:rsidRDefault="00A054CB" w:rsidP="008B1B09">
      <w:pPr>
        <w:pStyle w:val="Bullet"/>
        <w:ind w:hanging="436"/>
      </w:pPr>
      <w:r>
        <w:t>45 foot = 14 metre</w:t>
      </w:r>
    </w:p>
    <w:p w14:paraId="21640AA1" w14:textId="77777777" w:rsidR="00A054CB" w:rsidRDefault="00A054CB" w:rsidP="008B1B09">
      <w:pPr>
        <w:pStyle w:val="Bullet"/>
        <w:ind w:hanging="436"/>
      </w:pPr>
      <w:r>
        <w:t>48 foot = 15 metre</w:t>
      </w:r>
    </w:p>
    <w:p w14:paraId="15F8803B" w14:textId="5C055177" w:rsidR="00A054CB" w:rsidRDefault="00A054CB" w:rsidP="00A054CB">
      <w:pPr>
        <w:pStyle w:val="Heading3"/>
      </w:pPr>
      <w:r>
        <w:t>Stowage factor rates</w:t>
      </w:r>
    </w:p>
    <w:p w14:paraId="795C24AE" w14:textId="77777777" w:rsidR="00A054CB" w:rsidRDefault="00A054CB" w:rsidP="008B1B09">
      <w:pPr>
        <w:pStyle w:val="Bullet"/>
        <w:ind w:hanging="436"/>
      </w:pPr>
      <w:r>
        <w:t>High density freight – with a stowage factor of 1.1m</w:t>
      </w:r>
      <w:r w:rsidRPr="008B1B09">
        <w:t>3</w:t>
      </w:r>
      <w:r>
        <w:t xml:space="preserve"> or less per tonne – *assistance is paid on tonnes.</w:t>
      </w:r>
    </w:p>
    <w:p w14:paraId="093505A3" w14:textId="77777777" w:rsidR="00FF368A" w:rsidRDefault="00A054CB" w:rsidP="008B1B09">
      <w:pPr>
        <w:pStyle w:val="Bullet"/>
        <w:ind w:hanging="436"/>
      </w:pPr>
      <w:r>
        <w:t>Non-high density freight – with a stowage factor greater than 1.1m</w:t>
      </w:r>
      <w:r w:rsidRPr="008B1B09">
        <w:t>3</w:t>
      </w:r>
      <w:r>
        <w:t xml:space="preserve"> and less than or equal to 1.428m</w:t>
      </w:r>
      <w:r w:rsidRPr="008B1B09">
        <w:t>3</w:t>
      </w:r>
      <w:r>
        <w:t xml:space="preserve"> per tonne – assistance is paid on tonnes.</w:t>
      </w:r>
    </w:p>
    <w:p w14:paraId="5CB987A6" w14:textId="60431978" w:rsidR="00FF368A" w:rsidRPr="00FF368A" w:rsidRDefault="00A054CB" w:rsidP="008B1B09">
      <w:pPr>
        <w:pStyle w:val="Bullet"/>
        <w:ind w:hanging="436"/>
      </w:pPr>
      <w:r w:rsidRPr="00FF368A">
        <w:t>Non-high density freight – with a stowage factor greater than 1.428m3 per tonne – assistance is paid on cubic metres.</w:t>
      </w:r>
    </w:p>
    <w:p w14:paraId="729C6D5A" w14:textId="56FDABED" w:rsidR="00A054CB" w:rsidRDefault="00A054CB" w:rsidP="00A054CB">
      <w:pPr>
        <w:pStyle w:val="Heading3"/>
      </w:pPr>
      <w:r>
        <w:t xml:space="preserve">Wool </w:t>
      </w:r>
    </w:p>
    <w:p w14:paraId="761BFFA4" w14:textId="77777777" w:rsidR="00A054CB" w:rsidRPr="00F60867" w:rsidRDefault="00A054CB" w:rsidP="008B1B09">
      <w:pPr>
        <w:pStyle w:val="Bullet"/>
        <w:ind w:hanging="436"/>
      </w:pPr>
      <w:r>
        <w:t>1 bale = 0.7m</w:t>
      </w:r>
      <w:r w:rsidRPr="008B1B09">
        <w:t>3</w:t>
      </w:r>
    </w:p>
    <w:p w14:paraId="2B2B30CA" w14:textId="77777777" w:rsidR="00A054CB" w:rsidRDefault="00A054CB" w:rsidP="00A054CB">
      <w:pPr>
        <w:pStyle w:val="Heading3"/>
      </w:pPr>
      <w:r>
        <w:t>Livestock</w:t>
      </w:r>
    </w:p>
    <w:p w14:paraId="32FB72C0" w14:textId="77777777" w:rsidR="00A054CB" w:rsidDel="004E0DF6" w:rsidRDefault="00A054CB" w:rsidP="008B1B09">
      <w:pPr>
        <w:pStyle w:val="Bullet"/>
        <w:ind w:hanging="436"/>
      </w:pPr>
      <w:r w:rsidDel="004E0DF6">
        <w:t>Yearlings = Cattle (adult)</w:t>
      </w:r>
    </w:p>
    <w:p w14:paraId="736E0085" w14:textId="77777777" w:rsidR="00A054CB" w:rsidDel="004E0DF6" w:rsidRDefault="00A054CB" w:rsidP="008B1B09">
      <w:pPr>
        <w:pStyle w:val="Bullet"/>
        <w:ind w:hanging="436"/>
      </w:pPr>
      <w:r w:rsidDel="004E0DF6">
        <w:t>Steers &amp; heifers= Cattle (adult)</w:t>
      </w:r>
    </w:p>
    <w:p w14:paraId="5E16E72D" w14:textId="77777777" w:rsidR="00A054CB" w:rsidDel="004E0DF6" w:rsidRDefault="00A054CB" w:rsidP="008B1B09">
      <w:pPr>
        <w:pStyle w:val="Bullet"/>
        <w:ind w:hanging="436"/>
      </w:pPr>
      <w:r w:rsidDel="004E0DF6">
        <w:t>Vealers = Calves</w:t>
      </w:r>
    </w:p>
    <w:p w14:paraId="2FAF82BD" w14:textId="77777777" w:rsidR="00A054CB" w:rsidDel="004E0DF6" w:rsidRDefault="00A054CB" w:rsidP="008B1B09">
      <w:pPr>
        <w:pStyle w:val="Bullet"/>
        <w:ind w:hanging="436"/>
      </w:pPr>
      <w:r w:rsidDel="004E0DF6">
        <w:t>Bulls = Cattle (stud)</w:t>
      </w:r>
    </w:p>
    <w:p w14:paraId="7B375AE2" w14:textId="77777777" w:rsidR="00A054CB" w:rsidDel="004E0DF6" w:rsidRDefault="00A054CB" w:rsidP="008B1B09">
      <w:pPr>
        <w:pStyle w:val="Bullet"/>
        <w:ind w:hanging="436"/>
      </w:pPr>
      <w:r w:rsidDel="004E0DF6">
        <w:t xml:space="preserve">Bullocks = Cattle (stud) </w:t>
      </w:r>
    </w:p>
    <w:p w14:paraId="15A68238" w14:textId="77777777" w:rsidR="00A054CB" w:rsidDel="004E0DF6" w:rsidRDefault="00A054CB" w:rsidP="008B1B09">
      <w:pPr>
        <w:pStyle w:val="Bullet"/>
        <w:ind w:hanging="436"/>
      </w:pPr>
      <w:r w:rsidDel="004E0DF6">
        <w:t>Cattle less than 12 months old = Calves</w:t>
      </w:r>
    </w:p>
    <w:p w14:paraId="2FDE6A66" w14:textId="77777777" w:rsidR="00A054CB" w:rsidDel="004E0DF6" w:rsidRDefault="00A054CB" w:rsidP="008B1B09">
      <w:pPr>
        <w:pStyle w:val="Bullet"/>
        <w:ind w:hanging="436"/>
      </w:pPr>
      <w:r w:rsidDel="004E0DF6">
        <w:t>Horses less than 6 months old = Foals</w:t>
      </w:r>
    </w:p>
    <w:p w14:paraId="02A48C8C" w14:textId="77777777" w:rsidR="00A054CB" w:rsidRDefault="00A054CB" w:rsidP="00A054CB">
      <w:pPr>
        <w:pStyle w:val="Bullet"/>
        <w:numPr>
          <w:ilvl w:val="0"/>
          <w:numId w:val="0"/>
        </w:numPr>
        <w:spacing w:before="0" w:line="276" w:lineRule="auto"/>
        <w:ind w:left="357" w:hanging="357"/>
      </w:pPr>
    </w:p>
    <w:p w14:paraId="7DB080E4" w14:textId="77777777" w:rsidR="00A054CB" w:rsidRPr="00C90DDF" w:rsidRDefault="00A054CB" w:rsidP="00A054CB">
      <w:pPr>
        <w:pStyle w:val="Listfiguretableheading"/>
      </w:pPr>
      <w:r>
        <w:lastRenderedPageBreak/>
        <w:t>Livestock conversions</w:t>
      </w:r>
    </w:p>
    <w:tbl>
      <w:tblPr>
        <w:tblStyle w:val="LightShading-Accent1"/>
        <w:tblW w:w="0" w:type="auto"/>
        <w:tblLook w:val="04A0" w:firstRow="1" w:lastRow="0" w:firstColumn="1" w:lastColumn="0" w:noHBand="0" w:noVBand="1"/>
        <w:tblCaption w:val="Livestock conversions"/>
        <w:tblDescription w:val="Number of standard head of livestock per 6.1m transport unit (20 foot) and per 12.2 metre (40 foot) transport unit."/>
      </w:tblPr>
      <w:tblGrid>
        <w:gridCol w:w="2069"/>
        <w:gridCol w:w="2060"/>
        <w:gridCol w:w="1935"/>
      </w:tblGrid>
      <w:tr w:rsidR="00A054CB" w:rsidRPr="001A78B8" w14:paraId="7F9C089F" w14:textId="77777777" w:rsidTr="008D7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9" w:type="dxa"/>
          </w:tcPr>
          <w:p w14:paraId="774DA735" w14:textId="77777777" w:rsidR="00A054CB" w:rsidRPr="001A78B8" w:rsidRDefault="00A054CB" w:rsidP="008D709B">
            <w:pPr>
              <w:pStyle w:val="TableHeading"/>
              <w:rPr>
                <w:b/>
              </w:rPr>
            </w:pPr>
            <w:r w:rsidRPr="001A78B8">
              <w:rPr>
                <w:b/>
              </w:rPr>
              <w:t>Description</w:t>
            </w:r>
          </w:p>
          <w:p w14:paraId="7914A140" w14:textId="77777777" w:rsidR="00A054CB" w:rsidRPr="001A78B8" w:rsidRDefault="00A054CB" w:rsidP="008D709B">
            <w:pPr>
              <w:pStyle w:val="TableHeading"/>
              <w:rPr>
                <w:b/>
              </w:rPr>
            </w:pPr>
          </w:p>
        </w:tc>
        <w:tc>
          <w:tcPr>
            <w:tcW w:w="2060" w:type="dxa"/>
          </w:tcPr>
          <w:p w14:paraId="277AFDFA" w14:textId="77777777" w:rsidR="00A054CB" w:rsidRPr="001A78B8" w:rsidRDefault="00A054CB" w:rsidP="008D709B">
            <w:pPr>
              <w:pStyle w:val="TableHeading"/>
              <w:cnfStyle w:val="100000000000" w:firstRow="1" w:lastRow="0" w:firstColumn="0" w:lastColumn="0" w:oddVBand="0" w:evenVBand="0" w:oddHBand="0" w:evenHBand="0" w:firstRowFirstColumn="0" w:firstRowLastColumn="0" w:lastRowFirstColumn="0" w:lastRowLastColumn="0"/>
              <w:rPr>
                <w:b/>
              </w:rPr>
            </w:pPr>
            <w:r w:rsidRPr="001A78B8">
              <w:rPr>
                <w:b/>
              </w:rPr>
              <w:t>No. of standard head of livestock per 6.1 m (20’) transport unit</w:t>
            </w:r>
          </w:p>
        </w:tc>
        <w:tc>
          <w:tcPr>
            <w:tcW w:w="1935" w:type="dxa"/>
          </w:tcPr>
          <w:p w14:paraId="346E1EB0" w14:textId="77777777" w:rsidR="00A054CB" w:rsidRPr="001A78B8" w:rsidRDefault="00A054CB" w:rsidP="008D709B">
            <w:pPr>
              <w:pStyle w:val="TableHeading"/>
              <w:cnfStyle w:val="100000000000" w:firstRow="1" w:lastRow="0" w:firstColumn="0" w:lastColumn="0" w:oddVBand="0" w:evenVBand="0" w:oddHBand="0" w:evenHBand="0" w:firstRowFirstColumn="0" w:firstRowLastColumn="0" w:lastRowFirstColumn="0" w:lastRowLastColumn="0"/>
              <w:rPr>
                <w:b/>
              </w:rPr>
            </w:pPr>
            <w:r w:rsidRPr="001A78B8">
              <w:rPr>
                <w:b/>
              </w:rPr>
              <w:t>No. of standard head of livestock per 12.2m (40’) transport unit</w:t>
            </w:r>
          </w:p>
        </w:tc>
      </w:tr>
      <w:tr w:rsidR="00A054CB" w:rsidRPr="001A78B8" w14:paraId="08DBBA53" w14:textId="77777777" w:rsidTr="008D7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2003AEEE" w14:textId="77777777" w:rsidR="00A054CB" w:rsidRDefault="00A054CB" w:rsidP="008D709B">
            <w:pPr>
              <w:pStyle w:val="Tabletext"/>
              <w:rPr>
                <w:b w:val="0"/>
              </w:rPr>
            </w:pPr>
            <w:r>
              <w:rPr>
                <w:b w:val="0"/>
              </w:rPr>
              <w:t>Sheep (adult)</w:t>
            </w:r>
          </w:p>
          <w:p w14:paraId="485A9AFB" w14:textId="77777777" w:rsidR="00A054CB" w:rsidRDefault="00A054CB" w:rsidP="008D709B">
            <w:pPr>
              <w:pStyle w:val="Tabletext"/>
              <w:rPr>
                <w:b w:val="0"/>
              </w:rPr>
            </w:pPr>
            <w:r>
              <w:rPr>
                <w:b w:val="0"/>
              </w:rPr>
              <w:t>Goats (adult)</w:t>
            </w:r>
          </w:p>
          <w:p w14:paraId="56F863B4" w14:textId="77777777" w:rsidR="00A054CB" w:rsidRPr="00EF5353" w:rsidRDefault="00A054CB" w:rsidP="008D709B">
            <w:pPr>
              <w:pStyle w:val="Tabletext"/>
              <w:rPr>
                <w:b w:val="0"/>
              </w:rPr>
            </w:pPr>
            <w:r>
              <w:rPr>
                <w:b w:val="0"/>
              </w:rPr>
              <w:t>Fawns</w:t>
            </w:r>
          </w:p>
        </w:tc>
        <w:tc>
          <w:tcPr>
            <w:tcW w:w="2060" w:type="dxa"/>
          </w:tcPr>
          <w:p w14:paraId="1215C609" w14:textId="77777777" w:rsidR="00A054CB" w:rsidRPr="00EF5353"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150</w:t>
            </w:r>
          </w:p>
        </w:tc>
        <w:tc>
          <w:tcPr>
            <w:tcW w:w="1935" w:type="dxa"/>
          </w:tcPr>
          <w:p w14:paraId="685B1258" w14:textId="77777777" w:rsidR="00A054CB" w:rsidRPr="00EF5353"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415</w:t>
            </w:r>
          </w:p>
        </w:tc>
      </w:tr>
      <w:tr w:rsidR="00A054CB" w:rsidRPr="00C90DDF" w14:paraId="4C638F3A" w14:textId="77777777" w:rsidTr="008D709B">
        <w:tc>
          <w:tcPr>
            <w:cnfStyle w:val="001000000000" w:firstRow="0" w:lastRow="0" w:firstColumn="1" w:lastColumn="0" w:oddVBand="0" w:evenVBand="0" w:oddHBand="0" w:evenHBand="0" w:firstRowFirstColumn="0" w:firstRowLastColumn="0" w:lastRowFirstColumn="0" w:lastRowLastColumn="0"/>
            <w:tcW w:w="2069" w:type="dxa"/>
          </w:tcPr>
          <w:p w14:paraId="7087BB65" w14:textId="77777777" w:rsidR="00A054CB" w:rsidRPr="00C90DDF" w:rsidRDefault="00A054CB" w:rsidP="008D709B">
            <w:pPr>
              <w:pStyle w:val="Tabletext"/>
              <w:rPr>
                <w:b w:val="0"/>
              </w:rPr>
            </w:pPr>
            <w:r>
              <w:rPr>
                <w:b w:val="0"/>
              </w:rPr>
              <w:t xml:space="preserve">Sheep (stud) </w:t>
            </w:r>
          </w:p>
        </w:tc>
        <w:tc>
          <w:tcPr>
            <w:tcW w:w="2060" w:type="dxa"/>
          </w:tcPr>
          <w:p w14:paraId="222D0934" w14:textId="77777777" w:rsidR="00A054CB" w:rsidRPr="00C90DDF"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114</w:t>
            </w:r>
          </w:p>
        </w:tc>
        <w:tc>
          <w:tcPr>
            <w:tcW w:w="1935" w:type="dxa"/>
          </w:tcPr>
          <w:p w14:paraId="34C6DEF1" w14:textId="77777777" w:rsidR="00A054CB" w:rsidRPr="00C90DDF"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228</w:t>
            </w:r>
          </w:p>
        </w:tc>
      </w:tr>
      <w:tr w:rsidR="00A054CB" w:rsidRPr="00C90DDF" w14:paraId="27A2B544" w14:textId="77777777" w:rsidTr="008D7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227A8F72" w14:textId="77777777" w:rsidR="00A054CB" w:rsidRDefault="00A054CB" w:rsidP="008D709B">
            <w:pPr>
              <w:pStyle w:val="Tabletext"/>
              <w:rPr>
                <w:b w:val="0"/>
              </w:rPr>
            </w:pPr>
            <w:r>
              <w:rPr>
                <w:b w:val="0"/>
              </w:rPr>
              <w:t>Lambs</w:t>
            </w:r>
          </w:p>
          <w:p w14:paraId="52DDC70E" w14:textId="77777777" w:rsidR="00A054CB" w:rsidRPr="00C90DDF" w:rsidRDefault="00A054CB" w:rsidP="008D709B">
            <w:pPr>
              <w:pStyle w:val="Tabletext"/>
              <w:rPr>
                <w:b w:val="0"/>
              </w:rPr>
            </w:pPr>
            <w:r>
              <w:rPr>
                <w:b w:val="0"/>
              </w:rPr>
              <w:t>Kids</w:t>
            </w:r>
          </w:p>
        </w:tc>
        <w:tc>
          <w:tcPr>
            <w:tcW w:w="2060" w:type="dxa"/>
          </w:tcPr>
          <w:p w14:paraId="212A383C" w14:textId="77777777" w:rsidR="00A054CB" w:rsidRPr="00C90DDF"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188</w:t>
            </w:r>
          </w:p>
        </w:tc>
        <w:tc>
          <w:tcPr>
            <w:tcW w:w="1935" w:type="dxa"/>
          </w:tcPr>
          <w:p w14:paraId="6BBC0899" w14:textId="77777777" w:rsidR="00A054CB" w:rsidRPr="00C90DDF"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436</w:t>
            </w:r>
          </w:p>
        </w:tc>
      </w:tr>
      <w:tr w:rsidR="00A054CB" w:rsidRPr="00C90DDF" w14:paraId="3C87E8DB" w14:textId="77777777" w:rsidTr="008D709B">
        <w:tc>
          <w:tcPr>
            <w:cnfStyle w:val="001000000000" w:firstRow="0" w:lastRow="0" w:firstColumn="1" w:lastColumn="0" w:oddVBand="0" w:evenVBand="0" w:oddHBand="0" w:evenHBand="0" w:firstRowFirstColumn="0" w:firstRowLastColumn="0" w:lastRowFirstColumn="0" w:lastRowLastColumn="0"/>
            <w:tcW w:w="2069" w:type="dxa"/>
          </w:tcPr>
          <w:p w14:paraId="2810C9E5" w14:textId="77777777" w:rsidR="00A054CB" w:rsidRPr="00C90DDF" w:rsidRDefault="00A054CB" w:rsidP="008D709B">
            <w:pPr>
              <w:pStyle w:val="Tabletext"/>
              <w:rPr>
                <w:b w:val="0"/>
              </w:rPr>
            </w:pPr>
            <w:r>
              <w:rPr>
                <w:b w:val="0"/>
              </w:rPr>
              <w:t>Deer (adult)</w:t>
            </w:r>
          </w:p>
        </w:tc>
        <w:tc>
          <w:tcPr>
            <w:tcW w:w="2060" w:type="dxa"/>
          </w:tcPr>
          <w:p w14:paraId="271E2804" w14:textId="77777777" w:rsidR="00A054CB" w:rsidRPr="00C90DDF"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72</w:t>
            </w:r>
          </w:p>
        </w:tc>
        <w:tc>
          <w:tcPr>
            <w:tcW w:w="1935" w:type="dxa"/>
          </w:tcPr>
          <w:p w14:paraId="4AF1E26A" w14:textId="77777777" w:rsidR="00A054CB" w:rsidRPr="00C90DDF"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144</w:t>
            </w:r>
          </w:p>
        </w:tc>
      </w:tr>
      <w:tr w:rsidR="00A054CB" w:rsidRPr="00C90DDF" w14:paraId="6747E87F" w14:textId="77777777" w:rsidTr="008D7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44FCE60F" w14:textId="77777777" w:rsidR="00A054CB" w:rsidRDefault="00A054CB" w:rsidP="008D709B">
            <w:pPr>
              <w:pStyle w:val="Tabletext"/>
              <w:rPr>
                <w:b w:val="0"/>
              </w:rPr>
            </w:pPr>
            <w:r>
              <w:rPr>
                <w:b w:val="0"/>
              </w:rPr>
              <w:t>Pigs (weaner)</w:t>
            </w:r>
          </w:p>
        </w:tc>
        <w:tc>
          <w:tcPr>
            <w:tcW w:w="2060" w:type="dxa"/>
          </w:tcPr>
          <w:p w14:paraId="3512B8BF"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174</w:t>
            </w:r>
          </w:p>
        </w:tc>
        <w:tc>
          <w:tcPr>
            <w:tcW w:w="1935" w:type="dxa"/>
          </w:tcPr>
          <w:p w14:paraId="2A46556C"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348</w:t>
            </w:r>
          </w:p>
        </w:tc>
      </w:tr>
      <w:tr w:rsidR="00A054CB" w:rsidRPr="00C90DDF" w14:paraId="69E66289" w14:textId="77777777" w:rsidTr="008D709B">
        <w:tc>
          <w:tcPr>
            <w:cnfStyle w:val="001000000000" w:firstRow="0" w:lastRow="0" w:firstColumn="1" w:lastColumn="0" w:oddVBand="0" w:evenVBand="0" w:oddHBand="0" w:evenHBand="0" w:firstRowFirstColumn="0" w:firstRowLastColumn="0" w:lastRowFirstColumn="0" w:lastRowLastColumn="0"/>
            <w:tcW w:w="2069" w:type="dxa"/>
          </w:tcPr>
          <w:p w14:paraId="4CAF4F4A" w14:textId="77777777" w:rsidR="00A054CB" w:rsidRDefault="00A054CB" w:rsidP="008D709B">
            <w:pPr>
              <w:pStyle w:val="Tabletext"/>
              <w:rPr>
                <w:b w:val="0"/>
              </w:rPr>
            </w:pPr>
            <w:r>
              <w:rPr>
                <w:b w:val="0"/>
              </w:rPr>
              <w:t>Pigs (grower)</w:t>
            </w:r>
          </w:p>
        </w:tc>
        <w:tc>
          <w:tcPr>
            <w:tcW w:w="2060" w:type="dxa"/>
          </w:tcPr>
          <w:p w14:paraId="7C81AD16"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87</w:t>
            </w:r>
          </w:p>
        </w:tc>
        <w:tc>
          <w:tcPr>
            <w:tcW w:w="1935" w:type="dxa"/>
          </w:tcPr>
          <w:p w14:paraId="15DA11B7"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174</w:t>
            </w:r>
          </w:p>
        </w:tc>
      </w:tr>
      <w:tr w:rsidR="00A054CB" w:rsidRPr="00C90DDF" w14:paraId="4461FFFD" w14:textId="77777777" w:rsidTr="008D7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465EFF6E" w14:textId="77777777" w:rsidR="00A054CB" w:rsidRDefault="00A054CB" w:rsidP="008D709B">
            <w:pPr>
              <w:pStyle w:val="Tabletext"/>
              <w:rPr>
                <w:b w:val="0"/>
              </w:rPr>
            </w:pPr>
            <w:r>
              <w:rPr>
                <w:b w:val="0"/>
              </w:rPr>
              <w:t>Pigs (finisher)</w:t>
            </w:r>
          </w:p>
        </w:tc>
        <w:tc>
          <w:tcPr>
            <w:tcW w:w="2060" w:type="dxa"/>
          </w:tcPr>
          <w:p w14:paraId="4579FAC0"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58</w:t>
            </w:r>
          </w:p>
        </w:tc>
        <w:tc>
          <w:tcPr>
            <w:tcW w:w="1935" w:type="dxa"/>
          </w:tcPr>
          <w:p w14:paraId="73955EC7"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116</w:t>
            </w:r>
          </w:p>
        </w:tc>
      </w:tr>
      <w:tr w:rsidR="00A054CB" w:rsidRPr="00C90DDF" w14:paraId="30D1783A" w14:textId="77777777" w:rsidTr="008D709B">
        <w:tc>
          <w:tcPr>
            <w:cnfStyle w:val="001000000000" w:firstRow="0" w:lastRow="0" w:firstColumn="1" w:lastColumn="0" w:oddVBand="0" w:evenVBand="0" w:oddHBand="0" w:evenHBand="0" w:firstRowFirstColumn="0" w:firstRowLastColumn="0" w:lastRowFirstColumn="0" w:lastRowLastColumn="0"/>
            <w:tcW w:w="2069" w:type="dxa"/>
          </w:tcPr>
          <w:p w14:paraId="7EA664F3" w14:textId="77777777" w:rsidR="00A054CB" w:rsidRPr="00CC7201" w:rsidRDefault="00A054CB" w:rsidP="008D709B">
            <w:pPr>
              <w:pStyle w:val="Tabletext"/>
              <w:rPr>
                <w:b w:val="0"/>
              </w:rPr>
            </w:pPr>
            <w:r w:rsidRPr="00CC7201">
              <w:rPr>
                <w:b w:val="0"/>
              </w:rPr>
              <w:t>Pigs (backfatter)</w:t>
            </w:r>
          </w:p>
        </w:tc>
        <w:tc>
          <w:tcPr>
            <w:tcW w:w="2060" w:type="dxa"/>
          </w:tcPr>
          <w:p w14:paraId="507BA886"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16</w:t>
            </w:r>
          </w:p>
        </w:tc>
        <w:tc>
          <w:tcPr>
            <w:tcW w:w="1935" w:type="dxa"/>
          </w:tcPr>
          <w:p w14:paraId="32FD0C66"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32</w:t>
            </w:r>
          </w:p>
        </w:tc>
      </w:tr>
      <w:tr w:rsidR="00A054CB" w:rsidRPr="00C90DDF" w14:paraId="3EA02AD1" w14:textId="77777777" w:rsidTr="008D7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6EFE145F" w14:textId="77777777" w:rsidR="00A054CB" w:rsidRDefault="00A054CB" w:rsidP="008D709B">
            <w:pPr>
              <w:pStyle w:val="Tabletext"/>
              <w:rPr>
                <w:b w:val="0"/>
              </w:rPr>
            </w:pPr>
            <w:r>
              <w:rPr>
                <w:b w:val="0"/>
              </w:rPr>
              <w:t>Cattle (adult)</w:t>
            </w:r>
          </w:p>
        </w:tc>
        <w:tc>
          <w:tcPr>
            <w:tcW w:w="2060" w:type="dxa"/>
          </w:tcPr>
          <w:p w14:paraId="24606F68"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28</w:t>
            </w:r>
          </w:p>
        </w:tc>
        <w:tc>
          <w:tcPr>
            <w:tcW w:w="1935" w:type="dxa"/>
          </w:tcPr>
          <w:p w14:paraId="229EBC07"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48</w:t>
            </w:r>
          </w:p>
        </w:tc>
      </w:tr>
      <w:tr w:rsidR="00A054CB" w:rsidRPr="00C90DDF" w14:paraId="452DE670" w14:textId="77777777" w:rsidTr="008D709B">
        <w:tc>
          <w:tcPr>
            <w:cnfStyle w:val="001000000000" w:firstRow="0" w:lastRow="0" w:firstColumn="1" w:lastColumn="0" w:oddVBand="0" w:evenVBand="0" w:oddHBand="0" w:evenHBand="0" w:firstRowFirstColumn="0" w:firstRowLastColumn="0" w:lastRowFirstColumn="0" w:lastRowLastColumn="0"/>
            <w:tcW w:w="2069" w:type="dxa"/>
          </w:tcPr>
          <w:p w14:paraId="21975856" w14:textId="77777777" w:rsidR="00A054CB" w:rsidRDefault="00A054CB" w:rsidP="008D709B">
            <w:pPr>
              <w:pStyle w:val="Tabletext"/>
              <w:rPr>
                <w:b w:val="0"/>
              </w:rPr>
            </w:pPr>
            <w:r>
              <w:rPr>
                <w:b w:val="0"/>
              </w:rPr>
              <w:t>Cattle (stud)</w:t>
            </w:r>
          </w:p>
        </w:tc>
        <w:tc>
          <w:tcPr>
            <w:tcW w:w="2060" w:type="dxa"/>
          </w:tcPr>
          <w:p w14:paraId="4624AEDD"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9</w:t>
            </w:r>
          </w:p>
        </w:tc>
        <w:tc>
          <w:tcPr>
            <w:tcW w:w="1935" w:type="dxa"/>
          </w:tcPr>
          <w:p w14:paraId="0855230A"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37</w:t>
            </w:r>
          </w:p>
        </w:tc>
      </w:tr>
      <w:tr w:rsidR="00A054CB" w:rsidRPr="00C90DDF" w14:paraId="40B87A7A" w14:textId="77777777" w:rsidTr="008D7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0CEE2C2F" w14:textId="77777777" w:rsidR="00A054CB" w:rsidRDefault="00A054CB" w:rsidP="008D709B">
            <w:pPr>
              <w:pStyle w:val="Tabletext"/>
              <w:rPr>
                <w:b w:val="0"/>
              </w:rPr>
            </w:pPr>
            <w:r>
              <w:rPr>
                <w:b w:val="0"/>
              </w:rPr>
              <w:t>Calves</w:t>
            </w:r>
          </w:p>
        </w:tc>
        <w:tc>
          <w:tcPr>
            <w:tcW w:w="2060" w:type="dxa"/>
          </w:tcPr>
          <w:p w14:paraId="2821C438"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36</w:t>
            </w:r>
          </w:p>
        </w:tc>
        <w:tc>
          <w:tcPr>
            <w:tcW w:w="1935" w:type="dxa"/>
          </w:tcPr>
          <w:p w14:paraId="32715436"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70</w:t>
            </w:r>
          </w:p>
        </w:tc>
      </w:tr>
      <w:tr w:rsidR="00A054CB" w:rsidRPr="00C90DDF" w14:paraId="3DD40839" w14:textId="77777777" w:rsidTr="008D709B">
        <w:tc>
          <w:tcPr>
            <w:cnfStyle w:val="001000000000" w:firstRow="0" w:lastRow="0" w:firstColumn="1" w:lastColumn="0" w:oddVBand="0" w:evenVBand="0" w:oddHBand="0" w:evenHBand="0" w:firstRowFirstColumn="0" w:firstRowLastColumn="0" w:lastRowFirstColumn="0" w:lastRowLastColumn="0"/>
            <w:tcW w:w="2069" w:type="dxa"/>
          </w:tcPr>
          <w:p w14:paraId="003F7284" w14:textId="77777777" w:rsidR="00A054CB" w:rsidRDefault="00A054CB" w:rsidP="008D709B">
            <w:pPr>
              <w:pStyle w:val="Tabletext"/>
              <w:rPr>
                <w:b w:val="0"/>
              </w:rPr>
            </w:pPr>
            <w:r>
              <w:rPr>
                <w:b w:val="0"/>
              </w:rPr>
              <w:t>Horses</w:t>
            </w:r>
          </w:p>
          <w:p w14:paraId="1D18DD6A" w14:textId="77777777" w:rsidR="00A054CB" w:rsidRDefault="00A054CB" w:rsidP="008D709B">
            <w:pPr>
              <w:pStyle w:val="Tabletext"/>
              <w:rPr>
                <w:b w:val="0"/>
              </w:rPr>
            </w:pPr>
            <w:r>
              <w:rPr>
                <w:b w:val="0"/>
              </w:rPr>
              <w:t>Racehorses</w:t>
            </w:r>
          </w:p>
        </w:tc>
        <w:tc>
          <w:tcPr>
            <w:tcW w:w="2060" w:type="dxa"/>
          </w:tcPr>
          <w:p w14:paraId="5DF2EC78"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7</w:t>
            </w:r>
          </w:p>
        </w:tc>
        <w:tc>
          <w:tcPr>
            <w:tcW w:w="1935" w:type="dxa"/>
          </w:tcPr>
          <w:p w14:paraId="4B66B253"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14</w:t>
            </w:r>
          </w:p>
        </w:tc>
      </w:tr>
      <w:tr w:rsidR="00A054CB" w:rsidRPr="00C90DDF" w14:paraId="7241EFE4" w14:textId="77777777" w:rsidTr="008D7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0A4C4608" w14:textId="77777777" w:rsidR="00A054CB" w:rsidRDefault="00A054CB" w:rsidP="008D709B">
            <w:pPr>
              <w:pStyle w:val="Tabletext"/>
              <w:rPr>
                <w:b w:val="0"/>
              </w:rPr>
            </w:pPr>
            <w:r>
              <w:rPr>
                <w:b w:val="0"/>
              </w:rPr>
              <w:t>Foals</w:t>
            </w:r>
          </w:p>
          <w:p w14:paraId="2B2753C9" w14:textId="77777777" w:rsidR="00A054CB" w:rsidRDefault="00A054CB" w:rsidP="008D709B">
            <w:pPr>
              <w:pStyle w:val="Tabletext"/>
              <w:rPr>
                <w:b w:val="0"/>
              </w:rPr>
            </w:pPr>
            <w:r>
              <w:rPr>
                <w:b w:val="0"/>
              </w:rPr>
              <w:t>Alpacas</w:t>
            </w:r>
          </w:p>
        </w:tc>
        <w:tc>
          <w:tcPr>
            <w:tcW w:w="2060" w:type="dxa"/>
          </w:tcPr>
          <w:p w14:paraId="1EC6064F"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14</w:t>
            </w:r>
          </w:p>
        </w:tc>
        <w:tc>
          <w:tcPr>
            <w:tcW w:w="1935" w:type="dxa"/>
          </w:tcPr>
          <w:p w14:paraId="2DECD8B2" w14:textId="77777777" w:rsidR="00A054CB" w:rsidRDefault="00A054CB" w:rsidP="008D709B">
            <w:pPr>
              <w:pStyle w:val="Tabletext"/>
              <w:cnfStyle w:val="000000100000" w:firstRow="0" w:lastRow="0" w:firstColumn="0" w:lastColumn="0" w:oddVBand="0" w:evenVBand="0" w:oddHBand="1" w:evenHBand="0" w:firstRowFirstColumn="0" w:firstRowLastColumn="0" w:lastRowFirstColumn="0" w:lastRowLastColumn="0"/>
            </w:pPr>
            <w:r>
              <w:t>28</w:t>
            </w:r>
          </w:p>
        </w:tc>
      </w:tr>
      <w:tr w:rsidR="00A054CB" w:rsidRPr="00C90DDF" w14:paraId="3570A7F4" w14:textId="77777777" w:rsidTr="008D709B">
        <w:tc>
          <w:tcPr>
            <w:cnfStyle w:val="001000000000" w:firstRow="0" w:lastRow="0" w:firstColumn="1" w:lastColumn="0" w:oddVBand="0" w:evenVBand="0" w:oddHBand="0" w:evenHBand="0" w:firstRowFirstColumn="0" w:firstRowLastColumn="0" w:lastRowFirstColumn="0" w:lastRowLastColumn="0"/>
            <w:tcW w:w="2069" w:type="dxa"/>
          </w:tcPr>
          <w:p w14:paraId="669CE5C0" w14:textId="77777777" w:rsidR="00A054CB" w:rsidRDefault="00A054CB" w:rsidP="008D709B">
            <w:pPr>
              <w:pStyle w:val="Tabletext"/>
              <w:rPr>
                <w:b w:val="0"/>
              </w:rPr>
            </w:pPr>
            <w:r>
              <w:rPr>
                <w:b w:val="0"/>
              </w:rPr>
              <w:t>Emus</w:t>
            </w:r>
          </w:p>
          <w:p w14:paraId="2C26F48E" w14:textId="77777777" w:rsidR="00A054CB" w:rsidRDefault="00A054CB" w:rsidP="008D709B">
            <w:pPr>
              <w:pStyle w:val="Tabletext"/>
              <w:rPr>
                <w:b w:val="0"/>
              </w:rPr>
            </w:pPr>
            <w:r>
              <w:rPr>
                <w:b w:val="0"/>
              </w:rPr>
              <w:t>Ostriches</w:t>
            </w:r>
          </w:p>
        </w:tc>
        <w:tc>
          <w:tcPr>
            <w:tcW w:w="2060" w:type="dxa"/>
          </w:tcPr>
          <w:p w14:paraId="6D80C473"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34</w:t>
            </w:r>
          </w:p>
        </w:tc>
        <w:tc>
          <w:tcPr>
            <w:tcW w:w="1935" w:type="dxa"/>
          </w:tcPr>
          <w:p w14:paraId="7FFD59F2" w14:textId="77777777" w:rsidR="00A054CB" w:rsidRDefault="00A054CB" w:rsidP="008D709B">
            <w:pPr>
              <w:pStyle w:val="Tabletext"/>
              <w:cnfStyle w:val="000000000000" w:firstRow="0" w:lastRow="0" w:firstColumn="0" w:lastColumn="0" w:oddVBand="0" w:evenVBand="0" w:oddHBand="0" w:evenHBand="0" w:firstRowFirstColumn="0" w:firstRowLastColumn="0" w:lastRowFirstColumn="0" w:lastRowLastColumn="0"/>
            </w:pPr>
            <w:r>
              <w:t>68</w:t>
            </w:r>
          </w:p>
        </w:tc>
      </w:tr>
    </w:tbl>
    <w:p w14:paraId="3DE80C0A" w14:textId="77777777" w:rsidR="00A054CB" w:rsidRDefault="00A054CB" w:rsidP="00A054CB">
      <w:r>
        <w:t>No. of TEUs = total number of livestock shipped divided by number of standard head of livestock per transport unit.</w:t>
      </w:r>
    </w:p>
    <w:p w14:paraId="0A22B1A7" w14:textId="77777777" w:rsidR="00A054CB" w:rsidRPr="00F60867" w:rsidRDefault="00A054CB" w:rsidP="00A054CB">
      <w:r>
        <w:t>For example: 1 horse shipped divided by 7 = 0.142 of a TEU.</w:t>
      </w:r>
    </w:p>
    <w:p w14:paraId="24A8F1E4" w14:textId="77777777" w:rsidR="00D94396" w:rsidRPr="000D7F1C" w:rsidRDefault="00D94396" w:rsidP="00D94396">
      <w:pPr>
        <w:spacing w:before="0" w:after="0" w:line="240" w:lineRule="auto"/>
        <w:rPr>
          <w:rFonts w:ascii="Open Sans" w:eastAsia="Times New Roman" w:hAnsi="Open Sans" w:cs="Times New Roman"/>
          <w:sz w:val="24"/>
          <w:szCs w:val="24"/>
          <w:lang w:val="en-US" w:eastAsia="en-AU"/>
        </w:rPr>
      </w:pPr>
      <w:r w:rsidRPr="000D7F1C">
        <w:rPr>
          <w:rFonts w:ascii="Open Sans" w:eastAsia="Times New Roman" w:hAnsi="Open Sans" w:cs="Times New Roman"/>
          <w:sz w:val="24"/>
          <w:szCs w:val="24"/>
          <w:lang w:val="en-US" w:eastAsia="en-AU"/>
        </w:rPr>
        <w:t>For further information please contact:</w:t>
      </w:r>
    </w:p>
    <w:p w14:paraId="00548D7A" w14:textId="77777777" w:rsidR="00D94396" w:rsidRPr="000D7F1C" w:rsidRDefault="00D94396" w:rsidP="00D94396">
      <w:pPr>
        <w:spacing w:before="0" w:after="0" w:line="240" w:lineRule="auto"/>
        <w:rPr>
          <w:rFonts w:ascii="Open Sans" w:eastAsia="Times New Roman" w:hAnsi="Open Sans" w:cs="Times New Roman"/>
          <w:sz w:val="24"/>
          <w:szCs w:val="24"/>
          <w:lang w:val="en-US" w:eastAsia="en-AU"/>
        </w:rPr>
      </w:pPr>
    </w:p>
    <w:p w14:paraId="46C42609" w14:textId="77777777" w:rsidR="00D94396" w:rsidRPr="000D7F1C" w:rsidRDefault="00D94396" w:rsidP="00D94396">
      <w:pPr>
        <w:spacing w:before="0" w:after="0" w:line="240" w:lineRule="auto"/>
        <w:rPr>
          <w:rFonts w:ascii="Open Sans" w:eastAsia="Times New Roman" w:hAnsi="Open Sans" w:cs="Times New Roman"/>
          <w:sz w:val="24"/>
          <w:szCs w:val="24"/>
          <w:lang w:val="en-US" w:eastAsia="en-AU"/>
        </w:rPr>
      </w:pPr>
      <w:r w:rsidRPr="000D7F1C">
        <w:rPr>
          <w:rFonts w:ascii="Open Sans" w:eastAsia="Times New Roman" w:hAnsi="Open Sans" w:cs="Times New Roman"/>
          <w:sz w:val="24"/>
          <w:szCs w:val="24"/>
          <w:lang w:val="en-US" w:eastAsia="en-AU"/>
        </w:rPr>
        <w:t xml:space="preserve">Tasmanian Transport Programs </w:t>
      </w:r>
    </w:p>
    <w:p w14:paraId="6DF40142" w14:textId="77777777" w:rsidR="00D94396" w:rsidRPr="000D7F1C" w:rsidRDefault="00D94396" w:rsidP="00D94396">
      <w:pPr>
        <w:spacing w:before="0" w:after="0" w:line="240" w:lineRule="auto"/>
        <w:rPr>
          <w:rFonts w:ascii="Open Sans" w:eastAsia="Times New Roman" w:hAnsi="Open Sans" w:cs="Times New Roman"/>
          <w:sz w:val="24"/>
          <w:szCs w:val="24"/>
          <w:lang w:val="en-US" w:eastAsia="en-AU"/>
        </w:rPr>
      </w:pPr>
      <w:r w:rsidRPr="000D7F1C">
        <w:rPr>
          <w:rFonts w:ascii="Open Sans" w:eastAsia="Times New Roman" w:hAnsi="Open Sans" w:cs="Times New Roman"/>
          <w:sz w:val="24"/>
          <w:szCs w:val="24"/>
          <w:lang w:val="en-US" w:eastAsia="en-AU"/>
        </w:rPr>
        <w:t xml:space="preserve">Services Australia  </w:t>
      </w:r>
    </w:p>
    <w:p w14:paraId="44E12EF9" w14:textId="77777777" w:rsidR="00D94396" w:rsidRPr="000D7F1C" w:rsidRDefault="00D94396" w:rsidP="00D94396">
      <w:pPr>
        <w:spacing w:before="0" w:after="0" w:line="240" w:lineRule="auto"/>
        <w:rPr>
          <w:rFonts w:ascii="Open Sans" w:eastAsia="Times New Roman" w:hAnsi="Open Sans" w:cs="Times New Roman"/>
          <w:sz w:val="24"/>
          <w:szCs w:val="24"/>
          <w:lang w:val="en-US" w:eastAsia="en-AU"/>
        </w:rPr>
      </w:pPr>
      <w:r w:rsidRPr="000D7F1C">
        <w:rPr>
          <w:rFonts w:ascii="Open Sans" w:eastAsia="Times New Roman" w:hAnsi="Open Sans" w:cs="Times New Roman"/>
          <w:sz w:val="24"/>
          <w:szCs w:val="24"/>
          <w:lang w:val="en-US" w:eastAsia="en-AU"/>
        </w:rPr>
        <w:t xml:space="preserve">GPO Box 1269 </w:t>
      </w:r>
    </w:p>
    <w:p w14:paraId="0DD3D2D0" w14:textId="77777777" w:rsidR="00D94396" w:rsidRPr="000D7F1C" w:rsidRDefault="00D94396" w:rsidP="00D94396">
      <w:pPr>
        <w:spacing w:before="0" w:after="0" w:line="240" w:lineRule="auto"/>
        <w:rPr>
          <w:rFonts w:ascii="Open Sans" w:eastAsia="Times New Roman" w:hAnsi="Open Sans" w:cs="Times New Roman"/>
          <w:sz w:val="24"/>
          <w:szCs w:val="24"/>
          <w:lang w:val="en-US" w:eastAsia="en-AU"/>
        </w:rPr>
      </w:pPr>
      <w:r w:rsidRPr="000D7F1C">
        <w:rPr>
          <w:rFonts w:ascii="Open Sans" w:eastAsia="Times New Roman" w:hAnsi="Open Sans" w:cs="Times New Roman"/>
          <w:sz w:val="24"/>
          <w:szCs w:val="24"/>
          <w:lang w:val="en-US" w:eastAsia="en-AU"/>
        </w:rPr>
        <w:t xml:space="preserve">HOBART TAS 7001 </w:t>
      </w:r>
    </w:p>
    <w:p w14:paraId="124B2C90" w14:textId="77777777" w:rsidR="00D94396" w:rsidRPr="000D7F1C" w:rsidRDefault="00D94396" w:rsidP="00D94396">
      <w:pPr>
        <w:spacing w:before="0" w:after="0" w:line="240" w:lineRule="auto"/>
        <w:rPr>
          <w:rFonts w:ascii="Open Sans" w:eastAsia="Times New Roman" w:hAnsi="Open Sans" w:cs="Times New Roman"/>
          <w:sz w:val="24"/>
          <w:szCs w:val="24"/>
          <w:lang w:val="en-US" w:eastAsia="en-AU"/>
        </w:rPr>
      </w:pPr>
      <w:r w:rsidRPr="000D7F1C">
        <w:rPr>
          <w:rFonts w:ascii="Open Sans" w:eastAsia="Times New Roman" w:hAnsi="Open Sans" w:cs="Times New Roman"/>
          <w:sz w:val="24"/>
          <w:szCs w:val="24"/>
          <w:lang w:val="en-US" w:eastAsia="en-AU"/>
        </w:rPr>
        <w:t>Phone: 13 11 58</w:t>
      </w:r>
    </w:p>
    <w:p w14:paraId="68F95039" w14:textId="77777777" w:rsidR="00D94396" w:rsidRPr="000D7F1C" w:rsidRDefault="00D94396" w:rsidP="00D94396">
      <w:pPr>
        <w:spacing w:before="0" w:after="0" w:line="240" w:lineRule="auto"/>
        <w:rPr>
          <w:rFonts w:ascii="Open Sans" w:eastAsia="Times New Roman" w:hAnsi="Open Sans" w:cs="Times New Roman"/>
          <w:sz w:val="24"/>
          <w:szCs w:val="24"/>
          <w:lang w:val="en-US" w:eastAsia="en-AU"/>
        </w:rPr>
      </w:pPr>
      <w:r w:rsidRPr="000D7F1C">
        <w:rPr>
          <w:rFonts w:ascii="Open Sans" w:eastAsia="Times New Roman" w:hAnsi="Open Sans" w:cs="Times New Roman"/>
          <w:sz w:val="24"/>
          <w:szCs w:val="24"/>
          <w:lang w:val="en-US" w:eastAsia="en-AU"/>
        </w:rPr>
        <w:t xml:space="preserve">Fax: (03) 6208 9976 </w:t>
      </w:r>
    </w:p>
    <w:p w14:paraId="3F879896" w14:textId="7975E3BD" w:rsidR="00D94396" w:rsidRPr="000D7F1C" w:rsidRDefault="00D94396" w:rsidP="00D94396">
      <w:pPr>
        <w:spacing w:before="0" w:after="0" w:line="240" w:lineRule="auto"/>
        <w:rPr>
          <w:rFonts w:ascii="Open Sans" w:eastAsia="Times New Roman" w:hAnsi="Open Sans" w:cs="Times New Roman"/>
          <w:sz w:val="24"/>
          <w:szCs w:val="24"/>
          <w:lang w:val="en-US" w:eastAsia="en-AU"/>
        </w:rPr>
      </w:pPr>
      <w:r w:rsidRPr="000D7F1C">
        <w:rPr>
          <w:rFonts w:ascii="Open Sans" w:eastAsia="Times New Roman" w:hAnsi="Open Sans" w:cs="Times New Roman"/>
          <w:sz w:val="24"/>
          <w:szCs w:val="24"/>
          <w:lang w:val="en-US" w:eastAsia="en-AU"/>
        </w:rPr>
        <w:t xml:space="preserve">Email: </w:t>
      </w:r>
      <w:hyperlink r:id="rId8" w:history="1">
        <w:r w:rsidRPr="00333A54">
          <w:rPr>
            <w:rStyle w:val="Hyperlink"/>
            <w:rFonts w:ascii="Open Sans" w:eastAsia="Times New Roman" w:hAnsi="Open Sans" w:cs="Times New Roman"/>
            <w:sz w:val="24"/>
            <w:szCs w:val="24"/>
            <w:lang w:val="en-US" w:eastAsia="en-AU"/>
          </w:rPr>
          <w:t>tfes.support@servicesaustralia.gov.au</w:t>
        </w:r>
      </w:hyperlink>
      <w:r>
        <w:rPr>
          <w:rFonts w:ascii="Open Sans" w:eastAsia="Times New Roman" w:hAnsi="Open Sans" w:cs="Times New Roman"/>
          <w:sz w:val="24"/>
          <w:szCs w:val="24"/>
          <w:lang w:val="en-US" w:eastAsia="en-AU"/>
        </w:rPr>
        <w:t xml:space="preserve"> </w:t>
      </w:r>
    </w:p>
    <w:p w14:paraId="3D2854C6" w14:textId="2C990002" w:rsidR="00A054CB" w:rsidRPr="00C74983" w:rsidRDefault="00A054CB" w:rsidP="00D94396">
      <w:pPr>
        <w:pStyle w:val="Heading3"/>
      </w:pPr>
      <w:r>
        <w:t>For further information, please see Clause 3.2 of the TFES Ministerial Directions</w:t>
      </w:r>
      <w:r w:rsidR="00D94396">
        <w:t>.</w:t>
      </w:r>
    </w:p>
    <w:p w14:paraId="4F48FD68" w14:textId="77777777" w:rsidR="002B2F03" w:rsidRDefault="00E007E1"/>
    <w:sectPr w:rsidR="002B2F03" w:rsidSect="00D94396">
      <w:headerReference w:type="even" r:id="rId9"/>
      <w:headerReference w:type="default" r:id="rId10"/>
      <w:footerReference w:type="even" r:id="rId11"/>
      <w:footerReference w:type="default" r:id="rId12"/>
      <w:headerReference w:type="first" r:id="rId13"/>
      <w:footerReference w:type="first" r:id="rId14"/>
      <w:pgSz w:w="11906" w:h="16838" w:code="9"/>
      <w:pgMar w:top="2835" w:right="1985" w:bottom="426" w:left="851" w:header="709"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8E0D1" w14:textId="77777777" w:rsidR="00315B72" w:rsidRDefault="00FF368A">
      <w:pPr>
        <w:spacing w:before="0" w:after="0" w:line="240" w:lineRule="auto"/>
      </w:pPr>
      <w:r>
        <w:separator/>
      </w:r>
    </w:p>
  </w:endnote>
  <w:endnote w:type="continuationSeparator" w:id="0">
    <w:p w14:paraId="75AAFC66" w14:textId="77777777" w:rsidR="00315B72" w:rsidRDefault="00FF36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7ECC" w14:textId="77777777" w:rsidR="00CF7449" w:rsidRDefault="00CF7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689351"/>
      <w:docPartObj>
        <w:docPartGallery w:val="Page Numbers (Bottom of Page)"/>
        <w:docPartUnique/>
      </w:docPartObj>
    </w:sdtPr>
    <w:sdtEndPr>
      <w:rPr>
        <w:color w:val="7F7F7F" w:themeColor="text1" w:themeTint="80"/>
        <w:sz w:val="16"/>
        <w:szCs w:val="16"/>
      </w:rPr>
    </w:sdtEndPr>
    <w:sdtContent>
      <w:p w14:paraId="5D452715" w14:textId="1EBD7E0F" w:rsidR="00EF5353" w:rsidRDefault="00A054CB" w:rsidP="00EF5353">
        <w:pPr>
          <w:pStyle w:val="Footer"/>
          <w:ind w:right="-1278"/>
          <w:jc w:val="right"/>
          <w:rPr>
            <w:color w:val="7F7F7F" w:themeColor="text1" w:themeTint="80"/>
            <w:sz w:val="16"/>
            <w:szCs w:val="16"/>
          </w:rPr>
        </w:pPr>
        <w:r w:rsidRPr="00EF5353">
          <w:rPr>
            <w:b/>
            <w:color w:val="7F7F7F" w:themeColor="text1" w:themeTint="80"/>
            <w:sz w:val="16"/>
            <w:szCs w:val="16"/>
          </w:rPr>
          <w:fldChar w:fldCharType="begin"/>
        </w:r>
        <w:r w:rsidRPr="00EF5353">
          <w:rPr>
            <w:b/>
            <w:color w:val="7F7F7F" w:themeColor="text1" w:themeTint="80"/>
            <w:sz w:val="16"/>
            <w:szCs w:val="16"/>
          </w:rPr>
          <w:instrText xml:space="preserve"> PAGE   \* MERGEFORMAT </w:instrText>
        </w:r>
        <w:r w:rsidRPr="00EF5353">
          <w:rPr>
            <w:b/>
            <w:color w:val="7F7F7F" w:themeColor="text1" w:themeTint="80"/>
            <w:sz w:val="16"/>
            <w:szCs w:val="16"/>
          </w:rPr>
          <w:fldChar w:fldCharType="separate"/>
        </w:r>
        <w:r w:rsidR="009564B0">
          <w:rPr>
            <w:b/>
            <w:noProof/>
            <w:color w:val="7F7F7F" w:themeColor="text1" w:themeTint="80"/>
            <w:sz w:val="16"/>
            <w:szCs w:val="16"/>
          </w:rPr>
          <w:t>3</w:t>
        </w:r>
        <w:r w:rsidRPr="00EF5353">
          <w:rPr>
            <w:b/>
            <w:color w:val="7F7F7F" w:themeColor="text1" w:themeTint="80"/>
            <w:sz w:val="16"/>
            <w:szCs w:val="16"/>
          </w:rPr>
          <w:fldChar w:fldCharType="end"/>
        </w:r>
      </w:p>
    </w:sdtContent>
  </w:sdt>
  <w:p w14:paraId="40F9449E" w14:textId="77777777" w:rsidR="00AD6E3F" w:rsidRDefault="00E007E1" w:rsidP="00EF5353">
    <w:pPr>
      <w:pStyle w:val="Footer"/>
      <w:ind w:right="-156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59447"/>
      <w:docPartObj>
        <w:docPartGallery w:val="Page Numbers (Bottom of Page)"/>
        <w:docPartUnique/>
      </w:docPartObj>
    </w:sdtPr>
    <w:sdtEndPr>
      <w:rPr>
        <w:color w:val="7F7F7F" w:themeColor="text1" w:themeTint="80"/>
        <w:sz w:val="16"/>
        <w:szCs w:val="16"/>
      </w:rPr>
    </w:sdtEndPr>
    <w:sdtContent>
      <w:p w14:paraId="401BDE72" w14:textId="7728BC23" w:rsidR="00AD6E3F" w:rsidRPr="00EF5353" w:rsidRDefault="00A054CB" w:rsidP="00EF5353">
        <w:pPr>
          <w:pStyle w:val="Footer"/>
          <w:ind w:right="-1278"/>
          <w:jc w:val="right"/>
          <w:rPr>
            <w:color w:val="7F7F7F" w:themeColor="text1" w:themeTint="80"/>
            <w:sz w:val="16"/>
            <w:szCs w:val="16"/>
          </w:rPr>
        </w:pPr>
        <w:r w:rsidRPr="00EF5353">
          <w:rPr>
            <w:b/>
            <w:color w:val="7F7F7F" w:themeColor="text1" w:themeTint="80"/>
            <w:sz w:val="16"/>
            <w:szCs w:val="16"/>
          </w:rPr>
          <w:fldChar w:fldCharType="begin"/>
        </w:r>
        <w:r w:rsidRPr="00EF5353">
          <w:rPr>
            <w:b/>
            <w:color w:val="7F7F7F" w:themeColor="text1" w:themeTint="80"/>
            <w:sz w:val="16"/>
            <w:szCs w:val="16"/>
          </w:rPr>
          <w:instrText xml:space="preserve"> PAGE   \* MERGEFORMAT </w:instrText>
        </w:r>
        <w:r w:rsidRPr="00EF5353">
          <w:rPr>
            <w:b/>
            <w:color w:val="7F7F7F" w:themeColor="text1" w:themeTint="80"/>
            <w:sz w:val="16"/>
            <w:szCs w:val="16"/>
          </w:rPr>
          <w:fldChar w:fldCharType="separate"/>
        </w:r>
        <w:r w:rsidR="009564B0">
          <w:rPr>
            <w:b/>
            <w:noProof/>
            <w:color w:val="7F7F7F" w:themeColor="text1" w:themeTint="80"/>
            <w:sz w:val="16"/>
            <w:szCs w:val="16"/>
          </w:rPr>
          <w:t>1</w:t>
        </w:r>
        <w:r w:rsidRPr="00EF5353">
          <w:rPr>
            <w:b/>
            <w:color w:val="7F7F7F" w:themeColor="text1" w:themeTint="80"/>
            <w:sz w:val="16"/>
            <w:szCs w:val="16"/>
          </w:rPr>
          <w:fldChar w:fldCharType="end"/>
        </w:r>
      </w:p>
    </w:sdtContent>
  </w:sdt>
  <w:p w14:paraId="08319C73" w14:textId="77777777" w:rsidR="00AD6E3F" w:rsidRDefault="00E00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07B16" w14:textId="77777777" w:rsidR="00315B72" w:rsidRDefault="00FF368A">
      <w:pPr>
        <w:spacing w:before="0" w:after="0" w:line="240" w:lineRule="auto"/>
      </w:pPr>
      <w:r>
        <w:separator/>
      </w:r>
    </w:p>
  </w:footnote>
  <w:footnote w:type="continuationSeparator" w:id="0">
    <w:p w14:paraId="569DB764" w14:textId="77777777" w:rsidR="00315B72" w:rsidRDefault="00FF36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E15C" w14:textId="77777777" w:rsidR="00CF7449" w:rsidRDefault="00CF7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3FD4" w14:textId="77777777" w:rsidR="00AD6E3F" w:rsidRPr="00AD6E3F" w:rsidRDefault="00A054CB" w:rsidP="00AD6E3F">
    <w:pPr>
      <w:pStyle w:val="Header"/>
    </w:pPr>
    <w:r>
      <w:rPr>
        <w:noProof/>
        <w:lang w:eastAsia="en-AU"/>
      </w:rPr>
      <w:drawing>
        <wp:anchor distT="0" distB="0" distL="114300" distR="114300" simplePos="0" relativeHeight="251662336" behindDoc="1" locked="0" layoutInCell="1" allowOverlap="1" wp14:anchorId="487251AB" wp14:editId="64B3D799">
          <wp:simplePos x="0" y="0"/>
          <wp:positionH relativeFrom="page">
            <wp:posOffset>5824</wp:posOffset>
          </wp:positionH>
          <wp:positionV relativeFrom="page">
            <wp:posOffset>0</wp:posOffset>
          </wp:positionV>
          <wp:extent cx="7549200" cy="1515600"/>
          <wp:effectExtent l="0" t="0" r="0" b="8890"/>
          <wp:wrapNone/>
          <wp:docPr id="26" name="Picture 26" descr="Header image"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FOOT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515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1312" behindDoc="1" locked="1" layoutInCell="1" allowOverlap="1" wp14:anchorId="6262F78D" wp14:editId="09BFB671">
          <wp:simplePos x="0" y="0"/>
          <wp:positionH relativeFrom="page">
            <wp:align>center</wp:align>
          </wp:positionH>
          <wp:positionV relativeFrom="page">
            <wp:posOffset>0</wp:posOffset>
          </wp:positionV>
          <wp:extent cx="7546848" cy="1066800"/>
          <wp:effectExtent l="0" t="0" r="0" b="0"/>
          <wp:wrapNone/>
          <wp:docPr id="27" name="Picture 27" descr="Blue strip with dots" title="Newsletter pag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FOOTER.jpg"/>
                  <pic:cNvPicPr/>
                </pic:nvPicPr>
                <pic:blipFill>
                  <a:blip r:embed="rId2">
                    <a:extLst>
                      <a:ext uri="{28A0092B-C50C-407E-A947-70E740481C1C}">
                        <a14:useLocalDpi xmlns:a14="http://schemas.microsoft.com/office/drawing/2010/main" val="0"/>
                      </a:ext>
                    </a:extLst>
                  </a:blip>
                  <a:stretch>
                    <a:fillRect/>
                  </a:stretch>
                </pic:blipFill>
                <pic:spPr>
                  <a:xfrm>
                    <a:off x="0" y="0"/>
                    <a:ext cx="7546848" cy="1066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D8F0" w14:textId="4B302415" w:rsidR="00AD6E3F" w:rsidRDefault="00CF7449">
    <w:pPr>
      <w:pStyle w:val="Header"/>
    </w:pPr>
    <w:r>
      <w:rPr>
        <w:noProof/>
      </w:rPr>
      <w:drawing>
        <wp:inline distT="0" distB="0" distL="0" distR="0" wp14:anchorId="10E51FC2" wp14:editId="41001F0E">
          <wp:extent cx="4401567" cy="809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892" cy="821273"/>
                  </a:xfrm>
                  <a:prstGeom prst="rect">
                    <a:avLst/>
                  </a:prstGeom>
                  <a:noFill/>
                </pic:spPr>
              </pic:pic>
            </a:graphicData>
          </a:graphic>
        </wp:inline>
      </w:drawing>
    </w:r>
    <w:r>
      <w:rPr>
        <w:noProof/>
        <w:lang w:eastAsia="en-AU"/>
      </w:rPr>
      <mc:AlternateContent>
        <mc:Choice Requires="wps">
          <w:drawing>
            <wp:anchor distT="0" distB="0" distL="114300" distR="114300" simplePos="0" relativeHeight="251659264" behindDoc="0" locked="0" layoutInCell="1" allowOverlap="1" wp14:anchorId="2CD5DAEE" wp14:editId="19C38C36">
              <wp:simplePos x="0" y="0"/>
              <wp:positionH relativeFrom="column">
                <wp:posOffset>-125388</wp:posOffset>
              </wp:positionH>
              <wp:positionV relativeFrom="paragraph">
                <wp:posOffset>1364517</wp:posOffset>
              </wp:positionV>
              <wp:extent cx="6600825"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609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4D95E5" w14:textId="77777777" w:rsidR="00CF7449" w:rsidRDefault="00A054CB" w:rsidP="00CE1A39">
                          <w:pPr>
                            <w:pStyle w:val="Title"/>
                            <w:rPr>
                              <w:sz w:val="36"/>
                              <w:lang w:val="en-US"/>
                            </w:rPr>
                          </w:pPr>
                          <w:r w:rsidRPr="00C74983">
                            <w:rPr>
                              <w:sz w:val="36"/>
                              <w:lang w:val="en-US"/>
                            </w:rPr>
                            <w:t xml:space="preserve">Tasmanian Freight </w:t>
                          </w:r>
                          <w:proofErr w:type="spellStart"/>
                          <w:r w:rsidRPr="00C74983">
                            <w:rPr>
                              <w:sz w:val="36"/>
                              <w:lang w:val="en-US"/>
                            </w:rPr>
                            <w:t>Equalisation</w:t>
                          </w:r>
                          <w:proofErr w:type="spellEnd"/>
                          <w:r w:rsidRPr="00C74983">
                            <w:rPr>
                              <w:sz w:val="36"/>
                              <w:lang w:val="en-US"/>
                            </w:rPr>
                            <w:t xml:space="preserve"> Scheme </w:t>
                          </w:r>
                        </w:p>
                        <w:p w14:paraId="199D6633" w14:textId="3A242FE1" w:rsidR="009707D5" w:rsidRPr="00C74983" w:rsidRDefault="00A054CB" w:rsidP="00CE1A39">
                          <w:pPr>
                            <w:pStyle w:val="Title"/>
                            <w:rPr>
                              <w:sz w:val="36"/>
                              <w:lang w:val="en-US"/>
                            </w:rPr>
                          </w:pPr>
                          <w:r w:rsidRPr="00C74983">
                            <w:rPr>
                              <w:sz w:val="36"/>
                              <w:lang w:val="en-US"/>
                            </w:rPr>
                            <w:t>Information Paper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D5DAEE" id="_x0000_t202" coordsize="21600,21600" o:spt="202" path="m,l,21600r21600,l21600,xe">
              <v:stroke joinstyle="miter"/>
              <v:path gradientshapeok="t" o:connecttype="rect"/>
            </v:shapetype>
            <v:shape id="Text Box 2" o:spid="_x0000_s1026" type="#_x0000_t202" style="position:absolute;margin-left:-9.85pt;margin-top:107.45pt;width:519.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" filled="f" stroked="f">
              <v:textbox>
                <w:txbxContent>
                  <w:p w14:paraId="194D95E5" w14:textId="77777777" w:rsidR="00CF7449" w:rsidRDefault="00A054CB" w:rsidP="00CE1A39">
                    <w:pPr>
                      <w:pStyle w:val="Title"/>
                      <w:rPr>
                        <w:sz w:val="36"/>
                        <w:lang w:val="en-US"/>
                      </w:rPr>
                    </w:pPr>
                    <w:r w:rsidRPr="00C74983">
                      <w:rPr>
                        <w:sz w:val="36"/>
                        <w:lang w:val="en-US"/>
                      </w:rPr>
                      <w:t xml:space="preserve">Tasmanian Freight </w:t>
                    </w:r>
                    <w:proofErr w:type="spellStart"/>
                    <w:r w:rsidRPr="00C74983">
                      <w:rPr>
                        <w:sz w:val="36"/>
                        <w:lang w:val="en-US"/>
                      </w:rPr>
                      <w:t>Equalisation</w:t>
                    </w:r>
                    <w:proofErr w:type="spellEnd"/>
                    <w:r w:rsidRPr="00C74983">
                      <w:rPr>
                        <w:sz w:val="36"/>
                        <w:lang w:val="en-US"/>
                      </w:rPr>
                      <w:t xml:space="preserve"> Scheme </w:t>
                    </w:r>
                  </w:p>
                  <w:p w14:paraId="199D6633" w14:textId="3A242FE1" w:rsidR="009707D5" w:rsidRPr="00C74983" w:rsidRDefault="00A054CB" w:rsidP="00CE1A39">
                    <w:pPr>
                      <w:pStyle w:val="Title"/>
                      <w:rPr>
                        <w:sz w:val="36"/>
                        <w:lang w:val="en-US"/>
                      </w:rPr>
                    </w:pPr>
                    <w:r w:rsidRPr="00C74983">
                      <w:rPr>
                        <w:sz w:val="36"/>
                        <w:lang w:val="en-US"/>
                      </w:rPr>
                      <w:t>Information Paper</w:t>
                    </w:r>
                  </w:p>
                </w:txbxContent>
              </v:textbox>
            </v:shape>
          </w:pict>
        </mc:Fallback>
      </mc:AlternateContent>
    </w:r>
    <w:r>
      <w:rPr>
        <w:noProof/>
        <w:lang w:eastAsia="en-AU"/>
      </w:rPr>
      <w:drawing>
        <wp:anchor distT="0" distB="0" distL="114300" distR="114300" simplePos="0" relativeHeight="251664384" behindDoc="1" locked="1" layoutInCell="1" allowOverlap="1" wp14:anchorId="1DFC16EE" wp14:editId="26641838">
          <wp:simplePos x="0" y="0"/>
          <wp:positionH relativeFrom="page">
            <wp:posOffset>5715</wp:posOffset>
          </wp:positionH>
          <wp:positionV relativeFrom="page">
            <wp:posOffset>-10795</wp:posOffset>
          </wp:positionV>
          <wp:extent cx="7543800" cy="243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3800" cy="243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1481AAE"/>
    <w:multiLevelType w:val="hybridMultilevel"/>
    <w:tmpl w:val="08C861DC"/>
    <w:lvl w:ilvl="0" w:tplc="9DB00C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CB"/>
    <w:rsid w:val="00315B72"/>
    <w:rsid w:val="00377566"/>
    <w:rsid w:val="00597EB0"/>
    <w:rsid w:val="005E2107"/>
    <w:rsid w:val="0063121D"/>
    <w:rsid w:val="006D0657"/>
    <w:rsid w:val="00707D67"/>
    <w:rsid w:val="007876C6"/>
    <w:rsid w:val="007F4E4A"/>
    <w:rsid w:val="008B1B09"/>
    <w:rsid w:val="009111A9"/>
    <w:rsid w:val="009564B0"/>
    <w:rsid w:val="00A054CB"/>
    <w:rsid w:val="00A71CC6"/>
    <w:rsid w:val="00B15030"/>
    <w:rsid w:val="00BD7CFE"/>
    <w:rsid w:val="00C9123D"/>
    <w:rsid w:val="00CF7449"/>
    <w:rsid w:val="00D94396"/>
    <w:rsid w:val="00E007E1"/>
    <w:rsid w:val="00F91D70"/>
    <w:rsid w:val="00FF3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1332C"/>
  <w15:chartTrackingRefBased/>
  <w15:docId w15:val="{904C5373-8292-4857-8D69-C678911E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4CB"/>
    <w:pPr>
      <w:spacing w:before="120" w:after="200" w:line="312" w:lineRule="auto"/>
    </w:pPr>
    <w:rPr>
      <w:rFonts w:ascii="Arial" w:hAnsi="Arial"/>
      <w:color w:val="595959" w:themeColor="text1" w:themeTint="A6"/>
      <w:sz w:val="20"/>
    </w:rPr>
  </w:style>
  <w:style w:type="paragraph" w:styleId="Heading1">
    <w:name w:val="heading 1"/>
    <w:basedOn w:val="Normal"/>
    <w:next w:val="Normal"/>
    <w:link w:val="Heading1Char"/>
    <w:uiPriority w:val="9"/>
    <w:qFormat/>
    <w:rsid w:val="00A054CB"/>
    <w:pPr>
      <w:keepNext/>
      <w:keepLines/>
      <w:spacing w:before="100" w:beforeAutospacing="1" w:line="240" w:lineRule="auto"/>
      <w:outlineLvl w:val="0"/>
    </w:pPr>
    <w:rPr>
      <w:rFonts w:ascii="Georgia" w:eastAsiaTheme="majorEastAsia" w:hAnsi="Georgia" w:cstheme="majorBidi"/>
      <w:bCs/>
      <w:color w:val="4F81BD"/>
      <w:sz w:val="36"/>
      <w:szCs w:val="28"/>
    </w:rPr>
  </w:style>
  <w:style w:type="paragraph" w:styleId="Heading2">
    <w:name w:val="heading 2"/>
    <w:basedOn w:val="Normal"/>
    <w:next w:val="Normal"/>
    <w:link w:val="Heading2Char"/>
    <w:uiPriority w:val="9"/>
    <w:unhideWhenUsed/>
    <w:qFormat/>
    <w:rsid w:val="00A054CB"/>
    <w:pPr>
      <w:keepNext/>
      <w:keepLines/>
      <w:spacing w:before="0" w:line="240" w:lineRule="auto"/>
      <w:outlineLvl w:val="1"/>
    </w:pPr>
    <w:rPr>
      <w:rFonts w:eastAsiaTheme="majorEastAsia" w:cstheme="majorBidi"/>
      <w:bCs/>
      <w:color w:val="4F81BD"/>
      <w:sz w:val="28"/>
      <w:szCs w:val="26"/>
    </w:rPr>
  </w:style>
  <w:style w:type="paragraph" w:styleId="Heading3">
    <w:name w:val="heading 3"/>
    <w:basedOn w:val="Normal"/>
    <w:next w:val="Normal"/>
    <w:link w:val="Heading3Char"/>
    <w:uiPriority w:val="9"/>
    <w:unhideWhenUsed/>
    <w:qFormat/>
    <w:rsid w:val="00A054CB"/>
    <w:pPr>
      <w:keepNext/>
      <w:keepLines/>
      <w:spacing w:before="100" w:beforeAutospacing="1"/>
      <w:outlineLvl w:val="2"/>
    </w:pPr>
    <w:rPr>
      <w:rFonts w:eastAsiaTheme="majorEastAsia" w:cstheme="majorBidi"/>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CB"/>
    <w:rPr>
      <w:rFonts w:ascii="Georgia" w:eastAsiaTheme="majorEastAsia" w:hAnsi="Georgia" w:cstheme="majorBidi"/>
      <w:bCs/>
      <w:color w:val="4F81BD"/>
      <w:sz w:val="36"/>
      <w:szCs w:val="28"/>
    </w:rPr>
  </w:style>
  <w:style w:type="character" w:customStyle="1" w:styleId="Heading2Char">
    <w:name w:val="Heading 2 Char"/>
    <w:basedOn w:val="DefaultParagraphFont"/>
    <w:link w:val="Heading2"/>
    <w:uiPriority w:val="9"/>
    <w:rsid w:val="00A054CB"/>
    <w:rPr>
      <w:rFonts w:ascii="Arial" w:eastAsiaTheme="majorEastAsia" w:hAnsi="Arial" w:cstheme="majorBidi"/>
      <w:bCs/>
      <w:color w:val="4F81BD"/>
      <w:sz w:val="28"/>
      <w:szCs w:val="26"/>
    </w:rPr>
  </w:style>
  <w:style w:type="character" w:customStyle="1" w:styleId="Heading3Char">
    <w:name w:val="Heading 3 Char"/>
    <w:basedOn w:val="DefaultParagraphFont"/>
    <w:link w:val="Heading3"/>
    <w:uiPriority w:val="9"/>
    <w:rsid w:val="00A054CB"/>
    <w:rPr>
      <w:rFonts w:ascii="Arial" w:eastAsiaTheme="majorEastAsia" w:hAnsi="Arial" w:cstheme="majorBidi"/>
      <w:bCs/>
      <w:sz w:val="24"/>
    </w:rPr>
  </w:style>
  <w:style w:type="paragraph" w:styleId="Header">
    <w:name w:val="header"/>
    <w:basedOn w:val="Normal"/>
    <w:link w:val="HeaderChar"/>
    <w:uiPriority w:val="99"/>
    <w:unhideWhenUsed/>
    <w:rsid w:val="00A05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4CB"/>
    <w:rPr>
      <w:rFonts w:ascii="Arial" w:hAnsi="Arial"/>
      <w:color w:val="595959" w:themeColor="text1" w:themeTint="A6"/>
      <w:sz w:val="20"/>
    </w:rPr>
  </w:style>
  <w:style w:type="paragraph" w:styleId="Footer">
    <w:name w:val="footer"/>
    <w:basedOn w:val="Normal"/>
    <w:link w:val="FooterChar"/>
    <w:uiPriority w:val="99"/>
    <w:unhideWhenUsed/>
    <w:rsid w:val="00A05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4CB"/>
    <w:rPr>
      <w:rFonts w:ascii="Arial" w:hAnsi="Arial"/>
      <w:color w:val="595959" w:themeColor="text1" w:themeTint="A6"/>
      <w:sz w:val="20"/>
    </w:rPr>
  </w:style>
  <w:style w:type="paragraph" w:styleId="ListParagraph">
    <w:name w:val="List Paragraph"/>
    <w:aliases w:val="Bullets"/>
    <w:basedOn w:val="Normal"/>
    <w:uiPriority w:val="34"/>
    <w:qFormat/>
    <w:rsid w:val="00A054CB"/>
    <w:pPr>
      <w:numPr>
        <w:numId w:val="1"/>
      </w:numPr>
      <w:ind w:left="908" w:hanging="454"/>
      <w:contextualSpacing/>
    </w:pPr>
  </w:style>
  <w:style w:type="paragraph" w:styleId="Title">
    <w:name w:val="Title"/>
    <w:basedOn w:val="Normal"/>
    <w:next w:val="Normal"/>
    <w:link w:val="TitleChar"/>
    <w:uiPriority w:val="10"/>
    <w:qFormat/>
    <w:rsid w:val="00A054CB"/>
    <w:pPr>
      <w:spacing w:before="0" w:after="120" w:line="240" w:lineRule="auto"/>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A054CB"/>
    <w:rPr>
      <w:rFonts w:ascii="Arial" w:eastAsiaTheme="majorEastAsia" w:hAnsi="Arial" w:cstheme="majorBidi"/>
      <w:color w:val="FFFFFF" w:themeColor="background1"/>
      <w:spacing w:val="5"/>
      <w:kern w:val="28"/>
      <w:sz w:val="40"/>
      <w:szCs w:val="52"/>
    </w:rPr>
  </w:style>
  <w:style w:type="paragraph" w:customStyle="1" w:styleId="Tabletext">
    <w:name w:val="Table text"/>
    <w:basedOn w:val="Normal"/>
    <w:qFormat/>
    <w:rsid w:val="00A054CB"/>
    <w:pPr>
      <w:spacing w:before="80" w:after="40" w:line="240" w:lineRule="auto"/>
    </w:pPr>
    <w:rPr>
      <w:bCs/>
      <w:sz w:val="18"/>
    </w:rPr>
  </w:style>
  <w:style w:type="paragraph" w:customStyle="1" w:styleId="Note">
    <w:name w:val="Note:"/>
    <w:basedOn w:val="Normal"/>
    <w:qFormat/>
    <w:rsid w:val="00A054CB"/>
    <w:pPr>
      <w:spacing w:before="0" w:after="160"/>
    </w:pPr>
    <w:rPr>
      <w:sz w:val="14"/>
    </w:rPr>
  </w:style>
  <w:style w:type="paragraph" w:customStyle="1" w:styleId="Bullet">
    <w:name w:val="Bullet"/>
    <w:basedOn w:val="ListParagraph"/>
    <w:qFormat/>
    <w:rsid w:val="00A054CB"/>
    <w:pPr>
      <w:numPr>
        <w:numId w:val="2"/>
      </w:numPr>
      <w:spacing w:before="60" w:after="60"/>
    </w:pPr>
  </w:style>
  <w:style w:type="table" w:styleId="LightShading-Accent1">
    <w:name w:val="Light Shading Accent 1"/>
    <w:basedOn w:val="TableNormal"/>
    <w:uiPriority w:val="60"/>
    <w:rsid w:val="00A054C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Listfiguretableheading">
    <w:name w:val="List/figure/table heading"/>
    <w:basedOn w:val="Heading2"/>
    <w:qFormat/>
    <w:rsid w:val="00A054CB"/>
  </w:style>
  <w:style w:type="paragraph" w:customStyle="1" w:styleId="TableHeading">
    <w:name w:val="Table Heading"/>
    <w:basedOn w:val="Tabletext"/>
    <w:qFormat/>
    <w:rsid w:val="00A054CB"/>
    <w:rPr>
      <w:b/>
      <w:bCs w:val="0"/>
    </w:rPr>
  </w:style>
  <w:style w:type="character" w:styleId="CommentReference">
    <w:name w:val="annotation reference"/>
    <w:basedOn w:val="DefaultParagraphFont"/>
    <w:uiPriority w:val="99"/>
    <w:semiHidden/>
    <w:unhideWhenUsed/>
    <w:rsid w:val="00A054CB"/>
    <w:rPr>
      <w:sz w:val="16"/>
      <w:szCs w:val="16"/>
    </w:rPr>
  </w:style>
  <w:style w:type="paragraph" w:styleId="CommentText">
    <w:name w:val="annotation text"/>
    <w:basedOn w:val="Normal"/>
    <w:link w:val="CommentTextChar"/>
    <w:uiPriority w:val="99"/>
    <w:semiHidden/>
    <w:unhideWhenUsed/>
    <w:rsid w:val="00A054CB"/>
    <w:pPr>
      <w:spacing w:line="240" w:lineRule="auto"/>
    </w:pPr>
    <w:rPr>
      <w:szCs w:val="20"/>
    </w:rPr>
  </w:style>
  <w:style w:type="character" w:customStyle="1" w:styleId="CommentTextChar">
    <w:name w:val="Comment Text Char"/>
    <w:basedOn w:val="DefaultParagraphFont"/>
    <w:link w:val="CommentText"/>
    <w:uiPriority w:val="99"/>
    <w:semiHidden/>
    <w:rsid w:val="00A054CB"/>
    <w:rPr>
      <w:rFonts w:ascii="Arial" w:hAnsi="Arial"/>
      <w:color w:val="595959" w:themeColor="text1" w:themeTint="A6"/>
      <w:sz w:val="20"/>
      <w:szCs w:val="20"/>
    </w:rPr>
  </w:style>
  <w:style w:type="paragraph" w:styleId="BalloonText">
    <w:name w:val="Balloon Text"/>
    <w:basedOn w:val="Normal"/>
    <w:link w:val="BalloonTextChar"/>
    <w:uiPriority w:val="99"/>
    <w:semiHidden/>
    <w:unhideWhenUsed/>
    <w:rsid w:val="00A054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4CB"/>
    <w:rPr>
      <w:rFonts w:ascii="Segoe UI" w:hAnsi="Segoe UI" w:cs="Segoe UI"/>
      <w:color w:val="595959" w:themeColor="text1" w:themeTint="A6"/>
      <w:sz w:val="18"/>
      <w:szCs w:val="18"/>
    </w:rPr>
  </w:style>
  <w:style w:type="character" w:styleId="Hyperlink">
    <w:name w:val="Hyperlink"/>
    <w:basedOn w:val="DefaultParagraphFont"/>
    <w:uiPriority w:val="99"/>
    <w:unhideWhenUsed/>
    <w:rsid w:val="00D943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es.support@servicesaustrali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F2B9-EF48-430D-AB25-C2DEFA57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Annette</dc:creator>
  <cp:keywords/>
  <dc:description/>
  <cp:lastModifiedBy>BERNEY Jon</cp:lastModifiedBy>
  <cp:revision>8</cp:revision>
  <cp:lastPrinted>2020-10-27T00:20:00Z</cp:lastPrinted>
  <dcterms:created xsi:type="dcterms:W3CDTF">2020-10-19T05:46:00Z</dcterms:created>
  <dcterms:modified xsi:type="dcterms:W3CDTF">2024-01-15T23:00:00Z</dcterms:modified>
</cp:coreProperties>
</file>