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63DD2" w14:textId="0574567F" w:rsidR="008A24F4" w:rsidRDefault="007C7BDE">
      <w:pPr>
        <w:rPr>
          <w:b/>
          <w:lang w:val="en-US"/>
        </w:rPr>
      </w:pPr>
      <w:r w:rsidRPr="00FC42CA">
        <w:rPr>
          <w:b/>
          <w:sz w:val="28"/>
          <w:szCs w:val="28"/>
          <w:lang w:val="en-US"/>
        </w:rPr>
        <w:t xml:space="preserve">Proposed </w:t>
      </w:r>
      <w:r w:rsidR="00926867">
        <w:rPr>
          <w:b/>
          <w:sz w:val="28"/>
          <w:szCs w:val="28"/>
          <w:lang w:val="en-US"/>
        </w:rPr>
        <w:t xml:space="preserve">new </w:t>
      </w:r>
      <w:r w:rsidR="0005516F">
        <w:rPr>
          <w:b/>
          <w:sz w:val="28"/>
          <w:szCs w:val="28"/>
          <w:lang w:val="en-US"/>
        </w:rPr>
        <w:t xml:space="preserve">series of </w:t>
      </w:r>
      <w:r w:rsidR="00267B10" w:rsidRPr="00FC42CA">
        <w:rPr>
          <w:b/>
          <w:sz w:val="28"/>
          <w:szCs w:val="28"/>
          <w:lang w:val="en-US"/>
        </w:rPr>
        <w:t>A</w:t>
      </w:r>
      <w:r w:rsidR="00926867">
        <w:rPr>
          <w:b/>
          <w:sz w:val="28"/>
          <w:szCs w:val="28"/>
          <w:lang w:val="en-US"/>
        </w:rPr>
        <w:t>ustralian Design Rule</w:t>
      </w:r>
      <w:r w:rsidR="008A24F4" w:rsidRPr="00FC42CA">
        <w:rPr>
          <w:b/>
          <w:sz w:val="28"/>
          <w:szCs w:val="28"/>
          <w:lang w:val="en-US"/>
        </w:rPr>
        <w:t xml:space="preserve"> </w:t>
      </w:r>
      <w:r w:rsidR="00D93708">
        <w:rPr>
          <w:b/>
          <w:sz w:val="28"/>
          <w:szCs w:val="28"/>
          <w:lang w:val="en-US"/>
        </w:rPr>
        <w:t xml:space="preserve">(ADR) </w:t>
      </w:r>
      <w:r w:rsidR="00AB4E52">
        <w:rPr>
          <w:b/>
          <w:sz w:val="28"/>
          <w:szCs w:val="28"/>
          <w:lang w:val="en-US"/>
        </w:rPr>
        <w:t xml:space="preserve">81 </w:t>
      </w:r>
      <w:r w:rsidR="008A24F4" w:rsidRPr="00FC42CA">
        <w:rPr>
          <w:b/>
          <w:sz w:val="28"/>
          <w:szCs w:val="28"/>
          <w:lang w:val="en-US"/>
        </w:rPr>
        <w:t xml:space="preserve">to </w:t>
      </w:r>
      <w:r w:rsidR="00AB4E52">
        <w:rPr>
          <w:b/>
          <w:sz w:val="28"/>
          <w:szCs w:val="28"/>
          <w:lang w:val="en-US"/>
        </w:rPr>
        <w:t>implement</w:t>
      </w:r>
      <w:r w:rsidR="00926867">
        <w:rPr>
          <w:b/>
          <w:sz w:val="28"/>
          <w:szCs w:val="28"/>
          <w:lang w:val="en-US"/>
        </w:rPr>
        <w:t xml:space="preserve"> </w:t>
      </w:r>
      <w:r w:rsidR="008A24F4" w:rsidRPr="00FC42CA">
        <w:rPr>
          <w:b/>
          <w:sz w:val="28"/>
          <w:szCs w:val="28"/>
          <w:lang w:val="en-US"/>
        </w:rPr>
        <w:t>the N</w:t>
      </w:r>
      <w:r w:rsidR="00926867">
        <w:rPr>
          <w:b/>
          <w:sz w:val="28"/>
          <w:szCs w:val="28"/>
          <w:lang w:val="en-US"/>
        </w:rPr>
        <w:t xml:space="preserve">ew </w:t>
      </w:r>
      <w:r w:rsidR="008A24F4" w:rsidRPr="00FC42CA">
        <w:rPr>
          <w:b/>
          <w:sz w:val="28"/>
          <w:szCs w:val="28"/>
          <w:lang w:val="en-US"/>
        </w:rPr>
        <w:t>V</w:t>
      </w:r>
      <w:r w:rsidR="00926867">
        <w:rPr>
          <w:b/>
          <w:sz w:val="28"/>
          <w:szCs w:val="28"/>
          <w:lang w:val="en-US"/>
        </w:rPr>
        <w:t xml:space="preserve">ehicle </w:t>
      </w:r>
      <w:r w:rsidR="008A24F4" w:rsidRPr="00FC42CA">
        <w:rPr>
          <w:b/>
          <w:sz w:val="28"/>
          <w:szCs w:val="28"/>
          <w:lang w:val="en-US"/>
        </w:rPr>
        <w:t>E</w:t>
      </w:r>
      <w:r w:rsidR="00926867">
        <w:rPr>
          <w:b/>
          <w:sz w:val="28"/>
          <w:szCs w:val="28"/>
          <w:lang w:val="en-US"/>
        </w:rPr>
        <w:t xml:space="preserve">fficiency </w:t>
      </w:r>
      <w:r w:rsidR="008A24F4" w:rsidRPr="00FC42CA">
        <w:rPr>
          <w:b/>
          <w:sz w:val="28"/>
          <w:szCs w:val="28"/>
          <w:lang w:val="en-US"/>
        </w:rPr>
        <w:t>S</w:t>
      </w:r>
      <w:r w:rsidR="00926867">
        <w:rPr>
          <w:b/>
          <w:sz w:val="28"/>
          <w:szCs w:val="28"/>
          <w:lang w:val="en-US"/>
        </w:rPr>
        <w:t>tandard</w:t>
      </w:r>
      <w:r w:rsidR="00D93708">
        <w:rPr>
          <w:b/>
          <w:sz w:val="28"/>
          <w:szCs w:val="28"/>
          <w:lang w:val="en-US"/>
        </w:rPr>
        <w:t xml:space="preserve"> (NVES)</w:t>
      </w:r>
    </w:p>
    <w:p w14:paraId="055A6A1E" w14:textId="0F6BCD48" w:rsidR="00D93708" w:rsidRPr="00DC39A3" w:rsidRDefault="00D93708">
      <w:pPr>
        <w:rPr>
          <w:lang w:val="en-US"/>
        </w:rPr>
      </w:pPr>
      <w:r w:rsidRPr="00DC39A3">
        <w:rPr>
          <w:lang w:val="en-US"/>
        </w:rPr>
        <w:t>This document provides a short summary of the key policy issues in the proposed new series of ADR 81 to support the implementation of the NVES.</w:t>
      </w:r>
    </w:p>
    <w:p w14:paraId="1FAE718A" w14:textId="6F0A9DF3" w:rsidR="00926867" w:rsidRDefault="00926867">
      <w:pPr>
        <w:rPr>
          <w:b/>
          <w:lang w:val="en-US"/>
        </w:rPr>
      </w:pPr>
      <w:r>
        <w:rPr>
          <w:b/>
          <w:lang w:val="en-US"/>
        </w:rPr>
        <w:t>Why is a new ADR needed?</w:t>
      </w:r>
    </w:p>
    <w:p w14:paraId="02468338" w14:textId="77777777" w:rsidR="00DD0D9E" w:rsidRDefault="00100957">
      <w:pPr>
        <w:rPr>
          <w:lang w:val="en-US"/>
        </w:rPr>
      </w:pPr>
      <w:r>
        <w:rPr>
          <w:lang w:val="en-US"/>
        </w:rPr>
        <w:t>A new series of Australian Design Rule 81</w:t>
      </w:r>
      <w:r w:rsidR="00873698">
        <w:rPr>
          <w:lang w:val="en-US"/>
        </w:rPr>
        <w:t xml:space="preserve"> (ADR 81) </w:t>
      </w:r>
      <w:r>
        <w:rPr>
          <w:lang w:val="en-US"/>
        </w:rPr>
        <w:t>is required</w:t>
      </w:r>
      <w:r w:rsidR="00AB4E52">
        <w:rPr>
          <w:lang w:val="en-US"/>
        </w:rPr>
        <w:t xml:space="preserve"> to help implement the New Vehicle Efficiency Standard (NVES). </w:t>
      </w:r>
    </w:p>
    <w:p w14:paraId="6624A4C7" w14:textId="77777777" w:rsidR="00873698" w:rsidRDefault="00873698">
      <w:pPr>
        <w:rPr>
          <w:lang w:val="en-US"/>
        </w:rPr>
      </w:pPr>
      <w:r>
        <w:rPr>
          <w:lang w:val="en-US"/>
        </w:rPr>
        <w:t>ADR 81 does two tasks:</w:t>
      </w:r>
    </w:p>
    <w:p w14:paraId="26D2514B" w14:textId="77777777" w:rsidR="00873698" w:rsidRDefault="00873698" w:rsidP="00873698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it </w:t>
      </w:r>
      <w:r w:rsidRPr="00873698">
        <w:rPr>
          <w:lang w:val="en-US"/>
        </w:rPr>
        <w:t>sets out the</w:t>
      </w:r>
      <w:r w:rsidR="00D53507">
        <w:rPr>
          <w:lang w:val="en-US"/>
        </w:rPr>
        <w:t xml:space="preserve"> lab</w:t>
      </w:r>
      <w:r w:rsidR="009E7D94">
        <w:rPr>
          <w:lang w:val="en-US"/>
        </w:rPr>
        <w:t>o</w:t>
      </w:r>
      <w:r w:rsidR="00D53507">
        <w:rPr>
          <w:lang w:val="en-US"/>
        </w:rPr>
        <w:t>ratory</w:t>
      </w:r>
      <w:r w:rsidRPr="00873698">
        <w:rPr>
          <w:lang w:val="en-US"/>
        </w:rPr>
        <w:t xml:space="preserve"> test for measuring fuel consumption and </w:t>
      </w:r>
      <w:r w:rsidR="00D53507">
        <w:rPr>
          <w:lang w:val="en-US"/>
        </w:rPr>
        <w:t>carbon dioxide (</w:t>
      </w:r>
      <w:r w:rsidRPr="00873698">
        <w:rPr>
          <w:lang w:val="en-US"/>
        </w:rPr>
        <w:t>CO</w:t>
      </w:r>
      <w:r w:rsidRPr="009E7D94">
        <w:rPr>
          <w:vertAlign w:val="subscript"/>
          <w:lang w:val="en-US"/>
        </w:rPr>
        <w:t>2</w:t>
      </w:r>
      <w:r w:rsidR="00D53507">
        <w:rPr>
          <w:lang w:val="en-US"/>
        </w:rPr>
        <w:t xml:space="preserve">) </w:t>
      </w:r>
      <w:r w:rsidRPr="00873698">
        <w:rPr>
          <w:lang w:val="en-US"/>
        </w:rPr>
        <w:t>emissions</w:t>
      </w:r>
      <w:r w:rsidR="00D53507">
        <w:rPr>
          <w:lang w:val="en-US"/>
        </w:rPr>
        <w:t xml:space="preserve"> for new cars, SUVs and light commercial vehicles</w:t>
      </w:r>
      <w:r>
        <w:rPr>
          <w:lang w:val="en-US"/>
        </w:rPr>
        <w:t>;</w:t>
      </w:r>
      <w:r w:rsidRPr="00873698">
        <w:rPr>
          <w:lang w:val="en-US"/>
        </w:rPr>
        <w:t xml:space="preserve"> and </w:t>
      </w:r>
    </w:p>
    <w:p w14:paraId="6D858369" w14:textId="77777777" w:rsidR="00D53507" w:rsidRDefault="00D53507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it </w:t>
      </w:r>
      <w:r w:rsidR="00873698" w:rsidRPr="00873698">
        <w:rPr>
          <w:lang w:val="en-US"/>
        </w:rPr>
        <w:t xml:space="preserve">requires </w:t>
      </w:r>
      <w:r w:rsidR="009E7D94">
        <w:rPr>
          <w:lang w:val="en-US"/>
        </w:rPr>
        <w:t xml:space="preserve">a </w:t>
      </w:r>
      <w:r>
        <w:rPr>
          <w:lang w:val="en-US"/>
        </w:rPr>
        <w:t>label to be</w:t>
      </w:r>
      <w:r w:rsidR="00873698" w:rsidRPr="00873698">
        <w:rPr>
          <w:lang w:val="en-US"/>
        </w:rPr>
        <w:t xml:space="preserve"> put on </w:t>
      </w:r>
      <w:r>
        <w:rPr>
          <w:lang w:val="en-US"/>
        </w:rPr>
        <w:t xml:space="preserve">the windscreen of a new car, SUV or light commercial vehicle </w:t>
      </w:r>
      <w:r w:rsidR="00873698" w:rsidRPr="00873698">
        <w:rPr>
          <w:lang w:val="en-US"/>
        </w:rPr>
        <w:t>before it is sold</w:t>
      </w:r>
      <w:r>
        <w:rPr>
          <w:lang w:val="en-US"/>
        </w:rPr>
        <w:t>.</w:t>
      </w:r>
    </w:p>
    <w:p w14:paraId="360F32D4" w14:textId="77777777" w:rsidR="00D53507" w:rsidRDefault="00D53507" w:rsidP="009E7D94">
      <w:pPr>
        <w:pStyle w:val="ListParagraph"/>
        <w:numPr>
          <w:ilvl w:val="1"/>
          <w:numId w:val="9"/>
        </w:numPr>
        <w:rPr>
          <w:lang w:val="en-US"/>
        </w:rPr>
      </w:pPr>
      <w:r>
        <w:rPr>
          <w:lang w:val="en-US"/>
        </w:rPr>
        <w:t xml:space="preserve">This label displays the vehicles fuel consumption and </w:t>
      </w:r>
      <w:r w:rsidRPr="00873698">
        <w:rPr>
          <w:lang w:val="en-US"/>
        </w:rPr>
        <w:t>CO</w:t>
      </w:r>
      <w:r w:rsidRPr="00847404">
        <w:rPr>
          <w:vertAlign w:val="subscript"/>
          <w:lang w:val="en-US"/>
        </w:rPr>
        <w:t>2</w:t>
      </w:r>
      <w:r>
        <w:rPr>
          <w:lang w:val="en-US"/>
        </w:rPr>
        <w:t xml:space="preserve"> emissions </w:t>
      </w:r>
      <w:r w:rsidR="00873698" w:rsidRPr="00873698">
        <w:rPr>
          <w:lang w:val="en-US"/>
        </w:rPr>
        <w:t xml:space="preserve">measured </w:t>
      </w:r>
      <w:r>
        <w:rPr>
          <w:lang w:val="en-US"/>
        </w:rPr>
        <w:t>in the</w:t>
      </w:r>
      <w:r w:rsidR="00873698" w:rsidRPr="00873698">
        <w:rPr>
          <w:lang w:val="en-US"/>
        </w:rPr>
        <w:t xml:space="preserve"> laboratory test for </w:t>
      </w:r>
      <w:r>
        <w:rPr>
          <w:lang w:val="en-US"/>
        </w:rPr>
        <w:t>petrol, diesel and non-plug-in hybrid</w:t>
      </w:r>
      <w:r w:rsidR="00873698">
        <w:rPr>
          <w:lang w:val="en-US"/>
        </w:rPr>
        <w:t xml:space="preserve"> vehicles</w:t>
      </w:r>
      <w:r>
        <w:rPr>
          <w:lang w:val="en-US"/>
        </w:rPr>
        <w:t xml:space="preserve">. </w:t>
      </w:r>
    </w:p>
    <w:p w14:paraId="001DC736" w14:textId="77777777" w:rsidR="00873698" w:rsidRPr="00873698" w:rsidRDefault="00D53507" w:rsidP="009E7D94">
      <w:pPr>
        <w:pStyle w:val="ListParagraph"/>
        <w:numPr>
          <w:ilvl w:val="1"/>
          <w:numId w:val="9"/>
        </w:numPr>
        <w:rPr>
          <w:lang w:val="en-US"/>
        </w:rPr>
      </w:pPr>
      <w:r>
        <w:rPr>
          <w:lang w:val="en-US"/>
        </w:rPr>
        <w:t>If the vehicle is an electric or plug-in hybrid vehicle, the label also shows the vehicle’s</w:t>
      </w:r>
      <w:r w:rsidR="00873698">
        <w:rPr>
          <w:lang w:val="en-US"/>
        </w:rPr>
        <w:t xml:space="preserve"> energy consumption and battery range</w:t>
      </w:r>
      <w:r>
        <w:rPr>
          <w:lang w:val="en-US"/>
        </w:rPr>
        <w:t xml:space="preserve"> </w:t>
      </w:r>
      <w:r w:rsidRPr="00873698">
        <w:rPr>
          <w:lang w:val="en-US"/>
        </w:rPr>
        <w:t xml:space="preserve">measured </w:t>
      </w:r>
      <w:r>
        <w:rPr>
          <w:lang w:val="en-US"/>
        </w:rPr>
        <w:t>in the</w:t>
      </w:r>
      <w:r w:rsidRPr="00873698">
        <w:rPr>
          <w:lang w:val="en-US"/>
        </w:rPr>
        <w:t xml:space="preserve"> laboratory test</w:t>
      </w:r>
      <w:r w:rsidR="009E7D94">
        <w:rPr>
          <w:lang w:val="en-US"/>
        </w:rPr>
        <w:t>.</w:t>
      </w:r>
    </w:p>
    <w:p w14:paraId="11700E14" w14:textId="77777777" w:rsidR="00DF71A7" w:rsidRDefault="00DF71A7">
      <w:pPr>
        <w:rPr>
          <w:lang w:val="en-US"/>
        </w:rPr>
      </w:pPr>
      <w:r>
        <w:rPr>
          <w:lang w:val="en-US"/>
        </w:rPr>
        <w:t xml:space="preserve">The </w:t>
      </w:r>
      <w:r w:rsidR="00AB4E52">
        <w:rPr>
          <w:i/>
          <w:lang w:val="en-US"/>
        </w:rPr>
        <w:t xml:space="preserve">New Vehicle Efficiency Standard Act 2024 </w:t>
      </w:r>
      <w:r w:rsidR="00AB4E52">
        <w:rPr>
          <w:lang w:val="en-US"/>
        </w:rPr>
        <w:t>(</w:t>
      </w:r>
      <w:r>
        <w:rPr>
          <w:lang w:val="en-US"/>
        </w:rPr>
        <w:t>NVES Act</w:t>
      </w:r>
      <w:r w:rsidR="00AB4E52">
        <w:rPr>
          <w:lang w:val="en-US"/>
        </w:rPr>
        <w:t>)</w:t>
      </w:r>
      <w:r>
        <w:rPr>
          <w:lang w:val="en-US"/>
        </w:rPr>
        <w:t xml:space="preserve"> </w:t>
      </w:r>
      <w:r w:rsidR="00CD7967">
        <w:rPr>
          <w:lang w:val="en-US"/>
        </w:rPr>
        <w:t>uses the</w:t>
      </w:r>
      <w:r w:rsidR="00225EC6">
        <w:rPr>
          <w:lang w:val="en-US"/>
        </w:rPr>
        <w:t xml:space="preserve"> </w:t>
      </w:r>
      <w:r>
        <w:rPr>
          <w:lang w:val="en-US"/>
        </w:rPr>
        <w:t>CO</w:t>
      </w:r>
      <w:r w:rsidRPr="00870D15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="00870D15">
        <w:rPr>
          <w:lang w:val="en-US"/>
        </w:rPr>
        <w:t>number</w:t>
      </w:r>
      <w:r w:rsidR="00EC7306">
        <w:rPr>
          <w:lang w:val="en-US"/>
        </w:rPr>
        <w:t>s</w:t>
      </w:r>
      <w:r>
        <w:rPr>
          <w:lang w:val="en-US"/>
        </w:rPr>
        <w:t xml:space="preserve"> </w:t>
      </w:r>
      <w:r w:rsidR="00EC7306">
        <w:rPr>
          <w:lang w:val="en-US"/>
        </w:rPr>
        <w:t xml:space="preserve">entered </w:t>
      </w:r>
      <w:r w:rsidR="000D757A">
        <w:rPr>
          <w:lang w:val="en-US"/>
        </w:rPr>
        <w:t xml:space="preserve">for each vehicle </w:t>
      </w:r>
      <w:r>
        <w:rPr>
          <w:lang w:val="en-US"/>
        </w:rPr>
        <w:t>on</w:t>
      </w:r>
      <w:r w:rsidR="00870D15">
        <w:rPr>
          <w:lang w:val="en-US"/>
        </w:rPr>
        <w:t xml:space="preserve"> the</w:t>
      </w:r>
      <w:r>
        <w:rPr>
          <w:lang w:val="en-US"/>
        </w:rPr>
        <w:t xml:space="preserve"> Register of Approved Vehicles (RAV)</w:t>
      </w:r>
      <w:r w:rsidR="00870D15">
        <w:rPr>
          <w:lang w:val="en-US"/>
        </w:rPr>
        <w:t xml:space="preserve"> </w:t>
      </w:r>
      <w:r>
        <w:rPr>
          <w:lang w:val="en-US"/>
        </w:rPr>
        <w:t>to determine whether a manufacturer complies with the NVES. Th</w:t>
      </w:r>
      <w:r w:rsidR="00870D15">
        <w:rPr>
          <w:lang w:val="en-US"/>
        </w:rPr>
        <w:t>is</w:t>
      </w:r>
      <w:r>
        <w:rPr>
          <w:lang w:val="en-US"/>
        </w:rPr>
        <w:t xml:space="preserve"> CO</w:t>
      </w:r>
      <w:r w:rsidRPr="00870D15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="00870D15">
        <w:rPr>
          <w:lang w:val="en-US"/>
        </w:rPr>
        <w:t>number</w:t>
      </w:r>
      <w:r>
        <w:rPr>
          <w:lang w:val="en-US"/>
        </w:rPr>
        <w:t xml:space="preserve"> is</w:t>
      </w:r>
      <w:r w:rsidR="00870D15">
        <w:rPr>
          <w:lang w:val="en-US"/>
        </w:rPr>
        <w:t xml:space="preserve"> determined</w:t>
      </w:r>
      <w:r>
        <w:rPr>
          <w:lang w:val="en-US"/>
        </w:rPr>
        <w:t xml:space="preserve"> in accordance with </w:t>
      </w:r>
      <w:r w:rsidR="00873698">
        <w:rPr>
          <w:lang w:val="en-US"/>
        </w:rPr>
        <w:t>ADR 81</w:t>
      </w:r>
      <w:r>
        <w:rPr>
          <w:lang w:val="en-US"/>
        </w:rPr>
        <w:t>.</w:t>
      </w:r>
    </w:p>
    <w:p w14:paraId="12D8D63C" w14:textId="050F5D77" w:rsidR="00DB6A4A" w:rsidRDefault="00AB4E52">
      <w:pPr>
        <w:rPr>
          <w:lang w:val="en-US"/>
        </w:rPr>
      </w:pPr>
      <w:r>
        <w:rPr>
          <w:lang w:val="en-US"/>
        </w:rPr>
        <w:t>T</w:t>
      </w:r>
      <w:r w:rsidR="00DB6A4A">
        <w:rPr>
          <w:lang w:val="en-US"/>
        </w:rPr>
        <w:t>he current ADR for</w:t>
      </w:r>
      <w:r w:rsidR="00EC7306">
        <w:rPr>
          <w:lang w:val="en-US"/>
        </w:rPr>
        <w:t xml:space="preserve"> measuring</w:t>
      </w:r>
      <w:r w:rsidR="00DF71A7">
        <w:rPr>
          <w:lang w:val="en-US"/>
        </w:rPr>
        <w:t xml:space="preserve"> </w:t>
      </w:r>
      <w:r w:rsidR="00DB6A4A">
        <w:rPr>
          <w:lang w:val="en-US"/>
        </w:rPr>
        <w:t>CO</w:t>
      </w:r>
      <w:r w:rsidR="00DB6A4A" w:rsidRPr="00870D15">
        <w:rPr>
          <w:vertAlign w:val="subscript"/>
          <w:lang w:val="en-US"/>
        </w:rPr>
        <w:t>2</w:t>
      </w:r>
      <w:r w:rsidR="00DF71A7">
        <w:rPr>
          <w:lang w:val="en-US"/>
        </w:rPr>
        <w:t xml:space="preserve"> emissions (</w:t>
      </w:r>
      <w:hyperlink r:id="rId10" w:history="1">
        <w:r w:rsidR="00DF71A7" w:rsidRPr="00870D15">
          <w:rPr>
            <w:rStyle w:val="Hyperlink"/>
            <w:lang w:val="en-US"/>
          </w:rPr>
          <w:t>ADR 81/02</w:t>
        </w:r>
      </w:hyperlink>
      <w:r w:rsidR="00DF71A7">
        <w:rPr>
          <w:lang w:val="en-US"/>
        </w:rPr>
        <w:t>)</w:t>
      </w:r>
      <w:r w:rsidR="00870D15">
        <w:rPr>
          <w:lang w:val="en-US"/>
        </w:rPr>
        <w:t xml:space="preserve"> </w:t>
      </w:r>
      <w:r w:rsidR="00DB6A4A">
        <w:rPr>
          <w:lang w:val="en-US"/>
        </w:rPr>
        <w:t>applies to vehicles up to 3.5</w:t>
      </w:r>
      <w:r w:rsidR="00A056EB">
        <w:rPr>
          <w:lang w:val="en-US"/>
        </w:rPr>
        <w:t xml:space="preserve"> tonnes</w:t>
      </w:r>
      <w:r w:rsidR="00DB6A4A">
        <w:rPr>
          <w:lang w:val="en-US"/>
        </w:rPr>
        <w:t xml:space="preserve"> GVM</w:t>
      </w:r>
      <w:r w:rsidR="009E7D94">
        <w:rPr>
          <w:lang w:val="en-US"/>
        </w:rPr>
        <w:t xml:space="preserve"> (Gross Vehicle Mass)</w:t>
      </w:r>
      <w:r w:rsidR="00DF71A7">
        <w:rPr>
          <w:lang w:val="en-US"/>
        </w:rPr>
        <w:t>. As the NVES appl</w:t>
      </w:r>
      <w:r w:rsidR="00870D15">
        <w:rPr>
          <w:lang w:val="en-US"/>
        </w:rPr>
        <w:t>ies</w:t>
      </w:r>
      <w:r w:rsidR="00DF71A7">
        <w:rPr>
          <w:lang w:val="en-US"/>
        </w:rPr>
        <w:t xml:space="preserve"> to vehicles up to 4.5</w:t>
      </w:r>
      <w:r w:rsidR="00A056EB">
        <w:rPr>
          <w:lang w:val="en-US"/>
        </w:rPr>
        <w:t xml:space="preserve"> </w:t>
      </w:r>
      <w:r w:rsidR="00DF71A7">
        <w:rPr>
          <w:lang w:val="en-US"/>
        </w:rPr>
        <w:t>t</w:t>
      </w:r>
      <w:r w:rsidR="00A056EB">
        <w:rPr>
          <w:lang w:val="en-US"/>
        </w:rPr>
        <w:t>onnes</w:t>
      </w:r>
      <w:r w:rsidR="00870D15">
        <w:rPr>
          <w:lang w:val="en-US"/>
        </w:rPr>
        <w:t> </w:t>
      </w:r>
      <w:r w:rsidR="00DF71A7">
        <w:rPr>
          <w:lang w:val="en-US"/>
        </w:rPr>
        <w:t xml:space="preserve">GVM, </w:t>
      </w:r>
      <w:r>
        <w:rPr>
          <w:lang w:val="en-US"/>
        </w:rPr>
        <w:t>unless exempted,</w:t>
      </w:r>
      <w:r w:rsidR="00DF71A7">
        <w:rPr>
          <w:lang w:val="en-US"/>
        </w:rPr>
        <w:t xml:space="preserve"> a new</w:t>
      </w:r>
      <w:r>
        <w:rPr>
          <w:lang w:val="en-US"/>
        </w:rPr>
        <w:t xml:space="preserve"> </w:t>
      </w:r>
      <w:r w:rsidR="00873698">
        <w:rPr>
          <w:lang w:val="en-US"/>
        </w:rPr>
        <w:t>series of</w:t>
      </w:r>
      <w:r w:rsidR="00DF71A7">
        <w:rPr>
          <w:lang w:val="en-US"/>
        </w:rPr>
        <w:t xml:space="preserve"> ADR </w:t>
      </w:r>
      <w:r>
        <w:rPr>
          <w:lang w:val="en-US"/>
        </w:rPr>
        <w:t>81</w:t>
      </w:r>
      <w:r w:rsidR="00873698">
        <w:rPr>
          <w:lang w:val="en-US"/>
        </w:rPr>
        <w:t xml:space="preserve"> </w:t>
      </w:r>
      <w:r w:rsidR="00DF71A7">
        <w:rPr>
          <w:lang w:val="en-US"/>
        </w:rPr>
        <w:t xml:space="preserve">is </w:t>
      </w:r>
      <w:r w:rsidR="00870D15">
        <w:rPr>
          <w:lang w:val="en-US"/>
        </w:rPr>
        <w:t>required to mandate a CO</w:t>
      </w:r>
      <w:r w:rsidR="00870D15" w:rsidRPr="00870D15">
        <w:rPr>
          <w:vertAlign w:val="subscript"/>
          <w:lang w:val="en-US"/>
        </w:rPr>
        <w:t>2</w:t>
      </w:r>
      <w:r w:rsidR="00870D15">
        <w:rPr>
          <w:lang w:val="en-US"/>
        </w:rPr>
        <w:t xml:space="preserve"> test for </w:t>
      </w:r>
      <w:r w:rsidR="00DF71A7">
        <w:rPr>
          <w:lang w:val="en-US"/>
        </w:rPr>
        <w:t>vehicles over 3.5</w:t>
      </w:r>
      <w:r w:rsidR="00A056EB">
        <w:rPr>
          <w:lang w:val="en-US"/>
        </w:rPr>
        <w:t xml:space="preserve"> </w:t>
      </w:r>
      <w:r w:rsidR="00DF71A7">
        <w:rPr>
          <w:lang w:val="en-US"/>
        </w:rPr>
        <w:t>t</w:t>
      </w:r>
      <w:r w:rsidR="00A056EB">
        <w:rPr>
          <w:lang w:val="en-US"/>
        </w:rPr>
        <w:t>onnes</w:t>
      </w:r>
      <w:r w:rsidR="00DF71A7">
        <w:rPr>
          <w:lang w:val="en-US"/>
        </w:rPr>
        <w:t xml:space="preserve"> GVM.</w:t>
      </w:r>
    </w:p>
    <w:p w14:paraId="239F69C9" w14:textId="77777777" w:rsidR="00AB4E52" w:rsidRDefault="00AB4E52">
      <w:pPr>
        <w:rPr>
          <w:b/>
          <w:lang w:val="en-US"/>
        </w:rPr>
      </w:pPr>
      <w:r w:rsidRPr="009E7D94">
        <w:rPr>
          <w:b/>
          <w:lang w:val="en-US"/>
        </w:rPr>
        <w:t xml:space="preserve">What are the </w:t>
      </w:r>
      <w:r w:rsidR="009E7D94">
        <w:rPr>
          <w:b/>
          <w:lang w:val="en-US"/>
        </w:rPr>
        <w:t xml:space="preserve">proposed </w:t>
      </w:r>
      <w:r w:rsidR="00D53507">
        <w:rPr>
          <w:b/>
          <w:lang w:val="en-US"/>
        </w:rPr>
        <w:t>key changes</w:t>
      </w:r>
      <w:r w:rsidRPr="009E7D94">
        <w:rPr>
          <w:b/>
          <w:lang w:val="en-US"/>
        </w:rPr>
        <w:t xml:space="preserve"> to ADR 81?</w:t>
      </w:r>
    </w:p>
    <w:p w14:paraId="35AA1393" w14:textId="77777777" w:rsidR="00454CB8" w:rsidRDefault="00D53507">
      <w:pPr>
        <w:rPr>
          <w:lang w:val="en-US"/>
        </w:rPr>
      </w:pPr>
      <w:r w:rsidRPr="009E7D94">
        <w:rPr>
          <w:lang w:val="en-US"/>
        </w:rPr>
        <w:t>The new series</w:t>
      </w:r>
      <w:r>
        <w:rPr>
          <w:lang w:val="en-US"/>
        </w:rPr>
        <w:t xml:space="preserve"> of ADR 81 will support the implementation of the NVES by:</w:t>
      </w:r>
    </w:p>
    <w:p w14:paraId="58BDCC5C" w14:textId="77777777" w:rsidR="00D53507" w:rsidRDefault="009E7D94" w:rsidP="00BC27EC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s</w:t>
      </w:r>
      <w:r w:rsidR="00D53507">
        <w:rPr>
          <w:lang w:val="en-US"/>
        </w:rPr>
        <w:t>pecif</w:t>
      </w:r>
      <w:r w:rsidR="002C015E">
        <w:rPr>
          <w:lang w:val="en-US"/>
        </w:rPr>
        <w:t>ying a CO</w:t>
      </w:r>
      <w:r w:rsidR="002C015E" w:rsidRPr="009E7D94">
        <w:rPr>
          <w:vertAlign w:val="subscript"/>
          <w:lang w:val="en-US"/>
        </w:rPr>
        <w:t>2</w:t>
      </w:r>
      <w:r w:rsidR="002C015E">
        <w:rPr>
          <w:lang w:val="en-US"/>
        </w:rPr>
        <w:t xml:space="preserve"> test </w:t>
      </w:r>
      <w:r>
        <w:rPr>
          <w:lang w:val="en-US"/>
        </w:rPr>
        <w:t>for</w:t>
      </w:r>
      <w:r w:rsidR="00A056EB">
        <w:rPr>
          <w:lang w:val="en-US"/>
        </w:rPr>
        <w:t xml:space="preserve"> certain</w:t>
      </w:r>
      <w:r>
        <w:rPr>
          <w:lang w:val="en-US"/>
        </w:rPr>
        <w:t xml:space="preserve"> </w:t>
      </w:r>
      <w:r w:rsidR="002C015E">
        <w:rPr>
          <w:lang w:val="en-US"/>
        </w:rPr>
        <w:t>vehicles with a GVM between 3.5 and 4.5</w:t>
      </w:r>
      <w:r w:rsidR="00A056EB">
        <w:rPr>
          <w:lang w:val="en-US"/>
        </w:rPr>
        <w:t xml:space="preserve"> </w:t>
      </w:r>
      <w:r w:rsidR="002C015E">
        <w:rPr>
          <w:lang w:val="en-US"/>
        </w:rPr>
        <w:t>t</w:t>
      </w:r>
      <w:r w:rsidR="00A056EB">
        <w:rPr>
          <w:lang w:val="en-US"/>
        </w:rPr>
        <w:t>onnes</w:t>
      </w:r>
      <w:r w:rsidR="002C015E">
        <w:rPr>
          <w:lang w:val="en-US"/>
        </w:rPr>
        <w:t xml:space="preserve"> GVM; and</w:t>
      </w:r>
    </w:p>
    <w:p w14:paraId="0455DD16" w14:textId="5EADD86C" w:rsidR="002C015E" w:rsidRDefault="009E7D94" w:rsidP="00BC27EC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s</w:t>
      </w:r>
      <w:r w:rsidR="002C015E">
        <w:rPr>
          <w:lang w:val="en-US"/>
        </w:rPr>
        <w:t>pecifying a conversion procedure to enable vehicles complying with stricter ‘Euro 6d’ noxious emission standards adopted in ADR 79/05 to report an equivalent CO</w:t>
      </w:r>
      <w:r w:rsidR="002C015E" w:rsidRPr="009E7D94">
        <w:rPr>
          <w:vertAlign w:val="subscript"/>
          <w:lang w:val="en-US"/>
        </w:rPr>
        <w:t>2</w:t>
      </w:r>
      <w:r w:rsidR="002C015E">
        <w:rPr>
          <w:lang w:val="en-US"/>
        </w:rPr>
        <w:t xml:space="preserve"> value for the NVES.</w:t>
      </w:r>
    </w:p>
    <w:p w14:paraId="6D0F4B8A" w14:textId="58BB7C46" w:rsidR="002C015E" w:rsidRPr="002C015E" w:rsidRDefault="00D93708" w:rsidP="002C015E">
      <w:pPr>
        <w:rPr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71552" behindDoc="0" locked="0" layoutInCell="1" allowOverlap="1" wp14:anchorId="42A6A8D4" wp14:editId="58DEB8AB">
            <wp:simplePos x="0" y="0"/>
            <wp:positionH relativeFrom="column">
              <wp:posOffset>0</wp:posOffset>
            </wp:positionH>
            <wp:positionV relativeFrom="paragraph">
              <wp:posOffset>211455</wp:posOffset>
            </wp:positionV>
            <wp:extent cx="1404620" cy="1177290"/>
            <wp:effectExtent l="0" t="0" r="5080" b="0"/>
            <wp:wrapSquare wrapText="bothSides"/>
            <wp:docPr id="3" name="Picture 3" descr="Example of a ute between 3.5 and 4.5 tonnes GV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17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15E">
        <w:rPr>
          <w:lang w:val="en-US"/>
        </w:rPr>
        <w:t xml:space="preserve">No changes to </w:t>
      </w:r>
      <w:r w:rsidR="00D30F27">
        <w:rPr>
          <w:lang w:val="en-US"/>
        </w:rPr>
        <w:t xml:space="preserve">the </w:t>
      </w:r>
      <w:r w:rsidR="002C015E">
        <w:rPr>
          <w:lang w:val="en-US"/>
        </w:rPr>
        <w:t>information reported on the label are proposed</w:t>
      </w:r>
      <w:r w:rsidR="00D30F27">
        <w:rPr>
          <w:lang w:val="en-US"/>
        </w:rPr>
        <w:t xml:space="preserve"> at this time</w:t>
      </w:r>
      <w:r w:rsidR="002C015E">
        <w:rPr>
          <w:lang w:val="en-US"/>
        </w:rPr>
        <w:t>.</w:t>
      </w:r>
    </w:p>
    <w:p w14:paraId="7ED1CFF6" w14:textId="080591EA" w:rsidR="00DF71A7" w:rsidRDefault="002C015E">
      <w:pPr>
        <w:rPr>
          <w:b/>
          <w:lang w:val="en-US"/>
        </w:rPr>
      </w:pPr>
      <w:r>
        <w:rPr>
          <w:b/>
          <w:lang w:val="en-US"/>
        </w:rPr>
        <w:t>W</w:t>
      </w:r>
      <w:r w:rsidR="00870D15">
        <w:rPr>
          <w:b/>
          <w:lang w:val="en-US"/>
        </w:rPr>
        <w:t xml:space="preserve">hat vehicles will need to </w:t>
      </w:r>
      <w:r>
        <w:rPr>
          <w:b/>
          <w:lang w:val="en-US"/>
        </w:rPr>
        <w:t>perform a</w:t>
      </w:r>
      <w:r w:rsidR="00870D15">
        <w:rPr>
          <w:b/>
          <w:lang w:val="en-US"/>
        </w:rPr>
        <w:t xml:space="preserve"> </w:t>
      </w:r>
      <w:r w:rsidR="002024A9">
        <w:rPr>
          <w:b/>
          <w:lang w:val="en-US"/>
        </w:rPr>
        <w:t>CO</w:t>
      </w:r>
      <w:r w:rsidR="002024A9" w:rsidRPr="009E7D94">
        <w:rPr>
          <w:b/>
          <w:vertAlign w:val="subscript"/>
          <w:lang w:val="en-US"/>
        </w:rPr>
        <w:t>2</w:t>
      </w:r>
      <w:r w:rsidR="002024A9">
        <w:rPr>
          <w:b/>
          <w:lang w:val="en-US"/>
        </w:rPr>
        <w:t xml:space="preserve"> test </w:t>
      </w:r>
      <w:r w:rsidR="00D30F27">
        <w:rPr>
          <w:b/>
          <w:lang w:val="en-US"/>
        </w:rPr>
        <w:t>to comply with</w:t>
      </w:r>
      <w:r w:rsidR="002024A9">
        <w:rPr>
          <w:b/>
          <w:lang w:val="en-US"/>
        </w:rPr>
        <w:t xml:space="preserve"> the new series of</w:t>
      </w:r>
      <w:r w:rsidR="00870D15">
        <w:rPr>
          <w:b/>
          <w:lang w:val="en-US"/>
        </w:rPr>
        <w:t xml:space="preserve"> ADR</w:t>
      </w:r>
      <w:r w:rsidR="002024A9">
        <w:rPr>
          <w:b/>
          <w:lang w:val="en-US"/>
        </w:rPr>
        <w:t xml:space="preserve"> 81</w:t>
      </w:r>
      <w:r w:rsidR="00870D15">
        <w:rPr>
          <w:b/>
          <w:lang w:val="en-US"/>
        </w:rPr>
        <w:t>?</w:t>
      </w:r>
    </w:p>
    <w:p w14:paraId="522400AF" w14:textId="3984C7CB" w:rsidR="004C692D" w:rsidRDefault="00D93708" w:rsidP="004C692D">
      <w:pPr>
        <w:rPr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73600" behindDoc="1" locked="0" layoutInCell="1" allowOverlap="1" wp14:anchorId="50F26EA5" wp14:editId="7C986DF4">
            <wp:simplePos x="0" y="0"/>
            <wp:positionH relativeFrom="margin">
              <wp:posOffset>50165</wp:posOffset>
            </wp:positionH>
            <wp:positionV relativeFrom="paragraph">
              <wp:posOffset>509991</wp:posOffset>
            </wp:positionV>
            <wp:extent cx="1475105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1200" y="21293"/>
                <wp:lineTo x="21200" y="0"/>
                <wp:lineTo x="0" y="0"/>
              </wp:wrapPolygon>
            </wp:wrapTight>
            <wp:docPr id="5" name="Picture 5" descr="Example of a ute between 3.5 and 4.5 tonnes GV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6EB">
        <w:rPr>
          <w:lang w:val="en-US"/>
        </w:rPr>
        <w:t>A</w:t>
      </w:r>
      <w:proofErr w:type="spellStart"/>
      <w:r w:rsidR="004C692D">
        <w:rPr>
          <w:rFonts w:eastAsia="Times New Roman" w:cstheme="minorHAnsi"/>
          <w:color w:val="000000" w:themeColor="text1"/>
        </w:rPr>
        <w:t>ll</w:t>
      </w:r>
      <w:proofErr w:type="spellEnd"/>
      <w:r w:rsidR="004C692D">
        <w:rPr>
          <w:rFonts w:eastAsia="Times New Roman" w:cstheme="minorHAnsi"/>
          <w:color w:val="000000" w:themeColor="text1"/>
        </w:rPr>
        <w:t xml:space="preserve"> new</w:t>
      </w:r>
      <w:r w:rsidR="002C015E">
        <w:rPr>
          <w:rFonts w:eastAsia="Times New Roman" w:cstheme="minorHAnsi"/>
          <w:color w:val="000000" w:themeColor="text1"/>
        </w:rPr>
        <w:t xml:space="preserve"> utes and SUVs</w:t>
      </w:r>
      <w:r w:rsidR="002C015E">
        <w:rPr>
          <w:lang w:val="en-US"/>
        </w:rPr>
        <w:t xml:space="preserve"> between 3.5 and 4.5 tonnes GVM </w:t>
      </w:r>
      <w:r w:rsidR="004C692D">
        <w:rPr>
          <w:lang w:val="en-US"/>
        </w:rPr>
        <w:t>supplied from 1 December 2026</w:t>
      </w:r>
      <w:r w:rsidR="00034D40">
        <w:rPr>
          <w:lang w:val="en-US"/>
        </w:rPr>
        <w:t xml:space="preserve"> (Figure 1)</w:t>
      </w:r>
      <w:r w:rsidR="004C692D">
        <w:rPr>
          <w:lang w:val="en-US"/>
        </w:rPr>
        <w:t xml:space="preserve"> </w:t>
      </w:r>
      <w:r w:rsidR="00A056EB">
        <w:rPr>
          <w:lang w:val="en-US"/>
        </w:rPr>
        <w:t>w</w:t>
      </w:r>
      <w:r w:rsidR="00034D40">
        <w:rPr>
          <w:lang w:val="en-US"/>
        </w:rPr>
        <w:t>ill</w:t>
      </w:r>
      <w:r w:rsidR="00A056EB">
        <w:rPr>
          <w:lang w:val="en-US"/>
        </w:rPr>
        <w:t xml:space="preserve"> be required </w:t>
      </w:r>
      <w:r w:rsidR="004C692D">
        <w:rPr>
          <w:lang w:val="en-US"/>
        </w:rPr>
        <w:t xml:space="preserve">to </w:t>
      </w:r>
      <w:r w:rsidR="002C015E">
        <w:rPr>
          <w:lang w:val="en-US"/>
        </w:rPr>
        <w:t>complete a</w:t>
      </w:r>
      <w:r w:rsidR="004C692D">
        <w:rPr>
          <w:lang w:val="en-US"/>
        </w:rPr>
        <w:t xml:space="preserve"> CO</w:t>
      </w:r>
      <w:r w:rsidR="004C692D" w:rsidRPr="009E7D94">
        <w:rPr>
          <w:vertAlign w:val="subscript"/>
          <w:lang w:val="en-US"/>
        </w:rPr>
        <w:t>2</w:t>
      </w:r>
      <w:r w:rsidR="002C015E">
        <w:rPr>
          <w:lang w:val="en-US"/>
        </w:rPr>
        <w:t xml:space="preserve"> emissions test and report a CO</w:t>
      </w:r>
      <w:r w:rsidR="002C015E" w:rsidRPr="009E7D94">
        <w:rPr>
          <w:vertAlign w:val="subscript"/>
          <w:lang w:val="en-US"/>
        </w:rPr>
        <w:t>2</w:t>
      </w:r>
      <w:r w:rsidR="004C692D">
        <w:rPr>
          <w:lang w:val="en-US"/>
        </w:rPr>
        <w:t xml:space="preserve"> number</w:t>
      </w:r>
      <w:r w:rsidR="002C015E">
        <w:rPr>
          <w:lang w:val="en-US"/>
        </w:rPr>
        <w:t>.</w:t>
      </w:r>
    </w:p>
    <w:p w14:paraId="513D9D5B" w14:textId="6C188369" w:rsidR="004C692D" w:rsidRDefault="00D93708">
      <w:pPr>
        <w:rPr>
          <w:rFonts w:eastAsia="Times New Roman" w:cstheme="minorHAnsi"/>
          <w:color w:val="000000" w:themeColor="text1"/>
        </w:rPr>
      </w:pPr>
      <w:r w:rsidRPr="002E7CA3">
        <w:rPr>
          <w:rFonts w:eastAsia="Times New Roman" w:cstheme="minorHAnsi"/>
          <w:noProof/>
          <w:color w:val="000000" w:themeColor="text1"/>
          <w:lang w:eastAsia="en-A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645D9EF" wp14:editId="7DFC7662">
                <wp:simplePos x="0" y="0"/>
                <wp:positionH relativeFrom="margin">
                  <wp:posOffset>22225</wp:posOffset>
                </wp:positionH>
                <wp:positionV relativeFrom="paragraph">
                  <wp:posOffset>570230</wp:posOffset>
                </wp:positionV>
                <wp:extent cx="1441450" cy="49339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493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B5E4D" w14:textId="77777777" w:rsidR="002E7CA3" w:rsidRPr="00BC27EC" w:rsidRDefault="002E7CA3" w:rsidP="00BC27EC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BC27EC">
                              <w:rPr>
                                <w:sz w:val="16"/>
                              </w:rPr>
                              <w:t>Figure 1: Examples of utes</w:t>
                            </w:r>
                            <w:r w:rsidRPr="002E7CA3">
                              <w:rPr>
                                <w:sz w:val="16"/>
                              </w:rPr>
                              <w:t xml:space="preserve"> between 3.5 and 4.5 tonnes GV</w:t>
                            </w:r>
                            <w:r w:rsidRPr="00BC27EC">
                              <w:rPr>
                                <w:sz w:val="16"/>
                              </w:rPr>
                              <w:t>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5D9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75pt;margin-top:44.9pt;width:113.5pt;height:38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" filled="f" stroked="f">
                <v:textbox>
                  <w:txbxContent>
                    <w:p w14:paraId="1ABB5E4D" w14:textId="77777777" w:rsidR="002E7CA3" w:rsidRPr="00BC27EC" w:rsidRDefault="002E7CA3" w:rsidP="00BC27EC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BC27EC">
                        <w:rPr>
                          <w:sz w:val="16"/>
                        </w:rPr>
                        <w:t>Figure 1: Examples of utes</w:t>
                      </w:r>
                      <w:r w:rsidRPr="002E7CA3">
                        <w:rPr>
                          <w:sz w:val="16"/>
                        </w:rPr>
                        <w:t xml:space="preserve"> between 3.5 and 4.5 tonnes GV</w:t>
                      </w:r>
                      <w:r w:rsidRPr="00BC27EC">
                        <w:rPr>
                          <w:sz w:val="16"/>
                        </w:rPr>
                        <w:t>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692D">
        <w:rPr>
          <w:lang w:val="en-US"/>
        </w:rPr>
        <w:t>This date is proposed to provide sufficient time for manufacturers to arrange the necessary testing and submit the information required without stopping deliveries of vehicles to customer</w:t>
      </w:r>
      <w:r w:rsidR="00D30F27">
        <w:rPr>
          <w:lang w:val="en-US"/>
        </w:rPr>
        <w:t>s</w:t>
      </w:r>
      <w:r w:rsidR="004C692D">
        <w:rPr>
          <w:lang w:val="en-US"/>
        </w:rPr>
        <w:t xml:space="preserve"> who ordered </w:t>
      </w:r>
      <w:r w:rsidR="00D30F27">
        <w:rPr>
          <w:lang w:val="en-US"/>
        </w:rPr>
        <w:t>one</w:t>
      </w:r>
      <w:r w:rsidR="004C692D">
        <w:rPr>
          <w:lang w:val="en-US"/>
        </w:rPr>
        <w:t xml:space="preserve"> before this change.</w:t>
      </w:r>
      <w:r>
        <w:rPr>
          <w:lang w:val="en-US"/>
        </w:rPr>
        <w:t xml:space="preserve"> </w:t>
      </w:r>
      <w:r w:rsidR="004C692D">
        <w:rPr>
          <w:lang w:val="en-US"/>
        </w:rPr>
        <w:t xml:space="preserve">These vehicles would then become </w:t>
      </w:r>
      <w:r w:rsidR="002C015E">
        <w:rPr>
          <w:lang w:val="en-US"/>
        </w:rPr>
        <w:t xml:space="preserve">subject to the NVES from the start of 2027. </w:t>
      </w:r>
    </w:p>
    <w:p w14:paraId="43CA89DE" w14:textId="77777777" w:rsidR="004C692D" w:rsidRDefault="004C692D">
      <w:pPr>
        <w:rPr>
          <w:lang w:val="en-US"/>
        </w:rPr>
      </w:pPr>
      <w:r>
        <w:rPr>
          <w:rFonts w:ascii="Times New Roman" w:hAnsi="Times New Roman" w:cs="Times New Roman"/>
          <w:b/>
          <w:noProof/>
          <w:lang w:eastAsia="en-AU"/>
        </w:rPr>
        <w:lastRenderedPageBreak/>
        <w:drawing>
          <wp:anchor distT="0" distB="0" distL="114300" distR="114300" simplePos="0" relativeHeight="251675648" behindDoc="1" locked="0" layoutInCell="1" allowOverlap="1" wp14:anchorId="38F17BE1" wp14:editId="232A46B9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886585" cy="1435100"/>
            <wp:effectExtent l="0" t="0" r="0" b="0"/>
            <wp:wrapTight wrapText="bothSides">
              <wp:wrapPolygon edited="0">
                <wp:start x="0" y="0"/>
                <wp:lineTo x="0" y="21218"/>
                <wp:lineTo x="21375" y="21218"/>
                <wp:lineTo x="21375" y="0"/>
                <wp:lineTo x="0" y="0"/>
              </wp:wrapPolygon>
            </wp:wrapTight>
            <wp:docPr id="7" name="Picture 7" descr="Example of a light truck between 3.5 and 4.5 tonnes GV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>Light duty ‘forward control’ trucks between 3.5 and 4.5</w:t>
      </w:r>
      <w:r w:rsidR="00A056EB">
        <w:rPr>
          <w:lang w:val="en-US"/>
        </w:rPr>
        <w:t xml:space="preserve"> </w:t>
      </w:r>
      <w:r>
        <w:rPr>
          <w:lang w:val="en-US"/>
        </w:rPr>
        <w:t>t</w:t>
      </w:r>
      <w:r w:rsidR="00A056EB">
        <w:rPr>
          <w:lang w:val="en-US"/>
        </w:rPr>
        <w:t>onnes</w:t>
      </w:r>
      <w:r>
        <w:rPr>
          <w:lang w:val="en-US"/>
        </w:rPr>
        <w:t xml:space="preserve"> GVM</w:t>
      </w:r>
      <w:r w:rsidR="00034D40">
        <w:rPr>
          <w:lang w:val="en-US"/>
        </w:rPr>
        <w:t xml:space="preserve"> (Figure 2)</w:t>
      </w:r>
      <w:r>
        <w:rPr>
          <w:lang w:val="en-US"/>
        </w:rPr>
        <w:t xml:space="preserve">, will </w:t>
      </w:r>
      <w:r w:rsidR="00A056EB">
        <w:rPr>
          <w:lang w:val="en-US"/>
        </w:rPr>
        <w:t xml:space="preserve">continue to </w:t>
      </w:r>
      <w:r>
        <w:rPr>
          <w:lang w:val="en-US"/>
        </w:rPr>
        <w:t>not be required to compl</w:t>
      </w:r>
      <w:r w:rsidR="00A056EB">
        <w:rPr>
          <w:lang w:val="en-US"/>
        </w:rPr>
        <w:t>ete</w:t>
      </w:r>
      <w:r>
        <w:rPr>
          <w:lang w:val="en-US"/>
        </w:rPr>
        <w:t xml:space="preserve"> </w:t>
      </w:r>
      <w:r w:rsidR="00A056EB">
        <w:rPr>
          <w:lang w:val="en-US"/>
        </w:rPr>
        <w:t>a</w:t>
      </w:r>
      <w:r w:rsidR="00D73050">
        <w:rPr>
          <w:lang w:val="en-US"/>
        </w:rPr>
        <w:t xml:space="preserve"> CO</w:t>
      </w:r>
      <w:r w:rsidR="00D73050" w:rsidRPr="00BC27EC">
        <w:rPr>
          <w:vertAlign w:val="subscript"/>
          <w:lang w:val="en-US"/>
        </w:rPr>
        <w:t>2</w:t>
      </w:r>
      <w:r w:rsidR="00D73050">
        <w:rPr>
          <w:lang w:val="en-US"/>
        </w:rPr>
        <w:t xml:space="preserve"> </w:t>
      </w:r>
      <w:r w:rsidR="00A056EB">
        <w:rPr>
          <w:lang w:val="en-US"/>
        </w:rPr>
        <w:t xml:space="preserve">emissions </w:t>
      </w:r>
      <w:r w:rsidR="00D73050">
        <w:rPr>
          <w:lang w:val="en-US"/>
        </w:rPr>
        <w:t>test. These vehicles are more akin to heavy vehicles than light commercial vehicles.</w:t>
      </w:r>
    </w:p>
    <w:p w14:paraId="4C17F35F" w14:textId="69295EDC" w:rsidR="004C692D" w:rsidRDefault="002E7CA3" w:rsidP="001720EE">
      <w:pPr>
        <w:rPr>
          <w:lang w:val="en-US"/>
        </w:rPr>
      </w:pPr>
      <w:r w:rsidRPr="002E7CA3">
        <w:rPr>
          <w:rFonts w:eastAsia="Times New Roman" w:cstheme="minorHAnsi"/>
          <w:noProof/>
          <w:color w:val="000000" w:themeColor="text1"/>
          <w:lang w:eastAsia="en-A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7E7F4D6" wp14:editId="08A8701D">
                <wp:simplePos x="0" y="0"/>
                <wp:positionH relativeFrom="margin">
                  <wp:align>left</wp:align>
                </wp:positionH>
                <wp:positionV relativeFrom="paragraph">
                  <wp:posOffset>768985</wp:posOffset>
                </wp:positionV>
                <wp:extent cx="1886585" cy="3429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566A" w14:textId="77777777" w:rsidR="002E7CA3" w:rsidRPr="00BC27EC" w:rsidRDefault="002E7CA3" w:rsidP="00BC27EC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2E7CA3">
                              <w:rPr>
                                <w:sz w:val="16"/>
                              </w:rPr>
                              <w:t>Figure 2</w:t>
                            </w:r>
                            <w:r w:rsidRPr="00BC27EC">
                              <w:rPr>
                                <w:sz w:val="16"/>
                              </w:rPr>
                              <w:t xml:space="preserve">: </w:t>
                            </w:r>
                            <w:r w:rsidRPr="002E7CA3">
                              <w:rPr>
                                <w:sz w:val="16"/>
                              </w:rPr>
                              <w:t>Example</w:t>
                            </w:r>
                            <w:r w:rsidRPr="00BC27EC">
                              <w:rPr>
                                <w:sz w:val="16"/>
                              </w:rPr>
                              <w:t xml:space="preserve"> of</w:t>
                            </w:r>
                            <w:r>
                              <w:rPr>
                                <w:sz w:val="16"/>
                              </w:rPr>
                              <w:t xml:space="preserve"> a</w:t>
                            </w:r>
                            <w:r w:rsidRPr="00BC27EC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light truck between 3.5 and 4.5 tonnes GVM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7F4D6" id="_x0000_s1027" type="#_x0000_t202" style="position:absolute;margin-left:0;margin-top:60.55pt;width:148.55pt;height:27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" filled="f" stroked="f">
                <v:textbox>
                  <w:txbxContent>
                    <w:p w14:paraId="037C566A" w14:textId="77777777" w:rsidR="002E7CA3" w:rsidRPr="00BC27EC" w:rsidRDefault="002E7CA3" w:rsidP="00BC27EC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2E7CA3">
                        <w:rPr>
                          <w:sz w:val="16"/>
                        </w:rPr>
                        <w:t>Figure 2</w:t>
                      </w:r>
                      <w:r w:rsidRPr="00BC27EC">
                        <w:rPr>
                          <w:sz w:val="16"/>
                        </w:rPr>
                        <w:t xml:space="preserve">: </w:t>
                      </w:r>
                      <w:r w:rsidRPr="002E7CA3">
                        <w:rPr>
                          <w:sz w:val="16"/>
                        </w:rPr>
                        <w:t>Example</w:t>
                      </w:r>
                      <w:r w:rsidRPr="00BC27EC">
                        <w:rPr>
                          <w:sz w:val="16"/>
                        </w:rPr>
                        <w:t xml:space="preserve"> of</w:t>
                      </w:r>
                      <w:r>
                        <w:rPr>
                          <w:sz w:val="16"/>
                        </w:rPr>
                        <w:t xml:space="preserve"> a</w:t>
                      </w:r>
                      <w:r w:rsidRPr="00BC27EC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light truck between 3.5 and 4.5 tonnes GVM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692D">
        <w:rPr>
          <w:lang w:val="en-US"/>
        </w:rPr>
        <w:t xml:space="preserve">This means these vehicles will </w:t>
      </w:r>
      <w:r w:rsidR="004C692D" w:rsidRPr="00621F39">
        <w:rPr>
          <w:b/>
          <w:lang w:val="en-US"/>
        </w:rPr>
        <w:t>not</w:t>
      </w:r>
      <w:r w:rsidR="004C692D">
        <w:rPr>
          <w:lang w:val="en-US"/>
        </w:rPr>
        <w:t xml:space="preserve"> be included in the NVES for the length of the current exemption instrument (31 December 2029).</w:t>
      </w:r>
      <w:r w:rsidR="00D73050">
        <w:rPr>
          <w:lang w:val="en-US"/>
        </w:rPr>
        <w:t xml:space="preserve"> </w:t>
      </w:r>
      <w:r w:rsidR="00D93708">
        <w:rPr>
          <w:lang w:val="en-US"/>
        </w:rPr>
        <w:t xml:space="preserve">Emissions from light rigid trucks will be addressed through </w:t>
      </w:r>
      <w:r w:rsidR="00D73050">
        <w:rPr>
          <w:lang w:val="en-US"/>
        </w:rPr>
        <w:t xml:space="preserve">measures </w:t>
      </w:r>
      <w:r w:rsidR="00D93708">
        <w:rPr>
          <w:lang w:val="en-US"/>
        </w:rPr>
        <w:t>better suited to</w:t>
      </w:r>
      <w:r w:rsidR="00F23E3D">
        <w:rPr>
          <w:lang w:val="en-US"/>
        </w:rPr>
        <w:t xml:space="preserve"> the</w:t>
      </w:r>
      <w:r w:rsidR="00D93708">
        <w:rPr>
          <w:lang w:val="en-US"/>
        </w:rPr>
        <w:t xml:space="preserve"> need</w:t>
      </w:r>
      <w:r w:rsidR="00F23E3D">
        <w:rPr>
          <w:lang w:val="en-US"/>
        </w:rPr>
        <w:t>s</w:t>
      </w:r>
      <w:r w:rsidR="00D93708">
        <w:rPr>
          <w:lang w:val="en-US"/>
        </w:rPr>
        <w:t xml:space="preserve"> of</w:t>
      </w:r>
      <w:r w:rsidR="00D73050">
        <w:rPr>
          <w:lang w:val="en-US"/>
        </w:rPr>
        <w:t xml:space="preserve"> the heavy vehicle market.</w:t>
      </w:r>
    </w:p>
    <w:p w14:paraId="4DE068AA" w14:textId="77777777" w:rsidR="00A056EB" w:rsidRDefault="00A056EB" w:rsidP="001720EE">
      <w:pPr>
        <w:rPr>
          <w:rFonts w:eastAsia="Times New Roman" w:cstheme="minorHAnsi"/>
          <w:color w:val="000000" w:themeColor="text1"/>
        </w:rPr>
      </w:pPr>
    </w:p>
    <w:p w14:paraId="351C23D7" w14:textId="77777777" w:rsidR="002E7CA3" w:rsidRDefault="002E7CA3" w:rsidP="001720EE">
      <w:pPr>
        <w:rPr>
          <w:lang w:val="en-US"/>
        </w:rPr>
      </w:pPr>
    </w:p>
    <w:p w14:paraId="1397C008" w14:textId="6BE303F5" w:rsidR="00D73050" w:rsidRDefault="00D93708" w:rsidP="001720EE">
      <w:pPr>
        <w:rPr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78720" behindDoc="1" locked="0" layoutInCell="1" allowOverlap="1" wp14:anchorId="1C3FDC5A" wp14:editId="2BE29112">
            <wp:simplePos x="0" y="0"/>
            <wp:positionH relativeFrom="column">
              <wp:posOffset>-22646</wp:posOffset>
            </wp:positionH>
            <wp:positionV relativeFrom="paragraph">
              <wp:posOffset>1112594</wp:posOffset>
            </wp:positionV>
            <wp:extent cx="1886585" cy="1036320"/>
            <wp:effectExtent l="0" t="0" r="0" b="0"/>
            <wp:wrapTight wrapText="bothSides">
              <wp:wrapPolygon edited="0">
                <wp:start x="0" y="0"/>
                <wp:lineTo x="0" y="21044"/>
                <wp:lineTo x="21375" y="21044"/>
                <wp:lineTo x="21375" y="0"/>
                <wp:lineTo x="0" y="0"/>
              </wp:wrapPolygon>
            </wp:wrapTight>
            <wp:docPr id="12" name="Picture 12" descr="Example of a van based cab-chassis between 3.5 and 4.5 tonnes GV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73050">
        <w:rPr>
          <w:rFonts w:ascii="Times New Roman" w:hAnsi="Times New Roman" w:cs="Times New Roman"/>
          <w:b/>
          <w:noProof/>
          <w:lang w:eastAsia="en-AU"/>
        </w:rPr>
        <w:drawing>
          <wp:anchor distT="0" distB="0" distL="114300" distR="114300" simplePos="0" relativeHeight="251677696" behindDoc="1" locked="0" layoutInCell="1" allowOverlap="1" wp14:anchorId="40E1CF1E" wp14:editId="31D38FC9">
            <wp:simplePos x="0" y="0"/>
            <wp:positionH relativeFrom="column">
              <wp:posOffset>23522</wp:posOffset>
            </wp:positionH>
            <wp:positionV relativeFrom="paragraph">
              <wp:posOffset>85366</wp:posOffset>
            </wp:positionV>
            <wp:extent cx="1842135" cy="932815"/>
            <wp:effectExtent l="0" t="0" r="5715" b="635"/>
            <wp:wrapTight wrapText="bothSides">
              <wp:wrapPolygon edited="0">
                <wp:start x="0" y="0"/>
                <wp:lineTo x="0" y="21174"/>
                <wp:lineTo x="21444" y="21174"/>
                <wp:lineTo x="21444" y="0"/>
                <wp:lineTo x="0" y="0"/>
              </wp:wrapPolygon>
            </wp:wrapTight>
            <wp:docPr id="6" name="Picture 6" descr="Example of a van between 3.5 and 4.5 tonnes GV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92D">
        <w:rPr>
          <w:lang w:val="en-US"/>
        </w:rPr>
        <w:t>Large vans, and van based cab chassis vehicles between 3.5 and 4.5 tonnes GVM</w:t>
      </w:r>
      <w:r w:rsidR="00034D40">
        <w:rPr>
          <w:lang w:val="en-US"/>
        </w:rPr>
        <w:t xml:space="preserve"> (Figure 3)</w:t>
      </w:r>
      <w:r w:rsidR="004C692D">
        <w:rPr>
          <w:lang w:val="en-US"/>
        </w:rPr>
        <w:t xml:space="preserve">, </w:t>
      </w:r>
      <w:r w:rsidR="00D73050">
        <w:rPr>
          <w:lang w:val="en-US"/>
        </w:rPr>
        <w:t xml:space="preserve">will </w:t>
      </w:r>
      <w:r w:rsidR="00A056EB">
        <w:rPr>
          <w:lang w:val="en-US"/>
        </w:rPr>
        <w:t xml:space="preserve">continue to </w:t>
      </w:r>
      <w:r w:rsidR="00D73050">
        <w:rPr>
          <w:lang w:val="en-US"/>
        </w:rPr>
        <w:t>not be required to compl</w:t>
      </w:r>
      <w:r w:rsidR="00A056EB">
        <w:rPr>
          <w:lang w:val="en-US"/>
        </w:rPr>
        <w:t>ete</w:t>
      </w:r>
      <w:r w:rsidR="00D73050">
        <w:rPr>
          <w:lang w:val="en-US"/>
        </w:rPr>
        <w:t xml:space="preserve"> </w:t>
      </w:r>
      <w:r w:rsidR="00A056EB">
        <w:rPr>
          <w:lang w:val="en-US"/>
        </w:rPr>
        <w:t>a</w:t>
      </w:r>
      <w:r w:rsidR="00D73050">
        <w:rPr>
          <w:lang w:val="en-US"/>
        </w:rPr>
        <w:t xml:space="preserve"> CO</w:t>
      </w:r>
      <w:r w:rsidR="00D73050" w:rsidRPr="00BC27EC">
        <w:rPr>
          <w:vertAlign w:val="subscript"/>
          <w:lang w:val="en-US"/>
        </w:rPr>
        <w:t>2</w:t>
      </w:r>
      <w:r w:rsidR="00D73050">
        <w:rPr>
          <w:lang w:val="en-US"/>
        </w:rPr>
        <w:t xml:space="preserve"> </w:t>
      </w:r>
      <w:r w:rsidR="00A056EB">
        <w:rPr>
          <w:lang w:val="en-US"/>
        </w:rPr>
        <w:t xml:space="preserve">emissions </w:t>
      </w:r>
      <w:r w:rsidR="00D73050">
        <w:rPr>
          <w:lang w:val="en-US"/>
        </w:rPr>
        <w:t>test. These vehicles are not used in the same way as smaller vehicles, and are also used to supply emergency and other public interest services.</w:t>
      </w:r>
      <w:r>
        <w:rPr>
          <w:lang w:val="en-US"/>
        </w:rPr>
        <w:t xml:space="preserve"> Emissions from large vans will be addressed also through measures better suited to the needs of the heavy vehicle market.</w:t>
      </w:r>
    </w:p>
    <w:p w14:paraId="3FAEACFA" w14:textId="1C25A977" w:rsidR="004C692D" w:rsidRPr="001720EE" w:rsidRDefault="00D73050" w:rsidP="001720EE">
      <w:pPr>
        <w:rPr>
          <w:rFonts w:eastAsia="Times New Roman" w:cstheme="minorHAnsi"/>
          <w:color w:val="000000" w:themeColor="text1"/>
        </w:rPr>
      </w:pPr>
      <w:r>
        <w:rPr>
          <w:lang w:val="en-US"/>
        </w:rPr>
        <w:t xml:space="preserve">This means these vehicles </w:t>
      </w:r>
      <w:r w:rsidR="004C692D">
        <w:rPr>
          <w:lang w:val="en-US"/>
        </w:rPr>
        <w:t xml:space="preserve">will </w:t>
      </w:r>
      <w:r>
        <w:rPr>
          <w:lang w:val="en-US"/>
        </w:rPr>
        <w:t xml:space="preserve">also </w:t>
      </w:r>
      <w:r w:rsidR="004C692D" w:rsidRPr="00621F39">
        <w:rPr>
          <w:b/>
          <w:lang w:val="en-US"/>
        </w:rPr>
        <w:t>not</w:t>
      </w:r>
      <w:r w:rsidR="004C692D">
        <w:rPr>
          <w:lang w:val="en-US"/>
        </w:rPr>
        <w:t xml:space="preserve"> be included in the NVES for the length of the exemptions instrument (31 December 2029). </w:t>
      </w:r>
    </w:p>
    <w:p w14:paraId="2B2EC3E5" w14:textId="77777777" w:rsidR="00662D85" w:rsidRDefault="00662D85">
      <w:pPr>
        <w:rPr>
          <w:rFonts w:eastAsia="Times New Roman" w:cstheme="minorHAnsi"/>
          <w:color w:val="000000" w:themeColor="text1"/>
        </w:rPr>
      </w:pPr>
    </w:p>
    <w:p w14:paraId="63949D5B" w14:textId="77777777" w:rsidR="00A056EB" w:rsidRDefault="002E7CA3" w:rsidP="00B55628">
      <w:pPr>
        <w:rPr>
          <w:rFonts w:eastAsia="Times New Roman" w:cstheme="minorHAnsi"/>
          <w:b/>
          <w:color w:val="000000" w:themeColor="text1"/>
        </w:rPr>
      </w:pPr>
      <w:r w:rsidRPr="002E7CA3">
        <w:rPr>
          <w:rFonts w:eastAsia="Times New Roman" w:cstheme="minorHAnsi"/>
          <w:noProof/>
          <w:color w:val="000000" w:themeColor="text1"/>
          <w:lang w:eastAsia="en-AU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F5A893E" wp14:editId="5F4FDCEC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809750" cy="4762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A8D07" w14:textId="77777777" w:rsidR="002E7CA3" w:rsidRPr="00BC27EC" w:rsidRDefault="002E7CA3" w:rsidP="00BC27EC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BC27EC">
                              <w:rPr>
                                <w:sz w:val="16"/>
                              </w:rPr>
                              <w:t xml:space="preserve">Figure </w:t>
                            </w:r>
                            <w:r w:rsidR="00034D40">
                              <w:rPr>
                                <w:sz w:val="16"/>
                              </w:rPr>
                              <w:t>3</w:t>
                            </w:r>
                            <w:r w:rsidRPr="00BC27EC">
                              <w:rPr>
                                <w:sz w:val="16"/>
                              </w:rPr>
                              <w:t xml:space="preserve">: Examples </w:t>
                            </w:r>
                            <w:r>
                              <w:rPr>
                                <w:sz w:val="16"/>
                              </w:rPr>
                              <w:t>vans and cab chassis vehicles between 3.5 and 4.5 tonnes GVM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A893E" id="_x0000_s1028" type="#_x0000_t202" style="position:absolute;margin-left:0;margin-top:.4pt;width:142.5pt;height:37.5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" filled="f" stroked="f">
                <v:textbox>
                  <w:txbxContent>
                    <w:p w14:paraId="635A8D07" w14:textId="77777777" w:rsidR="002E7CA3" w:rsidRPr="00BC27EC" w:rsidRDefault="002E7CA3" w:rsidP="00BC27EC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BC27EC">
                        <w:rPr>
                          <w:sz w:val="16"/>
                        </w:rPr>
                        <w:t xml:space="preserve">Figure </w:t>
                      </w:r>
                      <w:r w:rsidR="00034D40">
                        <w:rPr>
                          <w:sz w:val="16"/>
                        </w:rPr>
                        <w:t>3</w:t>
                      </w:r>
                      <w:r w:rsidRPr="00BC27EC">
                        <w:rPr>
                          <w:sz w:val="16"/>
                        </w:rPr>
                        <w:t xml:space="preserve">: Examples </w:t>
                      </w:r>
                      <w:r>
                        <w:rPr>
                          <w:sz w:val="16"/>
                        </w:rPr>
                        <w:t>vans and cab chassis vehicles between 3.5 and 4.5 tonnes GVM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659B2D" w14:textId="77777777" w:rsidR="002E7CA3" w:rsidRDefault="002E7CA3" w:rsidP="00B55628">
      <w:pPr>
        <w:rPr>
          <w:rFonts w:eastAsia="Times New Roman" w:cstheme="minorHAnsi"/>
          <w:b/>
          <w:color w:val="000000" w:themeColor="text1"/>
        </w:rPr>
      </w:pPr>
    </w:p>
    <w:p w14:paraId="6FFEF57F" w14:textId="4F321E6C" w:rsidR="00A80E3D" w:rsidRDefault="00A80E3D" w:rsidP="00B55628">
      <w:pPr>
        <w:rPr>
          <w:rFonts w:eastAsia="Times New Roman" w:cstheme="minorHAnsi"/>
          <w:b/>
          <w:color w:val="000000" w:themeColor="text1"/>
        </w:rPr>
      </w:pPr>
      <w:r>
        <w:rPr>
          <w:rFonts w:eastAsia="Times New Roman" w:cstheme="minorHAnsi"/>
          <w:b/>
          <w:color w:val="000000" w:themeColor="text1"/>
        </w:rPr>
        <w:t>How will these vehicle categories be distinguished?</w:t>
      </w:r>
    </w:p>
    <w:p w14:paraId="50C5F7EA" w14:textId="445896AE" w:rsidR="00AB7632" w:rsidRDefault="00AB7632" w:rsidP="00B55628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The new series of ADR 81 </w:t>
      </w:r>
      <w:r w:rsidR="00D01AE1">
        <w:rPr>
          <w:rFonts w:eastAsia="Times New Roman" w:cstheme="minorHAnsi"/>
          <w:color w:val="000000" w:themeColor="text1"/>
        </w:rPr>
        <w:t>will</w:t>
      </w:r>
      <w:r>
        <w:rPr>
          <w:rFonts w:eastAsia="Times New Roman" w:cstheme="minorHAnsi"/>
          <w:color w:val="000000" w:themeColor="text1"/>
        </w:rPr>
        <w:t xml:space="preserve"> use objective, technical criteria to distinguish between vehicles over 3.5 tonnes GVM that will be included (SUVs and utes) and excluded (trucks and vans).</w:t>
      </w:r>
      <w:r w:rsidR="00D01AE1">
        <w:rPr>
          <w:rFonts w:eastAsia="Times New Roman" w:cstheme="minorHAnsi"/>
          <w:color w:val="000000" w:themeColor="text1"/>
        </w:rPr>
        <w:t xml:space="preserve"> </w:t>
      </w:r>
    </w:p>
    <w:p w14:paraId="1235103D" w14:textId="2C21F303" w:rsidR="00AB7632" w:rsidRDefault="00D01AE1" w:rsidP="00B55628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As trucks and vans </w:t>
      </w:r>
      <w:r w:rsidR="00D17F25">
        <w:rPr>
          <w:rFonts w:eastAsia="Times New Roman" w:cstheme="minorHAnsi"/>
          <w:color w:val="000000" w:themeColor="text1"/>
        </w:rPr>
        <w:t xml:space="preserve">have </w:t>
      </w:r>
      <w:r>
        <w:rPr>
          <w:rFonts w:eastAsia="Times New Roman" w:cstheme="minorHAnsi"/>
          <w:color w:val="000000" w:themeColor="text1"/>
        </w:rPr>
        <w:t>a longer area designed to carry goods, v</w:t>
      </w:r>
      <w:r w:rsidR="00AB7632">
        <w:rPr>
          <w:rFonts w:eastAsia="Times New Roman" w:cstheme="minorHAnsi"/>
          <w:color w:val="000000" w:themeColor="text1"/>
        </w:rPr>
        <w:t>ehicles over 3.5 tonnes GVM will not need to comply with the ADR</w:t>
      </w:r>
      <w:r w:rsidR="00004815">
        <w:rPr>
          <w:rFonts w:eastAsia="Times New Roman" w:cstheme="minorHAnsi"/>
          <w:color w:val="000000" w:themeColor="text1"/>
        </w:rPr>
        <w:t xml:space="preserve"> </w:t>
      </w:r>
      <w:r>
        <w:rPr>
          <w:rFonts w:eastAsia="Times New Roman" w:cstheme="minorHAnsi"/>
          <w:color w:val="000000" w:themeColor="text1"/>
        </w:rPr>
        <w:t>(and excluded from the NVES)</w:t>
      </w:r>
      <w:r w:rsidR="00AB7632">
        <w:rPr>
          <w:rFonts w:eastAsia="Times New Roman" w:cstheme="minorHAnsi"/>
          <w:color w:val="000000" w:themeColor="text1"/>
        </w:rPr>
        <w:t xml:space="preserve">, if </w:t>
      </w:r>
      <w:r>
        <w:rPr>
          <w:rFonts w:eastAsia="Times New Roman" w:cstheme="minorHAnsi"/>
          <w:color w:val="000000" w:themeColor="text1"/>
        </w:rPr>
        <w:t>the vehicle</w:t>
      </w:r>
      <w:r w:rsidR="00AB7632">
        <w:rPr>
          <w:rFonts w:eastAsia="Times New Roman" w:cstheme="minorHAnsi"/>
          <w:color w:val="000000" w:themeColor="text1"/>
        </w:rPr>
        <w:t>:</w:t>
      </w:r>
    </w:p>
    <w:p w14:paraId="5CE89201" w14:textId="47EF2E0A" w:rsidR="00AB7632" w:rsidRDefault="00D01AE1" w:rsidP="00AB7632">
      <w:pPr>
        <w:pStyle w:val="ListParagraph"/>
        <w:numPr>
          <w:ilvl w:val="0"/>
          <w:numId w:val="12"/>
        </w:numPr>
        <w:spacing w:line="256" w:lineRule="auto"/>
        <w:rPr>
          <w:i/>
          <w:iCs/>
        </w:rPr>
      </w:pPr>
      <w:r>
        <w:rPr>
          <w:i/>
          <w:iCs/>
        </w:rPr>
        <w:t>H</w:t>
      </w:r>
      <w:r w:rsidR="00AB7632">
        <w:rPr>
          <w:i/>
          <w:iCs/>
        </w:rPr>
        <w:t>as an integrated and enclosed space designed for the carriage of passengers and goods (e.g. a van), and an area designed for the carriage of goods excee</w:t>
      </w:r>
      <w:r>
        <w:rPr>
          <w:i/>
          <w:iCs/>
        </w:rPr>
        <w:t>ds</w:t>
      </w:r>
      <w:r w:rsidR="00AB7632">
        <w:rPr>
          <w:i/>
          <w:iCs/>
        </w:rPr>
        <w:t xml:space="preserve"> 50.0</w:t>
      </w:r>
      <w:r w:rsidR="00D17F25">
        <w:rPr>
          <w:i/>
          <w:iCs/>
        </w:rPr>
        <w:t>%</w:t>
      </w:r>
      <w:r w:rsidR="00AB7632">
        <w:rPr>
          <w:i/>
          <w:iCs/>
        </w:rPr>
        <w:t xml:space="preserve"> of the vehicle’s ‘Total Length’</w:t>
      </w:r>
      <w:r>
        <w:rPr>
          <w:i/>
          <w:iCs/>
        </w:rPr>
        <w:t>; or</w:t>
      </w:r>
    </w:p>
    <w:p w14:paraId="61360A93" w14:textId="3081A5EE" w:rsidR="00AB7632" w:rsidRDefault="00D01AE1" w:rsidP="00AB7632">
      <w:pPr>
        <w:pStyle w:val="ListParagraph"/>
        <w:numPr>
          <w:ilvl w:val="0"/>
          <w:numId w:val="12"/>
        </w:numPr>
        <w:spacing w:line="256" w:lineRule="auto"/>
        <w:rPr>
          <w:i/>
          <w:iCs/>
        </w:rPr>
      </w:pPr>
      <w:r>
        <w:rPr>
          <w:i/>
          <w:iCs/>
        </w:rPr>
        <w:t>I</w:t>
      </w:r>
      <w:r w:rsidR="00AB7632">
        <w:rPr>
          <w:i/>
          <w:iCs/>
        </w:rPr>
        <w:t xml:space="preserve">s a ‘chassis-cab’ (e.g. a forward control truck or van designed to be fitted with a body) with one row of seats and is designed to be fitted with a load bearing body </w:t>
      </w:r>
      <w:r>
        <w:rPr>
          <w:i/>
          <w:iCs/>
        </w:rPr>
        <w:t>that exceeds</w:t>
      </w:r>
      <w:r w:rsidR="00AB7632">
        <w:rPr>
          <w:i/>
          <w:iCs/>
        </w:rPr>
        <w:t xml:space="preserve"> 60.0</w:t>
      </w:r>
      <w:r w:rsidR="00D17F25">
        <w:rPr>
          <w:i/>
          <w:iCs/>
        </w:rPr>
        <w:t>%</w:t>
      </w:r>
      <w:r w:rsidR="00AB7632">
        <w:rPr>
          <w:i/>
          <w:iCs/>
        </w:rPr>
        <w:t>of the vehicle’s ‘Total Length’</w:t>
      </w:r>
      <w:r>
        <w:rPr>
          <w:i/>
          <w:iCs/>
        </w:rPr>
        <w:t>. Total length includes</w:t>
      </w:r>
      <w:r w:rsidR="00AB7632">
        <w:rPr>
          <w:i/>
          <w:iCs/>
        </w:rPr>
        <w:t xml:space="preserve"> the maximum ‘rear overhang’ (distance of the body beyond the rear wheels) permitted under </w:t>
      </w:r>
      <w:hyperlink r:id="rId16" w:history="1">
        <w:r w:rsidR="00AB7632" w:rsidRPr="00D01AE1">
          <w:rPr>
            <w:rStyle w:val="Hyperlink"/>
            <w:i/>
            <w:iCs/>
          </w:rPr>
          <w:t>ADR 43/04</w:t>
        </w:r>
      </w:hyperlink>
      <w:r w:rsidR="00AB7632">
        <w:rPr>
          <w:i/>
          <w:iCs/>
        </w:rPr>
        <w:t>.</w:t>
      </w:r>
    </w:p>
    <w:p w14:paraId="71409DEA" w14:textId="78C75753" w:rsidR="00AB7632" w:rsidRDefault="00D01AE1" w:rsidP="00AB7632">
      <w:pPr>
        <w:pStyle w:val="ListParagraph"/>
        <w:numPr>
          <w:ilvl w:val="0"/>
          <w:numId w:val="12"/>
        </w:numPr>
        <w:spacing w:line="256" w:lineRule="auto"/>
        <w:rPr>
          <w:i/>
          <w:iCs/>
        </w:rPr>
      </w:pPr>
      <w:r>
        <w:rPr>
          <w:i/>
          <w:iCs/>
        </w:rPr>
        <w:t>I</w:t>
      </w:r>
      <w:r w:rsidR="00AB7632">
        <w:rPr>
          <w:i/>
          <w:iCs/>
        </w:rPr>
        <w:t xml:space="preserve">s a ‘chassis-cab’ with two or more row of seats and is designed to be fitted with a load bearing body </w:t>
      </w:r>
      <w:r>
        <w:rPr>
          <w:i/>
          <w:iCs/>
        </w:rPr>
        <w:t>that exceeds</w:t>
      </w:r>
      <w:r w:rsidR="00AB7632">
        <w:rPr>
          <w:i/>
          <w:iCs/>
        </w:rPr>
        <w:t xml:space="preserve"> 50.0</w:t>
      </w:r>
      <w:r w:rsidR="00D17F25">
        <w:rPr>
          <w:i/>
          <w:iCs/>
        </w:rPr>
        <w:t>%</w:t>
      </w:r>
      <w:r w:rsidR="00AB7632">
        <w:rPr>
          <w:i/>
          <w:iCs/>
        </w:rPr>
        <w:t xml:space="preserve"> of the vehicle’s ‘Total Length’</w:t>
      </w:r>
      <w:r>
        <w:rPr>
          <w:i/>
          <w:iCs/>
        </w:rPr>
        <w:t xml:space="preserve">. Total length includes the maximum ‘rear overhang’ (distance of the body beyond the rear wheels) permitted under </w:t>
      </w:r>
      <w:hyperlink r:id="rId17" w:history="1">
        <w:r w:rsidRPr="00D01AE1">
          <w:rPr>
            <w:rStyle w:val="Hyperlink"/>
            <w:i/>
            <w:iCs/>
          </w:rPr>
          <w:t>ADR 43/04</w:t>
        </w:r>
      </w:hyperlink>
      <w:r w:rsidR="00FF4E8D">
        <w:rPr>
          <w:i/>
          <w:iCs/>
        </w:rPr>
        <w:t>.</w:t>
      </w:r>
    </w:p>
    <w:p w14:paraId="6D32664C" w14:textId="77777777" w:rsidR="00AB7632" w:rsidRDefault="00AB7632" w:rsidP="00B55628">
      <w:pPr>
        <w:rPr>
          <w:rFonts w:eastAsia="Times New Roman" w:cstheme="minorHAnsi"/>
          <w:b/>
          <w:color w:val="000000" w:themeColor="text1"/>
        </w:rPr>
      </w:pPr>
    </w:p>
    <w:p w14:paraId="231CF569" w14:textId="0F7095E0" w:rsidR="003A62D5" w:rsidRDefault="003A62D5" w:rsidP="00D17F25">
      <w:pPr>
        <w:keepNext/>
        <w:rPr>
          <w:rFonts w:eastAsia="Times New Roman" w:cstheme="minorHAnsi"/>
          <w:b/>
          <w:color w:val="000000" w:themeColor="text1"/>
        </w:rPr>
      </w:pPr>
      <w:r>
        <w:rPr>
          <w:rFonts w:eastAsia="Times New Roman" w:cstheme="minorHAnsi"/>
          <w:b/>
          <w:color w:val="000000" w:themeColor="text1"/>
        </w:rPr>
        <w:lastRenderedPageBreak/>
        <w:t>How will the new ADR measure CO</w:t>
      </w:r>
      <w:r w:rsidRPr="0050115B">
        <w:rPr>
          <w:rFonts w:eastAsia="Times New Roman" w:cstheme="minorHAnsi"/>
          <w:b/>
          <w:color w:val="000000" w:themeColor="text1"/>
          <w:vertAlign w:val="subscript"/>
        </w:rPr>
        <w:t>2</w:t>
      </w:r>
      <w:r>
        <w:rPr>
          <w:rFonts w:eastAsia="Times New Roman" w:cstheme="minorHAnsi"/>
          <w:b/>
          <w:color w:val="000000" w:themeColor="text1"/>
        </w:rPr>
        <w:t xml:space="preserve"> emissions?</w:t>
      </w:r>
    </w:p>
    <w:p w14:paraId="28FF82C1" w14:textId="77777777" w:rsidR="0005516F" w:rsidRDefault="0005516F" w:rsidP="00B55628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The predominant emissions test used in Australia is called the ‘New European Driving Cycle’ or NEDC, which is a laboratory test based on an </w:t>
      </w:r>
      <w:r w:rsidR="00D73050">
        <w:rPr>
          <w:rFonts w:eastAsia="Times New Roman" w:cstheme="minorHAnsi"/>
          <w:color w:val="000000" w:themeColor="text1"/>
        </w:rPr>
        <w:t xml:space="preserve">older </w:t>
      </w:r>
      <w:r>
        <w:rPr>
          <w:rFonts w:eastAsia="Times New Roman" w:cstheme="minorHAnsi"/>
          <w:color w:val="000000" w:themeColor="text1"/>
        </w:rPr>
        <w:t>international standard. As such,</w:t>
      </w:r>
      <w:r w:rsidR="00225EC6">
        <w:rPr>
          <w:rFonts w:eastAsia="Times New Roman" w:cstheme="minorHAnsi"/>
          <w:color w:val="000000" w:themeColor="text1"/>
        </w:rPr>
        <w:t xml:space="preserve"> the NVES CO</w:t>
      </w:r>
      <w:r w:rsidR="00225EC6" w:rsidRPr="009448AD">
        <w:rPr>
          <w:rFonts w:eastAsia="Times New Roman" w:cstheme="minorHAnsi"/>
          <w:color w:val="000000" w:themeColor="text1"/>
          <w:vertAlign w:val="subscript"/>
        </w:rPr>
        <w:t>2</w:t>
      </w:r>
      <w:r w:rsidR="00225EC6">
        <w:rPr>
          <w:rFonts w:eastAsia="Times New Roman" w:cstheme="minorHAnsi"/>
          <w:color w:val="000000" w:themeColor="text1"/>
        </w:rPr>
        <w:t xml:space="preserve"> targets for 2025 to 2029 </w:t>
      </w:r>
      <w:r w:rsidR="009448AD">
        <w:rPr>
          <w:rFonts w:eastAsia="Times New Roman" w:cstheme="minorHAnsi"/>
          <w:color w:val="000000" w:themeColor="text1"/>
        </w:rPr>
        <w:t>are based on</w:t>
      </w:r>
      <w:r w:rsidR="00225EC6">
        <w:rPr>
          <w:rFonts w:eastAsia="Times New Roman" w:cstheme="minorHAnsi"/>
          <w:color w:val="000000" w:themeColor="text1"/>
        </w:rPr>
        <w:t xml:space="preserve"> the current </w:t>
      </w:r>
      <w:r>
        <w:rPr>
          <w:rFonts w:eastAsia="Times New Roman" w:cstheme="minorHAnsi"/>
          <w:color w:val="000000" w:themeColor="text1"/>
        </w:rPr>
        <w:t xml:space="preserve">NEDC </w:t>
      </w:r>
      <w:r w:rsidR="00225EC6">
        <w:rPr>
          <w:rFonts w:eastAsia="Times New Roman" w:cstheme="minorHAnsi"/>
          <w:color w:val="000000" w:themeColor="text1"/>
        </w:rPr>
        <w:t>test</w:t>
      </w:r>
      <w:r>
        <w:rPr>
          <w:rFonts w:eastAsia="Times New Roman" w:cstheme="minorHAnsi"/>
          <w:color w:val="000000" w:themeColor="text1"/>
        </w:rPr>
        <w:t>. ADR 81/02 adopts the NEDC test.</w:t>
      </w:r>
    </w:p>
    <w:p w14:paraId="6D47F622" w14:textId="77777777" w:rsidR="00A64E41" w:rsidRDefault="0005516F">
      <w:pPr>
        <w:rPr>
          <w:lang w:val="en-US"/>
        </w:rPr>
      </w:pPr>
      <w:r>
        <w:rPr>
          <w:lang w:val="en-US"/>
        </w:rPr>
        <w:t>However, n</w:t>
      </w:r>
      <w:r w:rsidR="009448AD">
        <w:rPr>
          <w:lang w:val="en-US"/>
        </w:rPr>
        <w:t xml:space="preserve">ew vehicle models </w:t>
      </w:r>
      <w:r>
        <w:rPr>
          <w:lang w:val="en-US"/>
        </w:rPr>
        <w:t xml:space="preserve">must </w:t>
      </w:r>
      <w:r w:rsidR="009448AD">
        <w:rPr>
          <w:lang w:val="en-US"/>
        </w:rPr>
        <w:t xml:space="preserve">comply with </w:t>
      </w:r>
      <w:r w:rsidR="00D30F27">
        <w:rPr>
          <w:lang w:val="en-US"/>
        </w:rPr>
        <w:t>a</w:t>
      </w:r>
      <w:r w:rsidR="009448AD">
        <w:rPr>
          <w:lang w:val="en-US"/>
        </w:rPr>
        <w:t xml:space="preserve"> stricter laboratory test </w:t>
      </w:r>
      <w:r w:rsidR="00B11B0B">
        <w:rPr>
          <w:lang w:val="en-US"/>
        </w:rPr>
        <w:t>adopted</w:t>
      </w:r>
      <w:r w:rsidR="009448AD">
        <w:rPr>
          <w:lang w:val="en-US"/>
        </w:rPr>
        <w:t xml:space="preserve"> by the new ADR for noxious emissions (ADR 79/05, also known ‘Euro 6d’)</w:t>
      </w:r>
      <w:r>
        <w:rPr>
          <w:lang w:val="en-US"/>
        </w:rPr>
        <w:t xml:space="preserve"> from 1 December 2025. The new test is called the ‘Worldwide </w:t>
      </w:r>
      <w:r w:rsidR="00D73050">
        <w:rPr>
          <w:lang w:val="en-US"/>
        </w:rPr>
        <w:t>h</w:t>
      </w:r>
      <w:r>
        <w:rPr>
          <w:lang w:val="en-US"/>
        </w:rPr>
        <w:t>armonized Lig</w:t>
      </w:r>
      <w:r w:rsidR="00D73050">
        <w:rPr>
          <w:lang w:val="en-US"/>
        </w:rPr>
        <w:t>ht</w:t>
      </w:r>
      <w:r>
        <w:rPr>
          <w:lang w:val="en-US"/>
        </w:rPr>
        <w:t xml:space="preserve"> </w:t>
      </w:r>
      <w:r w:rsidR="00D73050">
        <w:rPr>
          <w:lang w:val="en-US"/>
        </w:rPr>
        <w:t>v</w:t>
      </w:r>
      <w:r>
        <w:rPr>
          <w:lang w:val="en-US"/>
        </w:rPr>
        <w:t>ehicle</w:t>
      </w:r>
      <w:r w:rsidR="00D73050">
        <w:rPr>
          <w:lang w:val="en-US"/>
        </w:rPr>
        <w:t>s</w:t>
      </w:r>
      <w:r>
        <w:rPr>
          <w:lang w:val="en-US"/>
        </w:rPr>
        <w:t xml:space="preserve"> Test Procedure’ or WLTP. This</w:t>
      </w:r>
      <w:r w:rsidR="00A64E41">
        <w:rPr>
          <w:lang w:val="en-US"/>
        </w:rPr>
        <w:t xml:space="preserve"> will mean some </w:t>
      </w:r>
      <w:r w:rsidR="00D73050">
        <w:rPr>
          <w:lang w:val="en-US"/>
        </w:rPr>
        <w:t xml:space="preserve">new vehicles sold from 2025 to 2028 </w:t>
      </w:r>
      <w:r w:rsidR="00A64E41">
        <w:rPr>
          <w:lang w:val="en-US"/>
        </w:rPr>
        <w:t xml:space="preserve">will have NEDC figures, and some will have WLTP figures. As such, in the meantime, a method must be developed and included in an ADR to convert from WLTP to NEDC to ensure the NVES applies equally to new and existing models. </w:t>
      </w:r>
    </w:p>
    <w:p w14:paraId="7CBA7640" w14:textId="77777777" w:rsidR="00D73050" w:rsidRDefault="00A64E41">
      <w:pPr>
        <w:rPr>
          <w:b/>
          <w:lang w:val="en-US"/>
        </w:rPr>
      </w:pPr>
      <w:r>
        <w:rPr>
          <w:lang w:val="en-US"/>
        </w:rPr>
        <w:t xml:space="preserve">Under the proposed new series of ADR 81, new vehicle models </w:t>
      </w:r>
      <w:r w:rsidR="00D73050">
        <w:rPr>
          <w:lang w:val="en-US"/>
        </w:rPr>
        <w:t xml:space="preserve">that comply with ADR 79/05 </w:t>
      </w:r>
      <w:r w:rsidR="009448AD">
        <w:rPr>
          <w:lang w:val="en-US"/>
        </w:rPr>
        <w:t xml:space="preserve">will not need to be tested to the NEDC. </w:t>
      </w:r>
      <w:r w:rsidR="00A056EB">
        <w:rPr>
          <w:lang w:val="en-US"/>
        </w:rPr>
        <w:t>Instead</w:t>
      </w:r>
      <w:r w:rsidR="009448AD">
        <w:rPr>
          <w:lang w:val="en-US"/>
        </w:rPr>
        <w:t xml:space="preserve">, </w:t>
      </w:r>
      <w:r>
        <w:rPr>
          <w:lang w:val="en-US"/>
        </w:rPr>
        <w:t xml:space="preserve">the new series of </w:t>
      </w:r>
      <w:r w:rsidR="009448AD">
        <w:rPr>
          <w:lang w:val="en-US"/>
        </w:rPr>
        <w:t>AD</w:t>
      </w:r>
      <w:r w:rsidR="00B11B0B">
        <w:rPr>
          <w:lang w:val="en-US"/>
        </w:rPr>
        <w:t>R</w:t>
      </w:r>
      <w:r w:rsidR="009448AD">
        <w:rPr>
          <w:lang w:val="en-US"/>
        </w:rPr>
        <w:t xml:space="preserve"> 81</w:t>
      </w:r>
      <w:r w:rsidR="00B11B0B">
        <w:rPr>
          <w:lang w:val="en-US"/>
        </w:rPr>
        <w:t xml:space="preserve"> will </w:t>
      </w:r>
      <w:r w:rsidR="00832B69">
        <w:rPr>
          <w:lang w:val="en-US"/>
        </w:rPr>
        <w:t>include</w:t>
      </w:r>
      <w:r w:rsidR="00B11B0B">
        <w:rPr>
          <w:lang w:val="en-US"/>
        </w:rPr>
        <w:t xml:space="preserve"> a procedure to calculate an equivalent CO</w:t>
      </w:r>
      <w:r w:rsidR="00B11B0B" w:rsidRPr="00B11B0B">
        <w:rPr>
          <w:vertAlign w:val="subscript"/>
          <w:lang w:val="en-US"/>
        </w:rPr>
        <w:t>2</w:t>
      </w:r>
      <w:r w:rsidR="00B11B0B">
        <w:rPr>
          <w:lang w:val="en-US"/>
        </w:rPr>
        <w:t xml:space="preserve"> number for vehicles that comply with ADR 79/05. This procedure is being developed in consultation with a technical working group established by the department.</w:t>
      </w:r>
    </w:p>
    <w:p w14:paraId="185777DA" w14:textId="77777777" w:rsidR="007E61F9" w:rsidRPr="00635398" w:rsidRDefault="00635398" w:rsidP="009E7D94">
      <w:pPr>
        <w:keepNext/>
        <w:rPr>
          <w:b/>
          <w:lang w:val="en-US"/>
        </w:rPr>
      </w:pPr>
      <w:r>
        <w:rPr>
          <w:b/>
          <w:lang w:val="en-US"/>
        </w:rPr>
        <w:t xml:space="preserve">How will the proposed </w:t>
      </w:r>
      <w:r w:rsidR="00284E4E">
        <w:rPr>
          <w:b/>
          <w:lang w:val="en-US"/>
        </w:rPr>
        <w:t xml:space="preserve">new series of </w:t>
      </w:r>
      <w:r>
        <w:rPr>
          <w:b/>
          <w:lang w:val="en-US"/>
        </w:rPr>
        <w:t>AD</w:t>
      </w:r>
      <w:bookmarkStart w:id="0" w:name="_GoBack"/>
      <w:bookmarkEnd w:id="0"/>
      <w:r>
        <w:rPr>
          <w:b/>
          <w:lang w:val="en-US"/>
        </w:rPr>
        <w:t xml:space="preserve">R </w:t>
      </w:r>
      <w:r w:rsidR="00284E4E">
        <w:rPr>
          <w:b/>
          <w:lang w:val="en-US"/>
        </w:rPr>
        <w:t xml:space="preserve">81 </w:t>
      </w:r>
      <w:r>
        <w:rPr>
          <w:b/>
          <w:lang w:val="en-US"/>
        </w:rPr>
        <w:t>affect the outcome of the NVES?</w:t>
      </w:r>
    </w:p>
    <w:p w14:paraId="6E9DB0BF" w14:textId="77777777" w:rsidR="00DD4EB5" w:rsidRDefault="0050115B">
      <w:pPr>
        <w:rPr>
          <w:lang w:val="en-US"/>
        </w:rPr>
      </w:pPr>
      <w:r>
        <w:rPr>
          <w:lang w:val="en-US"/>
        </w:rPr>
        <w:t xml:space="preserve">Based on 2024 vehicle sales, the proposed </w:t>
      </w:r>
      <w:r w:rsidR="003C4957">
        <w:rPr>
          <w:lang w:val="en-US"/>
        </w:rPr>
        <w:t>updates</w:t>
      </w:r>
      <w:r>
        <w:rPr>
          <w:lang w:val="en-US"/>
        </w:rPr>
        <w:t xml:space="preserve"> will reduce the vehicles covered by the NVES by less than 2.5% in 2025 and 2026, and by less than 1.26% from 2027. The department estimates this would reduce the abatement from the NVES by less than </w:t>
      </w:r>
      <w:r w:rsidR="003C4957">
        <w:rPr>
          <w:lang w:val="en-US"/>
        </w:rPr>
        <w:t xml:space="preserve">1% </w:t>
      </w:r>
      <w:r>
        <w:rPr>
          <w:lang w:val="en-US"/>
        </w:rPr>
        <w:t>over the period to 2050.</w:t>
      </w:r>
    </w:p>
    <w:p w14:paraId="32928553" w14:textId="7FAB2D36" w:rsidR="0050115B" w:rsidRDefault="0050115B" w:rsidP="00BC27EC">
      <w:pPr>
        <w:keepNext/>
        <w:rPr>
          <w:b/>
          <w:lang w:val="en-US"/>
        </w:rPr>
      </w:pPr>
      <w:r>
        <w:rPr>
          <w:b/>
          <w:lang w:val="en-US"/>
        </w:rPr>
        <w:t xml:space="preserve">How can I </w:t>
      </w:r>
      <w:r w:rsidR="002024A9">
        <w:rPr>
          <w:b/>
          <w:lang w:val="en-US"/>
        </w:rPr>
        <w:t xml:space="preserve">have </w:t>
      </w:r>
      <w:r w:rsidR="00D17F25">
        <w:rPr>
          <w:b/>
          <w:lang w:val="en-US"/>
        </w:rPr>
        <w:t>my</w:t>
      </w:r>
      <w:r w:rsidR="002024A9">
        <w:rPr>
          <w:b/>
          <w:lang w:val="en-US"/>
        </w:rPr>
        <w:t xml:space="preserve"> say</w:t>
      </w:r>
      <w:r>
        <w:rPr>
          <w:b/>
          <w:lang w:val="en-US"/>
        </w:rPr>
        <w:t xml:space="preserve"> on the proposed </w:t>
      </w:r>
      <w:r w:rsidR="00284E4E">
        <w:rPr>
          <w:b/>
          <w:lang w:val="en-US"/>
        </w:rPr>
        <w:t xml:space="preserve">new series of </w:t>
      </w:r>
      <w:r>
        <w:rPr>
          <w:b/>
          <w:lang w:val="en-US"/>
        </w:rPr>
        <w:t>ADR</w:t>
      </w:r>
      <w:r w:rsidR="00284E4E">
        <w:rPr>
          <w:b/>
          <w:lang w:val="en-US"/>
        </w:rPr>
        <w:t xml:space="preserve"> 81</w:t>
      </w:r>
      <w:r>
        <w:rPr>
          <w:b/>
          <w:lang w:val="en-US"/>
        </w:rPr>
        <w:t>?</w:t>
      </w:r>
    </w:p>
    <w:p w14:paraId="3A119765" w14:textId="126E1061" w:rsidR="000D757A" w:rsidRDefault="0050115B">
      <w:pPr>
        <w:rPr>
          <w:lang w:val="en-US"/>
        </w:rPr>
      </w:pPr>
      <w:r>
        <w:rPr>
          <w:lang w:val="en-US"/>
        </w:rPr>
        <w:t xml:space="preserve">Comments on the proposed ADR </w:t>
      </w:r>
      <w:r w:rsidR="003C4957">
        <w:rPr>
          <w:lang w:val="en-US"/>
        </w:rPr>
        <w:t xml:space="preserve">updates </w:t>
      </w:r>
      <w:r>
        <w:rPr>
          <w:lang w:val="en-US"/>
        </w:rPr>
        <w:t>can be provided online via the department’s ‘</w:t>
      </w:r>
      <w:hyperlink r:id="rId18" w:history="1">
        <w:r w:rsidRPr="000D757A">
          <w:rPr>
            <w:rStyle w:val="Hyperlink"/>
            <w:lang w:val="en-US"/>
          </w:rPr>
          <w:t>Have Your Say</w:t>
        </w:r>
      </w:hyperlink>
      <w:r>
        <w:rPr>
          <w:lang w:val="en-US"/>
        </w:rPr>
        <w:t>’ page.</w:t>
      </w:r>
      <w:r w:rsidR="002024A9">
        <w:rPr>
          <w:lang w:val="en-US"/>
        </w:rPr>
        <w:t xml:space="preserve"> You can give your feedback until </w:t>
      </w:r>
      <w:r w:rsidR="00D73050">
        <w:rPr>
          <w:lang w:val="en-US"/>
        </w:rPr>
        <w:t>5 February 2025</w:t>
      </w:r>
      <w:r w:rsidR="002024A9">
        <w:rPr>
          <w:lang w:val="en-US"/>
        </w:rPr>
        <w:t xml:space="preserve">. </w:t>
      </w:r>
    </w:p>
    <w:p w14:paraId="4FE9DA27" w14:textId="77777777" w:rsidR="000D757A" w:rsidRDefault="000D757A">
      <w:pPr>
        <w:rPr>
          <w:b/>
          <w:lang w:val="en-US"/>
        </w:rPr>
      </w:pPr>
      <w:r>
        <w:rPr>
          <w:b/>
          <w:lang w:val="en-US"/>
        </w:rPr>
        <w:t xml:space="preserve">When will the text of the </w:t>
      </w:r>
      <w:r w:rsidR="00284E4E">
        <w:rPr>
          <w:b/>
          <w:lang w:val="en-US"/>
        </w:rPr>
        <w:t xml:space="preserve">new series of </w:t>
      </w:r>
      <w:r>
        <w:rPr>
          <w:b/>
          <w:lang w:val="en-US"/>
        </w:rPr>
        <w:t xml:space="preserve">ADR </w:t>
      </w:r>
      <w:r w:rsidR="00284E4E">
        <w:rPr>
          <w:b/>
          <w:lang w:val="en-US"/>
        </w:rPr>
        <w:t xml:space="preserve">81 </w:t>
      </w:r>
      <w:r>
        <w:rPr>
          <w:b/>
          <w:lang w:val="en-US"/>
        </w:rPr>
        <w:t>be available?</w:t>
      </w:r>
    </w:p>
    <w:p w14:paraId="5962E98D" w14:textId="50025CCF" w:rsidR="000D757A" w:rsidRPr="000D757A" w:rsidRDefault="00D73050">
      <w:pPr>
        <w:rPr>
          <w:lang w:val="en-US"/>
        </w:rPr>
      </w:pPr>
      <w:r>
        <w:rPr>
          <w:lang w:val="en-US"/>
        </w:rPr>
        <w:t>An exposure draft of the ADR is</w:t>
      </w:r>
      <w:r w:rsidR="002E7CA3">
        <w:rPr>
          <w:lang w:val="en-US"/>
        </w:rPr>
        <w:t xml:space="preserve"> </w:t>
      </w:r>
      <w:r>
        <w:rPr>
          <w:lang w:val="en-US"/>
        </w:rPr>
        <w:t>on the department’s ‘</w:t>
      </w:r>
      <w:hyperlink r:id="rId19" w:history="1">
        <w:r w:rsidRPr="000D757A">
          <w:rPr>
            <w:rStyle w:val="Hyperlink"/>
            <w:lang w:val="en-US"/>
          </w:rPr>
          <w:t>Have Your Say</w:t>
        </w:r>
      </w:hyperlink>
      <w:r>
        <w:rPr>
          <w:lang w:val="en-US"/>
        </w:rPr>
        <w:t>’ page</w:t>
      </w:r>
      <w:r w:rsidR="000D757A">
        <w:rPr>
          <w:lang w:val="en-US"/>
        </w:rPr>
        <w:t xml:space="preserve">. The final text of the ADR will be published on the </w:t>
      </w:r>
      <w:hyperlink r:id="rId20" w:history="1">
        <w:r w:rsidR="000B5D21" w:rsidRPr="000D757A">
          <w:rPr>
            <w:rStyle w:val="Hyperlink"/>
            <w:lang w:val="en-US"/>
          </w:rPr>
          <w:t>Federal Register of Legislation</w:t>
        </w:r>
      </w:hyperlink>
      <w:r w:rsidR="000B5D21">
        <w:rPr>
          <w:rStyle w:val="Hyperlink"/>
          <w:lang w:val="en-US"/>
        </w:rPr>
        <w:t>.</w:t>
      </w:r>
    </w:p>
    <w:sectPr w:rsidR="000D757A" w:rsidRPr="000D757A" w:rsidSect="00ED2A58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98EA9" w14:textId="77777777" w:rsidR="00757B3D" w:rsidRDefault="00757B3D" w:rsidP="008A24F4">
      <w:pPr>
        <w:spacing w:after="0" w:line="240" w:lineRule="auto"/>
      </w:pPr>
      <w:r>
        <w:separator/>
      </w:r>
    </w:p>
  </w:endnote>
  <w:endnote w:type="continuationSeparator" w:id="0">
    <w:p w14:paraId="767000B4" w14:textId="77777777" w:rsidR="00757B3D" w:rsidRDefault="00757B3D" w:rsidP="008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0A7E9" w14:textId="77777777" w:rsidR="00757B3D" w:rsidRDefault="00757B3D" w:rsidP="008A24F4">
      <w:pPr>
        <w:spacing w:after="0" w:line="240" w:lineRule="auto"/>
      </w:pPr>
      <w:r>
        <w:separator/>
      </w:r>
    </w:p>
  </w:footnote>
  <w:footnote w:type="continuationSeparator" w:id="0">
    <w:p w14:paraId="555A0A88" w14:textId="77777777" w:rsidR="00757B3D" w:rsidRDefault="00757B3D" w:rsidP="008A2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72B9"/>
    <w:multiLevelType w:val="hybridMultilevel"/>
    <w:tmpl w:val="BE1024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1244"/>
    <w:multiLevelType w:val="hybridMultilevel"/>
    <w:tmpl w:val="8022310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A7633"/>
    <w:multiLevelType w:val="hybridMultilevel"/>
    <w:tmpl w:val="6F1E2C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A31A31"/>
    <w:multiLevelType w:val="hybridMultilevel"/>
    <w:tmpl w:val="A818395A"/>
    <w:lvl w:ilvl="0" w:tplc="663C9A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03C7F"/>
    <w:multiLevelType w:val="hybridMultilevel"/>
    <w:tmpl w:val="2C3C40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2025E"/>
    <w:multiLevelType w:val="hybridMultilevel"/>
    <w:tmpl w:val="F55C8C9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12280"/>
    <w:multiLevelType w:val="hybridMultilevel"/>
    <w:tmpl w:val="612C5C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10330"/>
    <w:multiLevelType w:val="hybridMultilevel"/>
    <w:tmpl w:val="EFB0D2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90FD3"/>
    <w:multiLevelType w:val="hybridMultilevel"/>
    <w:tmpl w:val="A002D9F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072E3"/>
    <w:multiLevelType w:val="hybridMultilevel"/>
    <w:tmpl w:val="83A4BB4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2A6640"/>
    <w:multiLevelType w:val="hybridMultilevel"/>
    <w:tmpl w:val="F3884B66"/>
    <w:lvl w:ilvl="0" w:tplc="8D929B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A5"/>
    <w:rsid w:val="00004815"/>
    <w:rsid w:val="00034D40"/>
    <w:rsid w:val="0005516F"/>
    <w:rsid w:val="000B5D21"/>
    <w:rsid w:val="000C2A8A"/>
    <w:rsid w:val="000D757A"/>
    <w:rsid w:val="00100957"/>
    <w:rsid w:val="001029B0"/>
    <w:rsid w:val="001720EE"/>
    <w:rsid w:val="00191293"/>
    <w:rsid w:val="002024A9"/>
    <w:rsid w:val="002115BC"/>
    <w:rsid w:val="00225EC6"/>
    <w:rsid w:val="00247B81"/>
    <w:rsid w:val="00267B10"/>
    <w:rsid w:val="00284E4E"/>
    <w:rsid w:val="002C015E"/>
    <w:rsid w:val="002E192C"/>
    <w:rsid w:val="002E7CA3"/>
    <w:rsid w:val="002F6F93"/>
    <w:rsid w:val="00306878"/>
    <w:rsid w:val="003A0DC8"/>
    <w:rsid w:val="003A62D5"/>
    <w:rsid w:val="003C4957"/>
    <w:rsid w:val="004356E0"/>
    <w:rsid w:val="00454CB8"/>
    <w:rsid w:val="0048154B"/>
    <w:rsid w:val="004B2F7E"/>
    <w:rsid w:val="004C692D"/>
    <w:rsid w:val="0050115B"/>
    <w:rsid w:val="00567C84"/>
    <w:rsid w:val="005A4E08"/>
    <w:rsid w:val="005D3DA7"/>
    <w:rsid w:val="006176FF"/>
    <w:rsid w:val="00621F39"/>
    <w:rsid w:val="00635398"/>
    <w:rsid w:val="00656E48"/>
    <w:rsid w:val="00662D85"/>
    <w:rsid w:val="00674F28"/>
    <w:rsid w:val="00684DA1"/>
    <w:rsid w:val="006C61EF"/>
    <w:rsid w:val="006C73F8"/>
    <w:rsid w:val="006D5973"/>
    <w:rsid w:val="006F6081"/>
    <w:rsid w:val="00725C19"/>
    <w:rsid w:val="007452C1"/>
    <w:rsid w:val="00757B3D"/>
    <w:rsid w:val="007C6DBE"/>
    <w:rsid w:val="007C7BDE"/>
    <w:rsid w:val="007D10BB"/>
    <w:rsid w:val="007D7E56"/>
    <w:rsid w:val="007E61F9"/>
    <w:rsid w:val="00832B69"/>
    <w:rsid w:val="00846DC4"/>
    <w:rsid w:val="00870D15"/>
    <w:rsid w:val="00873698"/>
    <w:rsid w:val="00874121"/>
    <w:rsid w:val="008A24F4"/>
    <w:rsid w:val="00926867"/>
    <w:rsid w:val="009448AD"/>
    <w:rsid w:val="009D675F"/>
    <w:rsid w:val="009E5D1A"/>
    <w:rsid w:val="009E7D94"/>
    <w:rsid w:val="00A056EB"/>
    <w:rsid w:val="00A569DC"/>
    <w:rsid w:val="00A64E41"/>
    <w:rsid w:val="00A80E3D"/>
    <w:rsid w:val="00A93ECC"/>
    <w:rsid w:val="00AB4E52"/>
    <w:rsid w:val="00AB7632"/>
    <w:rsid w:val="00B03F97"/>
    <w:rsid w:val="00B11B0B"/>
    <w:rsid w:val="00B55628"/>
    <w:rsid w:val="00B704CC"/>
    <w:rsid w:val="00BC27EC"/>
    <w:rsid w:val="00C101A5"/>
    <w:rsid w:val="00C322F7"/>
    <w:rsid w:val="00C53CA6"/>
    <w:rsid w:val="00C95D5C"/>
    <w:rsid w:val="00CD7967"/>
    <w:rsid w:val="00CE58AC"/>
    <w:rsid w:val="00D01AE1"/>
    <w:rsid w:val="00D04180"/>
    <w:rsid w:val="00D17F25"/>
    <w:rsid w:val="00D30F27"/>
    <w:rsid w:val="00D53507"/>
    <w:rsid w:val="00D561B8"/>
    <w:rsid w:val="00D73050"/>
    <w:rsid w:val="00D93708"/>
    <w:rsid w:val="00DB6A4A"/>
    <w:rsid w:val="00DC39A3"/>
    <w:rsid w:val="00DD0D9E"/>
    <w:rsid w:val="00DD3C11"/>
    <w:rsid w:val="00DD4EB5"/>
    <w:rsid w:val="00DD63A3"/>
    <w:rsid w:val="00DF71A7"/>
    <w:rsid w:val="00E113AB"/>
    <w:rsid w:val="00E51231"/>
    <w:rsid w:val="00EC7306"/>
    <w:rsid w:val="00ED2A58"/>
    <w:rsid w:val="00F23E3D"/>
    <w:rsid w:val="00F44944"/>
    <w:rsid w:val="00F53438"/>
    <w:rsid w:val="00F62AAE"/>
    <w:rsid w:val="00F95C9C"/>
    <w:rsid w:val="00FB05D4"/>
    <w:rsid w:val="00FB4759"/>
    <w:rsid w:val="00FC16A2"/>
    <w:rsid w:val="00FC42CA"/>
    <w:rsid w:val="00FC6BD6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8514"/>
  <w15:chartTrackingRefBased/>
  <w15:docId w15:val="{D7ECF032-FF58-4878-BEF8-D4EF10D9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EB5"/>
    <w:pPr>
      <w:ind w:left="720"/>
      <w:contextualSpacing/>
    </w:pPr>
  </w:style>
  <w:style w:type="table" w:styleId="TableGrid">
    <w:name w:val="Table Grid"/>
    <w:basedOn w:val="TableNormal"/>
    <w:uiPriority w:val="39"/>
    <w:rsid w:val="007E61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B1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B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B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B1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24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4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24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70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0D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015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C495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https://www.infrastructure.gov.au/have-your-say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www.legislation.gov.au/F2006L01430/latest/tex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au/F2006L01430/latest/text" TargetMode="External"/><Relationship Id="rId20" Type="http://schemas.openxmlformats.org/officeDocument/2006/relationships/hyperlink" Target="https://www.legislation.gov.a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hyperlink" Target="https://www.legislation.gov.au/F2008L00649/latest/text" TargetMode="External"/><Relationship Id="rId19" Type="http://schemas.openxmlformats.org/officeDocument/2006/relationships/hyperlink" Target="https://www.infrastructure.gov.au/have-your-sa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D65DAF9CD7E45B0FE536DF851B909" ma:contentTypeVersion="5" ma:contentTypeDescription="Create a new document." ma:contentTypeScope="" ma:versionID="9dd05a4757a4fa939559cff561d1910c">
  <xsd:schema xmlns:xsd="http://www.w3.org/2001/XMLSchema" xmlns:xs="http://www.w3.org/2001/XMLSchema" xmlns:p="http://schemas.microsoft.com/office/2006/metadata/properties" xmlns:ns2="d9273ffb-13bc-4359-86db-ffbd6a6f0068" targetNamespace="http://schemas.microsoft.com/office/2006/metadata/properties" ma:root="true" ma:fieldsID="db3ae60ae12a1840a50299a3fdd1bddc" ns2:_="">
    <xsd:import namespace="d9273ffb-13bc-4359-86db-ffbd6a6f0068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b2ca142b749a4e99973a60fa4596d57f" minOccurs="0"/>
                <xsd:element ref="ns2:TaxCatchAll" minOccurs="0"/>
                <xsd:element ref="ns2:TaxCatchAllLabel" minOccurs="0"/>
                <xsd:element ref="ns2:pcc6eb66bf4b43a8953760b2e81c01a4" minOccurs="0"/>
                <xsd:element ref="ns2:Destroy Item46" minOccurs="0"/>
                <xsd:element ref="ns2:Justification for Destruction47" minOccurs="0"/>
                <xsd:element ref="ns2:Document_x0020_SP_x0020_Typ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73ffb-13bc-4359-86db-ffbd6a6f0068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/>
      </xsd:simpleType>
    </xsd:element>
    <xsd:element name="b2ca142b749a4e99973a60fa4596d57f" ma:index="9" ma:taxonomy="true" ma:internalName="b2ca142b749a4e99973a60fa4596d57f" ma:taxonomyFieldName="Security_x0020_Classification" ma:displayName="Security Classification" ma:readOnly="false" ma:default="1;#OFFICIAL|66ee57a8-59d0-46bc-a5fc-78440ee0cf81" ma:fieldId="{b2ca142b-749a-4e99-973a-60fa4596d57f}" ma:sspId="0483e4a5-f0f6-4ded-b0bb-00a90fd4cf8b" ma:termSetId="d697d180-c653-44a1-a6e2-69709aabde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54b63f3-8672-4e53-b325-05221e90d34d}" ma:internalName="TaxCatchAll" ma:showField="CatchAllData" ma:web="d9273ffb-13bc-4359-86db-ffbd6a6f00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54b63f3-8672-4e53-b325-05221e90d34d}" ma:internalName="TaxCatchAllLabel" ma:readOnly="true" ma:showField="CatchAllDataLabel" ma:web="d9273ffb-13bc-4359-86db-ffbd6a6f00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cc6eb66bf4b43a8953760b2e81c01a4" ma:index="13" nillable="true" ma:taxonomy="true" ma:internalName="pcc6eb66bf4b43a8953760b2e81c01a4" ma:taxonomyFieldName="Information_x0020_Management_x0020_Marker" ma:displayName="Information Management Marker" ma:default="" ma:fieldId="{9cc6eb66-bf4b-43a8-9537-60b2e81c01a4}" ma:sspId="0483e4a5-f0f6-4ded-b0bb-00a90fd4cf8b" ma:termSetId="44e0cffd-acf4-44de-87a1-d4e578541b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troy Item46" ma:index="15" nillable="true" ma:displayName="Destroy Item" ma:internalName="Destroy_x0020_Item46">
      <xsd:simpleType>
        <xsd:restriction base="dms:Boolean"/>
      </xsd:simpleType>
    </xsd:element>
    <xsd:element name="Justification for Destruction47" ma:index="16" nillable="true" ma:displayName="Justification for Destruction" ma:internalName="Justification_x0020_for_x0020_Destruction47">
      <xsd:simpleType>
        <xsd:restriction base="dms:Text"/>
      </xsd:simpleType>
    </xsd:element>
    <xsd:element name="Document_x0020_SP_x0020_Type" ma:index="17" nillable="true" ma:displayName="Document SP Type" ma:default="Document" ma:internalName="Document_x0020_SP_x0020_Type">
      <xsd:simpleType>
        <xsd:restriction base="dms:Text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0DBBD-289C-450C-9E68-B8BD44B87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73ffb-13bc-4359-86db-ffbd6a6f0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45719-C9B9-4F79-B8EE-6ED515312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651FC-3379-45F7-BBFC-3F0B4A95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Infrastructure Transport Regional Development Communications and the Arts</dc:creator>
  <cp:keywords/>
  <dc:description/>
  <cp:revision>3</cp:revision>
  <cp:lastPrinted>2024-12-04T06:21:00Z</cp:lastPrinted>
  <dcterms:created xsi:type="dcterms:W3CDTF">2024-12-04T06:21:00Z</dcterms:created>
  <dcterms:modified xsi:type="dcterms:W3CDTF">2024-12-04T06:23:00Z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0x010100665D65DAF9CD7E45B0FE536DF851B909</vt:lpwstr>
  </property>
</Properties>
</file>