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BF" w:rsidRDefault="00D97221" w:rsidP="00D97221">
      <w:pPr>
        <w:spacing w:after="0"/>
      </w:pPr>
      <w:r>
        <w:fldChar w:fldCharType="begin"/>
      </w:r>
      <w:r>
        <w:instrText xml:space="preserve"> INCLUDEPICTURE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>
        <w:fldChar w:fldCharType="begin"/>
      </w:r>
      <w:r>
        <w:instrText xml:space="preserve"> INCLUDEPICTURE  "http://ims.dept.gov.au/tccache24/6321424/ABAC_Website_Banner_01.png" \* MERGEFORMATINET </w:instrText>
      </w:r>
      <w:r>
        <w:fldChar w:fldCharType="separate"/>
      </w:r>
      <w:r w:rsidR="00814A28">
        <w:fldChar w:fldCharType="begin"/>
      </w:r>
      <w:r w:rsidR="00814A28">
        <w:instrText xml:space="preserve"> INCLUDEPICTURE  "http://ims.dept.gov.au/tccache24/6321424/ABAC_Website_Banner_01.png" \* MERGEFORMATINET </w:instrText>
      </w:r>
      <w:r w:rsidR="00814A28">
        <w:fldChar w:fldCharType="separate"/>
      </w:r>
      <w:r w:rsidR="00C533FB">
        <w:fldChar w:fldCharType="begin"/>
      </w:r>
      <w:r w:rsidR="00C533FB">
        <w:instrText xml:space="preserve"> INCLUDEPICTURE  "http://ims.dept.gov.au/tccache24/6321424/ABAC_Website_Banner_01.png" \* MERGEFORMATINET </w:instrText>
      </w:r>
      <w:r w:rsidR="00C533FB">
        <w:fldChar w:fldCharType="separate"/>
      </w:r>
      <w:r w:rsidR="00E676E3">
        <w:fldChar w:fldCharType="begin"/>
      </w:r>
      <w:r w:rsidR="00E676E3">
        <w:instrText xml:space="preserve"> INCLUDEPICTURE  "http://ims.dept.gov.au/tccache24/6321424/ABAC_Website_Banner_01.png" \* MERGEFORMATINET </w:instrText>
      </w:r>
      <w:r w:rsidR="00E676E3">
        <w:fldChar w:fldCharType="separate"/>
      </w:r>
      <w:r w:rsidR="00AF14DB">
        <w:fldChar w:fldCharType="begin"/>
      </w:r>
      <w:r w:rsidR="00AF14DB">
        <w:instrText xml:space="preserve"> INCLUDEPICTURE  "http://ims.dept.gov.au/tccache24/6321424/ABAC_Website_Banner_01.png" \* MERGEFORMATINET </w:instrText>
      </w:r>
      <w:r w:rsidR="00AF14DB">
        <w:fldChar w:fldCharType="separate"/>
      </w:r>
      <w:r w:rsidR="00990E99">
        <w:fldChar w:fldCharType="begin"/>
      </w:r>
      <w:r w:rsidR="00990E99">
        <w:instrText xml:space="preserve"> INCLUDEPICTURE  "http://ims.dept.gov.au/tccache24/6321424/ABAC_Website_Banner_01.png" \* MERGEFORMATINET </w:instrText>
      </w:r>
      <w:r w:rsidR="00990E99">
        <w:fldChar w:fldCharType="separate"/>
      </w:r>
      <w:r w:rsidR="00313855">
        <w:fldChar w:fldCharType="begin"/>
      </w:r>
      <w:r w:rsidR="00313855">
        <w:instrText xml:space="preserve"> INCLUDEPICTURE  "http://ims.dept.gov.au/tccache24/6321424/ABAC_Website_Banner_01.png" \* MERGEFORMATINET </w:instrText>
      </w:r>
      <w:r w:rsidR="00313855">
        <w:fldChar w:fldCharType="separate"/>
      </w:r>
      <w:r w:rsidR="0033286A">
        <w:fldChar w:fldCharType="begin"/>
      </w:r>
      <w:r w:rsidR="0033286A">
        <w:instrText xml:space="preserve"> INCLUDEPICTURE  "http://ims.dept.gov.au/tccache24/6321424/ABAC_Website_Banner_01.png" \* MERGEFORMATINET </w:instrText>
      </w:r>
      <w:r w:rsidR="0033286A">
        <w:fldChar w:fldCharType="separate"/>
      </w:r>
      <w:r w:rsidR="00F1099D">
        <w:fldChar w:fldCharType="begin"/>
      </w:r>
      <w:r w:rsidR="00F1099D">
        <w:instrText xml:space="preserve"> INCLUDEPICTURE  "http://ims.dept.gov.au/tccache24/6321424/ABAC_Website_Banner_01.png" \* MERGEFORMATINET </w:instrText>
      </w:r>
      <w:r w:rsidR="00F1099D">
        <w:fldChar w:fldCharType="separate"/>
      </w:r>
      <w:r w:rsidR="00316CC4">
        <w:fldChar w:fldCharType="begin"/>
      </w:r>
      <w:r w:rsidR="00316CC4">
        <w:instrText xml:space="preserve"> INCLUDEPICTURE  "http://ims.dept.gov.au/tccache24/6321424/ABAC_Website_Banner_01.png" \* MERGEFORMATINET </w:instrText>
      </w:r>
      <w:r w:rsidR="00316CC4">
        <w:fldChar w:fldCharType="separate"/>
      </w:r>
      <w:r w:rsidR="002E5A38">
        <w:fldChar w:fldCharType="begin"/>
      </w:r>
      <w:r w:rsidR="002E5A38">
        <w:instrText xml:space="preserve"> INCLUDEPICTURE  "http://ims.dept.gov.au/tccache24/6321424/ABAC_Website_Banner_01.png" \* MERGEFORMATINET </w:instrText>
      </w:r>
      <w:r w:rsidR="002E5A38">
        <w:fldChar w:fldCharType="separate"/>
      </w:r>
      <w:r w:rsidR="00DD3E0B">
        <w:fldChar w:fldCharType="begin"/>
      </w:r>
      <w:r w:rsidR="00DD3E0B">
        <w:instrText xml:space="preserve"> INCLUDEPICTURE  "http://ims.dept.gov.au/tccache24/6321424/ABAC_Website_Banner_01.png" \* MERGEFORMATINET </w:instrText>
      </w:r>
      <w:r w:rsidR="00DD3E0B">
        <w:fldChar w:fldCharType="separate"/>
      </w:r>
      <w:r w:rsidR="0081667A">
        <w:fldChar w:fldCharType="begin"/>
      </w:r>
      <w:r w:rsidR="0081667A">
        <w:instrText xml:space="preserve"> INCLUDEPICTURE  "http://ims.dept.gov.au/tccache24/6321424/ABAC_Website_Banner_01.png" \* MERGEFORMATINET </w:instrText>
      </w:r>
      <w:r w:rsidR="0081667A">
        <w:fldChar w:fldCharType="separate"/>
      </w:r>
      <w:r w:rsidR="008D63AD">
        <w:fldChar w:fldCharType="begin"/>
      </w:r>
      <w:r w:rsidR="008D63AD">
        <w:instrText xml:space="preserve"> INCLUDEPICTURE  "http://ims.dept.gov.au/tccache24/6321424/ABAC_Website_Banner_01.png" \* MERGEFORMATINET </w:instrText>
      </w:r>
      <w:r w:rsidR="008D63AD">
        <w:fldChar w:fldCharType="separate"/>
      </w:r>
      <w:r w:rsidR="00A0137F">
        <w:fldChar w:fldCharType="begin"/>
      </w:r>
      <w:r w:rsidR="00A0137F">
        <w:instrText xml:space="preserve"> INCLUDEPICTURE  "http://ims.dept.gov.au/tccache24/6321424/ABAC_Website_Banner_01.png" \* MERGEFORMATINET </w:instrText>
      </w:r>
      <w:r w:rsidR="00A0137F">
        <w:fldChar w:fldCharType="separate"/>
      </w:r>
      <w:r w:rsidR="00407DB5">
        <w:fldChar w:fldCharType="begin"/>
      </w:r>
      <w:r w:rsidR="00407DB5">
        <w:instrText xml:space="preserve"> INCLUDEPICTURE  "http://ims.dept.gov.au/tccache24/6321424/ABAC_Website_Banner_01.png" \* MERGEFORMATINET </w:instrText>
      </w:r>
      <w:r w:rsidR="00407DB5">
        <w:fldChar w:fldCharType="separate"/>
      </w:r>
      <w:r w:rsidR="00C20BF8">
        <w:fldChar w:fldCharType="begin"/>
      </w:r>
      <w:r w:rsidR="00C20BF8">
        <w:instrText xml:space="preserve"> </w:instrText>
      </w:r>
      <w:r w:rsidR="00C20BF8">
        <w:instrText>INCLUDEPICTURE  "http://ims.dept.gov.au/tccache24/6321424/ABAC_Website_Banner_01.png" \* MERGEFORMATINET</w:instrText>
      </w:r>
      <w:r w:rsidR="00C20BF8">
        <w:instrText xml:space="preserve"> </w:instrText>
      </w:r>
      <w:r w:rsidR="00C20BF8">
        <w:fldChar w:fldCharType="separate"/>
      </w:r>
      <w:r w:rsidR="00C20BF8">
        <w:pict w14:anchorId="6EDC3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ustralian Broadband Advisory Council header" style="width:483.95pt;height:110.75pt;mso-position-vertical:absolute">
            <v:imagedata r:id="rId11" r:href="rId12"/>
          </v:shape>
        </w:pict>
      </w:r>
      <w:r w:rsidR="00C20BF8">
        <w:fldChar w:fldCharType="end"/>
      </w:r>
      <w:r w:rsidR="00407DB5">
        <w:fldChar w:fldCharType="end"/>
      </w:r>
      <w:r w:rsidR="00A0137F">
        <w:fldChar w:fldCharType="end"/>
      </w:r>
      <w:r w:rsidR="008D63AD">
        <w:fldChar w:fldCharType="end"/>
      </w:r>
      <w:r w:rsidR="0081667A">
        <w:fldChar w:fldCharType="end"/>
      </w:r>
      <w:r w:rsidR="00DD3E0B">
        <w:fldChar w:fldCharType="end"/>
      </w:r>
      <w:r w:rsidR="002E5A38">
        <w:fldChar w:fldCharType="end"/>
      </w:r>
      <w:r w:rsidR="00316CC4">
        <w:fldChar w:fldCharType="end"/>
      </w:r>
      <w:r w:rsidR="00F1099D">
        <w:fldChar w:fldCharType="end"/>
      </w:r>
      <w:r w:rsidR="0033286A">
        <w:fldChar w:fldCharType="end"/>
      </w:r>
      <w:r w:rsidR="00313855">
        <w:fldChar w:fldCharType="end"/>
      </w:r>
      <w:r w:rsidR="00990E99">
        <w:fldChar w:fldCharType="end"/>
      </w:r>
      <w:r w:rsidR="00AF14DB">
        <w:fldChar w:fldCharType="end"/>
      </w:r>
      <w:r w:rsidR="00E676E3">
        <w:fldChar w:fldCharType="end"/>
      </w:r>
      <w:r w:rsidR="00C533FB">
        <w:fldChar w:fldCharType="end"/>
      </w:r>
      <w:r w:rsidR="00814A2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133A45" w:rsidRDefault="00133A45" w:rsidP="00822DBF">
      <w:pPr>
        <w:spacing w:after="0"/>
        <w:ind w:left="-1418"/>
        <w:sectPr w:rsidR="00133A45" w:rsidSect="00D97221">
          <w:headerReference w:type="default" r:id="rId13"/>
          <w:footerReference w:type="default" r:id="rId14"/>
          <w:footerReference w:type="first" r:id="rId15"/>
          <w:pgSz w:w="11906" w:h="16838"/>
          <w:pgMar w:top="851" w:right="991" w:bottom="1276" w:left="1440" w:header="0" w:footer="397" w:gutter="0"/>
          <w:cols w:space="708"/>
          <w:titlePg/>
          <w:docGrid w:linePitch="360"/>
        </w:sectPr>
      </w:pPr>
    </w:p>
    <w:p w:rsidR="00772C27" w:rsidRPr="00D97221" w:rsidRDefault="001B14FB" w:rsidP="00D97221">
      <w:pPr>
        <w:pStyle w:val="Heading1"/>
      </w:pPr>
      <w:bookmarkStart w:id="0" w:name="_GoBack"/>
      <w:r>
        <w:t>Construction</w:t>
      </w:r>
      <w:r w:rsidR="007C2333" w:rsidRPr="007C2333">
        <w:t xml:space="preserve"> Expert Working Group Project Brief</w:t>
      </w:r>
    </w:p>
    <w:bookmarkEnd w:id="0"/>
    <w:p w:rsidR="00842BD7" w:rsidRDefault="007C2333" w:rsidP="008D2CF1">
      <w:pPr>
        <w:spacing w:before="120" w:after="120"/>
        <w:jc w:val="both"/>
      </w:pPr>
      <w:r w:rsidRPr="00CE419B">
        <w:t>The Australian Broadband Advisory Council (</w:t>
      </w:r>
      <w:r w:rsidR="008D2CF1">
        <w:t>the Council</w:t>
      </w:r>
      <w:r w:rsidRPr="00CE419B">
        <w:t xml:space="preserve">) is advising the Australian Government about ways in which digital and broadband communications infrastructure can </w:t>
      </w:r>
      <w:r w:rsidR="001B14FB">
        <w:t>be used to lift the construction</w:t>
      </w:r>
      <w:r w:rsidRPr="00CE419B">
        <w:t xml:space="preserve"> sector’s economic output, particularly</w:t>
      </w:r>
      <w:r w:rsidR="001B14FB">
        <w:t xml:space="preserve"> for SMEs and</w:t>
      </w:r>
      <w:r w:rsidRPr="00CE419B">
        <w:t xml:space="preserve"> regional areas.</w:t>
      </w:r>
      <w:r w:rsidR="00842BD7" w:rsidRPr="00842BD7">
        <w:t xml:space="preserve"> </w:t>
      </w:r>
    </w:p>
    <w:p w:rsidR="00842BD7" w:rsidRDefault="00842BD7" w:rsidP="008D2CF1">
      <w:pPr>
        <w:spacing w:before="120" w:after="120"/>
        <w:jc w:val="both"/>
      </w:pPr>
      <w:r>
        <w:t xml:space="preserve">The Construction Expert Working Group (CEWG) will support the Council in developing this advice by helping to identify barriers to further take-up of digital technologies, such digital skills and training. </w:t>
      </w:r>
    </w:p>
    <w:p w:rsidR="001B14FB" w:rsidRDefault="007C2333" w:rsidP="008D2CF1">
      <w:pPr>
        <w:spacing w:before="120" w:after="120"/>
        <w:jc w:val="both"/>
      </w:pPr>
      <w:r w:rsidRPr="00CE419B">
        <w:t xml:space="preserve">To assist with its </w:t>
      </w:r>
      <w:r w:rsidR="001B14FB">
        <w:t>work</w:t>
      </w:r>
      <w:r w:rsidRPr="00CE419B">
        <w:t xml:space="preserve">, </w:t>
      </w:r>
      <w:r w:rsidR="001B14FB">
        <w:t>EY was engaged to provide a scoping study that builds off the 2017 Digital Foundations – How Technology is Transforming Australia’s Construction Sector. The EY scoping stud</w:t>
      </w:r>
      <w:r w:rsidR="0078027E">
        <w:t>y</w:t>
      </w:r>
      <w:r w:rsidR="001B14FB">
        <w:t xml:space="preserve"> examines the current construction landscape, examines the progress of the 2017 recommendations and put</w:t>
      </w:r>
      <w:r w:rsidR="00F1099D">
        <w:t>s</w:t>
      </w:r>
      <w:r w:rsidR="001B14FB">
        <w:t xml:space="preserve"> forward some hypotheses for testing </w:t>
      </w:r>
      <w:r w:rsidR="008D2CF1">
        <w:t>by the CEWG.</w:t>
      </w:r>
    </w:p>
    <w:p w:rsidR="00842BD7" w:rsidRPr="00842BD7" w:rsidRDefault="00842BD7" w:rsidP="00842BD7">
      <w:pPr>
        <w:pStyle w:val="Heading2"/>
        <w:spacing w:before="0" w:after="160"/>
        <w:rPr>
          <w:b/>
        </w:rPr>
      </w:pPr>
      <w:r w:rsidRPr="00842BD7">
        <w:rPr>
          <w:b/>
        </w:rPr>
        <w:t>Purpose Statement</w:t>
      </w:r>
    </w:p>
    <w:p w:rsidR="007C2333" w:rsidRPr="006174E7" w:rsidRDefault="008D2CF1" w:rsidP="00AF14DB">
      <w:pPr>
        <w:spacing w:before="120" w:after="120"/>
        <w:jc w:val="both"/>
      </w:pPr>
      <w:r>
        <w:t>Supporting the accelerat</w:t>
      </w:r>
      <w:r w:rsidR="00F1099D">
        <w:t>ed</w:t>
      </w:r>
      <w:r w:rsidR="00AF14DB">
        <w:t xml:space="preserve"> adoption of connectivity-enabled technologies</w:t>
      </w:r>
      <w:r w:rsidR="00842BD7" w:rsidRPr="00842BD7">
        <w:t xml:space="preserve"> across the construction </w:t>
      </w:r>
      <w:r w:rsidR="00AF14DB">
        <w:t>sector,</w:t>
      </w:r>
      <w:r w:rsidR="00842BD7" w:rsidRPr="00842BD7">
        <w:t xml:space="preserve"> wi</w:t>
      </w:r>
      <w:r w:rsidR="00AF14DB">
        <w:t xml:space="preserve">th a focus on regions and SMEs, in order to drive productivity growth and other </w:t>
      </w:r>
      <w:r w:rsidR="00AF14DB">
        <w:lastRenderedPageBreak/>
        <w:t xml:space="preserve">economic and social benefits. </w:t>
      </w:r>
      <w:r w:rsidR="007C2333" w:rsidRPr="006174E7">
        <w:t>The fol</w:t>
      </w:r>
      <w:r w:rsidR="001B14FB">
        <w:t>lowing diagram illustrates the C</w:t>
      </w:r>
      <w:r w:rsidR="007C2333" w:rsidRPr="006174E7">
        <w:t>EWG’s early thoughts on how to frame its work:</w:t>
      </w:r>
    </w:p>
    <w:p w:rsidR="007C2333" w:rsidRPr="006174E7" w:rsidRDefault="002C4313" w:rsidP="002E5A38">
      <w:pPr>
        <w:jc w:val="center"/>
      </w:pPr>
      <w:r>
        <w:rPr>
          <w:noProof/>
          <w:lang w:eastAsia="en-AU"/>
        </w:rPr>
        <w:drawing>
          <wp:inline distT="0" distB="0" distL="0" distR="0" wp14:anchorId="3722426F" wp14:editId="08B7BB1A">
            <wp:extent cx="4542660" cy="3606800"/>
            <wp:effectExtent l="0" t="0" r="0" b="0"/>
            <wp:docPr id="1" name="Picture 1" descr="Diagram outlining the 4 core challenges:&#10;1. What is the industry workflow for construction and what are the cultural challenges for successful adoption of technology?&#10;2. What is the technology map, where are the gaps, what are the emergine trends (sustainability, supply chain, etc)&#10;3. How do we educate and inform education on tools available, in the classroom, via trades, online and in continual professional development (CPD).&#10;4. How should funding and incubation work to ensure that Australia builds globally leading technology to address gaps, encouraging the next generation of graduates and business builders to create solutions?" title="Purpose stat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6598" cy="361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BD7" w:rsidRPr="00842BD7" w:rsidRDefault="00842BD7" w:rsidP="00842BD7">
      <w:pPr>
        <w:pStyle w:val="Heading2"/>
        <w:spacing w:before="0" w:after="160"/>
        <w:rPr>
          <w:b/>
        </w:rPr>
      </w:pPr>
      <w:r w:rsidRPr="00842BD7">
        <w:rPr>
          <w:b/>
        </w:rPr>
        <w:t>Priority areas of focus</w:t>
      </w:r>
    </w:p>
    <w:p w:rsidR="00AF14DB" w:rsidRPr="0033286A" w:rsidRDefault="00842BD7" w:rsidP="00AF14DB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3286A">
        <w:rPr>
          <w:rFonts w:asciiTheme="minorHAnsi" w:hAnsiTheme="minorHAnsi" w:cstheme="minorHAnsi"/>
          <w:sz w:val="22"/>
        </w:rPr>
        <w:t xml:space="preserve">With companies across the sector at different stages of the digital maturity curve, a strong focus of the CEWG will be to consider how to support take up of </w:t>
      </w:r>
      <w:proofErr w:type="spellStart"/>
      <w:r w:rsidR="0078027E">
        <w:rPr>
          <w:rFonts w:asciiTheme="minorHAnsi" w:hAnsiTheme="minorHAnsi" w:cstheme="minorHAnsi"/>
          <w:sz w:val="22"/>
        </w:rPr>
        <w:t>C</w:t>
      </w:r>
      <w:r w:rsidRPr="0033286A">
        <w:rPr>
          <w:rFonts w:asciiTheme="minorHAnsi" w:hAnsiTheme="minorHAnsi" w:cstheme="minorHAnsi"/>
          <w:sz w:val="22"/>
        </w:rPr>
        <w:t>o</w:t>
      </w:r>
      <w:r w:rsidR="0081667A">
        <w:rPr>
          <w:rFonts w:asciiTheme="minorHAnsi" w:hAnsiTheme="minorHAnsi" w:cstheme="minorHAnsi"/>
          <w:sz w:val="22"/>
        </w:rPr>
        <w:t>nstructionT</w:t>
      </w:r>
      <w:r w:rsidR="0078027E">
        <w:rPr>
          <w:rFonts w:asciiTheme="minorHAnsi" w:hAnsiTheme="minorHAnsi" w:cstheme="minorHAnsi"/>
          <w:sz w:val="22"/>
        </w:rPr>
        <w:t>ech</w:t>
      </w:r>
      <w:proofErr w:type="spellEnd"/>
      <w:r w:rsidR="0078027E">
        <w:rPr>
          <w:rFonts w:asciiTheme="minorHAnsi" w:hAnsiTheme="minorHAnsi" w:cstheme="minorHAnsi"/>
          <w:sz w:val="22"/>
        </w:rPr>
        <w:t xml:space="preserve"> </w:t>
      </w:r>
      <w:r w:rsidR="0078027E" w:rsidRPr="0078027E">
        <w:rPr>
          <w:rFonts w:asciiTheme="minorHAnsi" w:hAnsiTheme="minorHAnsi" w:cstheme="minorHAnsi"/>
          <w:sz w:val="22"/>
        </w:rPr>
        <w:t>(i.e. take up and use of digi</w:t>
      </w:r>
      <w:r w:rsidR="0078027E">
        <w:rPr>
          <w:rFonts w:asciiTheme="minorHAnsi" w:hAnsiTheme="minorHAnsi" w:cstheme="minorHAnsi"/>
          <w:sz w:val="22"/>
        </w:rPr>
        <w:t>tal connectivity and technology)</w:t>
      </w:r>
      <w:r w:rsidRPr="0033286A">
        <w:rPr>
          <w:rFonts w:asciiTheme="minorHAnsi" w:hAnsiTheme="minorHAnsi" w:cstheme="minorHAnsi"/>
          <w:sz w:val="22"/>
        </w:rPr>
        <w:t xml:space="preserve"> across the supply chain, including by SMEs and sub-cont</w:t>
      </w:r>
      <w:r w:rsidR="00AF14DB" w:rsidRPr="0033286A">
        <w:rPr>
          <w:rFonts w:asciiTheme="minorHAnsi" w:hAnsiTheme="minorHAnsi" w:cstheme="minorHAnsi"/>
          <w:sz w:val="22"/>
        </w:rPr>
        <w:t>ractors, and in regional areas, and across different segments.</w:t>
      </w:r>
    </w:p>
    <w:p w:rsidR="00AF14DB" w:rsidRPr="0033286A" w:rsidRDefault="00AF14DB" w:rsidP="00AF14DB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3286A">
        <w:rPr>
          <w:rFonts w:asciiTheme="minorHAnsi" w:hAnsiTheme="minorHAnsi" w:cstheme="minorHAnsi"/>
          <w:sz w:val="22"/>
        </w:rPr>
        <w:t>The CEWG will also focus on:</w:t>
      </w:r>
    </w:p>
    <w:p w:rsidR="00842BD7" w:rsidRPr="0033286A" w:rsidRDefault="00842BD7" w:rsidP="00AF14DB">
      <w:pPr>
        <w:pStyle w:val="ListParagraph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3286A">
        <w:rPr>
          <w:rFonts w:asciiTheme="minorHAnsi" w:hAnsiTheme="minorHAnsi" w:cstheme="minorHAnsi"/>
          <w:sz w:val="22"/>
        </w:rPr>
        <w:t>how the economic and social benefits of this connectivity can be maximised across the sector</w:t>
      </w:r>
    </w:p>
    <w:p w:rsidR="00842BD7" w:rsidRPr="0033286A" w:rsidRDefault="00842BD7" w:rsidP="00AF14DB">
      <w:pPr>
        <w:pStyle w:val="ListParagraph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3286A">
        <w:rPr>
          <w:rFonts w:asciiTheme="minorHAnsi" w:hAnsiTheme="minorHAnsi" w:cstheme="minorHAnsi"/>
          <w:sz w:val="22"/>
        </w:rPr>
        <w:t>sector dynamics that influence the digitalisation of the Australian construction sector</w:t>
      </w:r>
      <w:r w:rsidR="00AF14DB" w:rsidRPr="0033286A">
        <w:rPr>
          <w:rFonts w:asciiTheme="minorHAnsi" w:hAnsiTheme="minorHAnsi" w:cstheme="minorHAnsi"/>
          <w:sz w:val="22"/>
        </w:rPr>
        <w:t>,</w:t>
      </w:r>
      <w:r w:rsidRPr="0033286A">
        <w:rPr>
          <w:rFonts w:asciiTheme="minorHAnsi" w:hAnsiTheme="minorHAnsi" w:cstheme="minorHAnsi"/>
          <w:sz w:val="22"/>
        </w:rPr>
        <w:t xml:space="preserve"> including current state and territory government initiatives and strategies</w:t>
      </w:r>
    </w:p>
    <w:p w:rsidR="00AF14DB" w:rsidRPr="0033286A" w:rsidRDefault="00842BD7" w:rsidP="00AF14DB">
      <w:pPr>
        <w:pStyle w:val="ListParagraph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3286A">
        <w:rPr>
          <w:rFonts w:asciiTheme="minorHAnsi" w:hAnsiTheme="minorHAnsi" w:cstheme="minorHAnsi"/>
          <w:sz w:val="22"/>
        </w:rPr>
        <w:lastRenderedPageBreak/>
        <w:t xml:space="preserve">the current types and status of </w:t>
      </w:r>
      <w:proofErr w:type="spellStart"/>
      <w:r w:rsidRPr="0033286A">
        <w:rPr>
          <w:rFonts w:asciiTheme="minorHAnsi" w:hAnsiTheme="minorHAnsi" w:cstheme="minorHAnsi"/>
          <w:sz w:val="22"/>
        </w:rPr>
        <w:t>ConstructionTech</w:t>
      </w:r>
      <w:proofErr w:type="spellEnd"/>
      <w:r w:rsidRPr="0033286A">
        <w:rPr>
          <w:rFonts w:asciiTheme="minorHAnsi" w:hAnsiTheme="minorHAnsi" w:cstheme="minorHAnsi"/>
          <w:sz w:val="22"/>
        </w:rPr>
        <w:t xml:space="preserve"> and benefi</w:t>
      </w:r>
      <w:r w:rsidR="00AF14DB" w:rsidRPr="0033286A">
        <w:rPr>
          <w:rFonts w:asciiTheme="minorHAnsi" w:hAnsiTheme="minorHAnsi" w:cstheme="minorHAnsi"/>
          <w:sz w:val="22"/>
        </w:rPr>
        <w:t>ts of transitioning to digital for different industry segments</w:t>
      </w:r>
    </w:p>
    <w:p w:rsidR="00842BD7" w:rsidRPr="0033286A" w:rsidRDefault="00842BD7" w:rsidP="00AF14DB">
      <w:pPr>
        <w:pStyle w:val="ListParagraph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3286A">
        <w:rPr>
          <w:rFonts w:asciiTheme="minorHAnsi" w:hAnsiTheme="minorHAnsi" w:cstheme="minorHAnsi"/>
          <w:sz w:val="22"/>
        </w:rPr>
        <w:t>digital skills and training</w:t>
      </w:r>
      <w:r w:rsidR="00AF14DB" w:rsidRPr="0033286A">
        <w:rPr>
          <w:rFonts w:asciiTheme="minorHAnsi" w:hAnsiTheme="minorHAnsi" w:cstheme="minorHAnsi"/>
          <w:sz w:val="22"/>
        </w:rPr>
        <w:t xml:space="preserve"> and connectivity as both barriers and opportunities to drive further uptake of </w:t>
      </w:r>
      <w:proofErr w:type="spellStart"/>
      <w:r w:rsidR="00AF14DB" w:rsidRPr="0033286A">
        <w:rPr>
          <w:rFonts w:asciiTheme="minorHAnsi" w:hAnsiTheme="minorHAnsi" w:cstheme="minorHAnsi"/>
          <w:sz w:val="22"/>
        </w:rPr>
        <w:t>ConstructionTech</w:t>
      </w:r>
      <w:proofErr w:type="spellEnd"/>
    </w:p>
    <w:p w:rsidR="00842BD7" w:rsidRPr="0033286A" w:rsidRDefault="00842BD7" w:rsidP="00AF14DB">
      <w:pPr>
        <w:pStyle w:val="ListParagraph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33286A">
        <w:rPr>
          <w:rFonts w:asciiTheme="minorHAnsi" w:hAnsiTheme="minorHAnsi" w:cstheme="minorHAnsi"/>
          <w:sz w:val="22"/>
        </w:rPr>
        <w:t xml:space="preserve">key national </w:t>
      </w:r>
      <w:proofErr w:type="spellStart"/>
      <w:r w:rsidRPr="0033286A">
        <w:rPr>
          <w:rFonts w:asciiTheme="minorHAnsi" w:hAnsiTheme="minorHAnsi" w:cstheme="minorHAnsi"/>
          <w:sz w:val="22"/>
        </w:rPr>
        <w:t>ConstructionTech</w:t>
      </w:r>
      <w:proofErr w:type="spellEnd"/>
      <w:r w:rsidRPr="0033286A">
        <w:rPr>
          <w:rFonts w:asciiTheme="minorHAnsi" w:hAnsiTheme="minorHAnsi" w:cstheme="minorHAnsi"/>
          <w:sz w:val="22"/>
        </w:rPr>
        <w:t xml:space="preserve"> including the </w:t>
      </w:r>
      <w:proofErr w:type="spellStart"/>
      <w:r w:rsidRPr="0033286A">
        <w:rPr>
          <w:rFonts w:asciiTheme="minorHAnsi" w:hAnsiTheme="minorHAnsi" w:cstheme="minorHAnsi"/>
          <w:sz w:val="22"/>
        </w:rPr>
        <w:t>ConstructionTech</w:t>
      </w:r>
      <w:proofErr w:type="spellEnd"/>
      <w:r w:rsidRPr="0033286A">
        <w:rPr>
          <w:rFonts w:asciiTheme="minorHAnsi" w:hAnsiTheme="minorHAnsi" w:cstheme="minorHAnsi"/>
          <w:sz w:val="22"/>
        </w:rPr>
        <w:t xml:space="preserve"> start up sector in Australia relative to comparable countries in the OECD</w:t>
      </w:r>
    </w:p>
    <w:p w:rsidR="00842BD7" w:rsidRPr="0033286A" w:rsidRDefault="00842BD7" w:rsidP="00AF14DB">
      <w:pPr>
        <w:pStyle w:val="ListParagraph"/>
        <w:numPr>
          <w:ilvl w:val="0"/>
          <w:numId w:val="25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</w:rPr>
      </w:pPr>
      <w:proofErr w:type="gramStart"/>
      <w:r w:rsidRPr="0033286A">
        <w:rPr>
          <w:rFonts w:asciiTheme="minorHAnsi" w:hAnsiTheme="minorHAnsi" w:cstheme="minorHAnsi"/>
          <w:sz w:val="22"/>
        </w:rPr>
        <w:t>barriers</w:t>
      </w:r>
      <w:proofErr w:type="gramEnd"/>
      <w:r w:rsidRPr="0033286A">
        <w:rPr>
          <w:rFonts w:asciiTheme="minorHAnsi" w:hAnsiTheme="minorHAnsi" w:cstheme="minorHAnsi"/>
          <w:sz w:val="22"/>
        </w:rPr>
        <w:t xml:space="preserve"> and opportunities for the adoption of </w:t>
      </w:r>
      <w:proofErr w:type="spellStart"/>
      <w:r w:rsidRPr="0033286A">
        <w:rPr>
          <w:rFonts w:asciiTheme="minorHAnsi" w:hAnsiTheme="minorHAnsi" w:cstheme="minorHAnsi"/>
          <w:sz w:val="22"/>
        </w:rPr>
        <w:t>ConstructionTech</w:t>
      </w:r>
      <w:proofErr w:type="spellEnd"/>
      <w:r w:rsidRPr="0033286A">
        <w:rPr>
          <w:rFonts w:asciiTheme="minorHAnsi" w:hAnsiTheme="minorHAnsi" w:cstheme="minorHAnsi"/>
          <w:sz w:val="22"/>
        </w:rPr>
        <w:t xml:space="preserve"> in Australia, and how these can best be addressed/realised.</w:t>
      </w:r>
    </w:p>
    <w:p w:rsidR="00985857" w:rsidRPr="0033286A" w:rsidRDefault="00985857" w:rsidP="00AF14DB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3286A">
        <w:rPr>
          <w:rFonts w:asciiTheme="minorHAnsi" w:hAnsiTheme="minorHAnsi" w:cstheme="minorHAnsi"/>
          <w:sz w:val="22"/>
        </w:rPr>
        <w:t>The CEWG is aiming to report to ABAC in early 202</w:t>
      </w:r>
      <w:r w:rsidR="0078027E">
        <w:rPr>
          <w:rFonts w:asciiTheme="minorHAnsi" w:hAnsiTheme="minorHAnsi" w:cstheme="minorHAnsi"/>
          <w:sz w:val="22"/>
        </w:rPr>
        <w:t>2,</w:t>
      </w:r>
      <w:r w:rsidRPr="0033286A">
        <w:rPr>
          <w:rFonts w:asciiTheme="minorHAnsi" w:hAnsiTheme="minorHAnsi" w:cstheme="minorHAnsi"/>
          <w:sz w:val="22"/>
        </w:rPr>
        <w:t xml:space="preserve"> providing them with a number of considered strategies that will address the barriers to the adoption of construction tech at a sub-sector level.</w:t>
      </w:r>
    </w:p>
    <w:p w:rsidR="002E5A38" w:rsidRPr="002E5A38" w:rsidRDefault="002E5A38" w:rsidP="002E5A38">
      <w:pPr>
        <w:pStyle w:val="Heading2"/>
        <w:spacing w:before="0" w:after="160"/>
        <w:rPr>
          <w:b/>
        </w:rPr>
      </w:pPr>
      <w:r w:rsidRPr="002E5A38">
        <w:rPr>
          <w:b/>
        </w:rPr>
        <w:t>Consultation</w:t>
      </w:r>
    </w:p>
    <w:p w:rsidR="002E5A38" w:rsidRPr="002E5A38" w:rsidRDefault="002E5A38" w:rsidP="002E5A38">
      <w:pPr>
        <w:rPr>
          <w:rFonts w:asciiTheme="minorHAnsi" w:hAnsiTheme="minorHAnsi" w:cstheme="minorHAnsi"/>
          <w:sz w:val="22"/>
        </w:rPr>
      </w:pPr>
      <w:r w:rsidRPr="002E5A38">
        <w:rPr>
          <w:rFonts w:asciiTheme="minorHAnsi" w:hAnsiTheme="minorHAnsi" w:cstheme="minorHAnsi"/>
          <w:sz w:val="22"/>
        </w:rPr>
        <w:t xml:space="preserve">The CEWG intends to do a range of consultation activities including undertaking an industry survey. </w:t>
      </w:r>
      <w:r>
        <w:rPr>
          <w:rFonts w:asciiTheme="minorHAnsi" w:hAnsiTheme="minorHAnsi" w:cstheme="minorHAnsi"/>
          <w:sz w:val="22"/>
        </w:rPr>
        <w:t>Further to this</w:t>
      </w:r>
      <w:r w:rsidRPr="002E5A38">
        <w:rPr>
          <w:rFonts w:asciiTheme="minorHAnsi" w:hAnsiTheme="minorHAnsi" w:cstheme="minorHAnsi"/>
          <w:sz w:val="22"/>
        </w:rPr>
        <w:t xml:space="preserve"> they will hold targeted meetings with relevant industry and government stakeholders and leverage the outreach of CEWG members. </w:t>
      </w:r>
    </w:p>
    <w:p w:rsidR="007C2333" w:rsidRPr="00CE419B" w:rsidRDefault="00842BD7" w:rsidP="007C2333">
      <w:pPr>
        <w:pStyle w:val="Heading2"/>
        <w:spacing w:before="0" w:after="160"/>
        <w:rPr>
          <w:b/>
        </w:rPr>
      </w:pPr>
      <w:r>
        <w:rPr>
          <w:b/>
        </w:rPr>
        <w:t>C</w:t>
      </w:r>
      <w:r w:rsidR="00F53B3A">
        <w:rPr>
          <w:b/>
        </w:rPr>
        <w:t>onvener</w:t>
      </w:r>
    </w:p>
    <w:p w:rsidR="00842BD7" w:rsidRPr="0033286A" w:rsidRDefault="00842BD7" w:rsidP="00AF14DB">
      <w:pPr>
        <w:spacing w:before="120" w:after="120"/>
        <w:jc w:val="both"/>
        <w:rPr>
          <w:rFonts w:asciiTheme="minorHAnsi" w:hAnsiTheme="minorHAnsi" w:cstheme="minorHAnsi"/>
          <w:sz w:val="22"/>
        </w:rPr>
      </w:pPr>
      <w:r w:rsidRPr="0033286A">
        <w:rPr>
          <w:rFonts w:asciiTheme="minorHAnsi" w:hAnsiTheme="minorHAnsi" w:cstheme="minorHAnsi"/>
          <w:sz w:val="22"/>
        </w:rPr>
        <w:t xml:space="preserve">The convener of the CEWG is Mr Craig </w:t>
      </w:r>
      <w:proofErr w:type="spellStart"/>
      <w:r w:rsidRPr="0033286A">
        <w:rPr>
          <w:rFonts w:asciiTheme="minorHAnsi" w:hAnsiTheme="minorHAnsi" w:cstheme="minorHAnsi"/>
          <w:sz w:val="22"/>
        </w:rPr>
        <w:t>Laslett</w:t>
      </w:r>
      <w:proofErr w:type="spellEnd"/>
      <w:r w:rsidRPr="0033286A">
        <w:rPr>
          <w:rFonts w:asciiTheme="minorHAnsi" w:hAnsiTheme="minorHAnsi" w:cstheme="minorHAnsi"/>
          <w:sz w:val="22"/>
        </w:rPr>
        <w:t xml:space="preserve">, Managing Director at </w:t>
      </w:r>
      <w:proofErr w:type="spellStart"/>
      <w:r w:rsidRPr="0033286A">
        <w:rPr>
          <w:rFonts w:asciiTheme="minorHAnsi" w:hAnsiTheme="minorHAnsi" w:cstheme="minorHAnsi"/>
          <w:sz w:val="22"/>
        </w:rPr>
        <w:t>Leed</w:t>
      </w:r>
      <w:proofErr w:type="spellEnd"/>
      <w:r w:rsidRPr="0033286A">
        <w:rPr>
          <w:rFonts w:asciiTheme="minorHAnsi" w:hAnsiTheme="minorHAnsi" w:cstheme="minorHAnsi"/>
          <w:sz w:val="22"/>
        </w:rPr>
        <w:t xml:space="preserve"> Engineering and Construction Pty Ltd. Mr </w:t>
      </w:r>
      <w:proofErr w:type="spellStart"/>
      <w:r w:rsidRPr="0033286A">
        <w:rPr>
          <w:rFonts w:asciiTheme="minorHAnsi" w:hAnsiTheme="minorHAnsi" w:cstheme="minorHAnsi"/>
          <w:sz w:val="22"/>
        </w:rPr>
        <w:t>Laslett</w:t>
      </w:r>
      <w:proofErr w:type="spellEnd"/>
      <w:r w:rsidRPr="0033286A">
        <w:rPr>
          <w:rFonts w:asciiTheme="minorHAnsi" w:hAnsiTheme="minorHAnsi" w:cstheme="minorHAnsi"/>
          <w:sz w:val="22"/>
        </w:rPr>
        <w:t xml:space="preserve"> is a civil engineer with an extensive background in the design, construction, operation and maintenance of significant public and private infrastructure assets. He has led a number of complex and diversified businesses spanning transport </w:t>
      </w:r>
      <w:proofErr w:type="spellStart"/>
      <w:r w:rsidRPr="0033286A">
        <w:rPr>
          <w:rFonts w:asciiTheme="minorHAnsi" w:hAnsiTheme="minorHAnsi" w:cstheme="minorHAnsi"/>
          <w:sz w:val="22"/>
        </w:rPr>
        <w:t>infrastructure,</w:t>
      </w:r>
      <w:proofErr w:type="spellEnd"/>
      <w:r w:rsidRPr="0033286A">
        <w:rPr>
          <w:rFonts w:asciiTheme="minorHAnsi" w:hAnsiTheme="minorHAnsi" w:cstheme="minorHAnsi"/>
          <w:sz w:val="22"/>
        </w:rPr>
        <w:t xml:space="preserve"> mining and resources, building and industrial sectors, including as the Managing Director of Leighton Contractors and CEO of </w:t>
      </w:r>
      <w:proofErr w:type="spellStart"/>
      <w:r w:rsidRPr="0033286A">
        <w:rPr>
          <w:rFonts w:asciiTheme="minorHAnsi" w:hAnsiTheme="minorHAnsi" w:cstheme="minorHAnsi"/>
          <w:sz w:val="22"/>
        </w:rPr>
        <w:t>Lendlease</w:t>
      </w:r>
      <w:proofErr w:type="spellEnd"/>
      <w:r w:rsidRPr="0033286A">
        <w:rPr>
          <w:rFonts w:asciiTheme="minorHAnsi" w:hAnsiTheme="minorHAnsi" w:cstheme="minorHAnsi"/>
          <w:sz w:val="22"/>
        </w:rPr>
        <w:t xml:space="preserve"> Engineering.</w:t>
      </w:r>
    </w:p>
    <w:p w:rsidR="00F6344A" w:rsidRPr="00F6344A" w:rsidRDefault="00AF14DB" w:rsidP="00C20BF8">
      <w:pPr>
        <w:pStyle w:val="Heading2"/>
        <w:pageBreakBefore/>
        <w:spacing w:before="0" w:after="160"/>
        <w:rPr>
          <w:b/>
        </w:rPr>
      </w:pPr>
      <w:r w:rsidRPr="00AF14DB">
        <w:rPr>
          <w:b/>
        </w:rPr>
        <w:t>Members</w:t>
      </w:r>
    </w:p>
    <w:tbl>
      <w:tblPr>
        <w:tblStyle w:val="ListTable6Colorful-Accent6"/>
        <w:tblW w:w="5000" w:type="pct"/>
        <w:tblLook w:val="04A0" w:firstRow="1" w:lastRow="0" w:firstColumn="1" w:lastColumn="0" w:noHBand="0" w:noVBand="1"/>
        <w:tblCaption w:val="CEWG members"/>
        <w:tblDescription w:val="Members of the Construction Expert Working Group"/>
      </w:tblPr>
      <w:tblGrid>
        <w:gridCol w:w="2209"/>
        <w:gridCol w:w="7266"/>
      </w:tblGrid>
      <w:tr w:rsidR="00F6344A" w:rsidRPr="0033286A" w:rsidTr="00C20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6344A" w:rsidRPr="0033286A" w:rsidRDefault="00F6344A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Name</w:t>
            </w:r>
          </w:p>
        </w:tc>
        <w:tc>
          <w:tcPr>
            <w:tcW w:w="0" w:type="auto"/>
          </w:tcPr>
          <w:p w:rsidR="00F6344A" w:rsidRPr="0033286A" w:rsidRDefault="00F6344A" w:rsidP="0033286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Position</w:t>
            </w:r>
          </w:p>
        </w:tc>
      </w:tr>
      <w:tr w:rsidR="00576F87" w:rsidRPr="0033286A" w:rsidTr="00C2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76F87" w:rsidRPr="0033286A" w:rsidRDefault="00576F87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Matthew Browne</w:t>
            </w:r>
          </w:p>
        </w:tc>
        <w:tc>
          <w:tcPr>
            <w:tcW w:w="0" w:type="auto"/>
            <w:hideMark/>
          </w:tcPr>
          <w:p w:rsidR="00576F87" w:rsidRPr="0033286A" w:rsidRDefault="00576F87" w:rsidP="0033286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Managing Partner, Black Nova Group</w:t>
            </w:r>
          </w:p>
        </w:tc>
      </w:tr>
      <w:tr w:rsidR="00576F87" w:rsidRPr="0033286A" w:rsidTr="00C20B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76F87" w:rsidRPr="0033286A" w:rsidRDefault="00576F87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David Murray</w:t>
            </w:r>
          </w:p>
        </w:tc>
        <w:tc>
          <w:tcPr>
            <w:tcW w:w="0" w:type="auto"/>
            <w:hideMark/>
          </w:tcPr>
          <w:p w:rsidR="00576F87" w:rsidRPr="0033286A" w:rsidRDefault="00576F87" w:rsidP="0033286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 xml:space="preserve">Chief Executive Officer, </w:t>
            </w:r>
            <w:proofErr w:type="spellStart"/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Buildxact</w:t>
            </w:r>
            <w:proofErr w:type="spellEnd"/>
          </w:p>
        </w:tc>
      </w:tr>
      <w:tr w:rsidR="00576F87" w:rsidRPr="0033286A" w:rsidTr="00C2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76F87" w:rsidRPr="0033286A" w:rsidRDefault="00576F87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Jon Davies</w:t>
            </w:r>
          </w:p>
        </w:tc>
        <w:tc>
          <w:tcPr>
            <w:tcW w:w="0" w:type="auto"/>
            <w:hideMark/>
          </w:tcPr>
          <w:p w:rsidR="00576F87" w:rsidRPr="0033286A" w:rsidRDefault="00576F87" w:rsidP="0033286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Chief Executive Officer, Australian Constructors Association</w:t>
            </w:r>
          </w:p>
        </w:tc>
      </w:tr>
      <w:tr w:rsidR="00576F87" w:rsidRPr="0033286A" w:rsidTr="00C20B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76F87" w:rsidRPr="0033286A" w:rsidRDefault="00456235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Rebecca Halliday</w:t>
            </w:r>
          </w:p>
        </w:tc>
        <w:tc>
          <w:tcPr>
            <w:tcW w:w="0" w:type="auto"/>
            <w:hideMark/>
          </w:tcPr>
          <w:p w:rsidR="00576F87" w:rsidRPr="0033286A" w:rsidRDefault="00DD3E0B" w:rsidP="0033286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DD3E0B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Directo</w:t>
            </w:r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r - Indigenous Services Group,</w:t>
            </w:r>
            <w:r w:rsidRPr="00DD3E0B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 xml:space="preserve"> Deloitte</w:t>
            </w:r>
          </w:p>
        </w:tc>
      </w:tr>
      <w:tr w:rsidR="00DD3E0B" w:rsidRPr="0033286A" w:rsidTr="00C2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D3E0B" w:rsidRPr="0033286A" w:rsidRDefault="00DD3E0B" w:rsidP="00C20BF8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DD3E0B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Gareth O'Reilly</w:t>
            </w:r>
          </w:p>
        </w:tc>
        <w:tc>
          <w:tcPr>
            <w:tcW w:w="0" w:type="auto"/>
          </w:tcPr>
          <w:p w:rsidR="00DD3E0B" w:rsidRPr="0033286A" w:rsidRDefault="00DD3E0B" w:rsidP="00DD3E0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 xml:space="preserve">Zone President Pacific - </w:t>
            </w:r>
            <w:r w:rsidRPr="00DD3E0B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General Management</w:t>
            </w:r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 xml:space="preserve">, </w:t>
            </w:r>
            <w:r w:rsidRPr="00DD3E0B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Schneider Electric</w:t>
            </w:r>
          </w:p>
        </w:tc>
      </w:tr>
      <w:tr w:rsidR="00576F87" w:rsidRPr="0033286A" w:rsidTr="00C20B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76F87" w:rsidRPr="0033286A" w:rsidRDefault="00456235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Duncan Bryce</w:t>
            </w:r>
          </w:p>
        </w:tc>
        <w:tc>
          <w:tcPr>
            <w:tcW w:w="0" w:type="auto"/>
            <w:hideMark/>
          </w:tcPr>
          <w:p w:rsidR="00576F87" w:rsidRPr="0033286A" w:rsidRDefault="00456235" w:rsidP="0033286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33286A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Head of Builders Solutions, Bunnings</w:t>
            </w:r>
          </w:p>
        </w:tc>
      </w:tr>
      <w:tr w:rsidR="0081667A" w:rsidRPr="0033286A" w:rsidTr="00C2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1667A" w:rsidRPr="0033286A" w:rsidRDefault="0081667A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Shane Graham</w:t>
            </w:r>
          </w:p>
        </w:tc>
        <w:tc>
          <w:tcPr>
            <w:tcW w:w="0" w:type="auto"/>
          </w:tcPr>
          <w:p w:rsidR="0081667A" w:rsidRPr="0033286A" w:rsidRDefault="0081667A" w:rsidP="0033286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 xml:space="preserve">Executive General Manager, </w:t>
            </w:r>
            <w:proofErr w:type="spellStart"/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Humes</w:t>
            </w:r>
            <w:proofErr w:type="spellEnd"/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 xml:space="preserve"> Australia</w:t>
            </w:r>
          </w:p>
        </w:tc>
      </w:tr>
      <w:tr w:rsidR="0081667A" w:rsidRPr="0033286A" w:rsidTr="00C20B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1667A" w:rsidRDefault="0081667A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Luke Belfield</w:t>
            </w:r>
          </w:p>
        </w:tc>
        <w:tc>
          <w:tcPr>
            <w:tcW w:w="0" w:type="auto"/>
          </w:tcPr>
          <w:p w:rsidR="0081667A" w:rsidRDefault="0081667A" w:rsidP="0033286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Associate Victorian Chief Engineer, Office of Projects Victoria</w:t>
            </w:r>
          </w:p>
        </w:tc>
      </w:tr>
      <w:tr w:rsidR="008D63AD" w:rsidRPr="0033286A" w:rsidTr="00C20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D63AD" w:rsidRDefault="008D63AD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Vlatka</w:t>
            </w:r>
            <w:proofErr w:type="spellEnd"/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Varagic</w:t>
            </w:r>
            <w:proofErr w:type="spellEnd"/>
          </w:p>
        </w:tc>
        <w:tc>
          <w:tcPr>
            <w:tcW w:w="0" w:type="auto"/>
          </w:tcPr>
          <w:p w:rsidR="008D63AD" w:rsidRDefault="008D63AD" w:rsidP="0033286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8D63AD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Manager GIS ANZ, SMEC</w:t>
            </w:r>
          </w:p>
        </w:tc>
      </w:tr>
      <w:tr w:rsidR="008D63AD" w:rsidRPr="0033286A" w:rsidTr="00C20BF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D63AD" w:rsidRDefault="008D63AD" w:rsidP="0033286A">
            <w:pPr>
              <w:spacing w:before="120" w:after="12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8D63AD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 xml:space="preserve">Peter </w:t>
            </w:r>
            <w:proofErr w:type="spellStart"/>
            <w:r w:rsidRPr="008D63AD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Colacino</w:t>
            </w:r>
            <w:proofErr w:type="spellEnd"/>
          </w:p>
        </w:tc>
        <w:tc>
          <w:tcPr>
            <w:tcW w:w="0" w:type="auto"/>
          </w:tcPr>
          <w:p w:rsidR="008D63AD" w:rsidRDefault="008D63AD" w:rsidP="0033286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</w:pPr>
            <w:r w:rsidRPr="008D63AD">
              <w:rPr>
                <w:rFonts w:asciiTheme="minorHAnsi" w:eastAsia="Times New Roman" w:hAnsiTheme="minorHAnsi" w:cstheme="minorHAnsi"/>
                <w:color w:val="12293A"/>
                <w:sz w:val="22"/>
                <w:lang w:eastAsia="en-AU"/>
              </w:rPr>
              <w:t>Chief of Policy and Research, Infrastructure Australia</w:t>
            </w:r>
          </w:p>
        </w:tc>
      </w:tr>
    </w:tbl>
    <w:p w:rsidR="00576F87" w:rsidRPr="00576F87" w:rsidRDefault="00576F87" w:rsidP="00576F87"/>
    <w:sectPr w:rsidR="00576F87" w:rsidRPr="00576F87" w:rsidSect="001A61A0">
      <w:type w:val="continuous"/>
      <w:pgSz w:w="11906" w:h="16838"/>
      <w:pgMar w:top="1985" w:right="991" w:bottom="1276" w:left="1440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7F" w:rsidRDefault="00A0137F" w:rsidP="00FC413F">
      <w:pPr>
        <w:spacing w:after="0"/>
      </w:pPr>
      <w:r>
        <w:separator/>
      </w:r>
    </w:p>
  </w:endnote>
  <w:endnote w:type="continuationSeparator" w:id="0">
    <w:p w:rsidR="00A0137F" w:rsidRDefault="00A0137F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A0" w:rsidRPr="00FC413F" w:rsidRDefault="001A61A0" w:rsidP="001A61A0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:rsidR="001A61A0" w:rsidRPr="00FC413F" w:rsidRDefault="001A61A0" w:rsidP="001A61A0">
    <w:pPr>
      <w:pStyle w:val="Footer"/>
      <w:tabs>
        <w:tab w:val="clear" w:pos="4513"/>
        <w:tab w:val="clear" w:pos="9026"/>
        <w:tab w:val="right" w:pos="9356"/>
      </w:tabs>
      <w:ind w:hanging="567"/>
      <w:rPr>
        <w:rFonts w:cs="Segoe UI"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C20BF8">
      <w:rPr>
        <w:rFonts w:cs="Segoe UI"/>
        <w:noProof/>
        <w:szCs w:val="18"/>
      </w:rPr>
      <w:t>3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  <w:r w:rsidRPr="00FC413F">
      <w:rPr>
        <w:rFonts w:cs="Segoe UI"/>
        <w:noProof/>
        <w:szCs w:val="18"/>
      </w:rPr>
      <w:tab/>
    </w:r>
    <w:r w:rsidR="00E676E3">
      <w:rPr>
        <w:rFonts w:cs="Segoe UI"/>
        <w:noProof/>
        <w:szCs w:val="18"/>
      </w:rPr>
      <w:t>Construction</w:t>
    </w:r>
    <w:r w:rsidR="007C2333" w:rsidRPr="007C2333">
      <w:rPr>
        <w:rFonts w:cs="Segoe UI"/>
        <w:noProof/>
        <w:szCs w:val="18"/>
      </w:rPr>
      <w:t xml:space="preserve"> Expert Working Group Project Brief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0B" w:rsidRPr="00FC413F" w:rsidRDefault="0000270B" w:rsidP="0000270B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:rsidR="0000270B" w:rsidRPr="00FC413F" w:rsidRDefault="0000270B" w:rsidP="0000270B">
    <w:pPr>
      <w:pStyle w:val="Footer"/>
      <w:tabs>
        <w:tab w:val="clear" w:pos="4513"/>
        <w:tab w:val="clear" w:pos="9026"/>
        <w:tab w:val="right" w:pos="9356"/>
      </w:tabs>
      <w:ind w:hanging="567"/>
      <w:rPr>
        <w:rFonts w:cs="Segoe UI"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C20BF8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  <w:r w:rsidRPr="00FC413F">
      <w:rPr>
        <w:rFonts w:cs="Segoe UI"/>
        <w:noProof/>
        <w:szCs w:val="18"/>
      </w:rPr>
      <w:tab/>
    </w:r>
    <w:r w:rsidR="00E676E3">
      <w:rPr>
        <w:rFonts w:cs="Segoe UI"/>
        <w:noProof/>
        <w:szCs w:val="18"/>
      </w:rPr>
      <w:t>Construction</w:t>
    </w:r>
    <w:r w:rsidR="007C2333" w:rsidRPr="007C2333">
      <w:rPr>
        <w:rFonts w:cs="Segoe UI"/>
        <w:noProof/>
        <w:szCs w:val="18"/>
      </w:rPr>
      <w:t xml:space="preserve"> Expert Working Group Project Brief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7F" w:rsidRDefault="00A0137F" w:rsidP="00FC413F">
      <w:pPr>
        <w:spacing w:after="0"/>
      </w:pPr>
      <w:r>
        <w:separator/>
      </w:r>
    </w:p>
  </w:footnote>
  <w:footnote w:type="continuationSeparator" w:id="0">
    <w:p w:rsidR="00A0137F" w:rsidRDefault="00A0137F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04" w:rsidRPr="00261FFA" w:rsidRDefault="00E80E04" w:rsidP="001A61A0">
    <w:pPr>
      <w:pStyle w:val="Header"/>
      <w:tabs>
        <w:tab w:val="clear" w:pos="4678"/>
      </w:tabs>
      <w:spacing w:before="1200"/>
      <w:rPr>
        <w:rFonts w:cs="Segoe UI Light"/>
        <w:color w:val="001C40"/>
        <w:szCs w:val="18"/>
      </w:rPr>
    </w:pPr>
    <w:r w:rsidRPr="00261FFA">
      <w:rPr>
        <w:rFonts w:cs="Segoe UI Light"/>
        <w:szCs w:val="18"/>
      </w:rPr>
      <w:tab/>
    </w:r>
    <w:r w:rsidR="0000270B">
      <w:rPr>
        <w:rFonts w:cs="Segoe UI Light"/>
        <w:color w:val="001C40"/>
        <w:szCs w:val="18"/>
      </w:rPr>
      <w:fldChar w:fldCharType="begin"/>
    </w:r>
    <w:r w:rsidR="0000270B">
      <w:rPr>
        <w:rFonts w:cs="Segoe UI Light"/>
        <w:color w:val="001C40"/>
        <w:szCs w:val="18"/>
      </w:rPr>
      <w:instrText xml:space="preserve"> STYLEREF  "Heading 2"  \* MERGEFORMAT </w:instrText>
    </w:r>
    <w:r w:rsidR="0000270B">
      <w:rPr>
        <w:rFonts w:cs="Segoe UI Light"/>
        <w:color w:val="001C40"/>
        <w:szCs w:val="18"/>
      </w:rPr>
      <w:fldChar w:fldCharType="separate"/>
    </w:r>
    <w:r w:rsidR="00C20BF8" w:rsidRPr="00C20BF8">
      <w:rPr>
        <w:rFonts w:cs="Segoe UI Light"/>
        <w:b/>
        <w:bCs/>
        <w:noProof/>
        <w:color w:val="001C40"/>
        <w:szCs w:val="18"/>
        <w:lang w:val="en-US"/>
      </w:rPr>
      <w:t>Members</w:t>
    </w:r>
    <w:r w:rsidR="0000270B">
      <w:rPr>
        <w:rFonts w:cs="Segoe UI Light"/>
        <w:color w:val="001C40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6EA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92756"/>
    <w:multiLevelType w:val="hybridMultilevel"/>
    <w:tmpl w:val="7AACB4D4"/>
    <w:lvl w:ilvl="0" w:tplc="BB0C39E4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D6F03"/>
    <w:multiLevelType w:val="hybridMultilevel"/>
    <w:tmpl w:val="76FC27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D71C7A"/>
    <w:multiLevelType w:val="multilevel"/>
    <w:tmpl w:val="2334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C7DBD"/>
    <w:multiLevelType w:val="hybridMultilevel"/>
    <w:tmpl w:val="30D25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2628A9"/>
    <w:multiLevelType w:val="multilevel"/>
    <w:tmpl w:val="2334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5847AB"/>
    <w:multiLevelType w:val="hybridMultilevel"/>
    <w:tmpl w:val="8806DE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7A7BEE"/>
    <w:multiLevelType w:val="hybridMultilevel"/>
    <w:tmpl w:val="5D723E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B0443"/>
    <w:multiLevelType w:val="hybridMultilevel"/>
    <w:tmpl w:val="53EE398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B5D28"/>
    <w:multiLevelType w:val="hybridMultilevel"/>
    <w:tmpl w:val="16BCA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719BE"/>
    <w:multiLevelType w:val="hybridMultilevel"/>
    <w:tmpl w:val="847032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E2E5C"/>
    <w:multiLevelType w:val="multilevel"/>
    <w:tmpl w:val="2334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2E600E"/>
    <w:multiLevelType w:val="hybridMultilevel"/>
    <w:tmpl w:val="9B187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B0EA8"/>
    <w:multiLevelType w:val="multilevel"/>
    <w:tmpl w:val="2334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2"/>
  </w:num>
  <w:num w:numId="16">
    <w:abstractNumId w:val="14"/>
  </w:num>
  <w:num w:numId="17">
    <w:abstractNumId w:val="12"/>
  </w:num>
  <w:num w:numId="18">
    <w:abstractNumId w:val="11"/>
  </w:num>
  <w:num w:numId="19">
    <w:abstractNumId w:val="17"/>
  </w:num>
  <w:num w:numId="20">
    <w:abstractNumId w:val="20"/>
  </w:num>
  <w:num w:numId="21">
    <w:abstractNumId w:val="15"/>
  </w:num>
  <w:num w:numId="22">
    <w:abstractNumId w:val="23"/>
  </w:num>
  <w:num w:numId="23">
    <w:abstractNumId w:val="16"/>
  </w:num>
  <w:num w:numId="24">
    <w:abstractNumId w:val="1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0B"/>
    <w:rsid w:val="0000270B"/>
    <w:rsid w:val="0003502E"/>
    <w:rsid w:val="000740FB"/>
    <w:rsid w:val="00090E62"/>
    <w:rsid w:val="000C0244"/>
    <w:rsid w:val="00105DA4"/>
    <w:rsid w:val="00133A45"/>
    <w:rsid w:val="00143015"/>
    <w:rsid w:val="001A61A0"/>
    <w:rsid w:val="001B14FB"/>
    <w:rsid w:val="00204A64"/>
    <w:rsid w:val="00217C11"/>
    <w:rsid w:val="00236F1B"/>
    <w:rsid w:val="00261FFA"/>
    <w:rsid w:val="00272982"/>
    <w:rsid w:val="00287C7E"/>
    <w:rsid w:val="002A5AB5"/>
    <w:rsid w:val="002C4313"/>
    <w:rsid w:val="002E5A38"/>
    <w:rsid w:val="002E5C78"/>
    <w:rsid w:val="002F1A23"/>
    <w:rsid w:val="00300077"/>
    <w:rsid w:val="00310148"/>
    <w:rsid w:val="00313855"/>
    <w:rsid w:val="00316CC4"/>
    <w:rsid w:val="00323710"/>
    <w:rsid w:val="0033286A"/>
    <w:rsid w:val="00342348"/>
    <w:rsid w:val="00362EFF"/>
    <w:rsid w:val="003B6D01"/>
    <w:rsid w:val="003D71C5"/>
    <w:rsid w:val="00407DB5"/>
    <w:rsid w:val="0045528D"/>
    <w:rsid w:val="00456235"/>
    <w:rsid w:val="00544D28"/>
    <w:rsid w:val="00576F87"/>
    <w:rsid w:val="00596A0B"/>
    <w:rsid w:val="005D038B"/>
    <w:rsid w:val="005E55BD"/>
    <w:rsid w:val="00630D43"/>
    <w:rsid w:val="006452B1"/>
    <w:rsid w:val="006542FA"/>
    <w:rsid w:val="00691FA2"/>
    <w:rsid w:val="006D43C7"/>
    <w:rsid w:val="00772C27"/>
    <w:rsid w:val="0078027E"/>
    <w:rsid w:val="00790F25"/>
    <w:rsid w:val="00793843"/>
    <w:rsid w:val="0079788A"/>
    <w:rsid w:val="007B68AB"/>
    <w:rsid w:val="007C2333"/>
    <w:rsid w:val="00814A28"/>
    <w:rsid w:val="0081667A"/>
    <w:rsid w:val="00822DBF"/>
    <w:rsid w:val="00842BD7"/>
    <w:rsid w:val="008A7B93"/>
    <w:rsid w:val="008D2CF1"/>
    <w:rsid w:val="008D63AD"/>
    <w:rsid w:val="008F24DE"/>
    <w:rsid w:val="00912D17"/>
    <w:rsid w:val="009276A3"/>
    <w:rsid w:val="009279AE"/>
    <w:rsid w:val="00985857"/>
    <w:rsid w:val="00985DD5"/>
    <w:rsid w:val="00990E99"/>
    <w:rsid w:val="00A0137F"/>
    <w:rsid w:val="00A4759C"/>
    <w:rsid w:val="00A5600C"/>
    <w:rsid w:val="00A82DAF"/>
    <w:rsid w:val="00AF14DB"/>
    <w:rsid w:val="00B31C0E"/>
    <w:rsid w:val="00B5393D"/>
    <w:rsid w:val="00B7403A"/>
    <w:rsid w:val="00BB3D46"/>
    <w:rsid w:val="00BC0598"/>
    <w:rsid w:val="00BF2578"/>
    <w:rsid w:val="00C054D4"/>
    <w:rsid w:val="00C20BF8"/>
    <w:rsid w:val="00C36E40"/>
    <w:rsid w:val="00C533FB"/>
    <w:rsid w:val="00C62177"/>
    <w:rsid w:val="00D47BFD"/>
    <w:rsid w:val="00D64922"/>
    <w:rsid w:val="00D97221"/>
    <w:rsid w:val="00DD3E0B"/>
    <w:rsid w:val="00E676E3"/>
    <w:rsid w:val="00E7227D"/>
    <w:rsid w:val="00E76BC6"/>
    <w:rsid w:val="00E80E04"/>
    <w:rsid w:val="00EE6EE8"/>
    <w:rsid w:val="00F1099D"/>
    <w:rsid w:val="00F53B3A"/>
    <w:rsid w:val="00F61FA1"/>
    <w:rsid w:val="00F6344A"/>
    <w:rsid w:val="00F814AD"/>
    <w:rsid w:val="00F86916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B042BD9-2850-4DAA-81A3-46D5860B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21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221"/>
    <w:pPr>
      <w:keepNext/>
      <w:keepLines/>
      <w:spacing w:before="360" w:after="240"/>
      <w:outlineLvl w:val="0"/>
    </w:pPr>
    <w:rPr>
      <w:rFonts w:ascii="Segoe UI Semibold" w:eastAsiaTheme="majorEastAsia" w:hAnsi="Segoe UI Semibold" w:cs="Segoe UI Semibold"/>
      <w:b/>
      <w:color w:val="00206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6E40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4C556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6E40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4C556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6E40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4C55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6E40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7221"/>
    <w:rPr>
      <w:rFonts w:ascii="Segoe UI Semibold" w:eastAsiaTheme="majorEastAsia" w:hAnsi="Segoe UI Semibold" w:cs="Segoe UI Semibold"/>
      <w:b/>
      <w:color w:val="00206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C36E40"/>
    <w:rPr>
      <w:rFonts w:ascii="Segoe UI Semibold" w:eastAsia="MingLiU" w:hAnsi="Segoe UI Semibold" w:cs="Segoe UI Semibold"/>
      <w:color w:val="4C556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E40"/>
    <w:rPr>
      <w:rFonts w:ascii="Segoe UI Semibold" w:eastAsia="MingLiU" w:hAnsi="Segoe UI Semibold" w:cs="Segoe UI Semibold"/>
      <w:color w:val="4C5564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C36E40"/>
    <w:rPr>
      <w:rFonts w:ascii="Segoe UI Semibold" w:eastAsia="MingLiU" w:hAnsi="Segoe UI Semibold" w:cs="Segoe UI Semibold"/>
      <w:color w:val="4C5564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36E40"/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3D71C5"/>
    <w:pPr>
      <w:keepNext/>
      <w:spacing w:after="120"/>
      <w:outlineLvl w:val="1"/>
    </w:pPr>
    <w:rPr>
      <w:rFonts w:ascii="Segoe UI Semibold" w:eastAsia="MingLiU" w:hAnsi="Segoe UI Semibold" w:cs="Segoe UI Semibold"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C36E40"/>
    <w:pPr>
      <w:keepNext/>
      <w:spacing w:after="120"/>
      <w:outlineLvl w:val="2"/>
    </w:pPr>
    <w:rPr>
      <w:rFonts w:ascii="Segoe UI Semibold" w:eastAsia="MingLiU" w:hAnsi="Segoe UI Semibold" w:cs="Segoe UI Semibold"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aliases w:val="Bullet List,FooterText,numbered,List Paragraph1,Paragraphe de liste1,列出段落,列出段落1,Bulletr List Paragraph,List Paragraph2,List Paragraph21,Parágrafo da Lista1,List Paragraph11,Listeafsnit1,Párrafo de lista1,リスト段落1,Bullet list,Listenabsatz,L"/>
    <w:basedOn w:val="Normal"/>
    <w:link w:val="ListParagraphChar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323710"/>
    <w:pPr>
      <w:spacing w:after="0"/>
    </w:pPr>
    <w:rPr>
      <w:rFonts w:eastAsia="Times New Roman" w:cs="Times New Roman"/>
      <w:b/>
      <w:bCs/>
      <w:color w:val="002D7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E80E04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C36E40"/>
    <w:rPr>
      <w:rFonts w:eastAsia="PMingLiU" w:cs="Mangal"/>
      <w:color w:val="4C5564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Bullet List Char,FooterText Char,numbered Char,List Paragraph1 Char,Paragraphe de liste1 Char,列出段落 Char,列出段落1 Char,Bulletr List Paragraph Char,List Paragraph2 Char,List Paragraph21 Char,Parágrafo da Lista1 Char,List Paragraph11 Char"/>
    <w:basedOn w:val="DefaultParagraphFont"/>
    <w:link w:val="ListParagraph"/>
    <w:uiPriority w:val="34"/>
    <w:qFormat/>
    <w:locked/>
    <w:rsid w:val="007C2333"/>
    <w:rPr>
      <w:rFonts w:ascii="Segoe UI" w:hAnsi="Segoe UI"/>
      <w:sz w:val="21"/>
    </w:rPr>
  </w:style>
  <w:style w:type="paragraph" w:styleId="ListBullet">
    <w:name w:val="List Bullet"/>
    <w:basedOn w:val="Normal"/>
    <w:uiPriority w:val="99"/>
    <w:unhideWhenUsed/>
    <w:rsid w:val="007C2333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zvds">
    <w:name w:val="xzvds"/>
    <w:basedOn w:val="Normal"/>
    <w:rsid w:val="007C23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vkif2">
    <w:name w:val="vkif2"/>
    <w:basedOn w:val="DefaultParagraphFont"/>
    <w:rsid w:val="007C2333"/>
  </w:style>
  <w:style w:type="character" w:customStyle="1" w:styleId="apple-converted-space">
    <w:name w:val="apple-converted-space"/>
    <w:basedOn w:val="DefaultParagraphFont"/>
    <w:rsid w:val="007C2333"/>
  </w:style>
  <w:style w:type="paragraph" w:styleId="NormalWeb">
    <w:name w:val="Normal (Web)"/>
    <w:basedOn w:val="Normal"/>
    <w:uiPriority w:val="99"/>
    <w:semiHidden/>
    <w:unhideWhenUsed/>
    <w:rsid w:val="00576F8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0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99D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99D"/>
    <w:rPr>
      <w:rFonts w:ascii="Segoe UI" w:hAnsi="Segoe U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99D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9D"/>
    <w:rPr>
      <w:rFonts w:ascii="Segoe UI" w:hAnsi="Segoe UI" w:cs="Segoe UI"/>
      <w:sz w:val="18"/>
      <w:szCs w:val="18"/>
    </w:rPr>
  </w:style>
  <w:style w:type="table" w:styleId="MediumList2-Accent1">
    <w:name w:val="Medium List 2 Accent 1"/>
    <w:basedOn w:val="TableNormal"/>
    <w:uiPriority w:val="66"/>
    <w:rsid w:val="00F6344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F6344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ims.dept.gov.au/tccache24/6321424/ABAC_Website_Banner_01.p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7304581EA0E4EBFAE7FFF5B2F5C55" ma:contentTypeVersion="0" ma:contentTypeDescription="Create a new document." ma:contentTypeScope="" ma:versionID="5aef79ae41396b70abbe83df74194d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7BC6-3FD0-4F10-AAC5-1A5482AE5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141DF0-68EE-4238-B9A1-07035F66B31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276ECD-EA56-4336-89EC-A6B6FC5593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BD3F5-3B12-4312-8281-A641C396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1489</Words>
  <Characters>7851</Characters>
  <Application>Microsoft Office Word</Application>
  <DocSecurity>4</DocSecurity>
  <Lines>230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CEWG ToRs V2.docx</vt:lpstr>
    </vt:vector>
  </TitlesOfParts>
  <Company>Australian Broadband Advisory Council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Expert Working Group Project Brief</dc:title>
  <dc:subject/>
  <dc:creator>Australian Broadband Advisory Council</dc:creator>
  <cp:keywords/>
  <dc:description>17 December 2020</dc:description>
  <cp:lastModifiedBy>Hall, Theresa</cp:lastModifiedBy>
  <cp:revision>2</cp:revision>
  <dcterms:created xsi:type="dcterms:W3CDTF">2021-10-27T05:28:00Z</dcterms:created>
  <dcterms:modified xsi:type="dcterms:W3CDTF">2021-10-27T05:28:00Z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0x0101008527304581EA0E4EBFAE7FFF5B2F5C55</vt:lpwstr>
  </property>
  <property fmtid="{D5CDD505-2E9C-101B-9397-08002B2CF9AE}" pid="3" name="TrimRevisionNumber">
    <vt:i4>18</vt:i4>
  </property>
</Properties>
</file>