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2BAC0" w14:textId="77777777" w:rsidR="006753DB" w:rsidRPr="00DC5592" w:rsidRDefault="006753DB" w:rsidP="005113AA">
      <w:pPr>
        <w:ind w:left="-1418"/>
        <w:rPr>
          <w:rFonts w:ascii="Cambria" w:hAnsi="Cambria"/>
        </w:rPr>
      </w:pPr>
    </w:p>
    <w:p w14:paraId="5792BAC1" w14:textId="77777777" w:rsidR="006753DB" w:rsidRPr="00DC5592" w:rsidRDefault="006753DB" w:rsidP="00125828">
      <w:pPr>
        <w:jc w:val="center"/>
        <w:rPr>
          <w:rFonts w:ascii="Cambria" w:hAnsi="Cambria"/>
        </w:rPr>
      </w:pPr>
    </w:p>
    <w:p w14:paraId="5792BAC2" w14:textId="55299046" w:rsidR="00CF3BBC" w:rsidRPr="00DC5592" w:rsidRDefault="00D676F7" w:rsidP="00CF3BBC">
      <w:pPr>
        <w:pStyle w:val="Heading1"/>
        <w:spacing w:before="3000" w:after="240"/>
        <w:rPr>
          <w:rFonts w:ascii="Cambria" w:hAnsi="Cambria"/>
        </w:rPr>
      </w:pPr>
      <w:r w:rsidRPr="00DC5592">
        <w:rPr>
          <w:rFonts w:ascii="Cambria" w:hAnsi="Cambria"/>
        </w:rPr>
        <w:t xml:space="preserve">Telecommunications </w:t>
      </w:r>
      <w:r w:rsidR="00764FC6">
        <w:rPr>
          <w:rFonts w:ascii="Cambria" w:hAnsi="Cambria"/>
        </w:rPr>
        <w:t>Legislation</w:t>
      </w:r>
      <w:r w:rsidR="00764FC6" w:rsidRPr="00DC5592">
        <w:rPr>
          <w:rFonts w:ascii="Cambria" w:hAnsi="Cambria"/>
        </w:rPr>
        <w:t xml:space="preserve"> </w:t>
      </w:r>
      <w:r w:rsidRPr="00DC5592">
        <w:rPr>
          <w:rFonts w:ascii="Cambria" w:hAnsi="Cambria"/>
        </w:rPr>
        <w:t xml:space="preserve">and </w:t>
      </w:r>
      <w:bookmarkStart w:id="0" w:name="_GoBack"/>
      <w:r w:rsidR="006545AA" w:rsidRPr="00DC5592">
        <w:rPr>
          <w:rFonts w:ascii="Cambria" w:hAnsi="Cambria"/>
        </w:rPr>
        <w:t>Connected Vehicles</w:t>
      </w:r>
    </w:p>
    <w:bookmarkEnd w:id="0"/>
    <w:p w14:paraId="5792BAC3" w14:textId="77777777" w:rsidR="005113AA" w:rsidRPr="00DC5592" w:rsidRDefault="006B68ED" w:rsidP="00CF3BBC">
      <w:pPr>
        <w:pStyle w:val="Heading1"/>
        <w:spacing w:before="120"/>
        <w:rPr>
          <w:rFonts w:ascii="Cambria" w:hAnsi="Cambria"/>
        </w:rPr>
      </w:pPr>
      <w:r w:rsidRPr="00DC5592">
        <w:rPr>
          <w:rFonts w:ascii="Cambria" w:hAnsi="Cambria"/>
          <w:i/>
        </w:rPr>
        <w:t>Discussion Paper</w:t>
      </w:r>
    </w:p>
    <w:p w14:paraId="5792BAC4" w14:textId="489B9898" w:rsidR="00F63D35" w:rsidRPr="00DC5592" w:rsidRDefault="00737EBB" w:rsidP="007E1BD1">
      <w:pPr>
        <w:rPr>
          <w:rFonts w:ascii="Cambria" w:eastAsia="PMingLiU" w:hAnsi="Cambria" w:cs="Mangal"/>
          <w:b/>
          <w:lang w:eastAsia="zh-TW"/>
        </w:rPr>
      </w:pPr>
      <w:r>
        <w:rPr>
          <w:rFonts w:ascii="Cambria" w:eastAsia="PMingLiU" w:hAnsi="Cambria" w:cs="Mangal"/>
          <w:b/>
          <w:lang w:eastAsia="zh-TW"/>
        </w:rPr>
        <w:t>October</w:t>
      </w:r>
      <w:r w:rsidRPr="00DC5592">
        <w:rPr>
          <w:rFonts w:ascii="Cambria" w:eastAsia="PMingLiU" w:hAnsi="Cambria" w:cs="Mangal"/>
          <w:b/>
          <w:lang w:eastAsia="zh-TW"/>
        </w:rPr>
        <w:t xml:space="preserve"> </w:t>
      </w:r>
      <w:r w:rsidR="00125828" w:rsidRPr="00DC5592">
        <w:rPr>
          <w:rFonts w:ascii="Cambria" w:eastAsia="PMingLiU" w:hAnsi="Cambria" w:cs="Mangal"/>
          <w:b/>
          <w:lang w:eastAsia="zh-TW"/>
        </w:rPr>
        <w:t>202</w:t>
      </w:r>
      <w:r w:rsidR="00E45513" w:rsidRPr="00DC5592">
        <w:rPr>
          <w:rFonts w:ascii="Cambria" w:eastAsia="PMingLiU" w:hAnsi="Cambria" w:cs="Mangal"/>
          <w:b/>
          <w:lang w:eastAsia="zh-TW"/>
        </w:rPr>
        <w:t>3</w:t>
      </w:r>
    </w:p>
    <w:p w14:paraId="5792BAC5" w14:textId="77777777" w:rsidR="00C81C1E" w:rsidRPr="00DC5592" w:rsidRDefault="00C81C1E">
      <w:pPr>
        <w:spacing w:after="160" w:line="259" w:lineRule="auto"/>
        <w:rPr>
          <w:rFonts w:ascii="Cambria" w:eastAsia="MingLiU" w:hAnsi="Cambria" w:cs="Mangal"/>
          <w:b/>
          <w:color w:val="001C40"/>
          <w:sz w:val="32"/>
          <w:szCs w:val="26"/>
        </w:rPr>
      </w:pPr>
      <w:r w:rsidRPr="00DC5592">
        <w:rPr>
          <w:rFonts w:ascii="Cambria" w:hAnsi="Cambria"/>
        </w:rPr>
        <w:br w:type="page"/>
      </w:r>
    </w:p>
    <w:p w14:paraId="5792BAC6" w14:textId="77777777" w:rsidR="000E3BF4" w:rsidRPr="00DC5592" w:rsidRDefault="000E3BF4" w:rsidP="000E3BF4">
      <w:pPr>
        <w:pStyle w:val="Heading2notshowing"/>
        <w:rPr>
          <w:rFonts w:ascii="Cambria" w:hAnsi="Cambria"/>
        </w:rPr>
      </w:pPr>
      <w:r w:rsidRPr="00DC5592">
        <w:rPr>
          <w:rFonts w:ascii="Cambria" w:hAnsi="Cambria"/>
        </w:rPr>
        <w:lastRenderedPageBreak/>
        <w:t>Contents</w:t>
      </w:r>
    </w:p>
    <w:p w14:paraId="6981C816" w14:textId="7DEE6693" w:rsidR="00A70AC6" w:rsidRDefault="000E3BF4">
      <w:pPr>
        <w:pStyle w:val="TOC1"/>
        <w:rPr>
          <w:rFonts w:eastAsiaTheme="minorEastAsia"/>
          <w:b w:val="0"/>
          <w:noProof/>
          <w:color w:val="auto"/>
          <w:lang w:eastAsia="en-AU"/>
        </w:rPr>
      </w:pPr>
      <w:r w:rsidRPr="00DC5592">
        <w:rPr>
          <w:rFonts w:ascii="Cambria" w:eastAsia="PMingLiU" w:hAnsi="Cambria" w:cs="Mangal"/>
          <w:b w:val="0"/>
          <w:color w:val="0F293A"/>
          <w:sz w:val="24"/>
        </w:rPr>
        <w:fldChar w:fldCharType="begin"/>
      </w:r>
      <w:r w:rsidRPr="00DC5592">
        <w:rPr>
          <w:rFonts w:ascii="Cambria" w:eastAsia="PMingLiU" w:hAnsi="Cambria" w:cs="Mangal"/>
          <w:b w:val="0"/>
          <w:color w:val="0F293A"/>
          <w:sz w:val="24"/>
        </w:rPr>
        <w:instrText xml:space="preserve"> TOC \h \z \t "Heading 2,1,Heading 3,2" </w:instrText>
      </w:r>
      <w:r w:rsidRPr="00DC5592">
        <w:rPr>
          <w:rFonts w:ascii="Cambria" w:eastAsia="PMingLiU" w:hAnsi="Cambria" w:cs="Mangal"/>
          <w:b w:val="0"/>
          <w:color w:val="0F293A"/>
          <w:sz w:val="24"/>
        </w:rPr>
        <w:fldChar w:fldCharType="separate"/>
      </w:r>
      <w:hyperlink w:anchor="_Toc149033908" w:history="1">
        <w:r w:rsidR="00A70AC6" w:rsidRPr="00062C71">
          <w:rPr>
            <w:rStyle w:val="Hyperlink"/>
            <w:rFonts w:ascii="Cambria" w:hAnsi="Cambria"/>
            <w:noProof/>
          </w:rPr>
          <w:t>Purpose</w:t>
        </w:r>
        <w:r w:rsidR="00A70AC6">
          <w:rPr>
            <w:noProof/>
            <w:webHidden/>
          </w:rPr>
          <w:tab/>
        </w:r>
        <w:r w:rsidR="00A70AC6">
          <w:rPr>
            <w:noProof/>
            <w:webHidden/>
          </w:rPr>
          <w:fldChar w:fldCharType="begin"/>
        </w:r>
        <w:r w:rsidR="00A70AC6">
          <w:rPr>
            <w:noProof/>
            <w:webHidden/>
          </w:rPr>
          <w:instrText xml:space="preserve"> PAGEREF _Toc149033908 \h </w:instrText>
        </w:r>
        <w:r w:rsidR="00A70AC6">
          <w:rPr>
            <w:noProof/>
            <w:webHidden/>
          </w:rPr>
        </w:r>
        <w:r w:rsidR="00A70AC6">
          <w:rPr>
            <w:noProof/>
            <w:webHidden/>
          </w:rPr>
          <w:fldChar w:fldCharType="separate"/>
        </w:r>
        <w:r w:rsidR="00A70AC6">
          <w:rPr>
            <w:noProof/>
            <w:webHidden/>
          </w:rPr>
          <w:t>3</w:t>
        </w:r>
        <w:r w:rsidR="00A70AC6">
          <w:rPr>
            <w:noProof/>
            <w:webHidden/>
          </w:rPr>
          <w:fldChar w:fldCharType="end"/>
        </w:r>
      </w:hyperlink>
    </w:p>
    <w:p w14:paraId="32E5D746" w14:textId="23C400AA" w:rsidR="00A70AC6" w:rsidRDefault="00A70AC6">
      <w:pPr>
        <w:pStyle w:val="TOC1"/>
        <w:rPr>
          <w:rFonts w:eastAsiaTheme="minorEastAsia"/>
          <w:b w:val="0"/>
          <w:noProof/>
          <w:color w:val="auto"/>
          <w:lang w:eastAsia="en-AU"/>
        </w:rPr>
      </w:pPr>
      <w:hyperlink w:anchor="_Toc149033909" w:history="1">
        <w:r w:rsidRPr="00062C71">
          <w:rPr>
            <w:rStyle w:val="Hyperlink"/>
            <w:rFonts w:ascii="Cambria" w:hAnsi="Cambria"/>
            <w:noProof/>
          </w:rPr>
          <w:t>Executive Summary</w:t>
        </w:r>
        <w:r>
          <w:rPr>
            <w:noProof/>
            <w:webHidden/>
          </w:rPr>
          <w:tab/>
        </w:r>
        <w:r>
          <w:rPr>
            <w:noProof/>
            <w:webHidden/>
          </w:rPr>
          <w:fldChar w:fldCharType="begin"/>
        </w:r>
        <w:r>
          <w:rPr>
            <w:noProof/>
            <w:webHidden/>
          </w:rPr>
          <w:instrText xml:space="preserve"> PAGEREF _Toc149033909 \h </w:instrText>
        </w:r>
        <w:r>
          <w:rPr>
            <w:noProof/>
            <w:webHidden/>
          </w:rPr>
        </w:r>
        <w:r>
          <w:rPr>
            <w:noProof/>
            <w:webHidden/>
          </w:rPr>
          <w:fldChar w:fldCharType="separate"/>
        </w:r>
        <w:r>
          <w:rPr>
            <w:noProof/>
            <w:webHidden/>
          </w:rPr>
          <w:t>3</w:t>
        </w:r>
        <w:r>
          <w:rPr>
            <w:noProof/>
            <w:webHidden/>
          </w:rPr>
          <w:fldChar w:fldCharType="end"/>
        </w:r>
      </w:hyperlink>
    </w:p>
    <w:p w14:paraId="368065C2" w14:textId="72A76205" w:rsidR="00A70AC6" w:rsidRDefault="00A70AC6">
      <w:pPr>
        <w:pStyle w:val="TOC1"/>
        <w:rPr>
          <w:rFonts w:eastAsiaTheme="minorEastAsia"/>
          <w:b w:val="0"/>
          <w:noProof/>
          <w:color w:val="auto"/>
          <w:lang w:eastAsia="en-AU"/>
        </w:rPr>
      </w:pPr>
      <w:hyperlink w:anchor="_Toc149033910" w:history="1">
        <w:r w:rsidRPr="00062C71">
          <w:rPr>
            <w:rStyle w:val="Hyperlink"/>
            <w:rFonts w:ascii="Cambria" w:hAnsi="Cambria"/>
            <w:noProof/>
          </w:rPr>
          <w:t>What are CAVs?</w:t>
        </w:r>
        <w:r>
          <w:rPr>
            <w:noProof/>
            <w:webHidden/>
          </w:rPr>
          <w:tab/>
        </w:r>
        <w:r>
          <w:rPr>
            <w:noProof/>
            <w:webHidden/>
          </w:rPr>
          <w:fldChar w:fldCharType="begin"/>
        </w:r>
        <w:r>
          <w:rPr>
            <w:noProof/>
            <w:webHidden/>
          </w:rPr>
          <w:instrText xml:space="preserve"> PAGEREF _Toc149033910 \h </w:instrText>
        </w:r>
        <w:r>
          <w:rPr>
            <w:noProof/>
            <w:webHidden/>
          </w:rPr>
        </w:r>
        <w:r>
          <w:rPr>
            <w:noProof/>
            <w:webHidden/>
          </w:rPr>
          <w:fldChar w:fldCharType="separate"/>
        </w:r>
        <w:r>
          <w:rPr>
            <w:noProof/>
            <w:webHidden/>
          </w:rPr>
          <w:t>4</w:t>
        </w:r>
        <w:r>
          <w:rPr>
            <w:noProof/>
            <w:webHidden/>
          </w:rPr>
          <w:fldChar w:fldCharType="end"/>
        </w:r>
      </w:hyperlink>
    </w:p>
    <w:p w14:paraId="76CC8855" w14:textId="7EB431E1" w:rsidR="00A70AC6" w:rsidRDefault="00A70AC6">
      <w:pPr>
        <w:pStyle w:val="TOC2"/>
        <w:rPr>
          <w:rFonts w:eastAsiaTheme="minorEastAsia"/>
          <w:noProof/>
          <w:lang w:eastAsia="en-AU"/>
        </w:rPr>
      </w:pPr>
      <w:hyperlink w:anchor="_Toc149033911" w:history="1">
        <w:r w:rsidRPr="00062C71">
          <w:rPr>
            <w:rStyle w:val="Hyperlink"/>
            <w:rFonts w:ascii="Cambria" w:hAnsi="Cambria"/>
            <w:noProof/>
          </w:rPr>
          <w:t>Connected Vehicles</w:t>
        </w:r>
        <w:r>
          <w:rPr>
            <w:noProof/>
            <w:webHidden/>
          </w:rPr>
          <w:tab/>
        </w:r>
        <w:r>
          <w:rPr>
            <w:noProof/>
            <w:webHidden/>
          </w:rPr>
          <w:fldChar w:fldCharType="begin"/>
        </w:r>
        <w:r>
          <w:rPr>
            <w:noProof/>
            <w:webHidden/>
          </w:rPr>
          <w:instrText xml:space="preserve"> PAGEREF _Toc149033911 \h </w:instrText>
        </w:r>
        <w:r>
          <w:rPr>
            <w:noProof/>
            <w:webHidden/>
          </w:rPr>
        </w:r>
        <w:r>
          <w:rPr>
            <w:noProof/>
            <w:webHidden/>
          </w:rPr>
          <w:fldChar w:fldCharType="separate"/>
        </w:r>
        <w:r>
          <w:rPr>
            <w:noProof/>
            <w:webHidden/>
          </w:rPr>
          <w:t>4</w:t>
        </w:r>
        <w:r>
          <w:rPr>
            <w:noProof/>
            <w:webHidden/>
          </w:rPr>
          <w:fldChar w:fldCharType="end"/>
        </w:r>
      </w:hyperlink>
    </w:p>
    <w:p w14:paraId="1F972250" w14:textId="68518CA3" w:rsidR="00A70AC6" w:rsidRDefault="00A70AC6">
      <w:pPr>
        <w:pStyle w:val="TOC2"/>
        <w:rPr>
          <w:rFonts w:eastAsiaTheme="minorEastAsia"/>
          <w:noProof/>
          <w:lang w:eastAsia="en-AU"/>
        </w:rPr>
      </w:pPr>
      <w:hyperlink w:anchor="_Toc149033912" w:history="1">
        <w:r w:rsidRPr="00062C71">
          <w:rPr>
            <w:rStyle w:val="Hyperlink"/>
            <w:rFonts w:ascii="Cambria" w:hAnsi="Cambria"/>
            <w:noProof/>
          </w:rPr>
          <w:t>Automated Vehicles</w:t>
        </w:r>
        <w:r>
          <w:rPr>
            <w:noProof/>
            <w:webHidden/>
          </w:rPr>
          <w:tab/>
        </w:r>
        <w:r>
          <w:rPr>
            <w:noProof/>
            <w:webHidden/>
          </w:rPr>
          <w:fldChar w:fldCharType="begin"/>
        </w:r>
        <w:r>
          <w:rPr>
            <w:noProof/>
            <w:webHidden/>
          </w:rPr>
          <w:instrText xml:space="preserve"> PAGEREF _Toc149033912 \h </w:instrText>
        </w:r>
        <w:r>
          <w:rPr>
            <w:noProof/>
            <w:webHidden/>
          </w:rPr>
        </w:r>
        <w:r>
          <w:rPr>
            <w:noProof/>
            <w:webHidden/>
          </w:rPr>
          <w:fldChar w:fldCharType="separate"/>
        </w:r>
        <w:r>
          <w:rPr>
            <w:noProof/>
            <w:webHidden/>
          </w:rPr>
          <w:t>6</w:t>
        </w:r>
        <w:r>
          <w:rPr>
            <w:noProof/>
            <w:webHidden/>
          </w:rPr>
          <w:fldChar w:fldCharType="end"/>
        </w:r>
      </w:hyperlink>
    </w:p>
    <w:p w14:paraId="040C0D3D" w14:textId="00BAB1A9" w:rsidR="00A70AC6" w:rsidRDefault="00A70AC6">
      <w:pPr>
        <w:pStyle w:val="TOC2"/>
        <w:rPr>
          <w:rFonts w:eastAsiaTheme="minorEastAsia"/>
          <w:noProof/>
          <w:lang w:eastAsia="en-AU"/>
        </w:rPr>
      </w:pPr>
      <w:hyperlink w:anchor="_Toc149033913" w:history="1">
        <w:r w:rsidRPr="00062C71">
          <w:rPr>
            <w:rStyle w:val="Hyperlink"/>
            <w:rFonts w:ascii="Cambria" w:hAnsi="Cambria"/>
            <w:noProof/>
          </w:rPr>
          <w:t>Connected and automated vehicles</w:t>
        </w:r>
        <w:r>
          <w:rPr>
            <w:noProof/>
            <w:webHidden/>
          </w:rPr>
          <w:tab/>
        </w:r>
        <w:r>
          <w:rPr>
            <w:noProof/>
            <w:webHidden/>
          </w:rPr>
          <w:fldChar w:fldCharType="begin"/>
        </w:r>
        <w:r>
          <w:rPr>
            <w:noProof/>
            <w:webHidden/>
          </w:rPr>
          <w:instrText xml:space="preserve"> PAGEREF _Toc149033913 \h </w:instrText>
        </w:r>
        <w:r>
          <w:rPr>
            <w:noProof/>
            <w:webHidden/>
          </w:rPr>
        </w:r>
        <w:r>
          <w:rPr>
            <w:noProof/>
            <w:webHidden/>
          </w:rPr>
          <w:fldChar w:fldCharType="separate"/>
        </w:r>
        <w:r>
          <w:rPr>
            <w:noProof/>
            <w:webHidden/>
          </w:rPr>
          <w:t>6</w:t>
        </w:r>
        <w:r>
          <w:rPr>
            <w:noProof/>
            <w:webHidden/>
          </w:rPr>
          <w:fldChar w:fldCharType="end"/>
        </w:r>
      </w:hyperlink>
    </w:p>
    <w:p w14:paraId="5D649D26" w14:textId="7D5F91C9" w:rsidR="00A70AC6" w:rsidRDefault="00A70AC6">
      <w:pPr>
        <w:pStyle w:val="TOC1"/>
        <w:rPr>
          <w:rFonts w:eastAsiaTheme="minorEastAsia"/>
          <w:b w:val="0"/>
          <w:noProof/>
          <w:color w:val="auto"/>
          <w:lang w:eastAsia="en-AU"/>
        </w:rPr>
      </w:pPr>
      <w:hyperlink w:anchor="_Toc149033914" w:history="1">
        <w:r w:rsidRPr="00062C71">
          <w:rPr>
            <w:rStyle w:val="Hyperlink"/>
            <w:rFonts w:ascii="Cambria" w:hAnsi="Cambria"/>
            <w:noProof/>
          </w:rPr>
          <w:t>How Vehicles Connect</w:t>
        </w:r>
        <w:r>
          <w:rPr>
            <w:noProof/>
            <w:webHidden/>
          </w:rPr>
          <w:tab/>
        </w:r>
        <w:r>
          <w:rPr>
            <w:noProof/>
            <w:webHidden/>
          </w:rPr>
          <w:fldChar w:fldCharType="begin"/>
        </w:r>
        <w:r>
          <w:rPr>
            <w:noProof/>
            <w:webHidden/>
          </w:rPr>
          <w:instrText xml:space="preserve"> PAGEREF _Toc149033914 \h </w:instrText>
        </w:r>
        <w:r>
          <w:rPr>
            <w:noProof/>
            <w:webHidden/>
          </w:rPr>
        </w:r>
        <w:r>
          <w:rPr>
            <w:noProof/>
            <w:webHidden/>
          </w:rPr>
          <w:fldChar w:fldCharType="separate"/>
        </w:r>
        <w:r>
          <w:rPr>
            <w:noProof/>
            <w:webHidden/>
          </w:rPr>
          <w:t>6</w:t>
        </w:r>
        <w:r>
          <w:rPr>
            <w:noProof/>
            <w:webHidden/>
          </w:rPr>
          <w:fldChar w:fldCharType="end"/>
        </w:r>
      </w:hyperlink>
    </w:p>
    <w:p w14:paraId="77ED9949" w14:textId="5FAD48C1" w:rsidR="00A70AC6" w:rsidRDefault="00A70AC6">
      <w:pPr>
        <w:pStyle w:val="TOC2"/>
        <w:rPr>
          <w:rFonts w:eastAsiaTheme="minorEastAsia"/>
          <w:noProof/>
          <w:lang w:eastAsia="en-AU"/>
        </w:rPr>
      </w:pPr>
      <w:hyperlink w:anchor="_Toc149033915" w:history="1">
        <w:r w:rsidRPr="00062C71">
          <w:rPr>
            <w:rStyle w:val="Hyperlink"/>
            <w:rFonts w:ascii="Cambria" w:hAnsi="Cambria"/>
            <w:noProof/>
          </w:rPr>
          <w:t>The framework for connected vehicles</w:t>
        </w:r>
        <w:r>
          <w:rPr>
            <w:noProof/>
            <w:webHidden/>
          </w:rPr>
          <w:tab/>
        </w:r>
        <w:r>
          <w:rPr>
            <w:noProof/>
            <w:webHidden/>
          </w:rPr>
          <w:fldChar w:fldCharType="begin"/>
        </w:r>
        <w:r>
          <w:rPr>
            <w:noProof/>
            <w:webHidden/>
          </w:rPr>
          <w:instrText xml:space="preserve"> PAGEREF _Toc149033915 \h </w:instrText>
        </w:r>
        <w:r>
          <w:rPr>
            <w:noProof/>
            <w:webHidden/>
          </w:rPr>
        </w:r>
        <w:r>
          <w:rPr>
            <w:noProof/>
            <w:webHidden/>
          </w:rPr>
          <w:fldChar w:fldCharType="separate"/>
        </w:r>
        <w:r>
          <w:rPr>
            <w:noProof/>
            <w:webHidden/>
          </w:rPr>
          <w:t>6</w:t>
        </w:r>
        <w:r>
          <w:rPr>
            <w:noProof/>
            <w:webHidden/>
          </w:rPr>
          <w:fldChar w:fldCharType="end"/>
        </w:r>
      </w:hyperlink>
    </w:p>
    <w:p w14:paraId="711E8798" w14:textId="79C43592" w:rsidR="00A70AC6" w:rsidRDefault="00A70AC6">
      <w:pPr>
        <w:pStyle w:val="TOC1"/>
        <w:rPr>
          <w:rFonts w:eastAsiaTheme="minorEastAsia"/>
          <w:b w:val="0"/>
          <w:noProof/>
          <w:color w:val="auto"/>
          <w:lang w:eastAsia="en-AU"/>
        </w:rPr>
      </w:pPr>
      <w:hyperlink w:anchor="_Toc149033916" w:history="1">
        <w:r w:rsidRPr="00062C71">
          <w:rPr>
            <w:rStyle w:val="Hyperlink"/>
            <w:rFonts w:ascii="Cambria" w:hAnsi="Cambria"/>
            <w:noProof/>
          </w:rPr>
          <w:t>Connected vehicles and the telecommunications market</w:t>
        </w:r>
        <w:r>
          <w:rPr>
            <w:noProof/>
            <w:webHidden/>
          </w:rPr>
          <w:tab/>
        </w:r>
        <w:r>
          <w:rPr>
            <w:noProof/>
            <w:webHidden/>
          </w:rPr>
          <w:fldChar w:fldCharType="begin"/>
        </w:r>
        <w:r>
          <w:rPr>
            <w:noProof/>
            <w:webHidden/>
          </w:rPr>
          <w:instrText xml:space="preserve"> PAGEREF _Toc149033916 \h </w:instrText>
        </w:r>
        <w:r>
          <w:rPr>
            <w:noProof/>
            <w:webHidden/>
          </w:rPr>
        </w:r>
        <w:r>
          <w:rPr>
            <w:noProof/>
            <w:webHidden/>
          </w:rPr>
          <w:fldChar w:fldCharType="separate"/>
        </w:r>
        <w:r>
          <w:rPr>
            <w:noProof/>
            <w:webHidden/>
          </w:rPr>
          <w:t>8</w:t>
        </w:r>
        <w:r>
          <w:rPr>
            <w:noProof/>
            <w:webHidden/>
          </w:rPr>
          <w:fldChar w:fldCharType="end"/>
        </w:r>
      </w:hyperlink>
    </w:p>
    <w:p w14:paraId="3B44B8A5" w14:textId="3133865D" w:rsidR="00A70AC6" w:rsidRDefault="00A70AC6">
      <w:pPr>
        <w:pStyle w:val="TOC1"/>
        <w:rPr>
          <w:rFonts w:eastAsiaTheme="minorEastAsia"/>
          <w:b w:val="0"/>
          <w:noProof/>
          <w:color w:val="auto"/>
          <w:lang w:eastAsia="en-AU"/>
        </w:rPr>
      </w:pPr>
      <w:hyperlink w:anchor="_Toc149033917" w:history="1">
        <w:r w:rsidRPr="00062C71">
          <w:rPr>
            <w:rStyle w:val="Hyperlink"/>
            <w:rFonts w:ascii="Cambria" w:hAnsi="Cambria"/>
            <w:noProof/>
          </w:rPr>
          <w:t>How the Regulations apply currently</w:t>
        </w:r>
        <w:r>
          <w:rPr>
            <w:noProof/>
            <w:webHidden/>
          </w:rPr>
          <w:tab/>
        </w:r>
        <w:r>
          <w:rPr>
            <w:noProof/>
            <w:webHidden/>
          </w:rPr>
          <w:fldChar w:fldCharType="begin"/>
        </w:r>
        <w:r>
          <w:rPr>
            <w:noProof/>
            <w:webHidden/>
          </w:rPr>
          <w:instrText xml:space="preserve"> PAGEREF _Toc149033917 \h </w:instrText>
        </w:r>
        <w:r>
          <w:rPr>
            <w:noProof/>
            <w:webHidden/>
          </w:rPr>
        </w:r>
        <w:r>
          <w:rPr>
            <w:noProof/>
            <w:webHidden/>
          </w:rPr>
          <w:fldChar w:fldCharType="separate"/>
        </w:r>
        <w:r>
          <w:rPr>
            <w:noProof/>
            <w:webHidden/>
          </w:rPr>
          <w:t>10</w:t>
        </w:r>
        <w:r>
          <w:rPr>
            <w:noProof/>
            <w:webHidden/>
          </w:rPr>
          <w:fldChar w:fldCharType="end"/>
        </w:r>
      </w:hyperlink>
    </w:p>
    <w:p w14:paraId="566C7778" w14:textId="69A79CA1" w:rsidR="00A70AC6" w:rsidRDefault="00A70AC6">
      <w:pPr>
        <w:pStyle w:val="TOC2"/>
        <w:rPr>
          <w:rFonts w:eastAsiaTheme="minorEastAsia"/>
          <w:noProof/>
          <w:lang w:eastAsia="en-AU"/>
        </w:rPr>
      </w:pPr>
      <w:hyperlink w:anchor="_Toc149033918" w:history="1">
        <w:r w:rsidRPr="00062C71">
          <w:rPr>
            <w:rStyle w:val="Hyperlink"/>
            <w:rFonts w:ascii="Cambria" w:hAnsi="Cambria"/>
            <w:noProof/>
          </w:rPr>
          <w:t>How should we regulate?</w:t>
        </w:r>
        <w:r>
          <w:rPr>
            <w:noProof/>
            <w:webHidden/>
          </w:rPr>
          <w:tab/>
        </w:r>
        <w:r>
          <w:rPr>
            <w:noProof/>
            <w:webHidden/>
          </w:rPr>
          <w:fldChar w:fldCharType="begin"/>
        </w:r>
        <w:r>
          <w:rPr>
            <w:noProof/>
            <w:webHidden/>
          </w:rPr>
          <w:instrText xml:space="preserve"> PAGEREF _Toc149033918 \h </w:instrText>
        </w:r>
        <w:r>
          <w:rPr>
            <w:noProof/>
            <w:webHidden/>
          </w:rPr>
        </w:r>
        <w:r>
          <w:rPr>
            <w:noProof/>
            <w:webHidden/>
          </w:rPr>
          <w:fldChar w:fldCharType="separate"/>
        </w:r>
        <w:r>
          <w:rPr>
            <w:noProof/>
            <w:webHidden/>
          </w:rPr>
          <w:t>11</w:t>
        </w:r>
        <w:r>
          <w:rPr>
            <w:noProof/>
            <w:webHidden/>
          </w:rPr>
          <w:fldChar w:fldCharType="end"/>
        </w:r>
      </w:hyperlink>
    </w:p>
    <w:p w14:paraId="1A301528" w14:textId="61F96425" w:rsidR="00A70AC6" w:rsidRDefault="00A70AC6">
      <w:pPr>
        <w:pStyle w:val="TOC2"/>
        <w:rPr>
          <w:rFonts w:eastAsiaTheme="minorEastAsia"/>
          <w:noProof/>
          <w:lang w:eastAsia="en-AU"/>
        </w:rPr>
      </w:pPr>
      <w:hyperlink w:anchor="_Toc149033919" w:history="1">
        <w:r w:rsidRPr="00062C71">
          <w:rPr>
            <w:rStyle w:val="Hyperlink"/>
            <w:rFonts w:ascii="Cambria" w:hAnsi="Cambria"/>
            <w:noProof/>
          </w:rPr>
          <w:t>Questions for stakeholders</w:t>
        </w:r>
        <w:r>
          <w:rPr>
            <w:noProof/>
            <w:webHidden/>
          </w:rPr>
          <w:tab/>
        </w:r>
        <w:r>
          <w:rPr>
            <w:noProof/>
            <w:webHidden/>
          </w:rPr>
          <w:fldChar w:fldCharType="begin"/>
        </w:r>
        <w:r>
          <w:rPr>
            <w:noProof/>
            <w:webHidden/>
          </w:rPr>
          <w:instrText xml:space="preserve"> PAGEREF _Toc149033919 \h </w:instrText>
        </w:r>
        <w:r>
          <w:rPr>
            <w:noProof/>
            <w:webHidden/>
          </w:rPr>
        </w:r>
        <w:r>
          <w:rPr>
            <w:noProof/>
            <w:webHidden/>
          </w:rPr>
          <w:fldChar w:fldCharType="separate"/>
        </w:r>
        <w:r>
          <w:rPr>
            <w:noProof/>
            <w:webHidden/>
          </w:rPr>
          <w:t>14</w:t>
        </w:r>
        <w:r>
          <w:rPr>
            <w:noProof/>
            <w:webHidden/>
          </w:rPr>
          <w:fldChar w:fldCharType="end"/>
        </w:r>
      </w:hyperlink>
    </w:p>
    <w:p w14:paraId="41A85BD9" w14:textId="5EB72109" w:rsidR="00A70AC6" w:rsidRDefault="00A70AC6">
      <w:pPr>
        <w:pStyle w:val="TOC1"/>
        <w:rPr>
          <w:rFonts w:eastAsiaTheme="minorEastAsia"/>
          <w:b w:val="0"/>
          <w:noProof/>
          <w:color w:val="auto"/>
          <w:lang w:eastAsia="en-AU"/>
        </w:rPr>
      </w:pPr>
      <w:hyperlink w:anchor="_Toc149033920" w:history="1">
        <w:r w:rsidRPr="00062C71">
          <w:rPr>
            <w:rStyle w:val="Hyperlink"/>
            <w:rFonts w:ascii="Cambria" w:hAnsi="Cambria"/>
            <w:noProof/>
          </w:rPr>
          <w:t>Appendix 1</w:t>
        </w:r>
        <w:r>
          <w:rPr>
            <w:noProof/>
            <w:webHidden/>
          </w:rPr>
          <w:tab/>
        </w:r>
        <w:r>
          <w:rPr>
            <w:noProof/>
            <w:webHidden/>
          </w:rPr>
          <w:fldChar w:fldCharType="begin"/>
        </w:r>
        <w:r>
          <w:rPr>
            <w:noProof/>
            <w:webHidden/>
          </w:rPr>
          <w:instrText xml:space="preserve"> PAGEREF _Toc149033920 \h </w:instrText>
        </w:r>
        <w:r>
          <w:rPr>
            <w:noProof/>
            <w:webHidden/>
          </w:rPr>
        </w:r>
        <w:r>
          <w:rPr>
            <w:noProof/>
            <w:webHidden/>
          </w:rPr>
          <w:fldChar w:fldCharType="separate"/>
        </w:r>
        <w:r>
          <w:rPr>
            <w:noProof/>
            <w:webHidden/>
          </w:rPr>
          <w:t>16</w:t>
        </w:r>
        <w:r>
          <w:rPr>
            <w:noProof/>
            <w:webHidden/>
          </w:rPr>
          <w:fldChar w:fldCharType="end"/>
        </w:r>
      </w:hyperlink>
    </w:p>
    <w:p w14:paraId="5792BAD4" w14:textId="7627A214" w:rsidR="000E3BF4" w:rsidRPr="00DC5592" w:rsidRDefault="000E3BF4" w:rsidP="000E3BF4">
      <w:pPr>
        <w:rPr>
          <w:rFonts w:ascii="Cambria" w:hAnsi="Cambria"/>
        </w:rPr>
      </w:pPr>
      <w:r w:rsidRPr="00DC5592">
        <w:rPr>
          <w:rFonts w:ascii="Cambria" w:eastAsia="PMingLiU" w:hAnsi="Cambria" w:cs="Mangal"/>
          <w:b/>
          <w:color w:val="0F293A"/>
          <w:sz w:val="24"/>
        </w:rPr>
        <w:fldChar w:fldCharType="end"/>
      </w:r>
    </w:p>
    <w:p w14:paraId="5792BAD5" w14:textId="77777777" w:rsidR="005113AA" w:rsidRPr="00DC5592" w:rsidRDefault="005113AA" w:rsidP="005113AA">
      <w:pPr>
        <w:rPr>
          <w:rFonts w:ascii="Cambria" w:eastAsia="PMingLiU" w:hAnsi="Cambria" w:cs="Mangal"/>
        </w:rPr>
      </w:pPr>
    </w:p>
    <w:p w14:paraId="5792BAD6" w14:textId="77777777" w:rsidR="00025D35" w:rsidRPr="00DC5592" w:rsidRDefault="005113AA" w:rsidP="00025D35">
      <w:pPr>
        <w:pStyle w:val="Heading2"/>
        <w:rPr>
          <w:rFonts w:ascii="Cambria" w:eastAsia="PMingLiU" w:hAnsi="Cambria"/>
        </w:rPr>
      </w:pPr>
      <w:r w:rsidRPr="00DC5592">
        <w:rPr>
          <w:rFonts w:ascii="Cambria" w:eastAsia="PMingLiU" w:hAnsi="Cambria"/>
        </w:rPr>
        <w:br w:type="page"/>
      </w:r>
      <w:bookmarkStart w:id="1" w:name="_Toc149033908"/>
      <w:r w:rsidR="00025D35" w:rsidRPr="00DC5592">
        <w:rPr>
          <w:rFonts w:ascii="Cambria" w:hAnsi="Cambria"/>
        </w:rPr>
        <w:lastRenderedPageBreak/>
        <w:t>Purpose</w:t>
      </w:r>
      <w:bookmarkEnd w:id="1"/>
    </w:p>
    <w:p w14:paraId="5792BAD7" w14:textId="77777777" w:rsidR="00DE7E59" w:rsidRPr="00DC5592" w:rsidRDefault="0052773B" w:rsidP="00DE7E59">
      <w:pPr>
        <w:rPr>
          <w:rFonts w:ascii="Cambria" w:hAnsi="Cambria"/>
        </w:rPr>
      </w:pPr>
      <w:r w:rsidRPr="00DC5592">
        <w:rPr>
          <w:rFonts w:ascii="Cambria" w:hAnsi="Cambria"/>
        </w:rPr>
        <w:t xml:space="preserve">This paper </w:t>
      </w:r>
      <w:r w:rsidR="004412DB" w:rsidRPr="00DC5592">
        <w:rPr>
          <w:rFonts w:ascii="Cambria" w:hAnsi="Cambria"/>
        </w:rPr>
        <w:t>queries how the telecommunications law should apply to</w:t>
      </w:r>
      <w:r w:rsidR="006650D7" w:rsidRPr="00DC5592">
        <w:rPr>
          <w:rFonts w:ascii="Cambria" w:hAnsi="Cambria"/>
        </w:rPr>
        <w:t xml:space="preserve"> connected </w:t>
      </w:r>
      <w:r w:rsidR="000776D7" w:rsidRPr="00DC5592">
        <w:rPr>
          <w:rFonts w:ascii="Cambria" w:hAnsi="Cambria"/>
        </w:rPr>
        <w:t>and</w:t>
      </w:r>
      <w:r w:rsidR="006650D7" w:rsidRPr="00DC5592">
        <w:rPr>
          <w:rFonts w:ascii="Cambria" w:hAnsi="Cambria"/>
        </w:rPr>
        <w:t xml:space="preserve"> automated motor vehicles</w:t>
      </w:r>
      <w:r w:rsidR="009D25CB" w:rsidRPr="00DC5592">
        <w:rPr>
          <w:rFonts w:ascii="Cambria" w:hAnsi="Cambria"/>
        </w:rPr>
        <w:t xml:space="preserve"> (CAVs)</w:t>
      </w:r>
      <w:r w:rsidR="00780123" w:rsidRPr="00DC5592">
        <w:rPr>
          <w:rFonts w:ascii="Cambria" w:hAnsi="Cambria"/>
        </w:rPr>
        <w:t>.</w:t>
      </w:r>
      <w:r w:rsidR="003E5E68" w:rsidRPr="00DC5592">
        <w:rPr>
          <w:rStyle w:val="FootnoteReference"/>
          <w:rFonts w:ascii="Cambria" w:hAnsi="Cambria"/>
        </w:rPr>
        <w:footnoteReference w:id="2"/>
      </w:r>
      <w:r w:rsidR="00064873" w:rsidRPr="00DC5592">
        <w:rPr>
          <w:rFonts w:ascii="Cambria" w:hAnsi="Cambria" w:cs="Times New Roman"/>
          <w:color w:val="000000" w:themeColor="text1"/>
        </w:rPr>
        <w:t xml:space="preserve"> The Department w</w:t>
      </w:r>
      <w:r w:rsidRPr="00DC5592">
        <w:rPr>
          <w:rFonts w:ascii="Cambria" w:hAnsi="Cambria" w:cs="Times New Roman"/>
          <w:color w:val="000000" w:themeColor="text1"/>
        </w:rPr>
        <w:t xml:space="preserve">ould like </w:t>
      </w:r>
      <w:r w:rsidR="00064873" w:rsidRPr="00DC5592">
        <w:rPr>
          <w:rFonts w:ascii="Cambria" w:hAnsi="Cambria" w:cs="Times New Roman"/>
          <w:color w:val="000000" w:themeColor="text1"/>
        </w:rPr>
        <w:t>to</w:t>
      </w:r>
      <w:r w:rsidR="00025D35" w:rsidRPr="00DC5592">
        <w:rPr>
          <w:rFonts w:ascii="Cambria" w:hAnsi="Cambria" w:cs="Times New Roman"/>
          <w:color w:val="000000" w:themeColor="text1"/>
        </w:rPr>
        <w:t xml:space="preserve"> better understand </w:t>
      </w:r>
      <w:r w:rsidR="003E5E68" w:rsidRPr="00DC5592">
        <w:rPr>
          <w:rFonts w:ascii="Cambria" w:hAnsi="Cambria" w:cs="Times New Roman"/>
          <w:color w:val="000000" w:themeColor="text1"/>
        </w:rPr>
        <w:t>how</w:t>
      </w:r>
      <w:r w:rsidR="00D676F7" w:rsidRPr="00DC5592">
        <w:rPr>
          <w:rFonts w:ascii="Cambria" w:hAnsi="Cambria" w:cs="Times New Roman"/>
          <w:color w:val="000000" w:themeColor="text1"/>
        </w:rPr>
        <w:t xml:space="preserve"> the connectivity of these vehicle</w:t>
      </w:r>
      <w:r w:rsidR="006650D7" w:rsidRPr="00DC5592">
        <w:rPr>
          <w:rFonts w:ascii="Cambria" w:hAnsi="Cambria" w:cs="Times New Roman"/>
          <w:color w:val="000000" w:themeColor="text1"/>
        </w:rPr>
        <w:t xml:space="preserve">s </w:t>
      </w:r>
      <w:r w:rsidR="003E5E68" w:rsidRPr="00DC5592">
        <w:rPr>
          <w:rFonts w:ascii="Cambria" w:hAnsi="Cambria" w:cs="Times New Roman"/>
          <w:color w:val="000000" w:themeColor="text1"/>
        </w:rPr>
        <w:t>intersect</w:t>
      </w:r>
      <w:r w:rsidR="00D676F7" w:rsidRPr="00DC5592">
        <w:rPr>
          <w:rFonts w:ascii="Cambria" w:hAnsi="Cambria" w:cs="Times New Roman"/>
          <w:color w:val="000000" w:themeColor="text1"/>
        </w:rPr>
        <w:t>s</w:t>
      </w:r>
      <w:r w:rsidR="003E5E68" w:rsidRPr="00DC5592">
        <w:rPr>
          <w:rFonts w:ascii="Cambria" w:hAnsi="Cambria" w:cs="Times New Roman"/>
          <w:color w:val="000000" w:themeColor="text1"/>
        </w:rPr>
        <w:t xml:space="preserve"> with telecommunications</w:t>
      </w:r>
      <w:r w:rsidR="00DE7E59" w:rsidRPr="00DC5592">
        <w:rPr>
          <w:rFonts w:ascii="Cambria" w:hAnsi="Cambria" w:cs="Times New Roman"/>
          <w:color w:val="000000" w:themeColor="text1"/>
        </w:rPr>
        <w:t xml:space="preserve"> </w:t>
      </w:r>
      <w:r w:rsidR="003E5E68" w:rsidRPr="00DC5592">
        <w:rPr>
          <w:rFonts w:ascii="Cambria" w:hAnsi="Cambria" w:cs="Times New Roman"/>
          <w:color w:val="000000" w:themeColor="text1"/>
        </w:rPr>
        <w:t>infrastructure</w:t>
      </w:r>
      <w:r w:rsidR="00025D35" w:rsidRPr="00DC5592">
        <w:rPr>
          <w:rFonts w:ascii="Cambria" w:hAnsi="Cambria" w:cs="Times New Roman"/>
          <w:color w:val="000000" w:themeColor="text1"/>
        </w:rPr>
        <w:t xml:space="preserve"> </w:t>
      </w:r>
      <w:r w:rsidR="00DE7E59" w:rsidRPr="00DC5592">
        <w:rPr>
          <w:rFonts w:ascii="Cambria" w:hAnsi="Cambria" w:cs="Times New Roman"/>
          <w:color w:val="000000" w:themeColor="text1"/>
        </w:rPr>
        <w:t xml:space="preserve">and </w:t>
      </w:r>
      <w:r w:rsidR="000776D7" w:rsidRPr="00DC5592">
        <w:rPr>
          <w:rFonts w:ascii="Cambria" w:hAnsi="Cambria" w:cs="Times New Roman"/>
          <w:color w:val="000000" w:themeColor="text1"/>
        </w:rPr>
        <w:t xml:space="preserve">consider </w:t>
      </w:r>
      <w:r w:rsidRPr="00DC5592">
        <w:rPr>
          <w:rFonts w:ascii="Cambria" w:hAnsi="Cambria" w:cs="Times New Roman"/>
          <w:color w:val="000000" w:themeColor="text1"/>
        </w:rPr>
        <w:t xml:space="preserve">how </w:t>
      </w:r>
      <w:r w:rsidR="00C710FB" w:rsidRPr="00DC5592">
        <w:rPr>
          <w:rFonts w:ascii="Cambria" w:hAnsi="Cambria" w:cs="Times New Roman"/>
          <w:color w:val="000000" w:themeColor="text1"/>
        </w:rPr>
        <w:t>they</w:t>
      </w:r>
      <w:r w:rsidRPr="00DC5592">
        <w:rPr>
          <w:rFonts w:ascii="Cambria" w:hAnsi="Cambria" w:cs="Times New Roman"/>
          <w:color w:val="000000" w:themeColor="text1"/>
        </w:rPr>
        <w:t xml:space="preserve"> should be regulated under the telecommunications law. </w:t>
      </w:r>
    </w:p>
    <w:p w14:paraId="5792BAD8" w14:textId="77777777" w:rsidR="00025D35" w:rsidRPr="00DC5592" w:rsidRDefault="00064873" w:rsidP="00E45513">
      <w:pPr>
        <w:tabs>
          <w:tab w:val="left" w:pos="567"/>
        </w:tabs>
        <w:rPr>
          <w:rFonts w:ascii="Cambria" w:hAnsi="Cambria" w:cs="Times New Roman"/>
          <w:color w:val="000000" w:themeColor="text1"/>
        </w:rPr>
      </w:pPr>
      <w:r w:rsidRPr="00DC5592">
        <w:rPr>
          <w:rFonts w:ascii="Cambria" w:hAnsi="Cambria" w:cs="Times New Roman"/>
          <w:color w:val="000000" w:themeColor="text1"/>
        </w:rPr>
        <w:t xml:space="preserve">The information collected </w:t>
      </w:r>
      <w:r w:rsidR="0052773B" w:rsidRPr="00DC5592">
        <w:rPr>
          <w:rFonts w:ascii="Cambria" w:hAnsi="Cambria" w:cs="Times New Roman"/>
          <w:color w:val="000000" w:themeColor="text1"/>
        </w:rPr>
        <w:t xml:space="preserve">in response to </w:t>
      </w:r>
      <w:r w:rsidRPr="00DC5592">
        <w:rPr>
          <w:rFonts w:ascii="Cambria" w:hAnsi="Cambria" w:cs="Times New Roman"/>
          <w:color w:val="000000" w:themeColor="text1"/>
        </w:rPr>
        <w:t xml:space="preserve">this paper will </w:t>
      </w:r>
      <w:r w:rsidR="0052773B" w:rsidRPr="00DC5592">
        <w:rPr>
          <w:rFonts w:ascii="Cambria" w:hAnsi="Cambria" w:cs="Times New Roman"/>
          <w:color w:val="000000" w:themeColor="text1"/>
        </w:rPr>
        <w:t>help</w:t>
      </w:r>
      <w:r w:rsidRPr="00DC5592">
        <w:rPr>
          <w:rFonts w:ascii="Cambria" w:hAnsi="Cambria" w:cs="Times New Roman"/>
          <w:color w:val="000000" w:themeColor="text1"/>
        </w:rPr>
        <w:t xml:space="preserve"> </w:t>
      </w:r>
      <w:r w:rsidR="00DE7E59" w:rsidRPr="00DC5592">
        <w:rPr>
          <w:rFonts w:ascii="Cambria" w:hAnsi="Cambria" w:cs="Times New Roman"/>
          <w:color w:val="000000" w:themeColor="text1"/>
        </w:rPr>
        <w:t xml:space="preserve">the </w:t>
      </w:r>
      <w:r w:rsidR="00630DC1" w:rsidRPr="00DC5592">
        <w:rPr>
          <w:rFonts w:ascii="Cambria" w:hAnsi="Cambria" w:cs="Times New Roman"/>
          <w:color w:val="000000" w:themeColor="text1"/>
        </w:rPr>
        <w:t xml:space="preserve">Department in its advice to </w:t>
      </w:r>
      <w:r w:rsidR="00DE7E59" w:rsidRPr="00DC5592">
        <w:rPr>
          <w:rFonts w:ascii="Cambria" w:hAnsi="Cambria" w:cs="Times New Roman"/>
          <w:color w:val="000000" w:themeColor="text1"/>
        </w:rPr>
        <w:t>Government</w:t>
      </w:r>
      <w:r w:rsidR="00025D35" w:rsidRPr="00DC5592">
        <w:rPr>
          <w:rFonts w:ascii="Cambria" w:hAnsi="Cambria" w:cs="Times New Roman"/>
          <w:color w:val="000000" w:themeColor="text1"/>
        </w:rPr>
        <w:t xml:space="preserve"> </w:t>
      </w:r>
      <w:r w:rsidR="00630DC1" w:rsidRPr="00DC5592">
        <w:rPr>
          <w:rFonts w:ascii="Cambria" w:hAnsi="Cambria" w:cs="Times New Roman"/>
          <w:color w:val="000000" w:themeColor="text1"/>
        </w:rPr>
        <w:t xml:space="preserve">about </w:t>
      </w:r>
      <w:r w:rsidR="00025D35" w:rsidRPr="00DC5592">
        <w:rPr>
          <w:rFonts w:ascii="Cambria" w:hAnsi="Cambria" w:cs="Times New Roman"/>
          <w:color w:val="000000" w:themeColor="text1"/>
        </w:rPr>
        <w:t>whether it is desirable to make amendments to telecommunications regulatory settings that could improve regulatory certainty</w:t>
      </w:r>
      <w:r w:rsidR="006F1918" w:rsidRPr="00DC5592">
        <w:rPr>
          <w:rFonts w:ascii="Cambria" w:hAnsi="Cambria" w:cs="Times New Roman"/>
          <w:color w:val="000000" w:themeColor="text1"/>
        </w:rPr>
        <w:t xml:space="preserve"> around </w:t>
      </w:r>
      <w:r w:rsidR="00D676F7" w:rsidRPr="00DC5592">
        <w:rPr>
          <w:rFonts w:ascii="Cambria" w:hAnsi="Cambria" w:cs="Times New Roman"/>
          <w:color w:val="000000" w:themeColor="text1"/>
        </w:rPr>
        <w:t>vehicle connectivity</w:t>
      </w:r>
      <w:r w:rsidR="00025D35" w:rsidRPr="00DC5592">
        <w:rPr>
          <w:rFonts w:ascii="Cambria" w:hAnsi="Cambria" w:cs="Times New Roman"/>
          <w:color w:val="000000" w:themeColor="text1"/>
        </w:rPr>
        <w:t xml:space="preserve">, </w:t>
      </w:r>
      <w:r w:rsidR="00050EB3">
        <w:rPr>
          <w:rFonts w:ascii="Cambria" w:hAnsi="Cambria" w:cs="Times New Roman"/>
          <w:color w:val="000000" w:themeColor="text1"/>
        </w:rPr>
        <w:t xml:space="preserve">allow for greater competition and innovation in the marketplace and address any potential gaps in the regulatory framework that could impact consumers or the </w:t>
      </w:r>
      <w:r w:rsidR="00025D35" w:rsidRPr="00DC5592">
        <w:rPr>
          <w:rFonts w:ascii="Cambria" w:hAnsi="Cambria" w:cs="Times New Roman"/>
          <w:color w:val="000000" w:themeColor="text1"/>
        </w:rPr>
        <w:t>national interest. We will also consider whether existing key definitions and exemption-making mechanisms in the telecommunications law are well-adapted to the task of managing innovations</w:t>
      </w:r>
      <w:r w:rsidR="006F1918" w:rsidRPr="00DC5592">
        <w:rPr>
          <w:rFonts w:ascii="Cambria" w:hAnsi="Cambria" w:cs="Times New Roman"/>
          <w:color w:val="000000" w:themeColor="text1"/>
        </w:rPr>
        <w:t xml:space="preserve"> such as CAVs</w:t>
      </w:r>
      <w:r w:rsidR="00025D35" w:rsidRPr="00DC5592">
        <w:rPr>
          <w:rFonts w:ascii="Cambria" w:hAnsi="Cambria" w:cs="Times New Roman"/>
          <w:color w:val="000000" w:themeColor="text1"/>
        </w:rPr>
        <w:t xml:space="preserve"> in the market.</w:t>
      </w:r>
    </w:p>
    <w:p w14:paraId="5792BAD9" w14:textId="77777777" w:rsidR="00390268" w:rsidRPr="00DC5592" w:rsidRDefault="00390268" w:rsidP="00581FC1">
      <w:pPr>
        <w:pStyle w:val="Heading2"/>
        <w:rPr>
          <w:rFonts w:ascii="Cambria" w:hAnsi="Cambria"/>
        </w:rPr>
      </w:pPr>
      <w:bookmarkStart w:id="2" w:name="_Toc149033909"/>
      <w:r w:rsidRPr="00DC5592">
        <w:rPr>
          <w:rFonts w:ascii="Cambria" w:hAnsi="Cambria"/>
        </w:rPr>
        <w:t>Executive Summary</w:t>
      </w:r>
      <w:bookmarkEnd w:id="2"/>
    </w:p>
    <w:p w14:paraId="5792BADA" w14:textId="77777777" w:rsidR="000776D7" w:rsidRPr="00DC5592" w:rsidRDefault="00CD2E5E" w:rsidP="00390268">
      <w:pPr>
        <w:rPr>
          <w:rFonts w:ascii="Cambria" w:hAnsi="Cambria"/>
          <w:shd w:val="clear" w:color="auto" w:fill="FFFFFF"/>
        </w:rPr>
      </w:pPr>
      <w:r w:rsidRPr="00DC5592">
        <w:rPr>
          <w:rFonts w:ascii="Cambria" w:hAnsi="Cambria"/>
        </w:rPr>
        <w:t xml:space="preserve">The global connected vehicle market is expected to grow from </w:t>
      </w:r>
      <w:r w:rsidRPr="00DC5592">
        <w:rPr>
          <w:rStyle w:val="Strong"/>
          <w:rFonts w:ascii="Cambria" w:hAnsi="Cambria" w:cs="Arial"/>
          <w:b w:val="0"/>
          <w:bdr w:val="none" w:sz="0" w:space="0" w:color="auto" w:frame="1"/>
        </w:rPr>
        <w:t>US$42.1 billion</w:t>
      </w:r>
      <w:r w:rsidR="00795EBE" w:rsidRPr="00DC5592">
        <w:rPr>
          <w:rStyle w:val="Strong"/>
          <w:rFonts w:ascii="Cambria" w:hAnsi="Cambria" w:cs="Arial"/>
          <w:b w:val="0"/>
          <w:bdr w:val="none" w:sz="0" w:space="0" w:color="auto" w:frame="1"/>
        </w:rPr>
        <w:t xml:space="preserve"> (AUD$61.3 billion)</w:t>
      </w:r>
      <w:r w:rsidRPr="00DC5592">
        <w:rPr>
          <w:rStyle w:val="Strong"/>
          <w:rFonts w:ascii="Cambria" w:hAnsi="Cambria" w:cs="Arial"/>
          <w:b w:val="0"/>
          <w:bdr w:val="none" w:sz="0" w:space="0" w:color="auto" w:frame="1"/>
        </w:rPr>
        <w:t xml:space="preserve"> in 2015 to US$122.51 </w:t>
      </w:r>
      <w:r w:rsidR="008F7AD8" w:rsidRPr="00DC5592">
        <w:rPr>
          <w:rStyle w:val="Strong"/>
          <w:rFonts w:ascii="Cambria" w:hAnsi="Cambria" w:cs="Arial"/>
          <w:b w:val="0"/>
          <w:bdr w:val="none" w:sz="0" w:space="0" w:color="auto" w:frame="1"/>
        </w:rPr>
        <w:t xml:space="preserve">billion (AUD$181.76 </w:t>
      </w:r>
      <w:r w:rsidRPr="00DC5592">
        <w:rPr>
          <w:rStyle w:val="Strong"/>
          <w:rFonts w:ascii="Cambria" w:hAnsi="Cambria" w:cs="Arial"/>
          <w:b w:val="0"/>
          <w:bdr w:val="none" w:sz="0" w:space="0" w:color="auto" w:frame="1"/>
        </w:rPr>
        <w:t>billion</w:t>
      </w:r>
      <w:r w:rsidR="008F7AD8" w:rsidRPr="00DC5592">
        <w:rPr>
          <w:rStyle w:val="Strong"/>
          <w:rFonts w:ascii="Cambria" w:hAnsi="Cambria" w:cs="Arial"/>
          <w:b w:val="0"/>
          <w:bdr w:val="none" w:sz="0" w:space="0" w:color="auto" w:frame="1"/>
        </w:rPr>
        <w:t>)</w:t>
      </w:r>
      <w:r w:rsidRPr="00DC5592">
        <w:rPr>
          <w:rStyle w:val="Strong"/>
          <w:rFonts w:ascii="Cambria" w:hAnsi="Cambria" w:cs="Arial"/>
          <w:b w:val="0"/>
          <w:bdr w:val="none" w:sz="0" w:space="0" w:color="auto" w:frame="1"/>
        </w:rPr>
        <w:t xml:space="preserve"> by the end of 2023</w:t>
      </w:r>
      <w:r w:rsidR="00B72A47" w:rsidRPr="00DC5592">
        <w:rPr>
          <w:rFonts w:ascii="Cambria" w:hAnsi="Cambria"/>
          <w:b/>
        </w:rPr>
        <w:t>.</w:t>
      </w:r>
      <w:r w:rsidRPr="00DC5592">
        <w:rPr>
          <w:rStyle w:val="FootnoteReference"/>
          <w:rFonts w:ascii="Cambria" w:hAnsi="Cambria" w:cs="Arial"/>
        </w:rPr>
        <w:footnoteReference w:id="3"/>
      </w:r>
      <w:r w:rsidRPr="00DC5592">
        <w:rPr>
          <w:rFonts w:ascii="Cambria" w:hAnsi="Cambria" w:cs="Arial"/>
        </w:rPr>
        <w:t xml:space="preserve"> The Asia-Pacific </w:t>
      </w:r>
      <w:r w:rsidR="00590210" w:rsidRPr="00DC5592">
        <w:rPr>
          <w:rFonts w:ascii="Cambria" w:hAnsi="Cambria" w:cs="Arial"/>
        </w:rPr>
        <w:t xml:space="preserve">connected vehicle </w:t>
      </w:r>
      <w:r w:rsidR="00E717EC" w:rsidRPr="00DC5592">
        <w:rPr>
          <w:rFonts w:ascii="Cambria" w:hAnsi="Cambria" w:cs="Arial"/>
        </w:rPr>
        <w:t>m</w:t>
      </w:r>
      <w:r w:rsidRPr="00DC5592">
        <w:rPr>
          <w:rFonts w:ascii="Cambria" w:hAnsi="Cambria" w:cs="Arial"/>
        </w:rPr>
        <w:t xml:space="preserve">arket alone is expected to reach US$47.4 billion </w:t>
      </w:r>
      <w:r w:rsidR="008F7AD8" w:rsidRPr="00DC5592">
        <w:rPr>
          <w:rFonts w:ascii="Cambria" w:hAnsi="Cambria" w:cs="Arial"/>
        </w:rPr>
        <w:t xml:space="preserve">(AUD$70.32 billion) </w:t>
      </w:r>
      <w:r w:rsidRPr="00DC5592">
        <w:rPr>
          <w:rFonts w:ascii="Cambria" w:hAnsi="Cambria" w:cs="Arial"/>
        </w:rPr>
        <w:t xml:space="preserve">by </w:t>
      </w:r>
      <w:r w:rsidR="006643E6" w:rsidRPr="00DC5592">
        <w:rPr>
          <w:rFonts w:ascii="Cambria" w:hAnsi="Cambria" w:cs="Arial"/>
        </w:rPr>
        <w:t xml:space="preserve">the end of </w:t>
      </w:r>
      <w:r w:rsidRPr="00DC5592">
        <w:rPr>
          <w:rFonts w:ascii="Cambria" w:hAnsi="Cambria" w:cs="Arial"/>
        </w:rPr>
        <w:t>2023</w:t>
      </w:r>
      <w:r w:rsidR="003038C9" w:rsidRPr="00DC5592">
        <w:rPr>
          <w:rFonts w:ascii="Cambria" w:hAnsi="Cambria" w:cs="Arial"/>
        </w:rPr>
        <w:t>.</w:t>
      </w:r>
      <w:r w:rsidRPr="00DC5592">
        <w:rPr>
          <w:rStyle w:val="FootnoteReference"/>
          <w:rFonts w:ascii="Cambria" w:hAnsi="Cambria" w:cs="Arial"/>
        </w:rPr>
        <w:footnoteReference w:id="4"/>
      </w:r>
      <w:r w:rsidRPr="00DC5592">
        <w:rPr>
          <w:rFonts w:ascii="Cambria" w:hAnsi="Cambria" w:cs="Arial"/>
        </w:rPr>
        <w:t xml:space="preserve"> </w:t>
      </w:r>
      <w:r w:rsidRPr="00DC5592">
        <w:rPr>
          <w:rFonts w:ascii="Cambria" w:hAnsi="Cambria"/>
          <w:shd w:val="clear" w:color="auto" w:fill="FFFFFF"/>
        </w:rPr>
        <w:t>The global autonomous driving market is forecast to be worth US$173.15 billion</w:t>
      </w:r>
      <w:r w:rsidR="008F7AD8" w:rsidRPr="00DC5592">
        <w:rPr>
          <w:rFonts w:ascii="Cambria" w:hAnsi="Cambria"/>
          <w:shd w:val="clear" w:color="auto" w:fill="FFFFFF"/>
        </w:rPr>
        <w:t xml:space="preserve"> (AUD$256.96 billion)</w:t>
      </w:r>
      <w:r w:rsidRPr="00DC5592">
        <w:rPr>
          <w:rFonts w:ascii="Cambria" w:hAnsi="Cambria"/>
          <w:shd w:val="clear" w:color="auto" w:fill="FFFFFF"/>
        </w:rPr>
        <w:t xml:space="preserve"> by 2030</w:t>
      </w:r>
      <w:r w:rsidR="003038C9" w:rsidRPr="00DC5592">
        <w:rPr>
          <w:rFonts w:ascii="Cambria" w:hAnsi="Cambria"/>
          <w:shd w:val="clear" w:color="auto" w:fill="FFFFFF"/>
        </w:rPr>
        <w:t>.</w:t>
      </w:r>
      <w:r w:rsidRPr="00DC5592">
        <w:rPr>
          <w:rStyle w:val="FootnoteReference"/>
          <w:rFonts w:ascii="Cambria" w:hAnsi="Cambria"/>
          <w:shd w:val="clear" w:color="auto" w:fill="FFFFFF"/>
        </w:rPr>
        <w:footnoteReference w:id="5"/>
      </w:r>
      <w:r w:rsidR="006643E6" w:rsidRPr="00DC5592">
        <w:rPr>
          <w:rFonts w:ascii="Cambria" w:hAnsi="Cambria"/>
          <w:shd w:val="clear" w:color="auto" w:fill="FFFFFF"/>
        </w:rPr>
        <w:t xml:space="preserve"> </w:t>
      </w:r>
    </w:p>
    <w:p w14:paraId="5792BADB" w14:textId="253125E8" w:rsidR="00B72A47" w:rsidRPr="00DC5592" w:rsidRDefault="006643E6" w:rsidP="00390268">
      <w:pPr>
        <w:rPr>
          <w:rFonts w:ascii="Cambria" w:hAnsi="Cambria"/>
        </w:rPr>
      </w:pPr>
      <w:r w:rsidRPr="00DC5592">
        <w:rPr>
          <w:rFonts w:ascii="Cambria" w:hAnsi="Cambria"/>
          <w:shd w:val="clear" w:color="auto" w:fill="FFFFFF"/>
        </w:rPr>
        <w:t>Connected vehicles, and increasingly, automated vehicles</w:t>
      </w:r>
      <w:r w:rsidR="000776D7" w:rsidRPr="00DC5592">
        <w:rPr>
          <w:rFonts w:ascii="Cambria" w:hAnsi="Cambria"/>
          <w:shd w:val="clear" w:color="auto" w:fill="FFFFFF"/>
        </w:rPr>
        <w:t>,</w:t>
      </w:r>
      <w:r w:rsidRPr="00DC5592">
        <w:rPr>
          <w:rFonts w:ascii="Cambria" w:hAnsi="Cambria"/>
          <w:shd w:val="clear" w:color="auto" w:fill="FFFFFF"/>
        </w:rPr>
        <w:t xml:space="preserve"> are accessing telecommunications infrastructure to connect to other vehicles, infrastructure and the internet. </w:t>
      </w:r>
      <w:r w:rsidRPr="00DC5592">
        <w:rPr>
          <w:rFonts w:ascii="Cambria" w:hAnsi="Cambria"/>
        </w:rPr>
        <w:t xml:space="preserve">This connection, </w:t>
      </w:r>
      <w:r w:rsidR="00D676F7" w:rsidRPr="00DC5592">
        <w:rPr>
          <w:rFonts w:ascii="Cambria" w:hAnsi="Cambria"/>
        </w:rPr>
        <w:t xml:space="preserve">as well as </w:t>
      </w:r>
      <w:r w:rsidRPr="00DC5592">
        <w:rPr>
          <w:rFonts w:ascii="Cambria" w:hAnsi="Cambria"/>
        </w:rPr>
        <w:t>the increasing use of SIMs and modems in vehicles to facilitate access, and the movement of data across telecommunications infrastructure</w:t>
      </w:r>
      <w:r w:rsidR="00B72A47" w:rsidRPr="00DC5592">
        <w:rPr>
          <w:rFonts w:ascii="Cambria" w:hAnsi="Cambria"/>
        </w:rPr>
        <w:t xml:space="preserve"> raises </w:t>
      </w:r>
      <w:r w:rsidR="000776D7" w:rsidRPr="00DC5592">
        <w:rPr>
          <w:rFonts w:ascii="Cambria" w:hAnsi="Cambria"/>
        </w:rPr>
        <w:t xml:space="preserve">questions about which entities in this </w:t>
      </w:r>
      <w:r w:rsidR="00B72A47" w:rsidRPr="00DC5592">
        <w:rPr>
          <w:rFonts w:ascii="Cambria" w:hAnsi="Cambria"/>
        </w:rPr>
        <w:t xml:space="preserve">market </w:t>
      </w:r>
      <w:r w:rsidR="000776D7" w:rsidRPr="00DC5592">
        <w:rPr>
          <w:rFonts w:ascii="Cambria" w:hAnsi="Cambria"/>
        </w:rPr>
        <w:t>are</w:t>
      </w:r>
      <w:r w:rsidR="00B72A47" w:rsidRPr="00DC5592">
        <w:rPr>
          <w:rFonts w:ascii="Cambria" w:hAnsi="Cambria"/>
        </w:rPr>
        <w:t xml:space="preserve"> C</w:t>
      </w:r>
      <w:r w:rsidR="003038C9" w:rsidRPr="00DC5592">
        <w:rPr>
          <w:rFonts w:ascii="Cambria" w:hAnsi="Cambria"/>
        </w:rPr>
        <w:t xml:space="preserve">arriage </w:t>
      </w:r>
      <w:r w:rsidR="00B72A47" w:rsidRPr="00DC5592">
        <w:rPr>
          <w:rFonts w:ascii="Cambria" w:hAnsi="Cambria"/>
        </w:rPr>
        <w:t>S</w:t>
      </w:r>
      <w:r w:rsidR="003038C9" w:rsidRPr="00DC5592">
        <w:rPr>
          <w:rFonts w:ascii="Cambria" w:hAnsi="Cambria"/>
        </w:rPr>
        <w:t xml:space="preserve">ervice </w:t>
      </w:r>
      <w:r w:rsidR="00B72A47" w:rsidRPr="00DC5592">
        <w:rPr>
          <w:rFonts w:ascii="Cambria" w:hAnsi="Cambria"/>
        </w:rPr>
        <w:t>P</w:t>
      </w:r>
      <w:r w:rsidR="003038C9" w:rsidRPr="00DC5592">
        <w:rPr>
          <w:rFonts w:ascii="Cambria" w:hAnsi="Cambria"/>
        </w:rPr>
        <w:t>rovider</w:t>
      </w:r>
      <w:r w:rsidR="000776D7" w:rsidRPr="00DC5592">
        <w:rPr>
          <w:rFonts w:ascii="Cambria" w:hAnsi="Cambria"/>
        </w:rPr>
        <w:t>s</w:t>
      </w:r>
      <w:r w:rsidR="003038C9" w:rsidRPr="00DC5592">
        <w:rPr>
          <w:rFonts w:ascii="Cambria" w:hAnsi="Cambria"/>
        </w:rPr>
        <w:t xml:space="preserve"> (CSP</w:t>
      </w:r>
      <w:r w:rsidR="00737EBB">
        <w:rPr>
          <w:rFonts w:ascii="Cambria" w:hAnsi="Cambria"/>
        </w:rPr>
        <w:t>s</w:t>
      </w:r>
      <w:r w:rsidR="003038C9" w:rsidRPr="00DC5592">
        <w:rPr>
          <w:rFonts w:ascii="Cambria" w:hAnsi="Cambria"/>
        </w:rPr>
        <w:t>)</w:t>
      </w:r>
      <w:r w:rsidR="00B72A47" w:rsidRPr="00DC5592">
        <w:rPr>
          <w:rFonts w:ascii="Cambria" w:hAnsi="Cambria"/>
        </w:rPr>
        <w:t xml:space="preserve"> or </w:t>
      </w:r>
      <w:r w:rsidR="00BE3984" w:rsidRPr="00DC5592">
        <w:rPr>
          <w:rFonts w:ascii="Cambria" w:hAnsi="Cambria"/>
        </w:rPr>
        <w:t>Carriage Service Intermediar</w:t>
      </w:r>
      <w:r w:rsidR="000776D7" w:rsidRPr="00DC5592">
        <w:rPr>
          <w:rFonts w:ascii="Cambria" w:hAnsi="Cambria"/>
        </w:rPr>
        <w:t>ies</w:t>
      </w:r>
      <w:r w:rsidR="00BE3984" w:rsidRPr="00DC5592">
        <w:rPr>
          <w:rFonts w:ascii="Cambria" w:hAnsi="Cambria"/>
        </w:rPr>
        <w:t xml:space="preserve"> (</w:t>
      </w:r>
      <w:r w:rsidR="00B72A47" w:rsidRPr="00DC5592">
        <w:rPr>
          <w:rFonts w:ascii="Cambria" w:hAnsi="Cambria"/>
        </w:rPr>
        <w:t>CSI</w:t>
      </w:r>
      <w:r w:rsidR="00737EBB">
        <w:rPr>
          <w:rFonts w:ascii="Cambria" w:hAnsi="Cambria"/>
        </w:rPr>
        <w:t>s</w:t>
      </w:r>
      <w:r w:rsidR="00BE3984" w:rsidRPr="00DC5592">
        <w:rPr>
          <w:rFonts w:ascii="Cambria" w:hAnsi="Cambria"/>
        </w:rPr>
        <w:t>)</w:t>
      </w:r>
      <w:r w:rsidR="00B72A47" w:rsidRPr="00DC5592">
        <w:rPr>
          <w:rFonts w:ascii="Cambria" w:hAnsi="Cambria"/>
        </w:rPr>
        <w:t xml:space="preserve">, </w:t>
      </w:r>
      <w:r w:rsidR="00D676F7" w:rsidRPr="00DC5592">
        <w:rPr>
          <w:rFonts w:ascii="Cambria" w:hAnsi="Cambria"/>
        </w:rPr>
        <w:t>along with</w:t>
      </w:r>
      <w:r w:rsidR="00B72A47" w:rsidRPr="00DC5592">
        <w:rPr>
          <w:rFonts w:ascii="Cambria" w:hAnsi="Cambria"/>
        </w:rPr>
        <w:t xml:space="preserve"> </w:t>
      </w:r>
      <w:r w:rsidR="000776D7" w:rsidRPr="00DC5592">
        <w:rPr>
          <w:rFonts w:ascii="Cambria" w:hAnsi="Cambria"/>
        </w:rPr>
        <w:t>the extent to which</w:t>
      </w:r>
      <w:r w:rsidR="00B72A47" w:rsidRPr="00DC5592">
        <w:rPr>
          <w:rFonts w:ascii="Cambria" w:hAnsi="Cambria"/>
        </w:rPr>
        <w:t xml:space="preserve"> the standard obligations associated with those </w:t>
      </w:r>
      <w:r w:rsidR="000776D7" w:rsidRPr="00DC5592">
        <w:rPr>
          <w:rFonts w:ascii="Cambria" w:hAnsi="Cambria"/>
        </w:rPr>
        <w:t>definitions</w:t>
      </w:r>
      <w:r w:rsidR="00B72A47" w:rsidRPr="00DC5592">
        <w:rPr>
          <w:rFonts w:ascii="Cambria" w:hAnsi="Cambria"/>
        </w:rPr>
        <w:t xml:space="preserve"> should apply</w:t>
      </w:r>
      <w:r w:rsidR="000776D7" w:rsidRPr="00DC5592">
        <w:rPr>
          <w:rFonts w:ascii="Cambria" w:hAnsi="Cambria"/>
        </w:rPr>
        <w:t xml:space="preserve"> to particular parts of the industry</w:t>
      </w:r>
      <w:r w:rsidR="00B72A47" w:rsidRPr="00DC5592">
        <w:rPr>
          <w:rFonts w:ascii="Cambria" w:hAnsi="Cambria"/>
        </w:rPr>
        <w:t>.</w:t>
      </w:r>
      <w:r w:rsidRPr="00DC5592">
        <w:rPr>
          <w:rFonts w:ascii="Cambria" w:hAnsi="Cambria"/>
        </w:rPr>
        <w:t xml:space="preserve"> </w:t>
      </w:r>
    </w:p>
    <w:p w14:paraId="5792BADC" w14:textId="77777777" w:rsidR="00437B5B" w:rsidRPr="00DC5592" w:rsidRDefault="00437B5B" w:rsidP="00390268">
      <w:pPr>
        <w:rPr>
          <w:rFonts w:ascii="Cambria" w:hAnsi="Cambria"/>
        </w:rPr>
      </w:pPr>
      <w:r w:rsidRPr="00DC5592">
        <w:rPr>
          <w:rFonts w:ascii="Cambria" w:hAnsi="Cambria"/>
        </w:rPr>
        <w:t xml:space="preserve">This paper explores </w:t>
      </w:r>
      <w:r w:rsidR="00273566" w:rsidRPr="00DC5592">
        <w:rPr>
          <w:rFonts w:ascii="Cambria" w:hAnsi="Cambria"/>
        </w:rPr>
        <w:t>this, as well as other</w:t>
      </w:r>
      <w:r w:rsidRPr="00DC5592">
        <w:rPr>
          <w:rFonts w:ascii="Cambria" w:hAnsi="Cambria"/>
        </w:rPr>
        <w:t xml:space="preserve"> questions</w:t>
      </w:r>
      <w:r w:rsidR="00273566" w:rsidRPr="00DC5592">
        <w:rPr>
          <w:rFonts w:ascii="Cambria" w:hAnsi="Cambria"/>
        </w:rPr>
        <w:t>,</w:t>
      </w:r>
      <w:r w:rsidRPr="00DC5592">
        <w:rPr>
          <w:rFonts w:ascii="Cambria" w:hAnsi="Cambria"/>
        </w:rPr>
        <w:t xml:space="preserve"> by providing a brief overview of </w:t>
      </w:r>
      <w:r w:rsidR="009D25CB" w:rsidRPr="00DC5592">
        <w:rPr>
          <w:rFonts w:ascii="Cambria" w:hAnsi="Cambria"/>
        </w:rPr>
        <w:t>CAV</w:t>
      </w:r>
      <w:r w:rsidRPr="00DC5592">
        <w:rPr>
          <w:rFonts w:ascii="Cambria" w:hAnsi="Cambria"/>
        </w:rPr>
        <w:t xml:space="preserve"> technology, the different </w:t>
      </w:r>
      <w:r w:rsidR="009D25CB" w:rsidRPr="00DC5592">
        <w:rPr>
          <w:rFonts w:ascii="Cambria" w:hAnsi="Cambria"/>
        </w:rPr>
        <w:t xml:space="preserve">ways </w:t>
      </w:r>
      <w:r w:rsidR="001472A3" w:rsidRPr="00DC5592">
        <w:rPr>
          <w:rFonts w:ascii="Cambria" w:hAnsi="Cambria"/>
        </w:rPr>
        <w:t>connected vehicles</w:t>
      </w:r>
      <w:r w:rsidR="009D25CB" w:rsidRPr="00DC5592">
        <w:rPr>
          <w:rFonts w:ascii="Cambria" w:hAnsi="Cambria"/>
        </w:rPr>
        <w:t xml:space="preserve"> use telecommunications infrastructure and</w:t>
      </w:r>
      <w:r w:rsidRPr="00DC5592">
        <w:rPr>
          <w:rFonts w:ascii="Cambria" w:hAnsi="Cambria"/>
        </w:rPr>
        <w:t xml:space="preserve"> how the current regulatory arrangements apply. </w:t>
      </w:r>
      <w:r w:rsidR="00630DC1" w:rsidRPr="00DC5592">
        <w:rPr>
          <w:rFonts w:ascii="Cambria" w:hAnsi="Cambria"/>
        </w:rPr>
        <w:t>T</w:t>
      </w:r>
      <w:r w:rsidRPr="00DC5592">
        <w:rPr>
          <w:rFonts w:ascii="Cambria" w:hAnsi="Cambria"/>
        </w:rPr>
        <w:t xml:space="preserve">he paper questions whether the current arrangements are appropriate, and whether they need to be </w:t>
      </w:r>
      <w:r w:rsidR="000776D7" w:rsidRPr="00DC5592">
        <w:rPr>
          <w:rFonts w:ascii="Cambria" w:hAnsi="Cambria"/>
        </w:rPr>
        <w:t>changed</w:t>
      </w:r>
      <w:r w:rsidRPr="00DC5592">
        <w:rPr>
          <w:rFonts w:ascii="Cambria" w:hAnsi="Cambria"/>
        </w:rPr>
        <w:t xml:space="preserve"> to better acknowledge the complexities of </w:t>
      </w:r>
      <w:r w:rsidR="00B72A47" w:rsidRPr="00DC5592">
        <w:rPr>
          <w:rFonts w:ascii="Cambria" w:hAnsi="Cambria"/>
        </w:rPr>
        <w:t xml:space="preserve">the </w:t>
      </w:r>
      <w:r w:rsidR="009D25CB" w:rsidRPr="00DC5592">
        <w:rPr>
          <w:rFonts w:ascii="Cambria" w:hAnsi="Cambria"/>
        </w:rPr>
        <w:t>CAV</w:t>
      </w:r>
      <w:r w:rsidR="00B72A47" w:rsidRPr="00DC5592">
        <w:rPr>
          <w:rFonts w:ascii="Cambria" w:hAnsi="Cambria"/>
        </w:rPr>
        <w:t xml:space="preserve"> environment</w:t>
      </w:r>
      <w:r w:rsidRPr="00DC5592">
        <w:rPr>
          <w:rFonts w:ascii="Cambria" w:hAnsi="Cambria"/>
        </w:rPr>
        <w:t>. In doing so, the application of the fundamental regulatory definitions is discussed in the context of</w:t>
      </w:r>
      <w:r w:rsidR="008460D0" w:rsidRPr="00DC5592">
        <w:rPr>
          <w:rFonts w:ascii="Cambria" w:hAnsi="Cambria"/>
        </w:rPr>
        <w:t xml:space="preserve"> whether there are</w:t>
      </w:r>
      <w:r w:rsidRPr="00DC5592">
        <w:rPr>
          <w:rFonts w:ascii="Cambria" w:hAnsi="Cambria"/>
        </w:rPr>
        <w:t xml:space="preserve"> potential gaps and </w:t>
      </w:r>
      <w:r w:rsidR="008460D0" w:rsidRPr="00DC5592">
        <w:rPr>
          <w:rFonts w:ascii="Cambria" w:hAnsi="Cambria"/>
        </w:rPr>
        <w:t xml:space="preserve">cases of regulatory </w:t>
      </w:r>
      <w:r w:rsidRPr="00DC5592">
        <w:rPr>
          <w:rFonts w:ascii="Cambria" w:hAnsi="Cambria"/>
        </w:rPr>
        <w:t>overreach</w:t>
      </w:r>
      <w:r w:rsidR="008460D0" w:rsidRPr="00DC5592">
        <w:rPr>
          <w:rFonts w:ascii="Cambria" w:hAnsi="Cambria"/>
        </w:rPr>
        <w:t>.</w:t>
      </w:r>
    </w:p>
    <w:p w14:paraId="5792BADD" w14:textId="77777777" w:rsidR="008460D0" w:rsidRPr="00DC5592" w:rsidRDefault="008460D0" w:rsidP="00E45513">
      <w:pPr>
        <w:rPr>
          <w:rFonts w:ascii="Cambria" w:hAnsi="Cambria"/>
        </w:rPr>
      </w:pPr>
      <w:r w:rsidRPr="00DC5592">
        <w:rPr>
          <w:rFonts w:ascii="Cambria" w:hAnsi="Cambria"/>
        </w:rPr>
        <w:t xml:space="preserve">Finally, the paper raises a series of potential questions for stakeholders. The responses to such questions would assist the Government to consider </w:t>
      </w:r>
      <w:r w:rsidR="000B4E04" w:rsidRPr="00DC5592">
        <w:rPr>
          <w:rFonts w:ascii="Cambria" w:hAnsi="Cambria"/>
        </w:rPr>
        <w:t>what</w:t>
      </w:r>
      <w:r w:rsidRPr="00DC5592">
        <w:rPr>
          <w:rFonts w:ascii="Cambria" w:hAnsi="Cambria"/>
        </w:rPr>
        <w:t xml:space="preserve"> reform is necessary to accommodate the increasing prevalence of </w:t>
      </w:r>
      <w:r w:rsidR="001472A3" w:rsidRPr="00DC5592">
        <w:rPr>
          <w:rFonts w:ascii="Cambria" w:hAnsi="Cambria"/>
        </w:rPr>
        <w:t>vehicle connectivity</w:t>
      </w:r>
      <w:r w:rsidRPr="00DC5592">
        <w:rPr>
          <w:rFonts w:ascii="Cambria" w:hAnsi="Cambria"/>
        </w:rPr>
        <w:t>.</w:t>
      </w:r>
    </w:p>
    <w:p w14:paraId="5792BADE" w14:textId="77777777" w:rsidR="00352228" w:rsidRPr="00DC5592" w:rsidRDefault="00352228" w:rsidP="00581FC1">
      <w:pPr>
        <w:pStyle w:val="Heading2"/>
        <w:rPr>
          <w:rFonts w:ascii="Cambria" w:hAnsi="Cambria"/>
        </w:rPr>
      </w:pPr>
      <w:bookmarkStart w:id="3" w:name="_Toc149033910"/>
      <w:r w:rsidRPr="00DC5592">
        <w:rPr>
          <w:rFonts w:ascii="Cambria" w:hAnsi="Cambria"/>
        </w:rPr>
        <w:lastRenderedPageBreak/>
        <w:t xml:space="preserve">What </w:t>
      </w:r>
      <w:r w:rsidR="00203CE5" w:rsidRPr="00DC5592">
        <w:rPr>
          <w:rFonts w:ascii="Cambria" w:hAnsi="Cambria"/>
        </w:rPr>
        <w:t xml:space="preserve">are </w:t>
      </w:r>
      <w:r w:rsidR="005D462D" w:rsidRPr="00DC5592">
        <w:rPr>
          <w:rFonts w:ascii="Cambria" w:hAnsi="Cambria"/>
        </w:rPr>
        <w:t>CAVs</w:t>
      </w:r>
      <w:r w:rsidRPr="00DC5592">
        <w:rPr>
          <w:rFonts w:ascii="Cambria" w:hAnsi="Cambria"/>
        </w:rPr>
        <w:t>?</w:t>
      </w:r>
      <w:bookmarkEnd w:id="3"/>
    </w:p>
    <w:p w14:paraId="5792BADF" w14:textId="77777777" w:rsidR="00FF013D" w:rsidRPr="00DC5592" w:rsidRDefault="00203CE5" w:rsidP="00581FC1">
      <w:pPr>
        <w:pStyle w:val="Heading3"/>
        <w:rPr>
          <w:rFonts w:ascii="Cambria" w:hAnsi="Cambria"/>
        </w:rPr>
      </w:pPr>
      <w:bookmarkStart w:id="4" w:name="_Toc149033911"/>
      <w:r w:rsidRPr="00DC5592">
        <w:rPr>
          <w:rFonts w:ascii="Cambria" w:hAnsi="Cambria"/>
        </w:rPr>
        <w:t>Connect</w:t>
      </w:r>
      <w:r w:rsidR="007F306C" w:rsidRPr="00DC5592">
        <w:rPr>
          <w:rFonts w:ascii="Cambria" w:hAnsi="Cambria"/>
        </w:rPr>
        <w:t>ed</w:t>
      </w:r>
      <w:r w:rsidRPr="00DC5592">
        <w:rPr>
          <w:rFonts w:ascii="Cambria" w:hAnsi="Cambria"/>
        </w:rPr>
        <w:t xml:space="preserve"> Vehicles</w:t>
      </w:r>
      <w:bookmarkEnd w:id="4"/>
    </w:p>
    <w:p w14:paraId="5792BAE0" w14:textId="77777777" w:rsidR="003C6494" w:rsidRPr="00DC5592" w:rsidRDefault="00230F3B" w:rsidP="00BF312B">
      <w:pPr>
        <w:rPr>
          <w:rFonts w:ascii="Cambria" w:hAnsi="Cambria"/>
        </w:rPr>
      </w:pPr>
      <w:r w:rsidRPr="00DC5592">
        <w:rPr>
          <w:rFonts w:ascii="Cambria" w:hAnsi="Cambria"/>
        </w:rPr>
        <w:t>Connected vehicles</w:t>
      </w:r>
      <w:bookmarkStart w:id="5" w:name="_Hlk133701755"/>
      <w:r w:rsidRPr="00DC5592">
        <w:rPr>
          <w:rFonts w:ascii="Cambria" w:hAnsi="Cambria"/>
        </w:rPr>
        <w:t xml:space="preserve"> use information and communication</w:t>
      </w:r>
      <w:r w:rsidR="000776D7" w:rsidRPr="00DC5592">
        <w:rPr>
          <w:rFonts w:ascii="Cambria" w:hAnsi="Cambria"/>
        </w:rPr>
        <w:t>s</w:t>
      </w:r>
      <w:r w:rsidRPr="00DC5592">
        <w:rPr>
          <w:rFonts w:ascii="Cambria" w:hAnsi="Cambria"/>
        </w:rPr>
        <w:t xml:space="preserve"> technologies to </w:t>
      </w:r>
      <w:r w:rsidR="008C7B2A" w:rsidRPr="00DC5592">
        <w:rPr>
          <w:rFonts w:ascii="Cambria" w:hAnsi="Cambria"/>
        </w:rPr>
        <w:t xml:space="preserve">share data and </w:t>
      </w:r>
      <w:r w:rsidRPr="00DC5592">
        <w:rPr>
          <w:rFonts w:ascii="Cambria" w:hAnsi="Cambria"/>
        </w:rPr>
        <w:t>communicate with the driver, other road users, roadside infrastructure and other wireless</w:t>
      </w:r>
      <w:r w:rsidR="00CF46C1" w:rsidRPr="00DC5592">
        <w:rPr>
          <w:rFonts w:ascii="Cambria" w:hAnsi="Cambria"/>
        </w:rPr>
        <w:t xml:space="preserve"> </w:t>
      </w:r>
      <w:r w:rsidRPr="00DC5592">
        <w:rPr>
          <w:rFonts w:ascii="Cambria" w:hAnsi="Cambria"/>
        </w:rPr>
        <w:t>services</w:t>
      </w:r>
      <w:bookmarkEnd w:id="5"/>
      <w:r w:rsidR="00780123" w:rsidRPr="00DC5592">
        <w:rPr>
          <w:rFonts w:ascii="Cambria" w:hAnsi="Cambria"/>
        </w:rPr>
        <w:t>.</w:t>
      </w:r>
      <w:r w:rsidR="00CF46C1" w:rsidRPr="00DC5592">
        <w:rPr>
          <w:rStyle w:val="FootnoteReference"/>
          <w:rFonts w:ascii="Cambria" w:hAnsi="Cambria"/>
        </w:rPr>
        <w:footnoteReference w:id="6"/>
      </w:r>
      <w:r w:rsidRPr="00DC5592">
        <w:rPr>
          <w:rFonts w:ascii="Cambria" w:hAnsi="Cambria"/>
        </w:rPr>
        <w:t xml:space="preserve"> </w:t>
      </w:r>
    </w:p>
    <w:p w14:paraId="5792BAE1" w14:textId="77777777" w:rsidR="00CF46C1" w:rsidRPr="00DC5592" w:rsidRDefault="00CF46C1" w:rsidP="00CF46C1">
      <w:pPr>
        <w:rPr>
          <w:rFonts w:ascii="Cambria" w:hAnsi="Cambria"/>
        </w:rPr>
      </w:pPr>
      <w:r w:rsidRPr="00DC5592">
        <w:rPr>
          <w:rFonts w:ascii="Cambria" w:hAnsi="Cambria"/>
        </w:rPr>
        <w:t xml:space="preserve">There are </w:t>
      </w:r>
      <w:r w:rsidR="00934436" w:rsidRPr="00DC5592">
        <w:rPr>
          <w:rFonts w:ascii="Cambria" w:hAnsi="Cambria"/>
        </w:rPr>
        <w:t>multiple</w:t>
      </w:r>
      <w:r w:rsidRPr="00DC5592">
        <w:rPr>
          <w:rFonts w:ascii="Cambria" w:hAnsi="Cambria"/>
        </w:rPr>
        <w:t xml:space="preserve"> ways a vehicle can be connected to its surroundings and communicate with them</w:t>
      </w:r>
      <w:r w:rsidR="00780123" w:rsidRPr="00DC5592">
        <w:rPr>
          <w:rFonts w:ascii="Cambria" w:hAnsi="Cambria"/>
        </w:rPr>
        <w:t>:</w:t>
      </w:r>
      <w:r w:rsidR="00B459F0" w:rsidRPr="00DC5592">
        <w:rPr>
          <w:rStyle w:val="FootnoteReference"/>
          <w:rFonts w:ascii="Cambria" w:hAnsi="Cambria"/>
        </w:rPr>
        <w:footnoteReference w:id="7"/>
      </w:r>
    </w:p>
    <w:p w14:paraId="5792BAE2" w14:textId="1439DBD5" w:rsidR="00A82DA1" w:rsidRPr="00DC5592" w:rsidRDefault="00A82DA1" w:rsidP="00A82DA1">
      <w:pPr>
        <w:numPr>
          <w:ilvl w:val="0"/>
          <w:numId w:val="48"/>
        </w:numPr>
        <w:rPr>
          <w:rFonts w:ascii="Cambria" w:hAnsi="Cambria"/>
        </w:rPr>
      </w:pPr>
      <w:r w:rsidRPr="00DC5592">
        <w:rPr>
          <w:rFonts w:ascii="Cambria" w:hAnsi="Cambria"/>
          <w:b/>
        </w:rPr>
        <w:t>Embedded Mobile Connectivity</w:t>
      </w:r>
      <w:r w:rsidR="00737EBB" w:rsidRPr="00DC5592">
        <w:rPr>
          <w:rFonts w:ascii="Cambria" w:hAnsi="Cambria"/>
        </w:rPr>
        <w:t xml:space="preserve"> – </w:t>
      </w:r>
      <w:r w:rsidR="006D4ABC" w:rsidRPr="00DC5592">
        <w:rPr>
          <w:rFonts w:ascii="Cambria" w:hAnsi="Cambria"/>
        </w:rPr>
        <w:t xml:space="preserve">This involves creating an internet connection through a SIM and </w:t>
      </w:r>
      <w:r w:rsidR="00183F29" w:rsidRPr="00DC5592">
        <w:rPr>
          <w:rFonts w:ascii="Cambria" w:hAnsi="Cambria"/>
        </w:rPr>
        <w:t>modem</w:t>
      </w:r>
      <w:r w:rsidR="003750A4">
        <w:rPr>
          <w:rFonts w:ascii="Cambria" w:hAnsi="Cambria"/>
        </w:rPr>
        <w:t xml:space="preserve"> </w:t>
      </w:r>
      <w:r w:rsidR="00B97518">
        <w:rPr>
          <w:rFonts w:ascii="Cambria" w:hAnsi="Cambria"/>
        </w:rPr>
        <w:t>and can be built into the vehicle or added after purchase</w:t>
      </w:r>
      <w:r w:rsidR="006D4ABC" w:rsidRPr="00DC5592">
        <w:rPr>
          <w:rFonts w:ascii="Cambria" w:hAnsi="Cambria"/>
        </w:rPr>
        <w:t>.</w:t>
      </w:r>
      <w:r w:rsidR="0010291A" w:rsidRPr="00DC5592">
        <w:rPr>
          <w:rFonts w:ascii="Cambria" w:hAnsi="Cambria"/>
        </w:rPr>
        <w:t xml:space="preserve"> This technology is already in the Australian market, but not yet widespread.</w:t>
      </w:r>
    </w:p>
    <w:p w14:paraId="5792BAE3" w14:textId="0AB34157" w:rsidR="00A82DA1" w:rsidRPr="00DC5592" w:rsidRDefault="00A82DA1" w:rsidP="00A82DA1">
      <w:pPr>
        <w:numPr>
          <w:ilvl w:val="0"/>
          <w:numId w:val="48"/>
        </w:numPr>
        <w:rPr>
          <w:rFonts w:ascii="Cambria" w:hAnsi="Cambria"/>
        </w:rPr>
      </w:pPr>
      <w:r w:rsidRPr="00DC5592">
        <w:rPr>
          <w:rFonts w:ascii="Cambria" w:hAnsi="Cambria"/>
        </w:rPr>
        <w:t xml:space="preserve"> </w:t>
      </w:r>
      <w:r w:rsidRPr="00DC5592">
        <w:rPr>
          <w:rFonts w:ascii="Cambria" w:hAnsi="Cambria"/>
          <w:b/>
        </w:rPr>
        <w:t>C-ITS connectivity</w:t>
      </w:r>
      <w:r w:rsidR="00737EBB" w:rsidRPr="00DC5592">
        <w:rPr>
          <w:rFonts w:ascii="Cambria" w:hAnsi="Cambria"/>
        </w:rPr>
        <w:t xml:space="preserve"> – </w:t>
      </w:r>
      <w:r w:rsidR="00407FD0" w:rsidRPr="00DC5592">
        <w:rPr>
          <w:rFonts w:ascii="Cambria" w:hAnsi="Cambria"/>
        </w:rPr>
        <w:t>Co-Operative Intelligent Transport Systems (C-ITS) use</w:t>
      </w:r>
      <w:r w:rsidRPr="00DC5592">
        <w:rPr>
          <w:rFonts w:ascii="Cambria" w:hAnsi="Cambria"/>
        </w:rPr>
        <w:t xml:space="preserve"> both long range </w:t>
      </w:r>
      <w:r w:rsidR="00407FD0" w:rsidRPr="00DC5592">
        <w:rPr>
          <w:rFonts w:ascii="Cambria" w:hAnsi="Cambria"/>
        </w:rPr>
        <w:t>and</w:t>
      </w:r>
      <w:r w:rsidRPr="00DC5592">
        <w:rPr>
          <w:rFonts w:ascii="Cambria" w:hAnsi="Cambria"/>
        </w:rPr>
        <w:t xml:space="preserve"> </w:t>
      </w:r>
      <w:proofErr w:type="gramStart"/>
      <w:r w:rsidRPr="00DC5592">
        <w:rPr>
          <w:rFonts w:ascii="Cambria" w:hAnsi="Cambria"/>
        </w:rPr>
        <w:t>short range</w:t>
      </w:r>
      <w:proofErr w:type="gramEnd"/>
      <w:r w:rsidRPr="00DC5592">
        <w:rPr>
          <w:rFonts w:ascii="Cambria" w:hAnsi="Cambria"/>
        </w:rPr>
        <w:t xml:space="preserve"> </w:t>
      </w:r>
      <w:r w:rsidR="00407FD0" w:rsidRPr="00DC5592">
        <w:rPr>
          <w:rFonts w:ascii="Cambria" w:hAnsi="Cambria"/>
        </w:rPr>
        <w:t xml:space="preserve">communication, either through mobile network infrastructure or via </w:t>
      </w:r>
      <w:r w:rsidRPr="00DC5592">
        <w:rPr>
          <w:rFonts w:ascii="Cambria" w:hAnsi="Cambria"/>
        </w:rPr>
        <w:t>direct wireless communications</w:t>
      </w:r>
      <w:r w:rsidR="00407FD0" w:rsidRPr="00DC5592">
        <w:rPr>
          <w:rFonts w:ascii="Cambria" w:hAnsi="Cambria"/>
        </w:rPr>
        <w:t>, thus allowing vehicle to infrastructure (V2I), vehicle to vehicle (V2V) or vehicle to everything (V2X) connectivity.</w:t>
      </w:r>
      <w:r w:rsidR="00714479" w:rsidRPr="00DC5592">
        <w:rPr>
          <w:rFonts w:ascii="Cambria" w:hAnsi="Cambria"/>
        </w:rPr>
        <w:t xml:space="preserve"> This technology is likely to be in the Australian market in the near future.</w:t>
      </w:r>
    </w:p>
    <w:p w14:paraId="5792BAE4" w14:textId="0246C866" w:rsidR="00A82DA1" w:rsidRPr="00DC5592" w:rsidRDefault="00A82DA1" w:rsidP="00A82DA1">
      <w:pPr>
        <w:numPr>
          <w:ilvl w:val="0"/>
          <w:numId w:val="48"/>
        </w:numPr>
        <w:rPr>
          <w:rFonts w:ascii="Cambria" w:hAnsi="Cambria"/>
        </w:rPr>
      </w:pPr>
      <w:r w:rsidRPr="00DC5592">
        <w:rPr>
          <w:rFonts w:ascii="Cambria" w:hAnsi="Cambria"/>
          <w:b/>
        </w:rPr>
        <w:t>Telematics</w:t>
      </w:r>
      <w:r w:rsidR="00737EBB" w:rsidRPr="00DC5592">
        <w:rPr>
          <w:rFonts w:ascii="Cambria" w:hAnsi="Cambria"/>
        </w:rPr>
        <w:t xml:space="preserve"> – </w:t>
      </w:r>
      <w:r w:rsidR="00714479" w:rsidRPr="00DC5592">
        <w:rPr>
          <w:rFonts w:ascii="Cambria" w:hAnsi="Cambria"/>
        </w:rPr>
        <w:t>V</w:t>
      </w:r>
      <w:r w:rsidR="006D4ABC" w:rsidRPr="00DC5592">
        <w:rPr>
          <w:rFonts w:ascii="Cambria" w:hAnsi="Cambria"/>
        </w:rPr>
        <w:t>ehicle telemetry uses a vehicle</w:t>
      </w:r>
      <w:r w:rsidR="003B7838" w:rsidRPr="00DC5592">
        <w:rPr>
          <w:rFonts w:ascii="Cambria" w:hAnsi="Cambria"/>
        </w:rPr>
        <w:t>’</w:t>
      </w:r>
      <w:r w:rsidR="006D4ABC" w:rsidRPr="00DC5592">
        <w:rPr>
          <w:rFonts w:ascii="Cambria" w:hAnsi="Cambria"/>
        </w:rPr>
        <w:t xml:space="preserve">s embedded </w:t>
      </w:r>
      <w:r w:rsidR="003B7838" w:rsidRPr="00DC5592">
        <w:rPr>
          <w:rFonts w:ascii="Cambria" w:hAnsi="Cambria"/>
        </w:rPr>
        <w:t>mobile con</w:t>
      </w:r>
      <w:r w:rsidR="00437C4A" w:rsidRPr="00DC5592">
        <w:rPr>
          <w:rFonts w:ascii="Cambria" w:hAnsi="Cambria"/>
        </w:rPr>
        <w:t>n</w:t>
      </w:r>
      <w:r w:rsidR="003B7838" w:rsidRPr="00DC5592">
        <w:rPr>
          <w:rFonts w:ascii="Cambria" w:hAnsi="Cambria"/>
        </w:rPr>
        <w:t>ectivity</w:t>
      </w:r>
      <w:r w:rsidR="006D4ABC" w:rsidRPr="00DC5592">
        <w:rPr>
          <w:rFonts w:ascii="Cambria" w:hAnsi="Cambria"/>
        </w:rPr>
        <w:t xml:space="preserve"> to send data generated by </w:t>
      </w:r>
      <w:r w:rsidR="00A77581" w:rsidRPr="00DC5592">
        <w:rPr>
          <w:rFonts w:ascii="Cambria" w:hAnsi="Cambria"/>
        </w:rPr>
        <w:t xml:space="preserve">sensors within </w:t>
      </w:r>
      <w:r w:rsidR="006D4ABC" w:rsidRPr="00DC5592">
        <w:rPr>
          <w:rFonts w:ascii="Cambria" w:hAnsi="Cambria"/>
        </w:rPr>
        <w:t>the vehicle to the manufacturer via</w:t>
      </w:r>
      <w:r w:rsidR="00985345" w:rsidRPr="00DC5592">
        <w:rPr>
          <w:rFonts w:ascii="Cambria" w:hAnsi="Cambria"/>
        </w:rPr>
        <w:t xml:space="preserve"> existing mobile networks</w:t>
      </w:r>
      <w:r w:rsidR="00010FA9" w:rsidRPr="00DC5592">
        <w:rPr>
          <w:rFonts w:ascii="Cambria" w:hAnsi="Cambria"/>
        </w:rPr>
        <w:t>.</w:t>
      </w:r>
      <w:r w:rsidR="00714479" w:rsidRPr="00DC5592">
        <w:rPr>
          <w:rFonts w:ascii="Cambria" w:hAnsi="Cambria"/>
        </w:rPr>
        <w:t xml:space="preserve"> This technology is already in the Australian market.</w:t>
      </w:r>
    </w:p>
    <w:p w14:paraId="5792BAE5" w14:textId="77777777" w:rsidR="00A82DA1" w:rsidRPr="00DC5592" w:rsidRDefault="00A82DA1" w:rsidP="00A82DA1">
      <w:pPr>
        <w:numPr>
          <w:ilvl w:val="0"/>
          <w:numId w:val="48"/>
        </w:numPr>
        <w:rPr>
          <w:rFonts w:ascii="Cambria" w:hAnsi="Cambria"/>
        </w:rPr>
      </w:pPr>
      <w:r w:rsidRPr="00DC5592">
        <w:rPr>
          <w:rFonts w:ascii="Cambria" w:hAnsi="Cambria"/>
        </w:rPr>
        <w:t xml:space="preserve"> </w:t>
      </w:r>
      <w:proofErr w:type="spellStart"/>
      <w:r w:rsidRPr="00DC5592">
        <w:rPr>
          <w:rFonts w:ascii="Cambria" w:hAnsi="Cambria"/>
          <w:b/>
        </w:rPr>
        <w:t>eCall</w:t>
      </w:r>
      <w:proofErr w:type="spellEnd"/>
      <w:r w:rsidRPr="00DC5592">
        <w:rPr>
          <w:rFonts w:ascii="Cambria" w:hAnsi="Cambria"/>
          <w:b/>
        </w:rPr>
        <w:t xml:space="preserve"> or similar</w:t>
      </w:r>
      <w:r w:rsidRPr="00DC5592">
        <w:rPr>
          <w:rFonts w:ascii="Cambria" w:hAnsi="Cambria"/>
        </w:rPr>
        <w:t xml:space="preserve"> – </w:t>
      </w:r>
      <w:r w:rsidR="00BB2C53">
        <w:rPr>
          <w:rFonts w:ascii="Cambria" w:hAnsi="Cambria"/>
        </w:rPr>
        <w:t>S</w:t>
      </w:r>
      <w:r w:rsidRPr="00DC5592">
        <w:rPr>
          <w:rFonts w:ascii="Cambria" w:hAnsi="Cambria"/>
        </w:rPr>
        <w:t>ome vehicle manufacturers are offering automated crash notification services in the Australian market via their own call centres</w:t>
      </w:r>
      <w:r w:rsidR="008C27E9" w:rsidRPr="00DC5592">
        <w:rPr>
          <w:rFonts w:ascii="Cambria" w:hAnsi="Cambria"/>
        </w:rPr>
        <w:t>, but this is not widespread</w:t>
      </w:r>
      <w:r w:rsidRPr="00DC5592">
        <w:rPr>
          <w:rFonts w:ascii="Cambria" w:hAnsi="Cambria"/>
        </w:rPr>
        <w:t xml:space="preserve">. </w:t>
      </w:r>
      <w:proofErr w:type="spellStart"/>
      <w:r w:rsidRPr="00DC5592">
        <w:rPr>
          <w:rFonts w:ascii="Cambria" w:hAnsi="Cambria"/>
        </w:rPr>
        <w:t>eCall</w:t>
      </w:r>
      <w:proofErr w:type="spellEnd"/>
      <w:r w:rsidRPr="00DC5592">
        <w:rPr>
          <w:rFonts w:ascii="Cambria" w:hAnsi="Cambria"/>
        </w:rPr>
        <w:t xml:space="preserve"> is mandated in the EU </w:t>
      </w:r>
      <w:r w:rsidR="008C27E9" w:rsidRPr="00DC5592">
        <w:rPr>
          <w:rFonts w:ascii="Cambria" w:hAnsi="Cambria"/>
        </w:rPr>
        <w:t>and uses mobile infrastructure to call emergency services when activated. Data from the vehicle is transmitted to emergency services as part of this service.</w:t>
      </w:r>
    </w:p>
    <w:p w14:paraId="5792BAE6" w14:textId="77777777" w:rsidR="00A82DA1" w:rsidRPr="00DC5592" w:rsidRDefault="00A82DA1" w:rsidP="00A82DA1">
      <w:pPr>
        <w:numPr>
          <w:ilvl w:val="0"/>
          <w:numId w:val="48"/>
        </w:numPr>
        <w:rPr>
          <w:rFonts w:ascii="Cambria" w:hAnsi="Cambria"/>
        </w:rPr>
      </w:pPr>
      <w:r w:rsidRPr="00DC5592">
        <w:rPr>
          <w:rFonts w:ascii="Cambria" w:hAnsi="Cambria"/>
          <w:b/>
        </w:rPr>
        <w:t>Connectivity through existing consumer devices</w:t>
      </w:r>
      <w:r w:rsidRPr="00DC5592">
        <w:rPr>
          <w:rFonts w:ascii="Cambria" w:hAnsi="Cambria"/>
        </w:rPr>
        <w:t xml:space="preserve"> </w:t>
      </w:r>
      <w:r w:rsidR="006D4ABC" w:rsidRPr="00DC5592">
        <w:rPr>
          <w:rFonts w:ascii="Cambria" w:hAnsi="Cambria"/>
        </w:rPr>
        <w:t>–</w:t>
      </w:r>
      <w:r w:rsidR="00714479" w:rsidRPr="00DC5592">
        <w:rPr>
          <w:rFonts w:ascii="Cambria" w:hAnsi="Cambria"/>
        </w:rPr>
        <w:t>D</w:t>
      </w:r>
      <w:r w:rsidR="006D4ABC" w:rsidRPr="00DC5592">
        <w:rPr>
          <w:rFonts w:ascii="Cambria" w:hAnsi="Cambria"/>
        </w:rPr>
        <w:t>evices such as smartphones or satnavs can connect to a vehicle</w:t>
      </w:r>
      <w:r w:rsidR="00010FA9" w:rsidRPr="00DC5592">
        <w:rPr>
          <w:rFonts w:ascii="Cambria" w:hAnsi="Cambria"/>
        </w:rPr>
        <w:t xml:space="preserve"> via Bluetooth or USB</w:t>
      </w:r>
      <w:r w:rsidR="006D4ABC" w:rsidRPr="00DC5592">
        <w:rPr>
          <w:rFonts w:ascii="Cambria" w:hAnsi="Cambria"/>
        </w:rPr>
        <w:t xml:space="preserve">, </w:t>
      </w:r>
      <w:r w:rsidR="00010FA9" w:rsidRPr="00DC5592">
        <w:rPr>
          <w:rFonts w:ascii="Cambria" w:hAnsi="Cambria"/>
        </w:rPr>
        <w:t xml:space="preserve">and </w:t>
      </w:r>
      <w:r w:rsidR="006D4ABC" w:rsidRPr="00DC5592">
        <w:rPr>
          <w:rFonts w:ascii="Cambria" w:hAnsi="Cambria"/>
        </w:rPr>
        <w:t xml:space="preserve">access </w:t>
      </w:r>
      <w:r w:rsidR="00010FA9" w:rsidRPr="00DC5592">
        <w:rPr>
          <w:rFonts w:ascii="Cambria" w:hAnsi="Cambria"/>
        </w:rPr>
        <w:t xml:space="preserve">existing mobile or satellite networks </w:t>
      </w:r>
      <w:r w:rsidR="006D4ABC" w:rsidRPr="00DC5592">
        <w:rPr>
          <w:rFonts w:ascii="Cambria" w:hAnsi="Cambria"/>
        </w:rPr>
        <w:t>independently to the vehicle.</w:t>
      </w:r>
      <w:r w:rsidR="00407FD0" w:rsidRPr="00DC5592">
        <w:rPr>
          <w:rFonts w:ascii="Cambria" w:hAnsi="Cambria"/>
        </w:rPr>
        <w:t xml:space="preserve"> </w:t>
      </w:r>
      <w:r w:rsidR="00714479" w:rsidRPr="00DC5592">
        <w:rPr>
          <w:rFonts w:ascii="Cambria" w:hAnsi="Cambria"/>
        </w:rPr>
        <w:t xml:space="preserve">This type of technology is currently in the Australian </w:t>
      </w:r>
      <w:r w:rsidR="00DC5592" w:rsidRPr="00DC5592">
        <w:rPr>
          <w:rFonts w:ascii="Cambria" w:hAnsi="Cambria"/>
        </w:rPr>
        <w:t>market but</w:t>
      </w:r>
      <w:r w:rsidR="00407FD0" w:rsidRPr="00DC5592">
        <w:rPr>
          <w:rFonts w:ascii="Cambria" w:hAnsi="Cambria"/>
        </w:rPr>
        <w:t xml:space="preserve"> is not being considered as part of this paper</w:t>
      </w:r>
      <w:r w:rsidR="00010FA9" w:rsidRPr="00DC5592">
        <w:rPr>
          <w:rFonts w:ascii="Cambria" w:hAnsi="Cambria"/>
        </w:rPr>
        <w:t>, as these are examples of people bringing existing mobile or satellite connectivity to the vehicle</w:t>
      </w:r>
      <w:r w:rsidR="00407FD0" w:rsidRPr="00DC5592">
        <w:rPr>
          <w:rFonts w:ascii="Cambria" w:hAnsi="Cambria"/>
        </w:rPr>
        <w:t>.</w:t>
      </w:r>
    </w:p>
    <w:p w14:paraId="5792BAE7" w14:textId="77777777" w:rsidR="00E347C1" w:rsidRPr="00DC5592" w:rsidRDefault="00630DC1" w:rsidP="00E347C1">
      <w:pPr>
        <w:rPr>
          <w:rFonts w:ascii="Cambria" w:hAnsi="Cambria"/>
        </w:rPr>
      </w:pPr>
      <w:r w:rsidRPr="00DC5592">
        <w:rPr>
          <w:rFonts w:ascii="Cambria" w:hAnsi="Cambria"/>
        </w:rPr>
        <w:t>N</w:t>
      </w:r>
      <w:r w:rsidR="00A82DA1" w:rsidRPr="00DC5592">
        <w:rPr>
          <w:rFonts w:ascii="Cambria" w:hAnsi="Cambria"/>
        </w:rPr>
        <w:t xml:space="preserve">ot all vehicle connectivity necessarily draws the attention of CSP/CSI obligations under the </w:t>
      </w:r>
      <w:r w:rsidR="00A82DA1" w:rsidRPr="00DC5592">
        <w:rPr>
          <w:rFonts w:ascii="Cambria" w:hAnsi="Cambria"/>
          <w:i/>
        </w:rPr>
        <w:t>Telecommunications Act 1997</w:t>
      </w:r>
      <w:r w:rsidR="00A26BD7" w:rsidRPr="00DC5592">
        <w:rPr>
          <w:rFonts w:ascii="Cambria" w:hAnsi="Cambria"/>
          <w:i/>
        </w:rPr>
        <w:t xml:space="preserve"> </w:t>
      </w:r>
      <w:r w:rsidR="00A26BD7" w:rsidRPr="00DC5592">
        <w:rPr>
          <w:rFonts w:ascii="Cambria" w:hAnsi="Cambria"/>
        </w:rPr>
        <w:t>(Tel Act)</w:t>
      </w:r>
      <w:r w:rsidR="00A82DA1" w:rsidRPr="00DC5592">
        <w:rPr>
          <w:rFonts w:ascii="Cambria" w:hAnsi="Cambria"/>
        </w:rPr>
        <w:t xml:space="preserve">. </w:t>
      </w:r>
      <w:r w:rsidR="00437C4A" w:rsidRPr="00DC5592">
        <w:rPr>
          <w:rFonts w:ascii="Cambria" w:hAnsi="Cambria"/>
        </w:rPr>
        <w:t>For the purposes of this paper, the Department</w:t>
      </w:r>
      <w:r w:rsidRPr="00DC5592">
        <w:rPr>
          <w:rFonts w:ascii="Cambria" w:hAnsi="Cambria"/>
        </w:rPr>
        <w:t>’</w:t>
      </w:r>
      <w:r w:rsidR="00437C4A" w:rsidRPr="00DC5592">
        <w:rPr>
          <w:rFonts w:ascii="Cambria" w:hAnsi="Cambria"/>
        </w:rPr>
        <w:t xml:space="preserve">s concerns are focused on built in telecommunications units that </w:t>
      </w:r>
      <w:r w:rsidR="00437C4A" w:rsidRPr="00DC5592">
        <w:rPr>
          <w:rFonts w:ascii="Cambria" w:hAnsi="Cambria"/>
          <w:i/>
        </w:rPr>
        <w:t>facilitate access</w:t>
      </w:r>
      <w:r w:rsidR="00437C4A" w:rsidRPr="00DC5592">
        <w:rPr>
          <w:rFonts w:ascii="Cambria" w:hAnsi="Cambria"/>
        </w:rPr>
        <w:t xml:space="preserve"> to telecommunications networks to transmit and receive information, such as embedded mobile connectivity and C-</w:t>
      </w:r>
      <w:r w:rsidR="00DC5592" w:rsidRPr="00DC5592">
        <w:rPr>
          <w:rFonts w:ascii="Cambria" w:hAnsi="Cambria"/>
        </w:rPr>
        <w:t>ITS connectivity</w:t>
      </w:r>
      <w:r w:rsidR="00437C4A" w:rsidRPr="00DC5592">
        <w:rPr>
          <w:rFonts w:ascii="Cambria" w:hAnsi="Cambria"/>
        </w:rPr>
        <w:t xml:space="preserve">. It may also include </w:t>
      </w:r>
      <w:proofErr w:type="spellStart"/>
      <w:r w:rsidR="00437C4A" w:rsidRPr="00DC5592">
        <w:rPr>
          <w:rFonts w:ascii="Cambria" w:hAnsi="Cambria"/>
        </w:rPr>
        <w:t>eCall</w:t>
      </w:r>
      <w:proofErr w:type="spellEnd"/>
      <w:r w:rsidR="00437C4A" w:rsidRPr="00DC5592">
        <w:rPr>
          <w:rFonts w:ascii="Cambria" w:hAnsi="Cambria"/>
        </w:rPr>
        <w:t xml:space="preserve"> functions.</w:t>
      </w:r>
      <w:r w:rsidR="00010FA9" w:rsidRPr="00DC5592">
        <w:rPr>
          <w:rFonts w:ascii="Cambria" w:hAnsi="Cambria"/>
        </w:rPr>
        <w:t xml:space="preserve"> </w:t>
      </w:r>
      <w:r w:rsidR="00E347C1" w:rsidRPr="00DC5592">
        <w:rPr>
          <w:rFonts w:ascii="Cambria" w:hAnsi="Cambria"/>
        </w:rPr>
        <w:t>Figure 1 below shows the typical telematic architecture.</w:t>
      </w:r>
    </w:p>
    <w:p w14:paraId="5792BAE8" w14:textId="77777777" w:rsidR="00A82DA1" w:rsidRPr="00DC5592" w:rsidRDefault="00A82DA1" w:rsidP="00CF46C1">
      <w:pPr>
        <w:rPr>
          <w:rFonts w:ascii="Cambria" w:hAnsi="Cambria"/>
        </w:rPr>
      </w:pPr>
    </w:p>
    <w:p w14:paraId="5792BAE9" w14:textId="77777777" w:rsidR="00407FD0" w:rsidRPr="00DC5592" w:rsidRDefault="00407FD0" w:rsidP="00407FD0">
      <w:pPr>
        <w:rPr>
          <w:rFonts w:ascii="Cambria" w:hAnsi="Cambria"/>
        </w:rPr>
      </w:pPr>
    </w:p>
    <w:p w14:paraId="5792BAEA" w14:textId="77777777" w:rsidR="001472A3" w:rsidRPr="00DC5592" w:rsidRDefault="001472A3" w:rsidP="00407FD0">
      <w:pPr>
        <w:rPr>
          <w:rFonts w:ascii="Cambria" w:hAnsi="Cambria"/>
        </w:rPr>
      </w:pPr>
    </w:p>
    <w:p w14:paraId="5792BAEB" w14:textId="77777777" w:rsidR="0088194E" w:rsidRPr="00DC5592" w:rsidRDefault="00407FD0" w:rsidP="00743470">
      <w:pPr>
        <w:keepNext/>
        <w:jc w:val="center"/>
      </w:pPr>
      <w:r w:rsidRPr="00DC5592">
        <w:rPr>
          <w:noProof/>
        </w:rPr>
        <w:drawing>
          <wp:inline distT="0" distB="0" distL="0" distR="0" wp14:anchorId="5792BB86" wp14:editId="5792BB87">
            <wp:extent cx="5592726" cy="7317150"/>
            <wp:effectExtent l="0" t="0" r="8255" b="0"/>
            <wp:docPr id="4" name="Picture 4" descr="A typical telematics architecture in a connected vehicle. Source: Lawso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ypical telematics architecture in a connected vehicle. Source: Lawson (20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1724" cy="7328923"/>
                    </a:xfrm>
                    <a:prstGeom prst="rect">
                      <a:avLst/>
                    </a:prstGeom>
                    <a:noFill/>
                    <a:ln>
                      <a:noFill/>
                    </a:ln>
                  </pic:spPr>
                </pic:pic>
              </a:graphicData>
            </a:graphic>
          </wp:inline>
        </w:drawing>
      </w:r>
    </w:p>
    <w:p w14:paraId="5792BAEC" w14:textId="297A9DFE" w:rsidR="00407FD0" w:rsidRPr="000842B1" w:rsidRDefault="0088194E" w:rsidP="00743470">
      <w:pPr>
        <w:pStyle w:val="Caption"/>
        <w:jc w:val="center"/>
        <w:rPr>
          <w:rFonts w:ascii="Cambria" w:hAnsi="Cambria"/>
        </w:rPr>
      </w:pPr>
      <w:r w:rsidRPr="000842B1">
        <w:rPr>
          <w:rFonts w:ascii="Cambria" w:hAnsi="Cambria"/>
        </w:rPr>
        <w:t xml:space="preserve">Figure </w:t>
      </w:r>
      <w:r w:rsidR="00F901B7" w:rsidRPr="000842B1">
        <w:rPr>
          <w:rFonts w:ascii="Cambria" w:hAnsi="Cambria"/>
        </w:rPr>
        <w:fldChar w:fldCharType="begin"/>
      </w:r>
      <w:r w:rsidR="00F901B7" w:rsidRPr="000842B1">
        <w:rPr>
          <w:rFonts w:ascii="Cambria" w:hAnsi="Cambria"/>
        </w:rPr>
        <w:instrText xml:space="preserve"> SEQ Figure \* ARABIC </w:instrText>
      </w:r>
      <w:r w:rsidR="00F901B7" w:rsidRPr="000842B1">
        <w:rPr>
          <w:rFonts w:ascii="Cambria" w:hAnsi="Cambria"/>
        </w:rPr>
        <w:fldChar w:fldCharType="separate"/>
      </w:r>
      <w:r w:rsidR="00A70AC6">
        <w:rPr>
          <w:rFonts w:ascii="Cambria" w:hAnsi="Cambria"/>
          <w:noProof/>
        </w:rPr>
        <w:t>1</w:t>
      </w:r>
      <w:r w:rsidR="00F901B7" w:rsidRPr="000842B1">
        <w:rPr>
          <w:rFonts w:ascii="Cambria" w:hAnsi="Cambria"/>
          <w:noProof/>
        </w:rPr>
        <w:fldChar w:fldCharType="end"/>
      </w:r>
      <w:r w:rsidRPr="000842B1">
        <w:rPr>
          <w:rFonts w:ascii="Cambria" w:hAnsi="Cambria"/>
        </w:rPr>
        <w:t>: Typical telematic architecture used by connected vehicles.</w:t>
      </w:r>
      <w:r w:rsidRPr="000842B1">
        <w:rPr>
          <w:rStyle w:val="FootnoteReference"/>
          <w:rFonts w:ascii="Cambria" w:hAnsi="Cambria"/>
        </w:rPr>
        <w:footnoteReference w:id="8"/>
      </w:r>
    </w:p>
    <w:p w14:paraId="5792BAED" w14:textId="77777777" w:rsidR="007F306C" w:rsidRPr="00DC5592" w:rsidRDefault="007F306C" w:rsidP="007F306C">
      <w:pPr>
        <w:pStyle w:val="Heading3"/>
        <w:rPr>
          <w:rFonts w:ascii="Cambria" w:hAnsi="Cambria"/>
        </w:rPr>
      </w:pPr>
      <w:bookmarkStart w:id="6" w:name="_Toc149033912"/>
      <w:r w:rsidRPr="00DC5592">
        <w:rPr>
          <w:rFonts w:ascii="Cambria" w:hAnsi="Cambria"/>
        </w:rPr>
        <w:lastRenderedPageBreak/>
        <w:t>Automated Vehicles</w:t>
      </w:r>
      <w:bookmarkEnd w:id="6"/>
    </w:p>
    <w:p w14:paraId="5792BAEE" w14:textId="77777777" w:rsidR="007F306C" w:rsidRPr="00DC5592" w:rsidRDefault="00905CBB" w:rsidP="00F82F4E">
      <w:pPr>
        <w:rPr>
          <w:rFonts w:ascii="Cambria" w:hAnsi="Cambria"/>
        </w:rPr>
      </w:pPr>
      <w:r w:rsidRPr="00DC5592">
        <w:rPr>
          <w:rFonts w:ascii="Cambria" w:hAnsi="Cambria"/>
        </w:rPr>
        <w:t>Automated vehicles have an automated driving system (ADS) - that is, a system of hardware and software collectively capable of performing the entire dynamic driving task on a sustained basis without human input. </w:t>
      </w:r>
      <w:r w:rsidR="00F82F4E" w:rsidRPr="00DC5592" w:rsidDel="00F82F4E">
        <w:rPr>
          <w:rFonts w:ascii="Cambria" w:hAnsi="Cambria"/>
        </w:rPr>
        <w:t xml:space="preserve"> </w:t>
      </w:r>
    </w:p>
    <w:p w14:paraId="5792BAEF" w14:textId="77777777" w:rsidR="00B459F0" w:rsidRPr="00DC5592" w:rsidRDefault="00160CF3" w:rsidP="00BF312B">
      <w:pPr>
        <w:rPr>
          <w:rFonts w:ascii="Cambria" w:hAnsi="Cambria"/>
        </w:rPr>
      </w:pPr>
      <w:r w:rsidRPr="00DC5592">
        <w:rPr>
          <w:rFonts w:ascii="Cambria" w:hAnsi="Cambria"/>
        </w:rPr>
        <w:t>V</w:t>
      </w:r>
      <w:r w:rsidR="00B459F0" w:rsidRPr="00DC5592">
        <w:rPr>
          <w:rFonts w:ascii="Cambria" w:hAnsi="Cambria"/>
        </w:rPr>
        <w:t xml:space="preserve">ehicles are classified into six different levels, according to a </w:t>
      </w:r>
      <w:r w:rsidRPr="00DC5592">
        <w:rPr>
          <w:rFonts w:ascii="Cambria" w:hAnsi="Cambria"/>
        </w:rPr>
        <w:t>taxonomy</w:t>
      </w:r>
      <w:r w:rsidR="00B459F0" w:rsidRPr="00DC5592">
        <w:rPr>
          <w:rFonts w:ascii="Cambria" w:hAnsi="Cambria"/>
        </w:rPr>
        <w:t xml:space="preserve"> developed by the Society of Automotive Engineers (SAE). Automation levels are based on the amount of human input required to operate the vehicle, from Level 0 (driver must perform all driving tasks) to Level 5 (vehicle can drive itself without any human involvement).</w:t>
      </w:r>
      <w:r w:rsidR="00B459F0" w:rsidRPr="00DC5592">
        <w:rPr>
          <w:rStyle w:val="FootnoteReference"/>
          <w:rFonts w:ascii="Cambria" w:hAnsi="Cambria"/>
        </w:rPr>
        <w:footnoteReference w:id="9"/>
      </w:r>
    </w:p>
    <w:p w14:paraId="5792BAF0" w14:textId="77777777" w:rsidR="001C3151" w:rsidRPr="00DC5592" w:rsidRDefault="001C3151" w:rsidP="00C94BC0">
      <w:pPr>
        <w:pStyle w:val="Heading3"/>
        <w:rPr>
          <w:rFonts w:ascii="Cambria" w:hAnsi="Cambria"/>
        </w:rPr>
      </w:pPr>
      <w:bookmarkStart w:id="7" w:name="_Toc149033913"/>
      <w:r w:rsidRPr="00DC5592">
        <w:rPr>
          <w:rFonts w:ascii="Cambria" w:hAnsi="Cambria"/>
        </w:rPr>
        <w:t>Connected and automated vehicles</w:t>
      </w:r>
      <w:bookmarkEnd w:id="7"/>
    </w:p>
    <w:p w14:paraId="5792BAF1" w14:textId="77777777" w:rsidR="004D5711" w:rsidRPr="00DC5592" w:rsidRDefault="00AD16E8" w:rsidP="00BF312B">
      <w:pPr>
        <w:rPr>
          <w:rFonts w:ascii="Cambria" w:hAnsi="Cambria"/>
        </w:rPr>
      </w:pPr>
      <w:r w:rsidRPr="00DC5592">
        <w:rPr>
          <w:rFonts w:ascii="Cambria" w:hAnsi="Cambria"/>
        </w:rPr>
        <w:t>Vehicles are likely to be</w:t>
      </w:r>
      <w:r w:rsidR="00A23CCE" w:rsidRPr="00DC5592">
        <w:rPr>
          <w:rFonts w:ascii="Cambria" w:hAnsi="Cambria"/>
        </w:rPr>
        <w:t>come</w:t>
      </w:r>
      <w:r w:rsidRPr="00DC5592">
        <w:rPr>
          <w:rFonts w:ascii="Cambria" w:hAnsi="Cambria"/>
        </w:rPr>
        <w:t xml:space="preserve"> connected before they </w:t>
      </w:r>
      <w:r w:rsidR="00A23CCE" w:rsidRPr="00DC5592">
        <w:rPr>
          <w:rFonts w:ascii="Cambria" w:hAnsi="Cambria"/>
        </w:rPr>
        <w:t>become</w:t>
      </w:r>
      <w:r w:rsidRPr="00DC5592">
        <w:rPr>
          <w:rFonts w:ascii="Cambria" w:hAnsi="Cambria"/>
        </w:rPr>
        <w:t xml:space="preserve"> automated, but in the future vehicles are expected to be both. CAVs are vehicles that are equipped with ADSs and use information and communications technologies to share data and communicate with other vehicles, other road users, roadside infrastructure and other wireless services. </w:t>
      </w:r>
    </w:p>
    <w:p w14:paraId="5792BAF2" w14:textId="77777777" w:rsidR="003508BC" w:rsidRPr="00DC5592" w:rsidRDefault="00B93930" w:rsidP="00BF312B">
      <w:pPr>
        <w:rPr>
          <w:rFonts w:ascii="Times New Roman" w:hAnsi="Times New Roman" w:cs="Times New Roman"/>
        </w:rPr>
      </w:pPr>
      <w:r w:rsidRPr="00DC5592">
        <w:rPr>
          <w:rFonts w:ascii="Cambria" w:hAnsi="Cambria"/>
        </w:rPr>
        <w:t xml:space="preserve">Connectivity is </w:t>
      </w:r>
      <w:r w:rsidR="0045556A" w:rsidRPr="00DC5592">
        <w:rPr>
          <w:rFonts w:ascii="Cambria" w:hAnsi="Cambria"/>
        </w:rPr>
        <w:t>increasing</w:t>
      </w:r>
      <w:r w:rsidRPr="00DC5592">
        <w:rPr>
          <w:rFonts w:ascii="Cambria" w:hAnsi="Cambria"/>
        </w:rPr>
        <w:t xml:space="preserve"> in vehicles, with 93</w:t>
      </w:r>
      <w:r w:rsidR="00C77968" w:rsidRPr="00DC5592">
        <w:rPr>
          <w:rFonts w:ascii="Cambria" w:hAnsi="Cambria"/>
        </w:rPr>
        <w:t xml:space="preserve"> per cent</w:t>
      </w:r>
      <w:r w:rsidRPr="00DC5592">
        <w:rPr>
          <w:rFonts w:ascii="Cambria" w:hAnsi="Cambria"/>
        </w:rPr>
        <w:t xml:space="preserve"> of </w:t>
      </w:r>
      <w:r w:rsidR="00050D73" w:rsidRPr="00DC5592">
        <w:rPr>
          <w:rFonts w:ascii="Cambria" w:hAnsi="Cambria"/>
        </w:rPr>
        <w:t xml:space="preserve">new </w:t>
      </w:r>
      <w:r w:rsidRPr="00DC5592">
        <w:rPr>
          <w:rFonts w:ascii="Cambria" w:hAnsi="Cambria"/>
        </w:rPr>
        <w:t>passenger vehicles</w:t>
      </w:r>
      <w:r w:rsidR="00562A23" w:rsidRPr="00DC5592">
        <w:rPr>
          <w:rFonts w:ascii="Cambria" w:hAnsi="Cambria"/>
        </w:rPr>
        <w:t xml:space="preserve"> </w:t>
      </w:r>
      <w:r w:rsidR="0045556A" w:rsidRPr="00DC5592">
        <w:rPr>
          <w:rFonts w:ascii="Cambria" w:hAnsi="Cambria"/>
        </w:rPr>
        <w:t>forecast</w:t>
      </w:r>
      <w:r w:rsidRPr="00DC5592">
        <w:rPr>
          <w:rFonts w:ascii="Cambria" w:hAnsi="Cambria"/>
        </w:rPr>
        <w:t xml:space="preserve"> to have embedded mobile connectivity by 2031</w:t>
      </w:r>
      <w:r w:rsidR="00050D73" w:rsidRPr="00DC5592">
        <w:rPr>
          <w:rFonts w:ascii="Cambria" w:hAnsi="Cambria"/>
        </w:rPr>
        <w:t xml:space="preserve">, </w:t>
      </w:r>
      <w:r w:rsidR="00562A23" w:rsidRPr="00DC5592">
        <w:rPr>
          <w:rFonts w:ascii="Cambria" w:hAnsi="Cambria"/>
        </w:rPr>
        <w:t>and</w:t>
      </w:r>
      <w:r w:rsidR="00050D73" w:rsidRPr="00DC5592">
        <w:rPr>
          <w:rFonts w:ascii="Cambria" w:hAnsi="Cambria"/>
        </w:rPr>
        <w:t xml:space="preserve"> 25</w:t>
      </w:r>
      <w:r w:rsidR="00C77968" w:rsidRPr="00DC5592">
        <w:rPr>
          <w:rFonts w:ascii="Cambria" w:hAnsi="Cambria"/>
        </w:rPr>
        <w:t xml:space="preserve"> per cent</w:t>
      </w:r>
      <w:r w:rsidR="00050D73" w:rsidRPr="00DC5592">
        <w:rPr>
          <w:rFonts w:ascii="Cambria" w:hAnsi="Cambria"/>
        </w:rPr>
        <w:t xml:space="preserve"> </w:t>
      </w:r>
      <w:r w:rsidR="00D2781B" w:rsidRPr="00DC5592">
        <w:rPr>
          <w:rFonts w:ascii="Cambria" w:hAnsi="Cambria"/>
        </w:rPr>
        <w:t xml:space="preserve">of </w:t>
      </w:r>
      <w:r w:rsidR="001472A3" w:rsidRPr="00DC5592">
        <w:rPr>
          <w:rFonts w:ascii="Cambria" w:hAnsi="Cambria"/>
        </w:rPr>
        <w:t xml:space="preserve">new vehicles </w:t>
      </w:r>
      <w:r w:rsidR="00050D73" w:rsidRPr="00DC5592">
        <w:rPr>
          <w:rFonts w:ascii="Cambria" w:hAnsi="Cambria"/>
        </w:rPr>
        <w:t>to have C-ITS connectivity</w:t>
      </w:r>
      <w:r w:rsidRPr="00DC5592">
        <w:rPr>
          <w:rFonts w:ascii="Cambria" w:hAnsi="Cambria"/>
        </w:rPr>
        <w:t>.</w:t>
      </w:r>
      <w:r w:rsidR="0066377D" w:rsidRPr="00DC5592">
        <w:rPr>
          <w:rStyle w:val="FootnoteReference"/>
          <w:rFonts w:ascii="Cambria" w:hAnsi="Cambria"/>
        </w:rPr>
        <w:footnoteReference w:id="10"/>
      </w:r>
      <w:r w:rsidRPr="00DC5592">
        <w:rPr>
          <w:rFonts w:ascii="Cambria" w:hAnsi="Cambria"/>
        </w:rPr>
        <w:t xml:space="preserve"> </w:t>
      </w:r>
      <w:r w:rsidR="00050D73" w:rsidRPr="00DC5592">
        <w:rPr>
          <w:rFonts w:ascii="Cambria" w:hAnsi="Cambria"/>
        </w:rPr>
        <w:t>Highly automated vehicles are being developed but are not yet able to legally operate on Australian public roads (</w:t>
      </w:r>
      <w:r w:rsidR="00BB672B" w:rsidRPr="00DC5592">
        <w:rPr>
          <w:rFonts w:ascii="Cambria" w:hAnsi="Cambria"/>
        </w:rPr>
        <w:t xml:space="preserve">although </w:t>
      </w:r>
      <w:r w:rsidR="001C3151" w:rsidRPr="00DC5592">
        <w:rPr>
          <w:rFonts w:ascii="Cambria" w:hAnsi="Cambria"/>
        </w:rPr>
        <w:t>on-road testing is currently available</w:t>
      </w:r>
      <w:r w:rsidR="009D1308" w:rsidRPr="00DC5592">
        <w:rPr>
          <w:rFonts w:ascii="Cambria" w:hAnsi="Cambria"/>
        </w:rPr>
        <w:t>, subject to stringent rules</w:t>
      </w:r>
      <w:r w:rsidR="00050D73" w:rsidRPr="00DC5592">
        <w:rPr>
          <w:rFonts w:ascii="Cambria" w:hAnsi="Cambria"/>
        </w:rPr>
        <w:t>)</w:t>
      </w:r>
      <w:r w:rsidR="001C3151" w:rsidRPr="00DC5592">
        <w:rPr>
          <w:rFonts w:ascii="Cambria" w:hAnsi="Cambria"/>
        </w:rPr>
        <w:t>.</w:t>
      </w:r>
      <w:r w:rsidR="00050D73" w:rsidRPr="00DC5592">
        <w:rPr>
          <w:rFonts w:ascii="Cambria" w:hAnsi="Cambria"/>
        </w:rPr>
        <w:t xml:space="preserve"> Passenger vehicles capable of highly automated driving (early operational design domains) are forecast to form 2</w:t>
      </w:r>
      <w:r w:rsidR="00C77968" w:rsidRPr="00DC5592">
        <w:rPr>
          <w:rFonts w:ascii="Cambria" w:hAnsi="Cambria"/>
        </w:rPr>
        <w:t xml:space="preserve"> per cent</w:t>
      </w:r>
      <w:r w:rsidR="00050D73" w:rsidRPr="00DC5592">
        <w:rPr>
          <w:rFonts w:ascii="Cambria" w:hAnsi="Cambria"/>
        </w:rPr>
        <w:t xml:space="preserve"> of new car sales by 2031.</w:t>
      </w:r>
      <w:r w:rsidR="0066377D" w:rsidRPr="00DC5592">
        <w:rPr>
          <w:rStyle w:val="FootnoteReference"/>
          <w:rFonts w:ascii="Cambria" w:hAnsi="Cambria"/>
        </w:rPr>
        <w:footnoteReference w:id="11"/>
      </w:r>
      <w:r w:rsidR="003508BC" w:rsidRPr="00DC5592">
        <w:rPr>
          <w:rFonts w:ascii="Cambria" w:hAnsi="Cambria"/>
        </w:rPr>
        <w:t xml:space="preserve"> </w:t>
      </w:r>
    </w:p>
    <w:p w14:paraId="5792BAF3" w14:textId="7082AD98" w:rsidR="00050D73" w:rsidRPr="00DC5592" w:rsidRDefault="0045556A" w:rsidP="00BF312B">
      <w:pPr>
        <w:rPr>
          <w:rFonts w:ascii="Cambria" w:hAnsi="Cambria"/>
        </w:rPr>
      </w:pPr>
      <w:r w:rsidRPr="00DC5592">
        <w:rPr>
          <w:rFonts w:ascii="Cambria" w:hAnsi="Cambria"/>
        </w:rPr>
        <w:t xml:space="preserve">It is </w:t>
      </w:r>
      <w:r w:rsidR="00630DC1" w:rsidRPr="00DC5592">
        <w:rPr>
          <w:rFonts w:ascii="Cambria" w:hAnsi="Cambria"/>
        </w:rPr>
        <w:t>un</w:t>
      </w:r>
      <w:r w:rsidRPr="00DC5592">
        <w:rPr>
          <w:rFonts w:ascii="Cambria" w:hAnsi="Cambria"/>
        </w:rPr>
        <w:t xml:space="preserve">clear to what extent </w:t>
      </w:r>
      <w:r w:rsidR="00856286" w:rsidRPr="00DC5592">
        <w:rPr>
          <w:rFonts w:ascii="Cambria" w:hAnsi="Cambria"/>
        </w:rPr>
        <w:t xml:space="preserve">connectivity will be embedded in key </w:t>
      </w:r>
      <w:r w:rsidR="009D1308" w:rsidRPr="00DC5592">
        <w:rPr>
          <w:rFonts w:ascii="Cambria" w:hAnsi="Cambria"/>
        </w:rPr>
        <w:t>automated vehicl</w:t>
      </w:r>
      <w:r w:rsidR="00E24BB6" w:rsidRPr="00DC5592">
        <w:rPr>
          <w:rFonts w:ascii="Cambria" w:hAnsi="Cambria"/>
        </w:rPr>
        <w:t>e</w:t>
      </w:r>
      <w:r w:rsidR="009D1308" w:rsidRPr="00DC5592">
        <w:rPr>
          <w:rFonts w:ascii="Cambria" w:hAnsi="Cambria"/>
        </w:rPr>
        <w:t xml:space="preserve"> </w:t>
      </w:r>
      <w:r w:rsidR="00856286" w:rsidRPr="00DC5592">
        <w:rPr>
          <w:rFonts w:ascii="Cambria" w:hAnsi="Cambria"/>
        </w:rPr>
        <w:t>systems like steering</w:t>
      </w:r>
      <w:r w:rsidR="005632F2" w:rsidRPr="00DC5592">
        <w:rPr>
          <w:rFonts w:ascii="Cambria" w:hAnsi="Cambria"/>
        </w:rPr>
        <w:t xml:space="preserve"> and braking</w:t>
      </w:r>
      <w:r w:rsidR="009D1308" w:rsidRPr="00DC5592">
        <w:rPr>
          <w:rFonts w:ascii="Cambria" w:hAnsi="Cambria"/>
        </w:rPr>
        <w:t>, and therefore the exten</w:t>
      </w:r>
      <w:r w:rsidR="002403DB" w:rsidRPr="00DC5592">
        <w:rPr>
          <w:rFonts w:ascii="Cambria" w:hAnsi="Cambria"/>
        </w:rPr>
        <w:t>t</w:t>
      </w:r>
      <w:r w:rsidR="009D1308" w:rsidRPr="00DC5592">
        <w:rPr>
          <w:rFonts w:ascii="Cambria" w:hAnsi="Cambria"/>
        </w:rPr>
        <w:t xml:space="preserve"> to which CAVs will rely on connectivity to drive safely</w:t>
      </w:r>
      <w:r w:rsidRPr="00DC5592">
        <w:rPr>
          <w:rFonts w:ascii="Cambria" w:hAnsi="Cambria"/>
        </w:rPr>
        <w:t>. However, C-ITS connectivity is expected to help CAVs undertake cooperative manoeuvres</w:t>
      </w:r>
      <w:r w:rsidR="00BB672B" w:rsidRPr="00DC5592">
        <w:rPr>
          <w:rFonts w:ascii="Cambria" w:hAnsi="Cambria"/>
        </w:rPr>
        <w:t xml:space="preserve"> in the future</w:t>
      </w:r>
      <w:r w:rsidRPr="00DC5592">
        <w:rPr>
          <w:rFonts w:ascii="Cambria" w:hAnsi="Cambria"/>
        </w:rPr>
        <w:t>.</w:t>
      </w:r>
    </w:p>
    <w:p w14:paraId="5792BAF4" w14:textId="77777777" w:rsidR="0055015E" w:rsidRPr="00DC5592" w:rsidRDefault="0055015E" w:rsidP="00BF312B">
      <w:pPr>
        <w:rPr>
          <w:rFonts w:ascii="Cambria" w:hAnsi="Cambria"/>
        </w:rPr>
      </w:pPr>
      <w:r w:rsidRPr="00DC5592">
        <w:rPr>
          <w:rFonts w:ascii="Cambria" w:hAnsi="Cambria"/>
        </w:rPr>
        <w:t>This paper uses the term ‘connected vehicle’ to refer to a vehicle with some form of connectivity, whether or not the vehicle is also automated.</w:t>
      </w:r>
    </w:p>
    <w:p w14:paraId="5792BAF5" w14:textId="77777777" w:rsidR="002505AD" w:rsidRPr="00DC5592" w:rsidRDefault="002505AD" w:rsidP="0098491B">
      <w:pPr>
        <w:pStyle w:val="Heading2"/>
        <w:rPr>
          <w:rFonts w:ascii="Cambria" w:hAnsi="Cambria"/>
        </w:rPr>
      </w:pPr>
      <w:bookmarkStart w:id="8" w:name="_Toc149033914"/>
      <w:r w:rsidRPr="00DC5592">
        <w:rPr>
          <w:rFonts w:ascii="Cambria" w:hAnsi="Cambria"/>
        </w:rPr>
        <w:t xml:space="preserve">How </w:t>
      </w:r>
      <w:r w:rsidR="00203CE5" w:rsidRPr="00DC5592">
        <w:rPr>
          <w:rFonts w:ascii="Cambria" w:hAnsi="Cambria"/>
        </w:rPr>
        <w:t>Vehicles Connect</w:t>
      </w:r>
      <w:bookmarkEnd w:id="8"/>
    </w:p>
    <w:p w14:paraId="5792BAF6" w14:textId="77777777" w:rsidR="00865C82" w:rsidRPr="00DC5592" w:rsidRDefault="00455FDD" w:rsidP="00581FC1">
      <w:pPr>
        <w:pStyle w:val="Heading3"/>
        <w:rPr>
          <w:rFonts w:ascii="Cambria" w:hAnsi="Cambria"/>
        </w:rPr>
      </w:pPr>
      <w:bookmarkStart w:id="9" w:name="_Toc149033915"/>
      <w:r w:rsidRPr="00DC5592">
        <w:rPr>
          <w:rFonts w:ascii="Cambria" w:hAnsi="Cambria"/>
        </w:rPr>
        <w:t xml:space="preserve">The </w:t>
      </w:r>
      <w:r w:rsidR="003B393B" w:rsidRPr="00DC5592">
        <w:rPr>
          <w:rFonts w:ascii="Cambria" w:hAnsi="Cambria"/>
        </w:rPr>
        <w:t>framework for</w:t>
      </w:r>
      <w:r w:rsidR="004803D1" w:rsidRPr="00DC5592">
        <w:rPr>
          <w:rFonts w:ascii="Cambria" w:hAnsi="Cambria"/>
        </w:rPr>
        <w:t xml:space="preserve"> connected vehicles</w:t>
      </w:r>
      <w:bookmarkEnd w:id="9"/>
    </w:p>
    <w:p w14:paraId="5792BAF7" w14:textId="77777777" w:rsidR="00407FD0" w:rsidRPr="00DC5592" w:rsidRDefault="00407FD0" w:rsidP="00C014F3">
      <w:pPr>
        <w:rPr>
          <w:rFonts w:ascii="Cambria" w:hAnsi="Cambria"/>
          <w:b/>
        </w:rPr>
      </w:pPr>
      <w:r w:rsidRPr="00DC5592">
        <w:rPr>
          <w:rFonts w:ascii="Cambria" w:hAnsi="Cambria"/>
          <w:b/>
        </w:rPr>
        <w:t xml:space="preserve">Embedded Mobile </w:t>
      </w:r>
      <w:r w:rsidR="004261B5" w:rsidRPr="00DC5592">
        <w:rPr>
          <w:rFonts w:ascii="Cambria" w:hAnsi="Cambria"/>
          <w:b/>
        </w:rPr>
        <w:t>Connectivity</w:t>
      </w:r>
    </w:p>
    <w:p w14:paraId="5792BAF8" w14:textId="77777777" w:rsidR="008C4025" w:rsidRPr="00DC5592" w:rsidRDefault="004E08D2" w:rsidP="00C014F3">
      <w:pPr>
        <w:rPr>
          <w:rFonts w:ascii="Cambria" w:hAnsi="Cambria"/>
        </w:rPr>
      </w:pPr>
      <w:r w:rsidRPr="00DC5592">
        <w:rPr>
          <w:rFonts w:ascii="Cambria" w:hAnsi="Cambria"/>
        </w:rPr>
        <w:t xml:space="preserve">Typically, connected vehicles can be divided into vehicles with either a built-in or a brought-in connection system. </w:t>
      </w:r>
      <w:r w:rsidR="008B48A0" w:rsidRPr="00DC5592">
        <w:rPr>
          <w:rFonts w:ascii="Cambria" w:hAnsi="Cambria"/>
        </w:rPr>
        <w:t xml:space="preserve">A built-in system commonly </w:t>
      </w:r>
      <w:r w:rsidRPr="00DC5592">
        <w:rPr>
          <w:rFonts w:ascii="Cambria" w:hAnsi="Cambria"/>
        </w:rPr>
        <w:t xml:space="preserve">uses </w:t>
      </w:r>
      <w:r w:rsidR="008B48A0" w:rsidRPr="00DC5592">
        <w:rPr>
          <w:rFonts w:ascii="Cambria" w:hAnsi="Cambria"/>
        </w:rPr>
        <w:t xml:space="preserve">a proprietary internet connection via a </w:t>
      </w:r>
      <w:r w:rsidR="00CF278A" w:rsidRPr="00DC5592">
        <w:rPr>
          <w:rFonts w:ascii="Cambria" w:hAnsi="Cambria"/>
        </w:rPr>
        <w:t xml:space="preserve">global </w:t>
      </w:r>
      <w:proofErr w:type="spellStart"/>
      <w:r w:rsidR="00CF278A" w:rsidRPr="00DC5592">
        <w:rPr>
          <w:rFonts w:ascii="Cambria" w:hAnsi="Cambria"/>
        </w:rPr>
        <w:t>eSIM</w:t>
      </w:r>
      <w:proofErr w:type="spellEnd"/>
      <w:r w:rsidR="00CF278A" w:rsidRPr="00DC5592">
        <w:rPr>
          <w:rFonts w:ascii="Cambria" w:hAnsi="Cambria"/>
        </w:rPr>
        <w:t xml:space="preserve"> and modem</w:t>
      </w:r>
      <w:r w:rsidR="008B48A0" w:rsidRPr="00DC5592">
        <w:rPr>
          <w:rFonts w:ascii="Cambria" w:hAnsi="Cambria"/>
        </w:rPr>
        <w:t xml:space="preserve"> that is integrated into the vehicle’s IT system. A brought-in system is an </w:t>
      </w:r>
      <w:r w:rsidR="000776D7" w:rsidRPr="00DC5592">
        <w:rPr>
          <w:rFonts w:ascii="Cambria" w:hAnsi="Cambria"/>
        </w:rPr>
        <w:t>after-market</w:t>
      </w:r>
      <w:r w:rsidR="008B48A0" w:rsidRPr="00DC5592">
        <w:rPr>
          <w:rFonts w:ascii="Cambria" w:hAnsi="Cambria"/>
        </w:rPr>
        <w:t xml:space="preserve"> device that usually plugs into the vehicle</w:t>
      </w:r>
      <w:r w:rsidR="000776D7" w:rsidRPr="00DC5592">
        <w:rPr>
          <w:rFonts w:ascii="Cambria" w:hAnsi="Cambria"/>
        </w:rPr>
        <w:t>’</w:t>
      </w:r>
      <w:r w:rsidR="008B48A0" w:rsidRPr="00DC5592">
        <w:rPr>
          <w:rFonts w:ascii="Cambria" w:hAnsi="Cambria"/>
        </w:rPr>
        <w:t>s on-board diagnostics system. It then uses either the customer</w:t>
      </w:r>
      <w:r w:rsidR="001665E3" w:rsidRPr="00DC5592">
        <w:rPr>
          <w:rFonts w:ascii="Cambria" w:hAnsi="Cambria"/>
        </w:rPr>
        <w:t>’</w:t>
      </w:r>
      <w:r w:rsidR="008B48A0" w:rsidRPr="00DC5592">
        <w:rPr>
          <w:rFonts w:ascii="Cambria" w:hAnsi="Cambria"/>
        </w:rPr>
        <w:t>s smartphone or a proprietary internet connection via a</w:t>
      </w:r>
      <w:r w:rsidR="00CF278A" w:rsidRPr="00DC5592">
        <w:rPr>
          <w:rFonts w:ascii="Cambria" w:hAnsi="Cambria"/>
        </w:rPr>
        <w:t xml:space="preserve"> SIM and </w:t>
      </w:r>
      <w:r w:rsidR="00232723" w:rsidRPr="00DC5592">
        <w:rPr>
          <w:rFonts w:ascii="Cambria" w:hAnsi="Cambria"/>
        </w:rPr>
        <w:t>m</w:t>
      </w:r>
      <w:r w:rsidR="00CF278A" w:rsidRPr="00DC5592">
        <w:rPr>
          <w:rFonts w:ascii="Cambria" w:hAnsi="Cambria"/>
        </w:rPr>
        <w:t>odem</w:t>
      </w:r>
      <w:r w:rsidR="008B48A0" w:rsidRPr="00DC5592">
        <w:rPr>
          <w:rFonts w:ascii="Cambria" w:hAnsi="Cambria"/>
        </w:rPr>
        <w:t xml:space="preserve">. </w:t>
      </w:r>
    </w:p>
    <w:p w14:paraId="5792BAF9" w14:textId="77777777" w:rsidR="00162956" w:rsidRPr="00DC5592" w:rsidRDefault="00162956" w:rsidP="00C014F3">
      <w:pPr>
        <w:rPr>
          <w:rFonts w:ascii="Cambria" w:hAnsi="Cambria"/>
          <w:b/>
        </w:rPr>
      </w:pPr>
    </w:p>
    <w:p w14:paraId="5792BAFA" w14:textId="77777777" w:rsidR="00BE2432" w:rsidRPr="00DC5592" w:rsidRDefault="00407FD0" w:rsidP="00C014F3">
      <w:pPr>
        <w:rPr>
          <w:rFonts w:ascii="Cambria" w:hAnsi="Cambria"/>
          <w:b/>
        </w:rPr>
      </w:pPr>
      <w:r w:rsidRPr="00DC5592">
        <w:rPr>
          <w:rFonts w:ascii="Cambria" w:hAnsi="Cambria"/>
          <w:b/>
        </w:rPr>
        <w:lastRenderedPageBreak/>
        <w:t>C</w:t>
      </w:r>
      <w:r w:rsidR="004261B5" w:rsidRPr="00DC5592">
        <w:rPr>
          <w:rFonts w:ascii="Cambria" w:hAnsi="Cambria"/>
          <w:b/>
        </w:rPr>
        <w:t>-</w:t>
      </w:r>
      <w:r w:rsidRPr="00DC5592">
        <w:rPr>
          <w:rFonts w:ascii="Cambria" w:hAnsi="Cambria"/>
          <w:b/>
        </w:rPr>
        <w:t>ITS</w:t>
      </w:r>
    </w:p>
    <w:p w14:paraId="5792BAFB" w14:textId="77777777" w:rsidR="001472A3" w:rsidRPr="00DC5592" w:rsidRDefault="001472A3" w:rsidP="001472A3">
      <w:pPr>
        <w:rPr>
          <w:rFonts w:ascii="Cambria" w:hAnsi="Cambria"/>
        </w:rPr>
      </w:pPr>
      <w:r w:rsidRPr="00DC5592">
        <w:rPr>
          <w:rFonts w:ascii="Cambria" w:hAnsi="Cambria"/>
          <w:bCs/>
        </w:rPr>
        <w:t>There are currently two non-compatible and non-interoperable C-IT</w:t>
      </w:r>
      <w:r w:rsidR="004E5325" w:rsidRPr="00DC5592">
        <w:rPr>
          <w:rFonts w:ascii="Cambria" w:hAnsi="Cambria"/>
          <w:bCs/>
        </w:rPr>
        <w:t>S</w:t>
      </w:r>
      <w:r w:rsidRPr="00DC5592">
        <w:rPr>
          <w:rFonts w:ascii="Cambria" w:hAnsi="Cambria"/>
          <w:bCs/>
        </w:rPr>
        <w:t xml:space="preserve"> systems, despite widespread preference for a globally consistent solution.</w:t>
      </w:r>
      <w:r w:rsidR="001528BF" w:rsidRPr="00DC5592">
        <w:rPr>
          <w:rStyle w:val="FootnoteReference"/>
          <w:rFonts w:ascii="Cambria" w:hAnsi="Cambria"/>
          <w:bCs/>
        </w:rPr>
        <w:footnoteReference w:id="12"/>
      </w:r>
      <w:r w:rsidRPr="00DC5592">
        <w:rPr>
          <w:rFonts w:ascii="Cambria" w:hAnsi="Cambria"/>
          <w:bCs/>
        </w:rPr>
        <w:t xml:space="preserve"> </w:t>
      </w:r>
    </w:p>
    <w:p w14:paraId="5792BAFC" w14:textId="62DF59E6" w:rsidR="00A77581" w:rsidRPr="00DC5592" w:rsidRDefault="00A77581" w:rsidP="001472A3">
      <w:pPr>
        <w:numPr>
          <w:ilvl w:val="0"/>
          <w:numId w:val="49"/>
        </w:numPr>
        <w:rPr>
          <w:rFonts w:ascii="Cambria" w:hAnsi="Cambria"/>
        </w:rPr>
      </w:pPr>
      <w:r w:rsidRPr="00DC5592">
        <w:rPr>
          <w:rFonts w:ascii="Cambria" w:hAnsi="Cambria"/>
          <w:bCs/>
        </w:rPr>
        <w:t>DSRC</w:t>
      </w:r>
      <w:r w:rsidRPr="00DC5592">
        <w:rPr>
          <w:rFonts w:ascii="Cambria" w:hAnsi="Cambria"/>
        </w:rPr>
        <w:t xml:space="preserve"> - uses </w:t>
      </w:r>
      <w:r w:rsidR="00DC5592" w:rsidRPr="00DC5592">
        <w:rPr>
          <w:rFonts w:ascii="Cambria" w:hAnsi="Cambria"/>
        </w:rPr>
        <w:t>an</w:t>
      </w:r>
      <w:r w:rsidRPr="00DC5592">
        <w:rPr>
          <w:rFonts w:ascii="Cambria" w:hAnsi="Cambria"/>
        </w:rPr>
        <w:t xml:space="preserve"> IEEE 802.11p protocol (an extension of </w:t>
      </w:r>
      <w:r w:rsidR="00737EBB">
        <w:rPr>
          <w:rFonts w:ascii="Cambria" w:hAnsi="Cambria"/>
        </w:rPr>
        <w:t xml:space="preserve">the </w:t>
      </w:r>
      <w:r w:rsidRPr="00DC5592">
        <w:rPr>
          <w:rFonts w:ascii="Cambria" w:hAnsi="Cambria"/>
        </w:rPr>
        <w:t>common Wi-Fi standard)</w:t>
      </w:r>
      <w:r w:rsidR="00C77968" w:rsidRPr="00DC5592">
        <w:rPr>
          <w:rFonts w:ascii="Cambria" w:hAnsi="Cambria"/>
        </w:rPr>
        <w:t xml:space="preserve"> </w:t>
      </w:r>
      <w:r w:rsidRPr="00DC5592">
        <w:rPr>
          <w:rFonts w:ascii="Cambria" w:hAnsi="Cambria"/>
        </w:rPr>
        <w:t>to facilitate the real-time, precise, and trustworthy transmission of safety messages within a range of typically 400 meters, between vehicles and Roadside Units (RSUs).</w:t>
      </w:r>
    </w:p>
    <w:p w14:paraId="5792BAFD" w14:textId="604A976E" w:rsidR="001472A3" w:rsidRPr="00DC5592" w:rsidRDefault="00A77581" w:rsidP="00C014F3">
      <w:pPr>
        <w:numPr>
          <w:ilvl w:val="0"/>
          <w:numId w:val="49"/>
        </w:numPr>
        <w:rPr>
          <w:rFonts w:ascii="Cambria" w:hAnsi="Cambria"/>
        </w:rPr>
      </w:pPr>
      <w:r w:rsidRPr="00DC5592">
        <w:rPr>
          <w:rFonts w:ascii="Cambria" w:hAnsi="Cambria"/>
          <w:bCs/>
        </w:rPr>
        <w:t xml:space="preserve">Cellular V2X </w:t>
      </w:r>
      <w:r w:rsidRPr="00DC5592">
        <w:rPr>
          <w:rFonts w:ascii="Cambria" w:hAnsi="Cambria"/>
        </w:rPr>
        <w:t xml:space="preserve">– supports both direct communication </w:t>
      </w:r>
      <w:r w:rsidR="00737EBB">
        <w:rPr>
          <w:rFonts w:ascii="Cambria" w:hAnsi="Cambria"/>
        </w:rPr>
        <w:t>in</w:t>
      </w:r>
      <w:r w:rsidR="00737EBB" w:rsidRPr="00DC5592">
        <w:rPr>
          <w:rFonts w:ascii="Cambria" w:hAnsi="Cambria"/>
        </w:rPr>
        <w:t xml:space="preserve"> </w:t>
      </w:r>
      <w:r w:rsidRPr="00DC5592">
        <w:rPr>
          <w:rFonts w:ascii="Cambria" w:hAnsi="Cambria"/>
        </w:rPr>
        <w:t>the 5.9GHz ITS band and communication via cellular base stations using LTE or 5G. It is expected that this will provide enhanced performance in non-line-of-sight scenarios and provide high-capacity data transmission.</w:t>
      </w:r>
    </w:p>
    <w:p w14:paraId="5792BAFE" w14:textId="77777777" w:rsidR="00BE2432" w:rsidRPr="00DC5592" w:rsidRDefault="00BE2432" w:rsidP="00CE63EB">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b/>
          <w:sz w:val="32"/>
          <w:szCs w:val="32"/>
        </w:rPr>
      </w:pPr>
      <w:r w:rsidRPr="00DC5592">
        <w:rPr>
          <w:rFonts w:ascii="Cambria" w:hAnsi="Cambria"/>
          <w:b/>
          <w:sz w:val="32"/>
          <w:szCs w:val="32"/>
        </w:rPr>
        <w:t xml:space="preserve">Example: </w:t>
      </w:r>
      <w:r w:rsidR="00C81292" w:rsidRPr="00DC5592">
        <w:rPr>
          <w:rFonts w:ascii="Cambria" w:hAnsi="Cambria"/>
          <w:b/>
          <w:sz w:val="32"/>
          <w:szCs w:val="32"/>
        </w:rPr>
        <w:t>embedded or after</w:t>
      </w:r>
      <w:r w:rsidR="00B97518">
        <w:rPr>
          <w:rFonts w:ascii="Cambria" w:hAnsi="Cambria"/>
          <w:b/>
          <w:sz w:val="32"/>
          <w:szCs w:val="32"/>
        </w:rPr>
        <w:t>-</w:t>
      </w:r>
      <w:r w:rsidR="00C81292" w:rsidRPr="00DC5592">
        <w:rPr>
          <w:rFonts w:ascii="Cambria" w:hAnsi="Cambria"/>
          <w:b/>
          <w:sz w:val="32"/>
          <w:szCs w:val="32"/>
        </w:rPr>
        <w:t>market vehicle connectivity</w:t>
      </w:r>
    </w:p>
    <w:p w14:paraId="5792BAFF" w14:textId="1D2BFE71" w:rsidR="0034163C" w:rsidRPr="00DC5592" w:rsidRDefault="00C81292" w:rsidP="00CE63EB">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rPr>
      </w:pPr>
      <w:r w:rsidRPr="00DC5592">
        <w:rPr>
          <w:rFonts w:ascii="Cambria" w:hAnsi="Cambria"/>
        </w:rPr>
        <w:t xml:space="preserve">A vehicle may have a </w:t>
      </w:r>
      <w:r w:rsidR="00AD16E8" w:rsidRPr="00DC5592">
        <w:rPr>
          <w:rFonts w:ascii="Cambria" w:hAnsi="Cambria"/>
        </w:rPr>
        <w:t xml:space="preserve">SIM </w:t>
      </w:r>
      <w:r w:rsidRPr="00DC5592">
        <w:rPr>
          <w:rFonts w:ascii="Cambria" w:hAnsi="Cambria"/>
        </w:rPr>
        <w:t>and modem embedded during the manufacturing process, or plugged in after purchase.</w:t>
      </w:r>
      <w:r w:rsidR="0034163C" w:rsidRPr="00DC5592">
        <w:rPr>
          <w:rFonts w:ascii="Cambria" w:hAnsi="Cambria"/>
        </w:rPr>
        <w:t xml:space="preserve"> </w:t>
      </w:r>
      <w:r w:rsidRPr="00DC5592">
        <w:rPr>
          <w:rFonts w:ascii="Cambria" w:hAnsi="Cambria"/>
        </w:rPr>
        <w:t>A user interface such as an app is</w:t>
      </w:r>
      <w:r w:rsidR="0034163C" w:rsidRPr="00DC5592">
        <w:rPr>
          <w:rFonts w:ascii="Cambria" w:hAnsi="Cambria"/>
        </w:rPr>
        <w:t xml:space="preserve"> linked to the modem, an account is set</w:t>
      </w:r>
      <w:r w:rsidR="00737EBB">
        <w:rPr>
          <w:rFonts w:ascii="Cambria" w:hAnsi="Cambria"/>
        </w:rPr>
        <w:t xml:space="preserve"> </w:t>
      </w:r>
      <w:r w:rsidR="0034163C" w:rsidRPr="00DC5592">
        <w:rPr>
          <w:rFonts w:ascii="Cambria" w:hAnsi="Cambria"/>
        </w:rPr>
        <w:t xml:space="preserve">up, and the vehicle becomes activated. </w:t>
      </w:r>
      <w:r w:rsidR="00286775" w:rsidRPr="00DC5592">
        <w:rPr>
          <w:rFonts w:ascii="Cambria" w:hAnsi="Cambria"/>
        </w:rPr>
        <w:t xml:space="preserve">To facilitate connected vehicle services, </w:t>
      </w:r>
      <w:r w:rsidR="00286775" w:rsidRPr="00DC5592">
        <w:rPr>
          <w:rFonts w:ascii="Cambria" w:hAnsi="Cambria" w:cs="Times New Roman"/>
        </w:rPr>
        <w:t xml:space="preserve">data is sent from the vehicle’s connection system through local mobile infrastructure to a contracted overseas carrier, then to company servers for analysis. </w:t>
      </w:r>
      <w:r w:rsidR="00286775" w:rsidRPr="00DC5592">
        <w:rPr>
          <w:rFonts w:ascii="Cambria" w:hAnsi="Cambria"/>
        </w:rPr>
        <w:t xml:space="preserve">Information can then be sent back to the vehicle or the end-user through those same networks, or to a </w:t>
      </w:r>
      <w:proofErr w:type="gramStart"/>
      <w:r w:rsidR="00286775" w:rsidRPr="00DC5592">
        <w:rPr>
          <w:rFonts w:ascii="Cambria" w:hAnsi="Cambria"/>
        </w:rPr>
        <w:t>third party</w:t>
      </w:r>
      <w:proofErr w:type="gramEnd"/>
      <w:r w:rsidR="00286775" w:rsidRPr="00DC5592">
        <w:rPr>
          <w:rFonts w:ascii="Cambria" w:hAnsi="Cambria"/>
        </w:rPr>
        <w:t xml:space="preserve"> company, such as the vehicle manufacturer/distributor. </w:t>
      </w:r>
      <w:r w:rsidR="00D71B09" w:rsidRPr="00DC5592">
        <w:rPr>
          <w:rFonts w:ascii="Cambria" w:hAnsi="Cambria"/>
        </w:rPr>
        <w:t xml:space="preserve">Vehicle connectivity is usually </w:t>
      </w:r>
      <w:r w:rsidR="00286775" w:rsidRPr="00DC5592">
        <w:rPr>
          <w:rFonts w:ascii="Cambria" w:hAnsi="Cambria"/>
        </w:rPr>
        <w:t xml:space="preserve">offered </w:t>
      </w:r>
      <w:r w:rsidR="00D71B09" w:rsidRPr="00DC5592">
        <w:rPr>
          <w:rFonts w:ascii="Cambria" w:hAnsi="Cambria"/>
        </w:rPr>
        <w:t>on a subscription basis</w:t>
      </w:r>
      <w:r w:rsidR="00286775" w:rsidRPr="00DC5592">
        <w:rPr>
          <w:rFonts w:ascii="Cambria" w:hAnsi="Cambria"/>
        </w:rPr>
        <w:t xml:space="preserve">, although third parties may also arrange for connectivity in return for access to the vehicle data. </w:t>
      </w:r>
    </w:p>
    <w:p w14:paraId="5792BB00" w14:textId="77777777" w:rsidR="0034163C" w:rsidRPr="00DC5592" w:rsidRDefault="00C81292" w:rsidP="00CE63EB">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rPr>
      </w:pPr>
      <w:r w:rsidRPr="00DC5592">
        <w:rPr>
          <w:rFonts w:ascii="Cambria" w:hAnsi="Cambria"/>
        </w:rPr>
        <w:t>The</w:t>
      </w:r>
      <w:r w:rsidR="0034163C" w:rsidRPr="00DC5592">
        <w:rPr>
          <w:rFonts w:ascii="Cambria" w:hAnsi="Cambria"/>
        </w:rPr>
        <w:t xml:space="preserve"> following data may be sent </w:t>
      </w:r>
      <w:r w:rsidRPr="00DC5592">
        <w:rPr>
          <w:rFonts w:ascii="Cambria" w:hAnsi="Cambria"/>
        </w:rPr>
        <w:t>from the vehicle via connected services</w:t>
      </w:r>
      <w:r w:rsidR="0034163C" w:rsidRPr="00DC5592">
        <w:rPr>
          <w:rFonts w:ascii="Cambria" w:hAnsi="Cambria"/>
        </w:rPr>
        <w:t>:</w:t>
      </w:r>
    </w:p>
    <w:p w14:paraId="5792BB01" w14:textId="00A621D1" w:rsidR="0034163C" w:rsidRPr="00DC5592" w:rsidRDefault="0034163C" w:rsidP="00CE63EB">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rPr>
      </w:pPr>
      <w:r w:rsidRPr="00DC5592">
        <w:rPr>
          <w:rFonts w:ascii="Cambria" w:hAnsi="Cambria"/>
        </w:rPr>
        <w:t>(a) before activation, vehicle identification number (VIN</w:t>
      </w:r>
      <w:r w:rsidR="00737EBB" w:rsidRPr="00DC5592">
        <w:rPr>
          <w:rFonts w:ascii="Cambria" w:hAnsi="Cambria"/>
        </w:rPr>
        <w:t>)</w:t>
      </w:r>
      <w:r w:rsidR="00737EBB">
        <w:rPr>
          <w:rFonts w:ascii="Cambria" w:hAnsi="Cambria"/>
        </w:rPr>
        <w:t>;</w:t>
      </w:r>
      <w:r w:rsidR="00737EBB" w:rsidRPr="00DC5592">
        <w:rPr>
          <w:rFonts w:ascii="Cambria" w:hAnsi="Cambria"/>
        </w:rPr>
        <w:t xml:space="preserve"> </w:t>
      </w:r>
      <w:r w:rsidRPr="00DC5592">
        <w:rPr>
          <w:rFonts w:ascii="Cambria" w:hAnsi="Cambria"/>
        </w:rPr>
        <w:t xml:space="preserve">Electronic Serial Number of </w:t>
      </w:r>
      <w:r w:rsidR="00544FAC" w:rsidRPr="00DC5592">
        <w:rPr>
          <w:rFonts w:ascii="Cambria" w:hAnsi="Cambria"/>
        </w:rPr>
        <w:t xml:space="preserve">the </w:t>
      </w:r>
      <w:r w:rsidRPr="00DC5592">
        <w:rPr>
          <w:rFonts w:ascii="Cambria" w:hAnsi="Cambria"/>
        </w:rPr>
        <w:t>modem</w:t>
      </w:r>
      <w:r w:rsidR="00737EBB">
        <w:rPr>
          <w:rFonts w:ascii="Cambria" w:hAnsi="Cambria"/>
        </w:rPr>
        <w:t>;</w:t>
      </w:r>
      <w:r w:rsidR="00737EBB" w:rsidRPr="00DC5592">
        <w:rPr>
          <w:rFonts w:ascii="Cambria" w:hAnsi="Cambria"/>
        </w:rPr>
        <w:t xml:space="preserve"> </w:t>
      </w:r>
      <w:r w:rsidRPr="00DC5592">
        <w:rPr>
          <w:rFonts w:ascii="Cambria" w:hAnsi="Cambria"/>
        </w:rPr>
        <w:t>SIM serial number</w:t>
      </w:r>
      <w:r w:rsidR="00737EBB">
        <w:rPr>
          <w:rFonts w:ascii="Cambria" w:hAnsi="Cambria"/>
        </w:rPr>
        <w:t>;</w:t>
      </w:r>
      <w:r w:rsidR="00737EBB" w:rsidRPr="00DC5592">
        <w:rPr>
          <w:rFonts w:ascii="Cambria" w:hAnsi="Cambria"/>
        </w:rPr>
        <w:t xml:space="preserve"> </w:t>
      </w:r>
      <w:r w:rsidRPr="00DC5592">
        <w:rPr>
          <w:rFonts w:ascii="Cambria" w:hAnsi="Cambria"/>
        </w:rPr>
        <w:t>diagnostic and maintenance data;</w:t>
      </w:r>
    </w:p>
    <w:p w14:paraId="5792BB02" w14:textId="77777777" w:rsidR="0034163C" w:rsidRPr="00DC5592" w:rsidRDefault="0034163C" w:rsidP="00CE63EB">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rPr>
      </w:pPr>
      <w:r w:rsidRPr="00DC5592">
        <w:rPr>
          <w:rFonts w:ascii="Cambria" w:hAnsi="Cambria"/>
        </w:rPr>
        <w:t>(b) after activation, data on how the vehicle is operated and used (e.g. use of steering, acceleration, seat belt status, operation of internal controls);</w:t>
      </w:r>
    </w:p>
    <w:p w14:paraId="5792BB03" w14:textId="77777777" w:rsidR="0034163C" w:rsidRPr="00DC5592" w:rsidRDefault="0034163C" w:rsidP="00CE63EB">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rPr>
      </w:pPr>
      <w:r w:rsidRPr="00DC5592">
        <w:rPr>
          <w:rFonts w:ascii="Cambria" w:hAnsi="Cambria"/>
        </w:rPr>
        <w:t>(c) Wi-Fi and mobile network connection; software and firmware versions of vehicle systems; performance and use of systems and vehicle cabin technology such as navigation, infotainment systems, phone/Bluetooth pairings, climate control, seat position; connectivity setting changes;</w:t>
      </w:r>
    </w:p>
    <w:p w14:paraId="5792BB04" w14:textId="77777777" w:rsidR="0034163C" w:rsidRPr="00DC5592" w:rsidRDefault="0034163C" w:rsidP="00CE63EB">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rPr>
      </w:pPr>
      <w:r w:rsidRPr="00DC5592">
        <w:rPr>
          <w:rFonts w:ascii="Cambria" w:hAnsi="Cambria"/>
        </w:rPr>
        <w:t xml:space="preserve">(d) </w:t>
      </w:r>
      <w:r w:rsidR="00273849" w:rsidRPr="00DC5592">
        <w:rPr>
          <w:rFonts w:ascii="Cambria" w:hAnsi="Cambria"/>
        </w:rPr>
        <w:t xml:space="preserve">real time </w:t>
      </w:r>
      <w:r w:rsidRPr="00DC5592">
        <w:rPr>
          <w:rFonts w:ascii="Cambria" w:hAnsi="Cambria"/>
        </w:rPr>
        <w:t>latitude and longitude of the vehicle; and</w:t>
      </w:r>
    </w:p>
    <w:p w14:paraId="5792BB05" w14:textId="77777777" w:rsidR="0034163C" w:rsidRPr="00DC5592" w:rsidRDefault="0034163C" w:rsidP="00CE63EB">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rPr>
      </w:pPr>
      <w:r w:rsidRPr="00DC5592">
        <w:rPr>
          <w:rFonts w:ascii="Cambria" w:hAnsi="Cambria"/>
        </w:rPr>
        <w:t xml:space="preserve">(e) software updates. </w:t>
      </w:r>
    </w:p>
    <w:p w14:paraId="5792BB06" w14:textId="77777777" w:rsidR="00D71B09" w:rsidRPr="00DC5592" w:rsidRDefault="00D71B09" w:rsidP="00D71B09">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cs="Times New Roman"/>
          <w:color w:val="000000"/>
        </w:rPr>
      </w:pPr>
      <w:r w:rsidRPr="00DC5592">
        <w:rPr>
          <w:rFonts w:ascii="Cambria" w:hAnsi="Cambria" w:cs="Times New Roman"/>
          <w:color w:val="000000"/>
        </w:rPr>
        <w:t xml:space="preserve">From a regulatory perspective, most vehicle connectivity is governed by distributors arranging for ongoing contractual arrangements with established CSPs for access to mobile infrastructure for the transfer and analysis of data to and from the vehicle. This makes those distributors CSIs, and hence CSPs under the </w:t>
      </w:r>
      <w:r w:rsidR="00A26BD7" w:rsidRPr="00DC5592">
        <w:rPr>
          <w:rFonts w:ascii="Cambria" w:hAnsi="Cambria" w:cs="Times New Roman"/>
          <w:color w:val="000000"/>
        </w:rPr>
        <w:t>Tel Act</w:t>
      </w:r>
      <w:r w:rsidRPr="00DC5592">
        <w:rPr>
          <w:rFonts w:ascii="Cambria" w:hAnsi="Cambria" w:cs="Times New Roman"/>
          <w:color w:val="000000"/>
        </w:rPr>
        <w:t xml:space="preserve"> (s87(5)). While it is possible to exempt individuals and specific classes from CSP obligations under s95 of the Tel Act, the</w:t>
      </w:r>
      <w:r w:rsidR="005338EB" w:rsidRPr="00DC5592">
        <w:rPr>
          <w:rFonts w:ascii="Cambria" w:hAnsi="Cambria" w:cs="Times New Roman"/>
          <w:color w:val="000000"/>
        </w:rPr>
        <w:t xml:space="preserve">re </w:t>
      </w:r>
      <w:r w:rsidR="00286775" w:rsidRPr="00DC5592">
        <w:rPr>
          <w:rFonts w:ascii="Cambria" w:hAnsi="Cambria" w:cs="Times New Roman"/>
          <w:color w:val="000000"/>
        </w:rPr>
        <w:t>may be</w:t>
      </w:r>
      <w:r w:rsidR="005338EB" w:rsidRPr="00DC5592">
        <w:rPr>
          <w:rFonts w:ascii="Cambria" w:hAnsi="Cambria" w:cs="Times New Roman"/>
          <w:color w:val="000000"/>
        </w:rPr>
        <w:t xml:space="preserve"> obligations that should continue to apply to connected vehicle services. These could be managed through amendments to regulations specifying connected vehicle services and the obligations that should apply, or through a s96 exemption, which would allow specific obligations to be exempted for a class.</w:t>
      </w:r>
    </w:p>
    <w:p w14:paraId="5792BB07" w14:textId="77777777" w:rsidR="00C014F3" w:rsidRPr="00DC5592" w:rsidRDefault="0017768A" w:rsidP="00D71B09">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b/>
          <w:sz w:val="28"/>
          <w:szCs w:val="28"/>
        </w:rPr>
      </w:pPr>
      <w:r w:rsidRPr="00DC5592">
        <w:rPr>
          <w:rFonts w:ascii="Cambria" w:hAnsi="Cambria"/>
          <w:b/>
          <w:sz w:val="28"/>
          <w:szCs w:val="28"/>
        </w:rPr>
        <w:lastRenderedPageBreak/>
        <w:t>Example</w:t>
      </w:r>
      <w:r w:rsidR="00024481" w:rsidRPr="00DC5592">
        <w:rPr>
          <w:rFonts w:ascii="Cambria" w:hAnsi="Cambria"/>
          <w:b/>
          <w:sz w:val="28"/>
          <w:szCs w:val="28"/>
        </w:rPr>
        <w:t xml:space="preserve">: </w:t>
      </w:r>
      <w:r w:rsidR="00C81292" w:rsidRPr="00DC5592">
        <w:rPr>
          <w:rFonts w:ascii="Cambria" w:hAnsi="Cambria"/>
          <w:b/>
          <w:sz w:val="28"/>
          <w:szCs w:val="28"/>
        </w:rPr>
        <w:t>emergency call systems</w:t>
      </w:r>
    </w:p>
    <w:p w14:paraId="5792BB08" w14:textId="74748394" w:rsidR="008E18D4" w:rsidRPr="00DC5592" w:rsidRDefault="002559BD" w:rsidP="008E18D4">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cs="Times New Roman"/>
          <w:color w:val="000000"/>
        </w:rPr>
      </w:pPr>
      <w:r w:rsidRPr="00DC5592">
        <w:rPr>
          <w:rFonts w:ascii="Cambria" w:hAnsi="Cambria" w:cs="Times New Roman"/>
          <w:color w:val="000000"/>
        </w:rPr>
        <w:t>Some connected vehicles have an emergency call</w:t>
      </w:r>
      <w:r w:rsidR="00273849" w:rsidRPr="00DC5592">
        <w:rPr>
          <w:rFonts w:ascii="Cambria" w:hAnsi="Cambria" w:cs="Times New Roman"/>
          <w:color w:val="000000"/>
        </w:rPr>
        <w:t xml:space="preserve"> (</w:t>
      </w:r>
      <w:proofErr w:type="spellStart"/>
      <w:r w:rsidR="00273849" w:rsidRPr="00DC5592">
        <w:rPr>
          <w:rFonts w:ascii="Cambria" w:hAnsi="Cambria" w:cs="Times New Roman"/>
          <w:color w:val="000000"/>
        </w:rPr>
        <w:t>eCall</w:t>
      </w:r>
      <w:proofErr w:type="spellEnd"/>
      <w:r w:rsidR="00273849" w:rsidRPr="00DC5592">
        <w:rPr>
          <w:rFonts w:ascii="Cambria" w:hAnsi="Cambria" w:cs="Times New Roman"/>
          <w:color w:val="000000"/>
        </w:rPr>
        <w:t>)</w:t>
      </w:r>
      <w:r w:rsidRPr="00DC5592">
        <w:rPr>
          <w:rFonts w:ascii="Cambria" w:hAnsi="Cambria" w:cs="Times New Roman"/>
          <w:color w:val="000000"/>
        </w:rPr>
        <w:t xml:space="preserve"> system. This system may be provided </w:t>
      </w:r>
      <w:r w:rsidR="00273849" w:rsidRPr="00DC5592">
        <w:rPr>
          <w:rFonts w:ascii="Cambria" w:hAnsi="Cambria" w:cs="Times New Roman"/>
          <w:color w:val="000000"/>
        </w:rPr>
        <w:t xml:space="preserve">for free or as part </w:t>
      </w:r>
      <w:r w:rsidR="0055221C">
        <w:rPr>
          <w:rFonts w:ascii="Cambria" w:hAnsi="Cambria" w:cs="Times New Roman"/>
          <w:color w:val="000000"/>
        </w:rPr>
        <w:t xml:space="preserve">of </w:t>
      </w:r>
      <w:r w:rsidRPr="00DC5592">
        <w:rPr>
          <w:rFonts w:ascii="Cambria" w:hAnsi="Cambria" w:cs="Times New Roman"/>
          <w:color w:val="000000"/>
        </w:rPr>
        <w:t>a subscription. In the event of an accident, the car connects to an emergency call centre and transmits the GPS position, driving direction</w:t>
      </w:r>
      <w:r w:rsidR="008E18D4" w:rsidRPr="00DC5592">
        <w:rPr>
          <w:rFonts w:ascii="Cambria" w:hAnsi="Cambria" w:cs="Times New Roman"/>
          <w:color w:val="000000"/>
        </w:rPr>
        <w:t xml:space="preserve"> </w:t>
      </w:r>
      <w:r w:rsidRPr="00DC5592">
        <w:rPr>
          <w:rFonts w:ascii="Cambria" w:hAnsi="Cambria" w:cs="Times New Roman"/>
          <w:color w:val="000000"/>
        </w:rPr>
        <w:t>and number of passengers</w:t>
      </w:r>
      <w:r w:rsidR="008E18D4" w:rsidRPr="00DC5592">
        <w:rPr>
          <w:rFonts w:ascii="Cambria" w:hAnsi="Cambria" w:cs="Times New Roman"/>
          <w:color w:val="000000"/>
        </w:rPr>
        <w:t xml:space="preserve">, and notifies emergency services if the passengers cannot be contacted. Outside of collisions, </w:t>
      </w:r>
      <w:proofErr w:type="spellStart"/>
      <w:r w:rsidR="008E18D4" w:rsidRPr="00DC5592">
        <w:rPr>
          <w:rFonts w:ascii="Cambria" w:hAnsi="Cambria" w:cs="Times New Roman"/>
          <w:color w:val="000000"/>
        </w:rPr>
        <w:t>eCalls</w:t>
      </w:r>
      <w:proofErr w:type="spellEnd"/>
      <w:r w:rsidR="008E18D4" w:rsidRPr="00DC5592">
        <w:rPr>
          <w:rFonts w:ascii="Cambria" w:hAnsi="Cambria" w:cs="Times New Roman"/>
          <w:color w:val="000000"/>
        </w:rPr>
        <w:t xml:space="preserve"> can also be triggered manually via a button if, for example, there is a medical emergency. </w:t>
      </w:r>
      <w:proofErr w:type="spellStart"/>
      <w:r w:rsidR="008E18D4" w:rsidRPr="00DC5592">
        <w:rPr>
          <w:rFonts w:ascii="Cambria" w:hAnsi="Cambria" w:cs="Times New Roman"/>
          <w:color w:val="000000"/>
        </w:rPr>
        <w:t>eCall</w:t>
      </w:r>
      <w:proofErr w:type="spellEnd"/>
      <w:r w:rsidR="008E18D4" w:rsidRPr="00DC5592">
        <w:rPr>
          <w:rFonts w:ascii="Cambria" w:hAnsi="Cambria" w:cs="Times New Roman"/>
          <w:color w:val="000000"/>
        </w:rPr>
        <w:t xml:space="preserve"> technology has been mandated for all new vehicles and light vans in the EU since 2018.</w:t>
      </w:r>
    </w:p>
    <w:p w14:paraId="5792BB09" w14:textId="77777777" w:rsidR="002559BD" w:rsidRPr="00DC5592" w:rsidRDefault="008E18D4" w:rsidP="00CE63EB">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cs="Times New Roman"/>
          <w:bCs/>
          <w:color w:val="000000"/>
        </w:rPr>
      </w:pPr>
      <w:r w:rsidRPr="00DC5592">
        <w:rPr>
          <w:rFonts w:ascii="Cambria" w:hAnsi="Cambria" w:cs="Times New Roman"/>
          <w:bCs/>
          <w:color w:val="000000"/>
        </w:rPr>
        <w:t xml:space="preserve">CSPs </w:t>
      </w:r>
      <w:r w:rsidR="00E347C1" w:rsidRPr="00DC5592">
        <w:rPr>
          <w:rFonts w:ascii="Cambria" w:hAnsi="Cambria" w:cs="Times New Roman"/>
          <w:bCs/>
          <w:color w:val="000000"/>
        </w:rPr>
        <w:t xml:space="preserve">who offer </w:t>
      </w:r>
      <w:proofErr w:type="spellStart"/>
      <w:r w:rsidR="00E347C1" w:rsidRPr="00DC5592">
        <w:rPr>
          <w:rFonts w:ascii="Cambria" w:hAnsi="Cambria" w:cs="Times New Roman"/>
          <w:bCs/>
          <w:color w:val="000000"/>
        </w:rPr>
        <w:t>eCall</w:t>
      </w:r>
      <w:proofErr w:type="spellEnd"/>
      <w:r w:rsidR="00E347C1" w:rsidRPr="00DC5592">
        <w:rPr>
          <w:rFonts w:ascii="Cambria" w:hAnsi="Cambria" w:cs="Times New Roman"/>
          <w:bCs/>
          <w:color w:val="000000"/>
        </w:rPr>
        <w:t xml:space="preserve"> features may be subjected </w:t>
      </w:r>
      <w:r w:rsidRPr="00DC5592">
        <w:rPr>
          <w:rFonts w:ascii="Cambria" w:hAnsi="Cambria" w:cs="Times New Roman"/>
          <w:bCs/>
          <w:color w:val="000000"/>
        </w:rPr>
        <w:t xml:space="preserve">to </w:t>
      </w:r>
      <w:r w:rsidR="00DC5592" w:rsidRPr="00DC5592">
        <w:rPr>
          <w:rFonts w:ascii="Cambria" w:hAnsi="Cambria" w:cs="Times New Roman"/>
          <w:bCs/>
          <w:color w:val="000000"/>
        </w:rPr>
        <w:t>further</w:t>
      </w:r>
      <w:r w:rsidRPr="00DC5592">
        <w:rPr>
          <w:rFonts w:ascii="Cambria" w:hAnsi="Cambria" w:cs="Times New Roman"/>
          <w:bCs/>
          <w:color w:val="000000"/>
        </w:rPr>
        <w:t xml:space="preserve"> regulatory obligations. </w:t>
      </w:r>
      <w:r w:rsidR="002559BD" w:rsidRPr="00DC5592">
        <w:rPr>
          <w:rFonts w:ascii="Cambria" w:hAnsi="Cambria" w:cs="Times New Roman"/>
          <w:bCs/>
          <w:color w:val="000000"/>
        </w:rPr>
        <w:t xml:space="preserve">Part 8 </w:t>
      </w:r>
      <w:r w:rsidRPr="00DC5592">
        <w:rPr>
          <w:rFonts w:ascii="Cambria" w:hAnsi="Cambria" w:cs="Times New Roman"/>
          <w:bCs/>
          <w:color w:val="000000"/>
        </w:rPr>
        <w:t xml:space="preserve">of the </w:t>
      </w:r>
      <w:r w:rsidRPr="00DC5592">
        <w:rPr>
          <w:rFonts w:ascii="Cambria" w:hAnsi="Cambria" w:cs="Times New Roman"/>
          <w:bCs/>
          <w:i/>
          <w:color w:val="000000"/>
        </w:rPr>
        <w:t xml:space="preserve">Telecommunications (Consumer Protection and Service Standards) Act 1999 </w:t>
      </w:r>
      <w:r w:rsidRPr="00DC5592">
        <w:rPr>
          <w:rFonts w:ascii="Cambria" w:hAnsi="Cambria" w:cs="Times New Roman"/>
          <w:bCs/>
          <w:color w:val="000000"/>
        </w:rPr>
        <w:t>(</w:t>
      </w:r>
      <w:r w:rsidRPr="00DC5592">
        <w:rPr>
          <w:rFonts w:ascii="Cambria" w:hAnsi="Cambria" w:cs="Times New Roman"/>
          <w:bCs/>
          <w:i/>
          <w:color w:val="000000"/>
        </w:rPr>
        <w:t>TCPSS Act</w:t>
      </w:r>
      <w:r w:rsidRPr="00DC5592">
        <w:rPr>
          <w:rFonts w:ascii="Cambria" w:hAnsi="Cambria" w:cs="Times New Roman"/>
          <w:bCs/>
          <w:color w:val="000000"/>
        </w:rPr>
        <w:t>)</w:t>
      </w:r>
      <w:r w:rsidRPr="00DC5592">
        <w:rPr>
          <w:rFonts w:ascii="Cambria" w:hAnsi="Cambria" w:cs="Times New Roman"/>
          <w:bCs/>
          <w:i/>
          <w:color w:val="000000"/>
        </w:rPr>
        <w:t xml:space="preserve"> </w:t>
      </w:r>
      <w:r w:rsidR="002559BD" w:rsidRPr="00DC5592">
        <w:rPr>
          <w:rFonts w:ascii="Cambria" w:hAnsi="Cambria" w:cs="Times New Roman"/>
          <w:bCs/>
          <w:color w:val="000000"/>
        </w:rPr>
        <w:t xml:space="preserve">requires the </w:t>
      </w:r>
      <w:r w:rsidR="002100BC" w:rsidRPr="00DC5592">
        <w:rPr>
          <w:rFonts w:ascii="Cambria" w:hAnsi="Cambria" w:cs="Times New Roman"/>
          <w:bCs/>
          <w:color w:val="000000"/>
        </w:rPr>
        <w:t>Australian Communications and Media Authority (</w:t>
      </w:r>
      <w:r w:rsidR="002559BD" w:rsidRPr="00DC5592">
        <w:rPr>
          <w:rFonts w:ascii="Cambria" w:hAnsi="Cambria" w:cs="Times New Roman"/>
          <w:bCs/>
          <w:color w:val="000000"/>
        </w:rPr>
        <w:t>ACMA</w:t>
      </w:r>
      <w:r w:rsidR="002100BC" w:rsidRPr="00DC5592">
        <w:rPr>
          <w:rFonts w:ascii="Cambria" w:hAnsi="Cambria" w:cs="Times New Roman"/>
          <w:bCs/>
          <w:color w:val="000000"/>
        </w:rPr>
        <w:t>)</w:t>
      </w:r>
      <w:r w:rsidR="002559BD" w:rsidRPr="00DC5592">
        <w:rPr>
          <w:rFonts w:ascii="Cambria" w:hAnsi="Cambria" w:cs="Times New Roman"/>
          <w:bCs/>
          <w:color w:val="000000"/>
        </w:rPr>
        <w:t xml:space="preserve"> to make a determination imposing requirements on CSPs </w:t>
      </w:r>
      <w:r w:rsidRPr="00DC5592">
        <w:rPr>
          <w:rFonts w:ascii="Cambria" w:hAnsi="Cambria" w:cs="Times New Roman"/>
          <w:bCs/>
          <w:color w:val="000000"/>
        </w:rPr>
        <w:t>(among others) in relation to emergency call services</w:t>
      </w:r>
      <w:r w:rsidR="002559BD" w:rsidRPr="00DC5592">
        <w:rPr>
          <w:rFonts w:ascii="Cambria" w:hAnsi="Cambria" w:cs="Times New Roman"/>
          <w:bCs/>
          <w:color w:val="000000"/>
        </w:rPr>
        <w:t xml:space="preserve">. The ACMA </w:t>
      </w:r>
      <w:r w:rsidRPr="00DC5592">
        <w:rPr>
          <w:rFonts w:ascii="Cambria" w:hAnsi="Cambria" w:cs="Times New Roman"/>
          <w:bCs/>
          <w:color w:val="000000"/>
        </w:rPr>
        <w:t xml:space="preserve">must consider a number of objectives </w:t>
      </w:r>
      <w:r w:rsidR="002559BD" w:rsidRPr="00DC5592">
        <w:rPr>
          <w:rFonts w:ascii="Cambria" w:hAnsi="Cambria" w:cs="Times New Roman"/>
          <w:bCs/>
          <w:color w:val="000000"/>
        </w:rPr>
        <w:t xml:space="preserve">in making these determinations, including that access to the </w:t>
      </w:r>
      <w:proofErr w:type="spellStart"/>
      <w:r w:rsidR="000F4914" w:rsidRPr="00DC5592">
        <w:rPr>
          <w:rFonts w:ascii="Cambria" w:hAnsi="Cambria" w:cs="Times New Roman"/>
          <w:bCs/>
          <w:color w:val="000000"/>
        </w:rPr>
        <w:t>eCall</w:t>
      </w:r>
      <w:proofErr w:type="spellEnd"/>
      <w:r w:rsidR="002559BD" w:rsidRPr="00DC5592">
        <w:rPr>
          <w:rFonts w:ascii="Cambria" w:hAnsi="Cambria" w:cs="Times New Roman"/>
          <w:bCs/>
          <w:color w:val="000000"/>
        </w:rPr>
        <w:t xml:space="preserve"> service should be free of charge to the end-user and to the emergency service organisation.</w:t>
      </w:r>
    </w:p>
    <w:p w14:paraId="5792BB0A" w14:textId="006BF4D8" w:rsidR="00C014F3" w:rsidRPr="00DC5592" w:rsidRDefault="00FE0CCE" w:rsidP="00CE63EB">
      <w:pPr>
        <w:pBdr>
          <w:top w:val="single" w:sz="4" w:space="1" w:color="auto"/>
          <w:left w:val="single" w:sz="4" w:space="4" w:color="auto"/>
          <w:bottom w:val="single" w:sz="4" w:space="1" w:color="auto"/>
          <w:right w:val="single" w:sz="4" w:space="4" w:color="auto"/>
        </w:pBdr>
        <w:shd w:val="clear" w:color="auto" w:fill="C1DEF5" w:themeFill="text2" w:themeFillTint="33"/>
        <w:rPr>
          <w:rFonts w:ascii="Cambria" w:hAnsi="Cambria" w:cs="Times New Roman"/>
          <w:color w:val="000000"/>
        </w:rPr>
      </w:pPr>
      <w:r w:rsidRPr="00DC5592">
        <w:rPr>
          <w:rFonts w:ascii="Cambria" w:hAnsi="Cambria" w:cs="Times New Roman"/>
          <w:color w:val="000000"/>
        </w:rPr>
        <w:t xml:space="preserve">Vehicle </w:t>
      </w:r>
      <w:proofErr w:type="spellStart"/>
      <w:r w:rsidRPr="00DC5592">
        <w:rPr>
          <w:rFonts w:ascii="Cambria" w:hAnsi="Cambria" w:cs="Times New Roman"/>
          <w:color w:val="000000"/>
        </w:rPr>
        <w:t>eCall</w:t>
      </w:r>
      <w:proofErr w:type="spellEnd"/>
      <w:r w:rsidRPr="00DC5592">
        <w:rPr>
          <w:rFonts w:ascii="Cambria" w:hAnsi="Cambria" w:cs="Times New Roman"/>
          <w:color w:val="000000"/>
        </w:rPr>
        <w:t xml:space="preserve"> systems</w:t>
      </w:r>
      <w:r w:rsidR="002559BD" w:rsidRPr="00DC5592">
        <w:rPr>
          <w:rFonts w:ascii="Cambria" w:hAnsi="Cambria" w:cs="Times New Roman"/>
          <w:color w:val="000000"/>
        </w:rPr>
        <w:t xml:space="preserve"> could meet the definition of a standard telephone service under </w:t>
      </w:r>
      <w:r w:rsidR="0093705A" w:rsidRPr="00DC5592">
        <w:rPr>
          <w:rFonts w:ascii="Cambria" w:hAnsi="Cambria" w:cs="Times New Roman"/>
          <w:color w:val="000000"/>
        </w:rPr>
        <w:t xml:space="preserve">the </w:t>
      </w:r>
      <w:r w:rsidR="0093705A" w:rsidRPr="00DC5592">
        <w:rPr>
          <w:rFonts w:ascii="Cambria" w:hAnsi="Cambria" w:cs="Times New Roman"/>
          <w:i/>
          <w:color w:val="000000"/>
        </w:rPr>
        <w:t>TCPSS Act</w:t>
      </w:r>
      <w:r w:rsidR="002559BD" w:rsidRPr="00DC5592">
        <w:rPr>
          <w:rFonts w:ascii="Cambria" w:hAnsi="Cambria" w:cs="Times New Roman"/>
          <w:color w:val="000000"/>
        </w:rPr>
        <w:t xml:space="preserve">, despite </w:t>
      </w:r>
      <w:r w:rsidR="0055221C">
        <w:rPr>
          <w:rFonts w:ascii="Cambria" w:hAnsi="Cambria" w:cs="Times New Roman"/>
          <w:color w:val="000000"/>
        </w:rPr>
        <w:t>them</w:t>
      </w:r>
      <w:r w:rsidR="0055221C" w:rsidRPr="00DC5592">
        <w:rPr>
          <w:rFonts w:ascii="Cambria" w:hAnsi="Cambria" w:cs="Times New Roman"/>
          <w:color w:val="000000"/>
        </w:rPr>
        <w:t xml:space="preserve"> </w:t>
      </w:r>
      <w:r w:rsidR="002559BD" w:rsidRPr="00DC5592">
        <w:rPr>
          <w:rFonts w:ascii="Cambria" w:hAnsi="Cambria" w:cs="Times New Roman"/>
          <w:color w:val="000000"/>
        </w:rPr>
        <w:t>not being a traditional phone service.</w:t>
      </w:r>
      <w:r w:rsidR="001528BF" w:rsidRPr="00DC5592">
        <w:rPr>
          <w:rStyle w:val="FootnoteReference"/>
          <w:rFonts w:ascii="Cambria" w:hAnsi="Cambria" w:cs="Times New Roman"/>
          <w:color w:val="000000"/>
        </w:rPr>
        <w:footnoteReference w:id="13"/>
      </w:r>
      <w:r w:rsidR="002559BD" w:rsidRPr="00DC5592">
        <w:rPr>
          <w:rFonts w:ascii="Cambria" w:hAnsi="Cambria" w:cs="Times New Roman"/>
          <w:color w:val="000000"/>
        </w:rPr>
        <w:t xml:space="preserve"> </w:t>
      </w:r>
      <w:r w:rsidR="004B222A" w:rsidRPr="00DC5592">
        <w:rPr>
          <w:rFonts w:ascii="Cambria" w:hAnsi="Cambria" w:cs="Times New Roman"/>
          <w:color w:val="000000"/>
        </w:rPr>
        <w:t xml:space="preserve">Suppliers of standard telephone services are subject to a host of regulatory requirements that would be imposed on the CSP alongside their ordinary CSP obligations. </w:t>
      </w:r>
      <w:r w:rsidR="002559BD" w:rsidRPr="00DC5592">
        <w:rPr>
          <w:rFonts w:ascii="Cambria" w:hAnsi="Cambria" w:cs="Times New Roman"/>
          <w:color w:val="000000"/>
        </w:rPr>
        <w:t>If</w:t>
      </w:r>
      <w:r w:rsidR="002100BC" w:rsidRPr="00DC5592">
        <w:rPr>
          <w:rFonts w:ascii="Cambria" w:hAnsi="Cambria" w:cs="Times New Roman"/>
          <w:color w:val="000000"/>
        </w:rPr>
        <w:t xml:space="preserve"> the</w:t>
      </w:r>
      <w:r w:rsidR="002559BD" w:rsidRPr="00DC5592">
        <w:rPr>
          <w:rFonts w:ascii="Cambria" w:hAnsi="Cambria" w:cs="Times New Roman"/>
          <w:color w:val="000000"/>
        </w:rPr>
        <w:t xml:space="preserve"> ACMA were to adopt this view, they would be required to make a determination</w:t>
      </w:r>
      <w:r w:rsidR="00ED22FC" w:rsidRPr="00DC5592">
        <w:rPr>
          <w:rFonts w:ascii="Cambria" w:hAnsi="Cambria" w:cs="Times New Roman"/>
          <w:color w:val="000000"/>
        </w:rPr>
        <w:t xml:space="preserve">. </w:t>
      </w:r>
      <w:proofErr w:type="spellStart"/>
      <w:r w:rsidR="00E25137" w:rsidRPr="00DC5592">
        <w:rPr>
          <w:rFonts w:ascii="Cambria" w:hAnsi="Cambria" w:cs="Times New Roman"/>
          <w:color w:val="000000"/>
        </w:rPr>
        <w:t>eCall</w:t>
      </w:r>
      <w:proofErr w:type="spellEnd"/>
      <w:r w:rsidR="00E25137" w:rsidRPr="00DC5592">
        <w:rPr>
          <w:rFonts w:ascii="Cambria" w:hAnsi="Cambria" w:cs="Times New Roman"/>
          <w:color w:val="000000"/>
        </w:rPr>
        <w:t xml:space="preserve"> </w:t>
      </w:r>
      <w:r w:rsidR="002559BD" w:rsidRPr="00DC5592">
        <w:rPr>
          <w:rFonts w:ascii="Cambria" w:hAnsi="Cambria" w:cs="Times New Roman"/>
          <w:color w:val="000000"/>
        </w:rPr>
        <w:t>subscription</w:t>
      </w:r>
      <w:r w:rsidR="00E25137" w:rsidRPr="00DC5592">
        <w:rPr>
          <w:rFonts w:ascii="Cambria" w:hAnsi="Cambria" w:cs="Times New Roman"/>
          <w:color w:val="000000"/>
        </w:rPr>
        <w:t>s</w:t>
      </w:r>
      <w:r w:rsidR="002559BD" w:rsidRPr="00DC5592">
        <w:rPr>
          <w:rFonts w:ascii="Cambria" w:hAnsi="Cambria" w:cs="Times New Roman"/>
          <w:color w:val="000000"/>
        </w:rPr>
        <w:t xml:space="preserve"> </w:t>
      </w:r>
      <w:r w:rsidR="00ED22FC" w:rsidRPr="00DC5592">
        <w:rPr>
          <w:rFonts w:ascii="Cambria" w:hAnsi="Cambria" w:cs="Times New Roman"/>
          <w:color w:val="000000"/>
        </w:rPr>
        <w:t>may contravene such a determination, unless th</w:t>
      </w:r>
      <w:r w:rsidR="002559BD" w:rsidRPr="00DC5592">
        <w:rPr>
          <w:rFonts w:ascii="Cambria" w:hAnsi="Cambria" w:cs="Times New Roman"/>
          <w:color w:val="000000"/>
        </w:rPr>
        <w:t xml:space="preserve">e ACMA considered it unreasonable for </w:t>
      </w:r>
      <w:r w:rsidR="00ED22FC" w:rsidRPr="00DC5592">
        <w:rPr>
          <w:rFonts w:ascii="Cambria" w:hAnsi="Cambria" w:cs="Times New Roman"/>
          <w:color w:val="000000"/>
        </w:rPr>
        <w:t xml:space="preserve">CSPs to </w:t>
      </w:r>
      <w:r w:rsidR="00D02D3A" w:rsidRPr="00DC5592">
        <w:rPr>
          <w:rFonts w:ascii="Cambria" w:hAnsi="Cambria" w:cs="Times New Roman"/>
          <w:color w:val="000000"/>
        </w:rPr>
        <w:t>provide</w:t>
      </w:r>
      <w:r w:rsidR="00ED22FC" w:rsidRPr="00DC5592">
        <w:rPr>
          <w:rFonts w:ascii="Cambria" w:hAnsi="Cambria" w:cs="Times New Roman"/>
          <w:color w:val="000000"/>
        </w:rPr>
        <w:t xml:space="preserve"> </w:t>
      </w:r>
      <w:r w:rsidR="002559BD" w:rsidRPr="00DC5592">
        <w:rPr>
          <w:rFonts w:ascii="Cambria" w:hAnsi="Cambria" w:cs="Times New Roman"/>
          <w:color w:val="000000"/>
        </w:rPr>
        <w:t xml:space="preserve">free </w:t>
      </w:r>
      <w:proofErr w:type="spellStart"/>
      <w:r w:rsidR="00ED22FC" w:rsidRPr="00DC5592">
        <w:rPr>
          <w:rFonts w:ascii="Cambria" w:hAnsi="Cambria" w:cs="Times New Roman"/>
          <w:color w:val="000000"/>
        </w:rPr>
        <w:t>eCall</w:t>
      </w:r>
      <w:proofErr w:type="spellEnd"/>
      <w:r w:rsidR="002559BD" w:rsidRPr="00DC5592">
        <w:rPr>
          <w:rFonts w:ascii="Cambria" w:hAnsi="Cambria" w:cs="Times New Roman"/>
          <w:color w:val="000000"/>
        </w:rPr>
        <w:t xml:space="preserve"> services.</w:t>
      </w:r>
    </w:p>
    <w:p w14:paraId="5792BB0B" w14:textId="77777777" w:rsidR="00A77581" w:rsidRPr="00DC5592" w:rsidRDefault="00A77581" w:rsidP="007772C4">
      <w:pPr>
        <w:rPr>
          <w:rFonts w:ascii="Cambria" w:hAnsi="Cambria"/>
          <w:highlight w:val="yellow"/>
        </w:rPr>
      </w:pPr>
    </w:p>
    <w:p w14:paraId="5792BB0C" w14:textId="77777777" w:rsidR="0052552D" w:rsidRPr="00DC5592" w:rsidRDefault="00AD7AC2" w:rsidP="0098491B">
      <w:pPr>
        <w:pStyle w:val="Heading2"/>
        <w:rPr>
          <w:rFonts w:ascii="Cambria" w:hAnsi="Cambria"/>
        </w:rPr>
      </w:pPr>
      <w:bookmarkStart w:id="10" w:name="_Toc118212754"/>
      <w:bookmarkStart w:id="11" w:name="_Toc149033916"/>
      <w:r w:rsidRPr="00DC5592">
        <w:rPr>
          <w:rFonts w:ascii="Cambria" w:hAnsi="Cambria"/>
        </w:rPr>
        <w:t>Connected vehicles and</w:t>
      </w:r>
      <w:r w:rsidR="0052552D" w:rsidRPr="00DC5592">
        <w:rPr>
          <w:rFonts w:ascii="Cambria" w:hAnsi="Cambria"/>
        </w:rPr>
        <w:t xml:space="preserve"> the </w:t>
      </w:r>
      <w:r w:rsidR="008650AC" w:rsidRPr="00DC5592">
        <w:rPr>
          <w:rFonts w:ascii="Cambria" w:hAnsi="Cambria"/>
        </w:rPr>
        <w:t xml:space="preserve">telecommunications </w:t>
      </w:r>
      <w:r w:rsidR="0052552D" w:rsidRPr="00DC5592">
        <w:rPr>
          <w:rFonts w:ascii="Cambria" w:hAnsi="Cambria"/>
        </w:rPr>
        <w:t>market</w:t>
      </w:r>
      <w:bookmarkEnd w:id="10"/>
      <w:bookmarkEnd w:id="11"/>
    </w:p>
    <w:p w14:paraId="5792BB0D" w14:textId="77777777" w:rsidR="00D23498" w:rsidRPr="00DC5592" w:rsidRDefault="00403993" w:rsidP="00244C9A">
      <w:pPr>
        <w:rPr>
          <w:rFonts w:ascii="Cambria" w:hAnsi="Cambria"/>
        </w:rPr>
      </w:pPr>
      <w:r w:rsidRPr="00DC5592">
        <w:rPr>
          <w:rFonts w:ascii="Cambria" w:hAnsi="Cambria"/>
        </w:rPr>
        <w:t>C</w:t>
      </w:r>
      <w:r w:rsidR="00792568" w:rsidRPr="00DC5592">
        <w:rPr>
          <w:rFonts w:ascii="Cambria" w:hAnsi="Cambria"/>
        </w:rPr>
        <w:t xml:space="preserve">ompanies selling connected vehicles </w:t>
      </w:r>
      <w:r w:rsidRPr="00DC5592">
        <w:rPr>
          <w:rFonts w:ascii="Cambria" w:hAnsi="Cambria"/>
        </w:rPr>
        <w:t xml:space="preserve">generally </w:t>
      </w:r>
      <w:r w:rsidR="00792568" w:rsidRPr="00DC5592">
        <w:rPr>
          <w:rFonts w:ascii="Cambria" w:hAnsi="Cambria"/>
        </w:rPr>
        <w:t xml:space="preserve">contract with a </w:t>
      </w:r>
      <w:r w:rsidR="00D7363C" w:rsidRPr="00DC5592">
        <w:rPr>
          <w:rFonts w:ascii="Cambria" w:hAnsi="Cambria"/>
        </w:rPr>
        <w:t xml:space="preserve">telecommunications network </w:t>
      </w:r>
      <w:r w:rsidR="00792568" w:rsidRPr="00DC5592">
        <w:rPr>
          <w:rFonts w:ascii="Cambria" w:hAnsi="Cambria"/>
        </w:rPr>
        <w:t>provider</w:t>
      </w:r>
      <w:r w:rsidR="00506ADF" w:rsidRPr="00DC5592">
        <w:rPr>
          <w:rStyle w:val="FootnoteReference"/>
          <w:rFonts w:ascii="Cambria" w:hAnsi="Cambria"/>
        </w:rPr>
        <w:footnoteReference w:id="14"/>
      </w:r>
      <w:r w:rsidR="00792568" w:rsidRPr="00DC5592">
        <w:rPr>
          <w:rFonts w:ascii="Cambria" w:hAnsi="Cambria"/>
        </w:rPr>
        <w:t xml:space="preserve"> </w:t>
      </w:r>
      <w:r w:rsidR="00021201" w:rsidRPr="00DC5592">
        <w:rPr>
          <w:rFonts w:ascii="Cambria" w:hAnsi="Cambria"/>
        </w:rPr>
        <w:t>(‘provider’)</w:t>
      </w:r>
      <w:r w:rsidR="005D7CD8" w:rsidRPr="00DC5592">
        <w:rPr>
          <w:rFonts w:ascii="Cambria" w:hAnsi="Cambria"/>
        </w:rPr>
        <w:t xml:space="preserve"> </w:t>
      </w:r>
      <w:r w:rsidR="00792568" w:rsidRPr="00DC5592">
        <w:rPr>
          <w:rFonts w:ascii="Cambria" w:hAnsi="Cambria"/>
        </w:rPr>
        <w:t xml:space="preserve">to manage connection with the </w:t>
      </w:r>
      <w:r w:rsidR="00021201" w:rsidRPr="00DC5592">
        <w:rPr>
          <w:rFonts w:ascii="Cambria" w:hAnsi="Cambria"/>
        </w:rPr>
        <w:t>internet</w:t>
      </w:r>
      <w:r w:rsidR="00792568" w:rsidRPr="00DC5592">
        <w:rPr>
          <w:rFonts w:ascii="Cambria" w:hAnsi="Cambria"/>
        </w:rPr>
        <w:t xml:space="preserve">, and to provide the </w:t>
      </w:r>
      <w:r w:rsidRPr="00DC5592">
        <w:rPr>
          <w:rFonts w:ascii="Cambria" w:hAnsi="Cambria"/>
        </w:rPr>
        <w:t xml:space="preserve">connection system </w:t>
      </w:r>
      <w:r w:rsidR="00792568" w:rsidRPr="00DC5592">
        <w:rPr>
          <w:rFonts w:ascii="Cambria" w:hAnsi="Cambria"/>
        </w:rPr>
        <w:t>(</w:t>
      </w:r>
      <w:r w:rsidR="00AC1BFE" w:rsidRPr="00DC5592">
        <w:rPr>
          <w:rFonts w:ascii="Cambria" w:hAnsi="Cambria"/>
        </w:rPr>
        <w:t>i.e.</w:t>
      </w:r>
      <w:r w:rsidR="00792568" w:rsidRPr="00DC5592">
        <w:rPr>
          <w:rFonts w:ascii="Cambria" w:hAnsi="Cambria"/>
        </w:rPr>
        <w:t xml:space="preserve"> modem and SIM). </w:t>
      </w:r>
      <w:r w:rsidR="00244C9A" w:rsidRPr="00DC5592">
        <w:rPr>
          <w:rFonts w:ascii="Cambria" w:hAnsi="Cambria"/>
        </w:rPr>
        <w:t>These</w:t>
      </w:r>
      <w:r w:rsidR="00792568" w:rsidRPr="00DC5592">
        <w:rPr>
          <w:rFonts w:ascii="Cambria" w:hAnsi="Cambria"/>
        </w:rPr>
        <w:t xml:space="preserve"> </w:t>
      </w:r>
      <w:r w:rsidR="00021201" w:rsidRPr="00DC5592">
        <w:rPr>
          <w:rFonts w:ascii="Cambria" w:hAnsi="Cambria"/>
        </w:rPr>
        <w:t>providers</w:t>
      </w:r>
      <w:r w:rsidR="00244C9A" w:rsidRPr="00DC5592">
        <w:rPr>
          <w:rFonts w:ascii="Cambria" w:hAnsi="Cambria"/>
        </w:rPr>
        <w:t xml:space="preserve">, often </w:t>
      </w:r>
      <w:r w:rsidR="00A921A2" w:rsidRPr="00DC5592">
        <w:rPr>
          <w:rFonts w:ascii="Cambria" w:hAnsi="Cambria"/>
        </w:rPr>
        <w:t>based overseas</w:t>
      </w:r>
      <w:r w:rsidR="00244C9A" w:rsidRPr="00DC5592">
        <w:rPr>
          <w:rFonts w:ascii="Cambria" w:hAnsi="Cambria"/>
        </w:rPr>
        <w:t xml:space="preserve">, </w:t>
      </w:r>
      <w:r w:rsidR="00792568" w:rsidRPr="00DC5592">
        <w:rPr>
          <w:rFonts w:ascii="Cambria" w:hAnsi="Cambria"/>
        </w:rPr>
        <w:t xml:space="preserve">contract with </w:t>
      </w:r>
      <w:r w:rsidR="00244C9A" w:rsidRPr="00DC5592">
        <w:rPr>
          <w:rFonts w:ascii="Cambria" w:hAnsi="Cambria"/>
        </w:rPr>
        <w:t xml:space="preserve">Australian </w:t>
      </w:r>
      <w:r w:rsidR="00A921A2" w:rsidRPr="00DC5592">
        <w:rPr>
          <w:rFonts w:ascii="Cambria" w:hAnsi="Cambria"/>
        </w:rPr>
        <w:t>MNOs</w:t>
      </w:r>
      <w:r w:rsidR="00792568" w:rsidRPr="00DC5592">
        <w:rPr>
          <w:rFonts w:ascii="Cambria" w:hAnsi="Cambria"/>
        </w:rPr>
        <w:t xml:space="preserve"> to </w:t>
      </w:r>
      <w:r w:rsidR="00E347C1" w:rsidRPr="00DC5592">
        <w:rPr>
          <w:rFonts w:ascii="Cambria" w:hAnsi="Cambria"/>
        </w:rPr>
        <w:t>carry</w:t>
      </w:r>
      <w:r w:rsidRPr="00DC5592">
        <w:rPr>
          <w:rFonts w:ascii="Cambria" w:hAnsi="Cambria"/>
        </w:rPr>
        <w:t xml:space="preserve"> data</w:t>
      </w:r>
      <w:r w:rsidR="00244C9A" w:rsidRPr="00DC5592">
        <w:rPr>
          <w:rFonts w:ascii="Cambria" w:hAnsi="Cambria"/>
        </w:rPr>
        <w:t xml:space="preserve"> from the overseas provider to the vehicle.</w:t>
      </w:r>
      <w:r w:rsidR="00792568" w:rsidRPr="00DC5592">
        <w:rPr>
          <w:rFonts w:ascii="Cambria" w:hAnsi="Cambria"/>
        </w:rPr>
        <w:t xml:space="preserve"> </w:t>
      </w:r>
      <w:r w:rsidR="00244C9A" w:rsidRPr="00DC5592">
        <w:rPr>
          <w:rFonts w:ascii="Cambria" w:hAnsi="Cambria"/>
        </w:rPr>
        <w:t>The local MNOs are CSIs because they provide the carriage service that the vehicle seller has contracted to provide with a third party.</w:t>
      </w:r>
      <w:r w:rsidR="00244C9A" w:rsidRPr="00DC5592">
        <w:rPr>
          <w:rStyle w:val="FootnoteReference"/>
          <w:rFonts w:ascii="Cambria" w:hAnsi="Cambria"/>
        </w:rPr>
        <w:footnoteReference w:id="15"/>
      </w:r>
      <w:r w:rsidR="00244C9A" w:rsidRPr="00DC5592">
        <w:rPr>
          <w:rFonts w:ascii="Cambria" w:hAnsi="Cambria"/>
        </w:rPr>
        <w:t xml:space="preserve"> The overseas provider then carries the data to servers</w:t>
      </w:r>
      <w:r w:rsidR="00792568" w:rsidRPr="00DC5592">
        <w:rPr>
          <w:rFonts w:ascii="Cambria" w:hAnsi="Cambria"/>
        </w:rPr>
        <w:t xml:space="preserve"> (ostensibly servers belonging to the company selling</w:t>
      </w:r>
      <w:r w:rsidR="00BE4812" w:rsidRPr="00DC5592">
        <w:rPr>
          <w:rFonts w:ascii="Cambria" w:hAnsi="Cambria"/>
        </w:rPr>
        <w:t xml:space="preserve"> the</w:t>
      </w:r>
      <w:r w:rsidR="00792568" w:rsidRPr="00DC5592">
        <w:rPr>
          <w:rFonts w:ascii="Cambria" w:hAnsi="Cambria"/>
        </w:rPr>
        <w:t xml:space="preserve"> vehicle connection) to be processed or analysed. That data is then sent either back to the vehicle, or to a third party (</w:t>
      </w:r>
      <w:r w:rsidR="00AC1BFE" w:rsidRPr="00DC5592">
        <w:rPr>
          <w:rFonts w:ascii="Cambria" w:hAnsi="Cambria"/>
        </w:rPr>
        <w:t>i.e.</w:t>
      </w:r>
      <w:r w:rsidR="00792568" w:rsidRPr="00DC5592">
        <w:rPr>
          <w:rFonts w:ascii="Cambria" w:hAnsi="Cambria"/>
        </w:rPr>
        <w:t xml:space="preserve"> a fleet manager).</w:t>
      </w:r>
      <w:r w:rsidR="001D4039" w:rsidRPr="00DC5592">
        <w:rPr>
          <w:rFonts w:ascii="Cambria" w:hAnsi="Cambria"/>
        </w:rPr>
        <w:t xml:space="preserve"> </w:t>
      </w:r>
      <w:r w:rsidR="00F508A0" w:rsidRPr="00DC5592">
        <w:rPr>
          <w:rFonts w:ascii="Cambria" w:hAnsi="Cambria"/>
        </w:rPr>
        <w:t>These</w:t>
      </w:r>
      <w:r w:rsidR="003649A8" w:rsidRPr="00DC5592">
        <w:rPr>
          <w:rFonts w:ascii="Cambria" w:hAnsi="Cambria"/>
        </w:rPr>
        <w:t xml:space="preserve"> interactions are shown in figure </w:t>
      </w:r>
      <w:r w:rsidR="00E347C1" w:rsidRPr="00DC5592">
        <w:rPr>
          <w:rFonts w:ascii="Cambria" w:hAnsi="Cambria"/>
        </w:rPr>
        <w:t>2</w:t>
      </w:r>
      <w:r w:rsidR="003649A8" w:rsidRPr="00DC5592">
        <w:rPr>
          <w:rFonts w:ascii="Cambria" w:hAnsi="Cambria"/>
        </w:rPr>
        <w:t xml:space="preserve"> below. </w:t>
      </w:r>
    </w:p>
    <w:p w14:paraId="5792BB0E" w14:textId="77777777" w:rsidR="008C4025" w:rsidRPr="00DC5592" w:rsidRDefault="008C4025" w:rsidP="00AD214A">
      <w:pPr>
        <w:rPr>
          <w:rFonts w:ascii="Cambria" w:hAnsi="Cambria"/>
        </w:rPr>
      </w:pPr>
    </w:p>
    <w:p w14:paraId="5792BB0F" w14:textId="77777777" w:rsidR="00F42EF2" w:rsidRPr="00DC5592" w:rsidRDefault="00C22988" w:rsidP="00743470">
      <w:pPr>
        <w:keepNext/>
      </w:pPr>
      <w:r w:rsidRPr="00DC5592">
        <w:rPr>
          <w:noProof/>
        </w:rPr>
        <w:lastRenderedPageBreak/>
        <w:drawing>
          <wp:inline distT="0" distB="0" distL="0" distR="0" wp14:anchorId="5792BB88" wp14:editId="5792BB89">
            <wp:extent cx="5835650" cy="3316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5650" cy="3316605"/>
                    </a:xfrm>
                    <a:prstGeom prst="rect">
                      <a:avLst/>
                    </a:prstGeom>
                  </pic:spPr>
                </pic:pic>
              </a:graphicData>
            </a:graphic>
          </wp:inline>
        </w:drawing>
      </w:r>
    </w:p>
    <w:p w14:paraId="5792BB10" w14:textId="594734EF" w:rsidR="00403993" w:rsidRPr="006923CA" w:rsidRDefault="00F42EF2" w:rsidP="00743470">
      <w:pPr>
        <w:pStyle w:val="Caption"/>
        <w:jc w:val="center"/>
        <w:rPr>
          <w:rFonts w:ascii="Cambria" w:hAnsi="Cambria"/>
        </w:rPr>
      </w:pPr>
      <w:r w:rsidRPr="006923CA">
        <w:rPr>
          <w:rFonts w:ascii="Cambria" w:hAnsi="Cambria"/>
        </w:rPr>
        <w:t xml:space="preserve">Figure </w:t>
      </w:r>
      <w:r w:rsidR="00F901B7" w:rsidRPr="006923CA">
        <w:rPr>
          <w:rFonts w:ascii="Cambria" w:hAnsi="Cambria"/>
        </w:rPr>
        <w:fldChar w:fldCharType="begin"/>
      </w:r>
      <w:r w:rsidR="00F901B7" w:rsidRPr="006923CA">
        <w:rPr>
          <w:rFonts w:ascii="Cambria" w:hAnsi="Cambria"/>
        </w:rPr>
        <w:instrText xml:space="preserve"> SEQ Figure \* ARABIC </w:instrText>
      </w:r>
      <w:r w:rsidR="00F901B7" w:rsidRPr="006923CA">
        <w:rPr>
          <w:rFonts w:ascii="Cambria" w:hAnsi="Cambria"/>
        </w:rPr>
        <w:fldChar w:fldCharType="separate"/>
      </w:r>
      <w:r w:rsidR="00A70AC6">
        <w:rPr>
          <w:rFonts w:ascii="Cambria" w:hAnsi="Cambria"/>
          <w:noProof/>
        </w:rPr>
        <w:t>2</w:t>
      </w:r>
      <w:r w:rsidR="00F901B7" w:rsidRPr="006923CA">
        <w:rPr>
          <w:rFonts w:ascii="Cambria" w:hAnsi="Cambria"/>
          <w:noProof/>
        </w:rPr>
        <w:fldChar w:fldCharType="end"/>
      </w:r>
      <w:r w:rsidRPr="006923CA">
        <w:rPr>
          <w:rFonts w:ascii="Cambria" w:hAnsi="Cambria"/>
        </w:rPr>
        <w:t>: Interactions that facilitate connected vehicle services.</w:t>
      </w:r>
    </w:p>
    <w:p w14:paraId="5792BB11" w14:textId="489CB280" w:rsidR="00537E4F" w:rsidRDefault="001D4039" w:rsidP="00D07CE7">
      <w:pPr>
        <w:rPr>
          <w:rFonts w:ascii="Cambria" w:hAnsi="Cambria"/>
        </w:rPr>
      </w:pPr>
      <w:r w:rsidRPr="00DC5592">
        <w:rPr>
          <w:rFonts w:ascii="Cambria" w:hAnsi="Cambria"/>
        </w:rPr>
        <w:t>The Department has received several requests from distributors of connected vehicles</w:t>
      </w:r>
      <w:r w:rsidR="00253BE9" w:rsidRPr="00DC5592">
        <w:rPr>
          <w:rFonts w:ascii="Cambria" w:hAnsi="Cambria"/>
        </w:rPr>
        <w:t xml:space="preserve"> and related produ</w:t>
      </w:r>
      <w:r w:rsidR="00F26544" w:rsidRPr="00DC5592">
        <w:rPr>
          <w:rFonts w:ascii="Cambria" w:hAnsi="Cambria"/>
        </w:rPr>
        <w:t>c</w:t>
      </w:r>
      <w:r w:rsidR="00253BE9" w:rsidRPr="00DC5592">
        <w:rPr>
          <w:rFonts w:ascii="Cambria" w:hAnsi="Cambria"/>
        </w:rPr>
        <w:t>ts</w:t>
      </w:r>
      <w:r w:rsidRPr="00DC5592">
        <w:rPr>
          <w:rFonts w:ascii="Cambria" w:hAnsi="Cambria"/>
        </w:rPr>
        <w:t xml:space="preserve"> to be exempted from CSP obligations under section 95</w:t>
      </w:r>
      <w:r w:rsidR="00F901B7">
        <w:rPr>
          <w:rStyle w:val="FootnoteReference"/>
          <w:rFonts w:ascii="Cambria" w:hAnsi="Cambria"/>
        </w:rPr>
        <w:footnoteReference w:id="16"/>
      </w:r>
      <w:r w:rsidRPr="00DC5592">
        <w:rPr>
          <w:rFonts w:ascii="Cambria" w:hAnsi="Cambria"/>
        </w:rPr>
        <w:t xml:space="preserve"> of the Tel Act. The arguments for</w:t>
      </w:r>
      <w:r w:rsidR="00523156" w:rsidRPr="00DC5592">
        <w:rPr>
          <w:rFonts w:ascii="Cambria" w:hAnsi="Cambria"/>
        </w:rPr>
        <w:t xml:space="preserve"> exemption</w:t>
      </w:r>
      <w:r w:rsidR="00AD5BCC" w:rsidRPr="00DC5592">
        <w:rPr>
          <w:rFonts w:ascii="Cambria" w:hAnsi="Cambria"/>
        </w:rPr>
        <w:t>s</w:t>
      </w:r>
      <w:r w:rsidR="00523156" w:rsidRPr="00DC5592">
        <w:rPr>
          <w:rFonts w:ascii="Cambria" w:hAnsi="Cambria"/>
        </w:rPr>
        <w:t xml:space="preserve"> </w:t>
      </w:r>
      <w:r w:rsidR="00021201" w:rsidRPr="00DC5592">
        <w:rPr>
          <w:rFonts w:ascii="Cambria" w:hAnsi="Cambria"/>
        </w:rPr>
        <w:t xml:space="preserve">generally acknowledge </w:t>
      </w:r>
      <w:r w:rsidR="00523156" w:rsidRPr="00DC5592">
        <w:rPr>
          <w:rFonts w:ascii="Cambria" w:hAnsi="Cambria"/>
        </w:rPr>
        <w:t xml:space="preserve">that </w:t>
      </w:r>
      <w:r w:rsidR="00021201" w:rsidRPr="00DC5592">
        <w:rPr>
          <w:rFonts w:ascii="Cambria" w:hAnsi="Cambria"/>
        </w:rPr>
        <w:t xml:space="preserve">while the </w:t>
      </w:r>
      <w:r w:rsidR="00CD05F1">
        <w:rPr>
          <w:rFonts w:ascii="Cambria" w:hAnsi="Cambria"/>
        </w:rPr>
        <w:t>distributor</w:t>
      </w:r>
      <w:r w:rsidR="00CD05F1" w:rsidRPr="00DC5592">
        <w:rPr>
          <w:rFonts w:ascii="Cambria" w:hAnsi="Cambria"/>
        </w:rPr>
        <w:t xml:space="preserve"> </w:t>
      </w:r>
      <w:r w:rsidR="00523156" w:rsidRPr="00DC5592">
        <w:rPr>
          <w:rFonts w:ascii="Cambria" w:hAnsi="Cambria"/>
        </w:rPr>
        <w:t>may be a CSP (usually by being a CSI), the</w:t>
      </w:r>
      <w:r w:rsidR="00021201" w:rsidRPr="00DC5592">
        <w:rPr>
          <w:rFonts w:ascii="Cambria" w:hAnsi="Cambria"/>
        </w:rPr>
        <w:t xml:space="preserve">y do </w:t>
      </w:r>
      <w:r w:rsidR="00523156" w:rsidRPr="00DC5592">
        <w:rPr>
          <w:rFonts w:ascii="Cambria" w:hAnsi="Cambria"/>
        </w:rPr>
        <w:t xml:space="preserve">not believe that they were meant to be caught by the telecommunications framework and that they do not have the necessary resources to comply with obligations. </w:t>
      </w:r>
    </w:p>
    <w:p w14:paraId="5792BB12" w14:textId="35D33018" w:rsidR="009265A6" w:rsidRPr="008F0E2D" w:rsidRDefault="009265A6" w:rsidP="00D07CE7">
      <w:pPr>
        <w:rPr>
          <w:rFonts w:ascii="Cambria" w:hAnsi="Cambria"/>
        </w:rPr>
      </w:pPr>
      <w:r w:rsidRPr="008F0E2D">
        <w:rPr>
          <w:rFonts w:ascii="Cambria" w:hAnsi="Cambria"/>
        </w:rPr>
        <w:t xml:space="preserve">A common query </w:t>
      </w:r>
      <w:r w:rsidR="00CD05F1">
        <w:rPr>
          <w:rFonts w:ascii="Cambria" w:hAnsi="Cambria"/>
        </w:rPr>
        <w:t>is what difference there is between</w:t>
      </w:r>
      <w:r w:rsidRPr="008F0E2D">
        <w:rPr>
          <w:rFonts w:ascii="Cambria" w:hAnsi="Cambria"/>
        </w:rPr>
        <w:t xml:space="preserve"> a market selling a </w:t>
      </w:r>
      <w:r w:rsidR="008F0E2D" w:rsidRPr="008F0E2D">
        <w:rPr>
          <w:rFonts w:ascii="Cambria" w:hAnsi="Cambria"/>
        </w:rPr>
        <w:t xml:space="preserve">pre-paid </w:t>
      </w:r>
      <w:r w:rsidRPr="008F0E2D">
        <w:rPr>
          <w:rFonts w:ascii="Cambria" w:hAnsi="Cambria"/>
        </w:rPr>
        <w:t>SIM card, and what distributors and manufacturers are proposing to do (i</w:t>
      </w:r>
      <w:r w:rsidR="00CD05F1">
        <w:rPr>
          <w:rFonts w:ascii="Cambria" w:hAnsi="Cambria"/>
        </w:rPr>
        <w:t>.</w:t>
      </w:r>
      <w:r w:rsidRPr="008F0E2D">
        <w:rPr>
          <w:rFonts w:ascii="Cambria" w:hAnsi="Cambria"/>
        </w:rPr>
        <w:t>e</w:t>
      </w:r>
      <w:r w:rsidR="00CD05F1">
        <w:rPr>
          <w:rFonts w:ascii="Cambria" w:hAnsi="Cambria"/>
        </w:rPr>
        <w:t>.</w:t>
      </w:r>
      <w:r w:rsidRPr="008F0E2D">
        <w:rPr>
          <w:rFonts w:ascii="Cambria" w:hAnsi="Cambria"/>
        </w:rPr>
        <w:t xml:space="preserve">, selling a modem and SIM that plugs into, or is built into, a vehicle). While the market is a part of the transaction, it is merely an intermediary in the supply chain. Once the transaction is completed, that seller no longer has any relationship with the purchaser in regards to that SIM, </w:t>
      </w:r>
      <w:r w:rsidR="008F0E2D" w:rsidRPr="008F0E2D">
        <w:rPr>
          <w:rFonts w:ascii="Cambria" w:hAnsi="Cambria"/>
        </w:rPr>
        <w:t>such as support, or taking complaints about service. With CAVs, there is often</w:t>
      </w:r>
      <w:r w:rsidRPr="008F0E2D">
        <w:rPr>
          <w:rFonts w:ascii="Cambria" w:hAnsi="Cambria"/>
        </w:rPr>
        <w:t xml:space="preserve"> </w:t>
      </w:r>
      <w:r w:rsidR="008F0E2D" w:rsidRPr="008F0E2D">
        <w:rPr>
          <w:rFonts w:ascii="Cambria" w:hAnsi="Cambria"/>
        </w:rPr>
        <w:t>an</w:t>
      </w:r>
      <w:r w:rsidRPr="008F0E2D">
        <w:rPr>
          <w:rFonts w:ascii="Cambria" w:hAnsi="Cambria"/>
        </w:rPr>
        <w:t xml:space="preserve"> ongoing relationship between </w:t>
      </w:r>
      <w:r w:rsidR="008F0E2D" w:rsidRPr="008F0E2D">
        <w:rPr>
          <w:rFonts w:ascii="Cambria" w:hAnsi="Cambria"/>
        </w:rPr>
        <w:t xml:space="preserve">the manufacturer/distributor </w:t>
      </w:r>
      <w:r w:rsidRPr="008F0E2D">
        <w:rPr>
          <w:rFonts w:ascii="Cambria" w:hAnsi="Cambria"/>
        </w:rPr>
        <w:t>and the</w:t>
      </w:r>
      <w:r w:rsidR="008F0E2D" w:rsidRPr="008F0E2D">
        <w:rPr>
          <w:rFonts w:ascii="Cambria" w:hAnsi="Cambria"/>
        </w:rPr>
        <w:t xml:space="preserve"> consumer</w:t>
      </w:r>
      <w:r w:rsidRPr="008F0E2D">
        <w:rPr>
          <w:rFonts w:ascii="Cambria" w:hAnsi="Cambria"/>
        </w:rPr>
        <w:t xml:space="preserve">, </w:t>
      </w:r>
      <w:r w:rsidR="008F0E2D" w:rsidRPr="008F0E2D">
        <w:rPr>
          <w:rFonts w:ascii="Cambria" w:hAnsi="Cambria"/>
        </w:rPr>
        <w:t>either through</w:t>
      </w:r>
      <w:r w:rsidRPr="008F0E2D">
        <w:rPr>
          <w:rFonts w:ascii="Cambria" w:hAnsi="Cambria"/>
        </w:rPr>
        <w:t xml:space="preserve"> invoicing, </w:t>
      </w:r>
      <w:r w:rsidR="008F0E2D" w:rsidRPr="008F0E2D">
        <w:rPr>
          <w:rFonts w:ascii="Cambria" w:hAnsi="Cambria"/>
        </w:rPr>
        <w:t xml:space="preserve">being the </w:t>
      </w:r>
      <w:r w:rsidRPr="008F0E2D">
        <w:rPr>
          <w:rFonts w:ascii="Cambria" w:hAnsi="Cambria"/>
        </w:rPr>
        <w:t xml:space="preserve">first point of contact for assistance </w:t>
      </w:r>
      <w:r w:rsidR="008F0E2D" w:rsidRPr="008F0E2D">
        <w:rPr>
          <w:rFonts w:ascii="Cambria" w:hAnsi="Cambria"/>
        </w:rPr>
        <w:t>or</w:t>
      </w:r>
      <w:r w:rsidRPr="008F0E2D">
        <w:rPr>
          <w:rFonts w:ascii="Cambria" w:hAnsi="Cambria"/>
        </w:rPr>
        <w:t xml:space="preserve"> access</w:t>
      </w:r>
      <w:r w:rsidR="008F0E2D" w:rsidRPr="008F0E2D">
        <w:rPr>
          <w:rFonts w:ascii="Cambria" w:hAnsi="Cambria"/>
        </w:rPr>
        <w:t>ing</w:t>
      </w:r>
      <w:r w:rsidRPr="008F0E2D">
        <w:rPr>
          <w:rFonts w:ascii="Cambria" w:hAnsi="Cambria"/>
        </w:rPr>
        <w:t xml:space="preserve"> the </w:t>
      </w:r>
      <w:r w:rsidR="008F0E2D" w:rsidRPr="008F0E2D">
        <w:rPr>
          <w:rFonts w:ascii="Cambria" w:hAnsi="Cambria"/>
        </w:rPr>
        <w:t>vehicle’s telemetric</w:t>
      </w:r>
      <w:r w:rsidRPr="008F0E2D">
        <w:rPr>
          <w:rFonts w:ascii="Cambria" w:hAnsi="Cambria"/>
        </w:rPr>
        <w:t xml:space="preserve"> data </w:t>
      </w:r>
      <w:r w:rsidR="008F0E2D" w:rsidRPr="008F0E2D">
        <w:rPr>
          <w:rFonts w:ascii="Cambria" w:hAnsi="Cambria"/>
        </w:rPr>
        <w:t>for business purposes.</w:t>
      </w:r>
    </w:p>
    <w:p w14:paraId="5792BB13" w14:textId="77777777" w:rsidR="00D07CE7" w:rsidRPr="00DC5592" w:rsidRDefault="00537E4F" w:rsidP="00D07CE7">
      <w:pPr>
        <w:rPr>
          <w:rFonts w:ascii="Cambria" w:hAnsi="Cambria"/>
        </w:rPr>
      </w:pPr>
      <w:r w:rsidRPr="00DC5592">
        <w:rPr>
          <w:rFonts w:ascii="Cambria" w:hAnsi="Cambria"/>
        </w:rPr>
        <w:t>Given</w:t>
      </w:r>
      <w:r w:rsidR="00523156" w:rsidRPr="00DC5592">
        <w:rPr>
          <w:rFonts w:ascii="Cambria" w:hAnsi="Cambria"/>
        </w:rPr>
        <w:t xml:space="preserve"> the nature of connected vehicles and their interaction with telecommunications infrastructure, along with significant growth in the connected vehicle market</w:t>
      </w:r>
      <w:r w:rsidR="00806545" w:rsidRPr="00DC5592">
        <w:rPr>
          <w:rFonts w:ascii="Cambria" w:hAnsi="Cambria"/>
        </w:rPr>
        <w:t>, clarification around which, if any, obligations apply to</w:t>
      </w:r>
      <w:r w:rsidR="00523156" w:rsidRPr="00DC5592">
        <w:rPr>
          <w:rFonts w:ascii="Cambria" w:hAnsi="Cambria"/>
        </w:rPr>
        <w:t xml:space="preserve"> </w:t>
      </w:r>
      <w:r w:rsidR="00806545" w:rsidRPr="00DC5592">
        <w:rPr>
          <w:rFonts w:ascii="Cambria" w:hAnsi="Cambria"/>
        </w:rPr>
        <w:t xml:space="preserve">distributors of connected vehicles (or vehicle connectivity) is needed to provide certainty to industry and end-consumers. It </w:t>
      </w:r>
      <w:r w:rsidRPr="00DC5592">
        <w:rPr>
          <w:rFonts w:ascii="Cambria" w:hAnsi="Cambria"/>
        </w:rPr>
        <w:t>is anticipated that all members of the Federal Chamber of Automotive Industries have, or will have in the near future, connected vehicles that may give rise to obligations as CSPs</w:t>
      </w:r>
      <w:r w:rsidR="006E5AC9" w:rsidRPr="00DC5592">
        <w:rPr>
          <w:rFonts w:ascii="Cambria" w:hAnsi="Cambria"/>
        </w:rPr>
        <w:t>.</w:t>
      </w:r>
      <w:r w:rsidRPr="00DC5592">
        <w:rPr>
          <w:rFonts w:ascii="Cambria" w:hAnsi="Cambria"/>
        </w:rPr>
        <w:t xml:space="preserve"> </w:t>
      </w:r>
    </w:p>
    <w:p w14:paraId="5792BB14" w14:textId="77777777" w:rsidR="0052552D" w:rsidRPr="00DC5592" w:rsidRDefault="00C96420" w:rsidP="0098491B">
      <w:pPr>
        <w:pStyle w:val="Heading2"/>
        <w:rPr>
          <w:rFonts w:ascii="Cambria" w:hAnsi="Cambria"/>
        </w:rPr>
      </w:pPr>
      <w:bookmarkStart w:id="12" w:name="_Toc149033917"/>
      <w:r w:rsidRPr="00DC5592">
        <w:rPr>
          <w:rFonts w:ascii="Cambria" w:hAnsi="Cambria"/>
        </w:rPr>
        <w:lastRenderedPageBreak/>
        <w:t>How the Regulations apply currently</w:t>
      </w:r>
      <w:bookmarkEnd w:id="12"/>
    </w:p>
    <w:p w14:paraId="5792BB15" w14:textId="0B144AFB" w:rsidR="0054106F" w:rsidRPr="00DC5592" w:rsidRDefault="00806545" w:rsidP="00090BF4">
      <w:pPr>
        <w:rPr>
          <w:rFonts w:ascii="Cambria" w:hAnsi="Cambria"/>
        </w:rPr>
      </w:pPr>
      <w:r w:rsidRPr="00DC5592">
        <w:rPr>
          <w:rFonts w:ascii="Cambria" w:hAnsi="Cambria"/>
        </w:rPr>
        <w:t>O</w:t>
      </w:r>
      <w:r w:rsidR="00090BF4" w:rsidRPr="00DC5592">
        <w:rPr>
          <w:rFonts w:ascii="Cambria" w:hAnsi="Cambria"/>
        </w:rPr>
        <w:t xml:space="preserve">ver 30 </w:t>
      </w:r>
      <w:r w:rsidR="000F4914" w:rsidRPr="00DC5592">
        <w:rPr>
          <w:rFonts w:ascii="Cambria" w:hAnsi="Cambria"/>
        </w:rPr>
        <w:t xml:space="preserve">types </w:t>
      </w:r>
      <w:r w:rsidR="00090BF4" w:rsidRPr="00DC5592">
        <w:rPr>
          <w:rFonts w:ascii="Cambria" w:hAnsi="Cambria"/>
        </w:rPr>
        <w:t xml:space="preserve">of obligations </w:t>
      </w:r>
      <w:r w:rsidR="00207E79" w:rsidRPr="00DC5592">
        <w:rPr>
          <w:rFonts w:ascii="Cambria" w:hAnsi="Cambria"/>
        </w:rPr>
        <w:t xml:space="preserve">under the telecommunications law </w:t>
      </w:r>
      <w:r w:rsidRPr="00DC5592">
        <w:rPr>
          <w:rFonts w:ascii="Cambria" w:hAnsi="Cambria"/>
        </w:rPr>
        <w:t>fall within</w:t>
      </w:r>
      <w:r w:rsidR="00090BF4" w:rsidRPr="00DC5592">
        <w:rPr>
          <w:rFonts w:ascii="Cambria" w:hAnsi="Cambria"/>
        </w:rPr>
        <w:t xml:space="preserve"> </w:t>
      </w:r>
      <w:r w:rsidR="003F7C90" w:rsidRPr="00DC5592">
        <w:rPr>
          <w:rFonts w:ascii="Cambria" w:hAnsi="Cambria"/>
        </w:rPr>
        <w:t>four</w:t>
      </w:r>
      <w:r w:rsidR="00090BF4" w:rsidRPr="00DC5592">
        <w:rPr>
          <w:rFonts w:ascii="Cambria" w:hAnsi="Cambria"/>
        </w:rPr>
        <w:t xml:space="preserve"> broad groups</w:t>
      </w:r>
      <w:r w:rsidR="006E1FFF" w:rsidRPr="00DC5592">
        <w:rPr>
          <w:rFonts w:ascii="Cambria" w:hAnsi="Cambria"/>
        </w:rPr>
        <w:t>:</w:t>
      </w:r>
      <w:r w:rsidR="00207E79" w:rsidRPr="00DC5592">
        <w:rPr>
          <w:rFonts w:ascii="Cambria" w:hAnsi="Cambria"/>
        </w:rPr>
        <w:t xml:space="preserve"> competition, consumer protection, national interest and </w:t>
      </w:r>
      <w:r w:rsidR="000C521C">
        <w:rPr>
          <w:rFonts w:ascii="Cambria" w:hAnsi="Cambria"/>
        </w:rPr>
        <w:t>universal services</w:t>
      </w:r>
      <w:r w:rsidR="00090BF4" w:rsidRPr="00DC5592">
        <w:rPr>
          <w:rFonts w:ascii="Cambria" w:hAnsi="Cambria"/>
        </w:rPr>
        <w:t xml:space="preserve">. These are listed in </w:t>
      </w:r>
      <w:r w:rsidR="00090BF4" w:rsidRPr="00DC5592">
        <w:rPr>
          <w:rFonts w:ascii="Cambria" w:hAnsi="Cambria"/>
          <w:b/>
        </w:rPr>
        <w:t xml:space="preserve">Appendix </w:t>
      </w:r>
      <w:r w:rsidR="00AD16E8" w:rsidRPr="00DC5592">
        <w:rPr>
          <w:rFonts w:ascii="Cambria" w:hAnsi="Cambria"/>
          <w:b/>
        </w:rPr>
        <w:t>1</w:t>
      </w:r>
      <w:r w:rsidR="00090BF4" w:rsidRPr="00DC5592">
        <w:rPr>
          <w:rFonts w:ascii="Cambria" w:hAnsi="Cambria"/>
        </w:rPr>
        <w:t xml:space="preserve"> for reference. </w:t>
      </w:r>
      <w:r w:rsidR="00EA4AE4" w:rsidRPr="00DC5592">
        <w:rPr>
          <w:rFonts w:ascii="Cambria" w:hAnsi="Cambria"/>
        </w:rPr>
        <w:t>Those obligations attach to</w:t>
      </w:r>
      <w:r w:rsidR="00316BB9" w:rsidRPr="00DC5592">
        <w:rPr>
          <w:rFonts w:ascii="Cambria" w:hAnsi="Cambria"/>
        </w:rPr>
        <w:t xml:space="preserve"> two </w:t>
      </w:r>
      <w:r w:rsidR="00EA4AE4" w:rsidRPr="00DC5592">
        <w:rPr>
          <w:rFonts w:ascii="Cambria" w:hAnsi="Cambria"/>
        </w:rPr>
        <w:t>types of regulated entities</w:t>
      </w:r>
      <w:r w:rsidR="006E1FFF" w:rsidRPr="00DC5592">
        <w:rPr>
          <w:rFonts w:ascii="Cambria" w:hAnsi="Cambria"/>
        </w:rPr>
        <w:t>:</w:t>
      </w:r>
      <w:r w:rsidR="00EA4AE4" w:rsidRPr="00DC5592">
        <w:rPr>
          <w:rFonts w:ascii="Cambria" w:hAnsi="Cambria"/>
        </w:rPr>
        <w:t xml:space="preserve"> ‘carriers’ and ‘carriage service </w:t>
      </w:r>
      <w:proofErr w:type="gramStart"/>
      <w:r w:rsidR="00EA4AE4" w:rsidRPr="00DC5592">
        <w:rPr>
          <w:rFonts w:ascii="Cambria" w:hAnsi="Cambria"/>
        </w:rPr>
        <w:t>providers’</w:t>
      </w:r>
      <w:proofErr w:type="gramEnd"/>
      <w:r w:rsidR="00316BB9" w:rsidRPr="00DC5592">
        <w:rPr>
          <w:rFonts w:ascii="Cambria" w:hAnsi="Cambria"/>
        </w:rPr>
        <w:t xml:space="preserve">. </w:t>
      </w:r>
    </w:p>
    <w:p w14:paraId="5792BB16" w14:textId="77777777" w:rsidR="00802F5E" w:rsidRPr="00DC5592" w:rsidRDefault="00802F5E" w:rsidP="00090BF4">
      <w:pPr>
        <w:rPr>
          <w:rFonts w:ascii="Cambria" w:hAnsi="Cambria"/>
          <w:i/>
        </w:rPr>
      </w:pPr>
      <w:r w:rsidRPr="00DC5592">
        <w:rPr>
          <w:rFonts w:ascii="Cambria" w:hAnsi="Cambria"/>
          <w:i/>
        </w:rPr>
        <w:t>Carriers</w:t>
      </w:r>
    </w:p>
    <w:p w14:paraId="5792BB17" w14:textId="6310D746" w:rsidR="005278EA" w:rsidRPr="00DC5592" w:rsidRDefault="005278EA" w:rsidP="005278EA">
      <w:pPr>
        <w:rPr>
          <w:rFonts w:ascii="Cambria" w:hAnsi="Cambria"/>
          <w:szCs w:val="20"/>
        </w:rPr>
      </w:pPr>
      <w:r w:rsidRPr="00DC5592">
        <w:rPr>
          <w:rFonts w:ascii="Cambria" w:hAnsi="Cambria"/>
          <w:szCs w:val="20"/>
        </w:rPr>
        <w:t xml:space="preserve">Under the Tel Act, carriers </w:t>
      </w:r>
      <w:r w:rsidR="00B62FC1" w:rsidRPr="00DC5592">
        <w:rPr>
          <w:rFonts w:ascii="Cambria" w:hAnsi="Cambria"/>
          <w:szCs w:val="20"/>
        </w:rPr>
        <w:t>are entities that have a carrier licence.</w:t>
      </w:r>
      <w:r w:rsidRPr="00DC5592">
        <w:rPr>
          <w:rFonts w:ascii="Cambria" w:hAnsi="Cambria"/>
          <w:szCs w:val="20"/>
        </w:rPr>
        <w:t xml:space="preserve"> </w:t>
      </w:r>
      <w:r w:rsidR="00976AF4" w:rsidRPr="00DC5592">
        <w:rPr>
          <w:rFonts w:ascii="Cambria" w:hAnsi="Cambria"/>
          <w:szCs w:val="20"/>
        </w:rPr>
        <w:t>A</w:t>
      </w:r>
      <w:r w:rsidRPr="00DC5592">
        <w:rPr>
          <w:rFonts w:ascii="Cambria" w:hAnsi="Cambria"/>
          <w:szCs w:val="20"/>
        </w:rPr>
        <w:t xml:space="preserve"> network unit </w:t>
      </w:r>
      <w:r w:rsidR="00976AF4" w:rsidRPr="00DC5592">
        <w:rPr>
          <w:rFonts w:ascii="Cambria" w:hAnsi="Cambria"/>
          <w:szCs w:val="20"/>
        </w:rPr>
        <w:t xml:space="preserve">cannot be used </w:t>
      </w:r>
      <w:r w:rsidRPr="00DC5592">
        <w:rPr>
          <w:rFonts w:ascii="Cambria" w:hAnsi="Cambria"/>
          <w:szCs w:val="20"/>
        </w:rPr>
        <w:t>to supply a carriage service to the public, unless the owner of the network unit holds a carrier licence</w:t>
      </w:r>
      <w:r w:rsidR="008C772A">
        <w:rPr>
          <w:rFonts w:ascii="Cambria" w:hAnsi="Cambria"/>
          <w:szCs w:val="20"/>
        </w:rPr>
        <w:t>,</w:t>
      </w:r>
      <w:r w:rsidRPr="00DC5592">
        <w:rPr>
          <w:rFonts w:ascii="Cambria" w:hAnsi="Cambria"/>
          <w:szCs w:val="20"/>
        </w:rPr>
        <w:t xml:space="preserve"> or there is a </w:t>
      </w:r>
      <w:r w:rsidR="00976AF4" w:rsidRPr="00DC5592">
        <w:rPr>
          <w:rFonts w:ascii="Cambria" w:hAnsi="Cambria"/>
          <w:szCs w:val="20"/>
        </w:rPr>
        <w:t>n</w:t>
      </w:r>
      <w:r w:rsidRPr="00DC5592">
        <w:rPr>
          <w:rFonts w:ascii="Cambria" w:hAnsi="Cambria"/>
          <w:szCs w:val="20"/>
        </w:rPr>
        <w:t xml:space="preserve">ominated </w:t>
      </w:r>
      <w:r w:rsidR="00976AF4" w:rsidRPr="00DC5592">
        <w:rPr>
          <w:rFonts w:ascii="Cambria" w:hAnsi="Cambria"/>
          <w:szCs w:val="20"/>
        </w:rPr>
        <w:t>c</w:t>
      </w:r>
      <w:r w:rsidRPr="00DC5592">
        <w:rPr>
          <w:rFonts w:ascii="Cambria" w:hAnsi="Cambria"/>
          <w:szCs w:val="20"/>
        </w:rPr>
        <w:t xml:space="preserve">arrier </w:t>
      </w:r>
      <w:r w:rsidR="00976AF4" w:rsidRPr="00DC5592">
        <w:rPr>
          <w:rFonts w:ascii="Cambria" w:hAnsi="Cambria"/>
          <w:szCs w:val="20"/>
        </w:rPr>
        <w:t>d</w:t>
      </w:r>
      <w:r w:rsidRPr="00DC5592">
        <w:rPr>
          <w:rFonts w:ascii="Cambria" w:hAnsi="Cambria"/>
          <w:szCs w:val="20"/>
        </w:rPr>
        <w:t>eclaration in place in relation to the network unit</w:t>
      </w:r>
      <w:r w:rsidR="00976AF4" w:rsidRPr="00DC5592">
        <w:rPr>
          <w:rFonts w:ascii="Cambria" w:hAnsi="Cambria"/>
          <w:szCs w:val="20"/>
        </w:rPr>
        <w:t>,</w:t>
      </w:r>
      <w:r w:rsidRPr="00DC5592">
        <w:rPr>
          <w:rFonts w:ascii="Cambria" w:hAnsi="Cambria"/>
          <w:szCs w:val="20"/>
        </w:rPr>
        <w:t xml:space="preserve"> or an exemption applies.</w:t>
      </w:r>
      <w:r w:rsidR="00976AF4" w:rsidRPr="00DC5592">
        <w:rPr>
          <w:rStyle w:val="FootnoteReference"/>
          <w:rFonts w:ascii="Cambria" w:hAnsi="Cambria"/>
          <w:szCs w:val="20"/>
        </w:rPr>
        <w:footnoteReference w:id="17"/>
      </w:r>
      <w:r w:rsidRPr="00DC5592">
        <w:rPr>
          <w:rFonts w:ascii="Cambria" w:hAnsi="Cambria"/>
          <w:szCs w:val="20"/>
        </w:rPr>
        <w:t xml:space="preserve"> </w:t>
      </w:r>
      <w:r w:rsidR="00976AF4" w:rsidRPr="00DC5592">
        <w:rPr>
          <w:rFonts w:ascii="Cambria" w:hAnsi="Cambria"/>
          <w:szCs w:val="20"/>
        </w:rPr>
        <w:t>C</w:t>
      </w:r>
      <w:r w:rsidRPr="00DC5592">
        <w:rPr>
          <w:rFonts w:ascii="Cambria" w:hAnsi="Cambria"/>
          <w:szCs w:val="20"/>
        </w:rPr>
        <w:t xml:space="preserve">ommunications networks within individual businesses </w:t>
      </w:r>
      <w:r w:rsidR="005C02C2" w:rsidRPr="00DC5592">
        <w:rPr>
          <w:rFonts w:ascii="Cambria" w:hAnsi="Cambria"/>
          <w:szCs w:val="20"/>
        </w:rPr>
        <w:t xml:space="preserve">are not considered ‘supply to the public’ and fall </w:t>
      </w:r>
      <w:r w:rsidR="004D2038" w:rsidRPr="00DC5592">
        <w:rPr>
          <w:rFonts w:ascii="Cambria" w:hAnsi="Cambria"/>
          <w:szCs w:val="20"/>
        </w:rPr>
        <w:t>outside</w:t>
      </w:r>
      <w:r w:rsidRPr="00DC5592">
        <w:rPr>
          <w:rFonts w:ascii="Cambria" w:hAnsi="Cambria"/>
          <w:szCs w:val="20"/>
        </w:rPr>
        <w:t xml:space="preserve"> the regulatory scope</w:t>
      </w:r>
      <w:r w:rsidR="005C02C2" w:rsidRPr="00DC5592">
        <w:rPr>
          <w:rFonts w:ascii="Cambria" w:hAnsi="Cambria"/>
          <w:szCs w:val="20"/>
        </w:rPr>
        <w:t>.</w:t>
      </w:r>
      <w:r w:rsidR="005C02C2" w:rsidRPr="00DC5592">
        <w:rPr>
          <w:rStyle w:val="FootnoteReference"/>
          <w:rFonts w:ascii="Cambria" w:hAnsi="Cambria"/>
          <w:szCs w:val="20"/>
        </w:rPr>
        <w:footnoteReference w:id="18"/>
      </w:r>
      <w:r w:rsidR="005C02C2" w:rsidRPr="00DC5592">
        <w:rPr>
          <w:rFonts w:ascii="Cambria" w:hAnsi="Cambria"/>
          <w:szCs w:val="20"/>
        </w:rPr>
        <w:t xml:space="preserve"> </w:t>
      </w:r>
      <w:r w:rsidR="00806978" w:rsidRPr="00DC5592">
        <w:rPr>
          <w:rFonts w:ascii="Cambria" w:hAnsi="Cambria"/>
          <w:szCs w:val="20"/>
        </w:rPr>
        <w:t xml:space="preserve">There are four types of network units: single or multiple line links connecting distinct places in Australia, designated radiocommunications facilities or a facility specified in a Ministerial determination.  </w:t>
      </w:r>
    </w:p>
    <w:p w14:paraId="5792BB18" w14:textId="181F7B90" w:rsidR="00802F5E" w:rsidRPr="00DC5592" w:rsidRDefault="00802F5E" w:rsidP="0052773B">
      <w:pPr>
        <w:keepNext/>
        <w:rPr>
          <w:rFonts w:ascii="Cambria" w:hAnsi="Cambria"/>
          <w:i/>
          <w:szCs w:val="20"/>
        </w:rPr>
      </w:pPr>
      <w:r w:rsidRPr="00DC5592">
        <w:rPr>
          <w:rFonts w:ascii="Cambria" w:hAnsi="Cambria"/>
          <w:i/>
          <w:szCs w:val="20"/>
        </w:rPr>
        <w:t xml:space="preserve">Carriage </w:t>
      </w:r>
      <w:r w:rsidR="00632E16" w:rsidRPr="00DC5592">
        <w:rPr>
          <w:rFonts w:ascii="Cambria" w:hAnsi="Cambria"/>
          <w:i/>
          <w:szCs w:val="20"/>
        </w:rPr>
        <w:t>s</w:t>
      </w:r>
      <w:r w:rsidRPr="00DC5592">
        <w:rPr>
          <w:rFonts w:ascii="Cambria" w:hAnsi="Cambria"/>
          <w:i/>
          <w:szCs w:val="20"/>
        </w:rPr>
        <w:t>ervice</w:t>
      </w:r>
      <w:r w:rsidR="00014CB8" w:rsidRPr="00DC5592">
        <w:rPr>
          <w:rFonts w:ascii="Cambria" w:hAnsi="Cambria"/>
          <w:i/>
          <w:szCs w:val="20"/>
        </w:rPr>
        <w:t xml:space="preserve"> provider</w:t>
      </w:r>
      <w:r w:rsidR="008C772A">
        <w:rPr>
          <w:rFonts w:ascii="Cambria" w:hAnsi="Cambria"/>
          <w:i/>
          <w:szCs w:val="20"/>
        </w:rPr>
        <w:t>s</w:t>
      </w:r>
    </w:p>
    <w:p w14:paraId="5792BB19" w14:textId="77777777" w:rsidR="005112C1" w:rsidRPr="00DC5592" w:rsidRDefault="00802F5E" w:rsidP="00802F5E">
      <w:pPr>
        <w:rPr>
          <w:rFonts w:ascii="Cambria" w:hAnsi="Cambria"/>
          <w:szCs w:val="20"/>
        </w:rPr>
      </w:pPr>
      <w:r w:rsidRPr="00DC5592">
        <w:rPr>
          <w:rFonts w:ascii="Cambria" w:hAnsi="Cambria"/>
          <w:szCs w:val="20"/>
        </w:rPr>
        <w:t xml:space="preserve">A </w:t>
      </w:r>
      <w:r w:rsidR="00014CB8" w:rsidRPr="00DC5592">
        <w:rPr>
          <w:rFonts w:ascii="Cambria" w:hAnsi="Cambria"/>
          <w:szCs w:val="20"/>
        </w:rPr>
        <w:t>CSP</w:t>
      </w:r>
      <w:r w:rsidR="00A10190" w:rsidRPr="00DC5592">
        <w:rPr>
          <w:rFonts w:ascii="Cambria" w:hAnsi="Cambria"/>
          <w:szCs w:val="20"/>
        </w:rPr>
        <w:t xml:space="preserve"> </w:t>
      </w:r>
      <w:r w:rsidR="00AB738F" w:rsidRPr="00DC5592">
        <w:rPr>
          <w:rFonts w:ascii="Cambria" w:hAnsi="Cambria"/>
          <w:szCs w:val="20"/>
        </w:rPr>
        <w:t>is</w:t>
      </w:r>
      <w:r w:rsidRPr="00DC5592">
        <w:rPr>
          <w:rFonts w:ascii="Cambria" w:hAnsi="Cambria"/>
          <w:szCs w:val="20"/>
        </w:rPr>
        <w:t xml:space="preserve"> a</w:t>
      </w:r>
      <w:r w:rsidR="006F3429" w:rsidRPr="00DC5592">
        <w:rPr>
          <w:rFonts w:ascii="Cambria" w:hAnsi="Cambria"/>
          <w:szCs w:val="20"/>
        </w:rPr>
        <w:t xml:space="preserve"> person </w:t>
      </w:r>
      <w:r w:rsidR="00A10190" w:rsidRPr="00DC5592">
        <w:rPr>
          <w:rFonts w:ascii="Cambria" w:hAnsi="Cambria"/>
          <w:szCs w:val="20"/>
        </w:rPr>
        <w:t xml:space="preserve">who supplies a </w:t>
      </w:r>
      <w:r w:rsidR="00385877" w:rsidRPr="00DC5592">
        <w:rPr>
          <w:rFonts w:ascii="Cambria" w:hAnsi="Cambria"/>
          <w:szCs w:val="20"/>
        </w:rPr>
        <w:t xml:space="preserve">listed carriage </w:t>
      </w:r>
      <w:r w:rsidR="00A10190" w:rsidRPr="00DC5592">
        <w:rPr>
          <w:rFonts w:ascii="Cambria" w:hAnsi="Cambria"/>
          <w:szCs w:val="20"/>
        </w:rPr>
        <w:t>service</w:t>
      </w:r>
      <w:r w:rsidR="00385877" w:rsidRPr="00DC5592">
        <w:rPr>
          <w:rFonts w:ascii="Cambria" w:hAnsi="Cambria"/>
          <w:szCs w:val="20"/>
        </w:rPr>
        <w:t>.</w:t>
      </w:r>
      <w:r w:rsidR="006F3429" w:rsidRPr="00DC5592">
        <w:rPr>
          <w:rStyle w:val="FootnoteReference"/>
          <w:rFonts w:ascii="Cambria" w:hAnsi="Cambria"/>
          <w:szCs w:val="20"/>
        </w:rPr>
        <w:footnoteReference w:id="19"/>
      </w:r>
      <w:r w:rsidR="00A10190" w:rsidRPr="00DC5592">
        <w:rPr>
          <w:rFonts w:ascii="Cambria" w:hAnsi="Cambria"/>
          <w:szCs w:val="20"/>
        </w:rPr>
        <w:t xml:space="preserve"> </w:t>
      </w:r>
      <w:r w:rsidR="00385877" w:rsidRPr="00DC5592">
        <w:rPr>
          <w:rFonts w:ascii="Cambria" w:hAnsi="Cambria"/>
          <w:szCs w:val="20"/>
        </w:rPr>
        <w:t xml:space="preserve">A listed carriage service is a service </w:t>
      </w:r>
      <w:r w:rsidRPr="00DC5592">
        <w:rPr>
          <w:rFonts w:ascii="Cambria" w:hAnsi="Cambria"/>
          <w:szCs w:val="20"/>
        </w:rPr>
        <w:t xml:space="preserve">for carrying </w:t>
      </w:r>
      <w:r w:rsidR="00EA4AE4" w:rsidRPr="00DC5592">
        <w:rPr>
          <w:rFonts w:ascii="Cambria" w:hAnsi="Cambria"/>
          <w:szCs w:val="20"/>
        </w:rPr>
        <w:t>(</w:t>
      </w:r>
      <w:r w:rsidR="00632E16" w:rsidRPr="00DC5592">
        <w:rPr>
          <w:rFonts w:ascii="Cambria" w:hAnsi="Cambria"/>
          <w:szCs w:val="20"/>
        </w:rPr>
        <w:t>including</w:t>
      </w:r>
      <w:r w:rsidR="00EA4AE4" w:rsidRPr="00DC5592">
        <w:rPr>
          <w:rFonts w:ascii="Cambria" w:hAnsi="Cambria"/>
          <w:szCs w:val="20"/>
        </w:rPr>
        <w:t xml:space="preserve"> </w:t>
      </w:r>
      <w:r w:rsidR="00572430" w:rsidRPr="00DC5592">
        <w:rPr>
          <w:rFonts w:ascii="Cambria" w:hAnsi="Cambria"/>
          <w:szCs w:val="20"/>
        </w:rPr>
        <w:t>transmitting</w:t>
      </w:r>
      <w:r w:rsidR="00EA4AE4" w:rsidRPr="00DC5592">
        <w:rPr>
          <w:rFonts w:ascii="Cambria" w:hAnsi="Cambria"/>
          <w:szCs w:val="20"/>
        </w:rPr>
        <w:t xml:space="preserve">, switching and receiving) </w:t>
      </w:r>
      <w:r w:rsidRPr="00DC5592">
        <w:rPr>
          <w:rFonts w:ascii="Cambria" w:hAnsi="Cambria"/>
          <w:szCs w:val="20"/>
        </w:rPr>
        <w:t xml:space="preserve">communications </w:t>
      </w:r>
      <w:r w:rsidR="00EA4AE4" w:rsidRPr="00DC5592">
        <w:rPr>
          <w:rFonts w:ascii="Cambria" w:hAnsi="Cambria"/>
          <w:szCs w:val="20"/>
        </w:rPr>
        <w:t>(</w:t>
      </w:r>
      <w:r w:rsidR="00632E16" w:rsidRPr="00DC5592">
        <w:rPr>
          <w:rFonts w:ascii="Cambria" w:hAnsi="Cambria"/>
          <w:szCs w:val="20"/>
        </w:rPr>
        <w:t xml:space="preserve">in essence, </w:t>
      </w:r>
      <w:r w:rsidR="00EA4AE4" w:rsidRPr="00DC5592">
        <w:rPr>
          <w:rFonts w:ascii="Cambria" w:hAnsi="Cambria"/>
          <w:szCs w:val="20"/>
        </w:rPr>
        <w:t xml:space="preserve">any form of signal) </w:t>
      </w:r>
      <w:r w:rsidRPr="00DC5592">
        <w:rPr>
          <w:rFonts w:ascii="Cambria" w:hAnsi="Cambria"/>
          <w:szCs w:val="20"/>
        </w:rPr>
        <w:t>by means of electromagnetic energy</w:t>
      </w:r>
      <w:r w:rsidR="006F3429" w:rsidRPr="00DC5592">
        <w:rPr>
          <w:rFonts w:ascii="Cambria" w:hAnsi="Cambria"/>
          <w:szCs w:val="20"/>
        </w:rPr>
        <w:t xml:space="preserve"> between points in Australia, or a point inside Australia and another point outside Australia</w:t>
      </w:r>
      <w:r w:rsidRPr="00DC5592">
        <w:rPr>
          <w:rFonts w:ascii="Cambria" w:hAnsi="Cambria"/>
          <w:szCs w:val="20"/>
        </w:rPr>
        <w:t>.</w:t>
      </w:r>
      <w:r w:rsidRPr="00DC5592">
        <w:rPr>
          <w:rStyle w:val="FootnoteReference"/>
          <w:rFonts w:ascii="Cambria" w:hAnsi="Cambria"/>
          <w:szCs w:val="20"/>
        </w:rPr>
        <w:footnoteReference w:id="20"/>
      </w:r>
      <w:r w:rsidR="005112C1" w:rsidRPr="00DC5592">
        <w:rPr>
          <w:rFonts w:ascii="Cambria" w:hAnsi="Cambria"/>
          <w:szCs w:val="20"/>
        </w:rPr>
        <w:t xml:space="preserve"> </w:t>
      </w:r>
      <w:r w:rsidR="00186659" w:rsidRPr="00DC5592">
        <w:rPr>
          <w:rFonts w:ascii="Cambria" w:hAnsi="Cambria"/>
          <w:szCs w:val="20"/>
        </w:rPr>
        <w:t xml:space="preserve"> The activities of CSPs are regulated. </w:t>
      </w:r>
    </w:p>
    <w:p w14:paraId="5792BB1A" w14:textId="77777777" w:rsidR="00EA4AE4" w:rsidRPr="00DC5592" w:rsidRDefault="005112C1" w:rsidP="00D00DB2">
      <w:pPr>
        <w:rPr>
          <w:rFonts w:ascii="Cambria" w:hAnsi="Cambria"/>
          <w:szCs w:val="20"/>
        </w:rPr>
      </w:pPr>
      <w:r w:rsidRPr="00DC5592">
        <w:rPr>
          <w:rFonts w:ascii="Cambria" w:hAnsi="Cambria"/>
          <w:szCs w:val="20"/>
        </w:rPr>
        <w:t xml:space="preserve">CSPs </w:t>
      </w:r>
      <w:r w:rsidR="00D00DB2" w:rsidRPr="00DC5592">
        <w:rPr>
          <w:rFonts w:ascii="Cambria" w:hAnsi="Cambria"/>
          <w:szCs w:val="20"/>
        </w:rPr>
        <w:t xml:space="preserve">supply carriage services but do not necessarily own physical telecommunications </w:t>
      </w:r>
      <w:r w:rsidR="00402729" w:rsidRPr="00DC5592">
        <w:rPr>
          <w:rFonts w:ascii="Cambria" w:hAnsi="Cambria"/>
          <w:szCs w:val="20"/>
        </w:rPr>
        <w:t xml:space="preserve">transmission </w:t>
      </w:r>
      <w:r w:rsidR="00D00DB2" w:rsidRPr="00DC5592">
        <w:rPr>
          <w:rFonts w:ascii="Cambria" w:hAnsi="Cambria"/>
          <w:szCs w:val="20"/>
        </w:rPr>
        <w:t xml:space="preserve">infrastructure. The </w:t>
      </w:r>
      <w:r w:rsidR="00632E16" w:rsidRPr="00DC5592">
        <w:rPr>
          <w:rFonts w:ascii="Cambria" w:hAnsi="Cambria"/>
          <w:szCs w:val="20"/>
        </w:rPr>
        <w:t xml:space="preserve">definition </w:t>
      </w:r>
      <w:r w:rsidR="00D00DB2" w:rsidRPr="00DC5592">
        <w:rPr>
          <w:rFonts w:ascii="Cambria" w:hAnsi="Cambria"/>
          <w:szCs w:val="20"/>
        </w:rPr>
        <w:t xml:space="preserve">is broad and open ended, covering persons supplying listed carriage services to the public using network units owned by carriers (and nominated carriers). </w:t>
      </w:r>
      <w:r w:rsidR="00912705" w:rsidRPr="00DC5592">
        <w:rPr>
          <w:rFonts w:ascii="Cambria" w:hAnsi="Cambria"/>
          <w:szCs w:val="20"/>
        </w:rPr>
        <w:t xml:space="preserve">This includes </w:t>
      </w:r>
      <w:r w:rsidR="00833BB2" w:rsidRPr="00DC5592">
        <w:rPr>
          <w:rFonts w:ascii="Cambria" w:hAnsi="Cambria"/>
          <w:szCs w:val="20"/>
        </w:rPr>
        <w:t xml:space="preserve">international CSPs, who provide </w:t>
      </w:r>
      <w:r w:rsidR="001B503E" w:rsidRPr="00DC5592">
        <w:rPr>
          <w:rFonts w:ascii="Cambria" w:hAnsi="Cambria"/>
          <w:szCs w:val="20"/>
        </w:rPr>
        <w:t>carriage service</w:t>
      </w:r>
      <w:r w:rsidR="00833BB2" w:rsidRPr="00DC5592">
        <w:rPr>
          <w:rFonts w:ascii="Cambria" w:hAnsi="Cambria"/>
          <w:szCs w:val="20"/>
        </w:rPr>
        <w:t>s</w:t>
      </w:r>
      <w:r w:rsidR="001B503E" w:rsidRPr="00DC5592">
        <w:rPr>
          <w:rFonts w:ascii="Cambria" w:hAnsi="Cambria"/>
          <w:szCs w:val="20"/>
        </w:rPr>
        <w:t xml:space="preserve"> </w:t>
      </w:r>
      <w:r w:rsidR="008F7884" w:rsidRPr="00DC5592">
        <w:rPr>
          <w:rFonts w:ascii="Cambria" w:hAnsi="Cambria"/>
          <w:szCs w:val="20"/>
        </w:rPr>
        <w:t xml:space="preserve">either </w:t>
      </w:r>
      <w:r w:rsidR="0073264A" w:rsidRPr="00DC5592">
        <w:rPr>
          <w:rFonts w:ascii="Cambria" w:hAnsi="Cambria"/>
          <w:szCs w:val="20"/>
        </w:rPr>
        <w:t>between</w:t>
      </w:r>
      <w:r w:rsidR="001B503E" w:rsidRPr="00DC5592">
        <w:rPr>
          <w:rFonts w:ascii="Cambria" w:hAnsi="Cambria"/>
          <w:szCs w:val="20"/>
        </w:rPr>
        <w:t xml:space="preserve"> point</w:t>
      </w:r>
      <w:r w:rsidR="0073264A" w:rsidRPr="00DC5592">
        <w:rPr>
          <w:rFonts w:ascii="Cambria" w:hAnsi="Cambria"/>
          <w:szCs w:val="20"/>
        </w:rPr>
        <w:t>s</w:t>
      </w:r>
      <w:r w:rsidR="001B503E" w:rsidRPr="00DC5592">
        <w:rPr>
          <w:rFonts w:ascii="Cambria" w:hAnsi="Cambria"/>
          <w:szCs w:val="20"/>
        </w:rPr>
        <w:t xml:space="preserve"> in</w:t>
      </w:r>
      <w:r w:rsidR="0073264A" w:rsidRPr="00DC5592">
        <w:rPr>
          <w:rFonts w:ascii="Cambria" w:hAnsi="Cambria"/>
          <w:szCs w:val="20"/>
        </w:rPr>
        <w:t>side and outside of</w:t>
      </w:r>
      <w:r w:rsidR="001B503E" w:rsidRPr="00DC5592">
        <w:rPr>
          <w:rFonts w:ascii="Cambria" w:hAnsi="Cambria"/>
          <w:szCs w:val="20"/>
        </w:rPr>
        <w:t xml:space="preserve"> Australia</w:t>
      </w:r>
      <w:r w:rsidR="0073264A" w:rsidRPr="00DC5592">
        <w:rPr>
          <w:rFonts w:ascii="Cambria" w:hAnsi="Cambria"/>
          <w:szCs w:val="20"/>
        </w:rPr>
        <w:t xml:space="preserve"> using a line link</w:t>
      </w:r>
      <w:r w:rsidR="001B503E" w:rsidRPr="00DC5592">
        <w:rPr>
          <w:rFonts w:ascii="Cambria" w:hAnsi="Cambria"/>
          <w:szCs w:val="20"/>
        </w:rPr>
        <w:t>, or via a satellite</w:t>
      </w:r>
      <w:r w:rsidR="00833BB2" w:rsidRPr="00DC5592">
        <w:rPr>
          <w:rFonts w:ascii="Cambria" w:hAnsi="Cambria"/>
          <w:szCs w:val="20"/>
        </w:rPr>
        <w:t>-</w:t>
      </w:r>
      <w:r w:rsidR="001B503E" w:rsidRPr="00DC5592">
        <w:rPr>
          <w:rFonts w:ascii="Cambria" w:hAnsi="Cambria"/>
          <w:szCs w:val="20"/>
        </w:rPr>
        <w:t>based facility.</w:t>
      </w:r>
      <w:r w:rsidR="004E7C04" w:rsidRPr="00DC5592">
        <w:rPr>
          <w:rStyle w:val="FootnoteReference"/>
          <w:rFonts w:ascii="Cambria" w:hAnsi="Cambria"/>
          <w:szCs w:val="20"/>
        </w:rPr>
        <w:footnoteReference w:id="21"/>
      </w:r>
      <w:r w:rsidR="004E7C04" w:rsidRPr="00DC5592">
        <w:rPr>
          <w:rFonts w:ascii="Cambria" w:hAnsi="Cambria"/>
          <w:szCs w:val="20"/>
        </w:rPr>
        <w:t xml:space="preserve"> </w:t>
      </w:r>
      <w:r w:rsidR="001B503E" w:rsidRPr="00DC5592">
        <w:rPr>
          <w:rFonts w:ascii="Cambria" w:hAnsi="Cambria"/>
          <w:szCs w:val="20"/>
        </w:rPr>
        <w:t xml:space="preserve">  </w:t>
      </w:r>
    </w:p>
    <w:p w14:paraId="5792BB1B" w14:textId="77777777" w:rsidR="00375036" w:rsidRPr="00DC5592" w:rsidRDefault="00D00DB2" w:rsidP="00D00DB2">
      <w:pPr>
        <w:rPr>
          <w:rFonts w:ascii="Cambria" w:hAnsi="Cambria"/>
          <w:szCs w:val="20"/>
        </w:rPr>
      </w:pPr>
      <w:r w:rsidRPr="00DC5592">
        <w:rPr>
          <w:rFonts w:ascii="Cambria" w:hAnsi="Cambria"/>
          <w:szCs w:val="20"/>
        </w:rPr>
        <w:t>A</w:t>
      </w:r>
      <w:r w:rsidR="00AB738F" w:rsidRPr="00DC5592">
        <w:rPr>
          <w:rFonts w:ascii="Cambria" w:hAnsi="Cambria"/>
          <w:szCs w:val="20"/>
        </w:rPr>
        <w:t xml:space="preserve"> CSI is a subset category of a CSP. </w:t>
      </w:r>
      <w:r w:rsidR="00DE31FE" w:rsidRPr="00DC5592">
        <w:rPr>
          <w:rFonts w:ascii="Cambria" w:hAnsi="Cambria"/>
          <w:szCs w:val="20"/>
        </w:rPr>
        <w:t>A CSI</w:t>
      </w:r>
      <w:r w:rsidRPr="00DC5592">
        <w:rPr>
          <w:rFonts w:ascii="Cambria" w:hAnsi="Cambria"/>
          <w:szCs w:val="20"/>
        </w:rPr>
        <w:t xml:space="preserve"> is a person who arranges the supply of a carriage service by a </w:t>
      </w:r>
      <w:r w:rsidR="00B73E92" w:rsidRPr="00DC5592">
        <w:rPr>
          <w:rFonts w:ascii="Cambria" w:hAnsi="Cambria"/>
          <w:szCs w:val="20"/>
        </w:rPr>
        <w:t>CSP</w:t>
      </w:r>
      <w:r w:rsidRPr="00DC5592">
        <w:rPr>
          <w:rFonts w:ascii="Cambria" w:hAnsi="Cambria"/>
          <w:szCs w:val="20"/>
        </w:rPr>
        <w:t xml:space="preserve"> to a third person. A commercial relationship exists between these parties relating to the continuing supply of the service.</w:t>
      </w:r>
      <w:r w:rsidR="00AB738F" w:rsidRPr="00DC5592">
        <w:rPr>
          <w:rStyle w:val="FootnoteReference"/>
          <w:rFonts w:ascii="Cambria" w:hAnsi="Cambria"/>
          <w:szCs w:val="20"/>
        </w:rPr>
        <w:footnoteReference w:id="22"/>
      </w:r>
      <w:r w:rsidRPr="00DC5592">
        <w:rPr>
          <w:rFonts w:ascii="Cambria" w:hAnsi="Cambria"/>
          <w:szCs w:val="20"/>
        </w:rPr>
        <w:t xml:space="preserve"> </w:t>
      </w:r>
    </w:p>
    <w:p w14:paraId="5792BB1C" w14:textId="1202ADCA" w:rsidR="006F3429" w:rsidRPr="00DC5592" w:rsidRDefault="006F3429" w:rsidP="006F3429">
      <w:pPr>
        <w:rPr>
          <w:rFonts w:ascii="Cambria" w:hAnsi="Cambria"/>
          <w:szCs w:val="20"/>
        </w:rPr>
      </w:pPr>
      <w:r w:rsidRPr="00DC5592">
        <w:rPr>
          <w:rFonts w:ascii="Cambria" w:hAnsi="Cambria"/>
          <w:szCs w:val="20"/>
        </w:rPr>
        <w:t>A Content Service Provider is a person who uses a listed carriage service to supply a content service to the public.</w:t>
      </w:r>
      <w:r w:rsidRPr="00DC5592">
        <w:rPr>
          <w:rStyle w:val="FootnoteReference"/>
          <w:rFonts w:ascii="Cambria" w:hAnsi="Cambria"/>
          <w:szCs w:val="20"/>
        </w:rPr>
        <w:footnoteReference w:id="23"/>
      </w:r>
      <w:r w:rsidRPr="00DC5592">
        <w:rPr>
          <w:rFonts w:ascii="Cambria" w:hAnsi="Cambria"/>
          <w:szCs w:val="20"/>
        </w:rPr>
        <w:t xml:space="preserve"> </w:t>
      </w:r>
      <w:r w:rsidR="00743470" w:rsidRPr="00DC5592">
        <w:rPr>
          <w:rFonts w:ascii="Cambria" w:hAnsi="Cambria"/>
          <w:szCs w:val="20"/>
        </w:rPr>
        <w:t xml:space="preserve">Connected vehicle distributors or service providers may become Content Service Providers if they provide certain services over the vehicle’s connection. </w:t>
      </w:r>
      <w:r w:rsidRPr="00DC5592">
        <w:rPr>
          <w:rFonts w:ascii="Cambria" w:hAnsi="Cambria"/>
          <w:szCs w:val="20"/>
        </w:rPr>
        <w:t>The</w:t>
      </w:r>
      <w:r w:rsidR="00743470" w:rsidRPr="00DC5592">
        <w:rPr>
          <w:rFonts w:ascii="Cambria" w:hAnsi="Cambria"/>
          <w:szCs w:val="20"/>
        </w:rPr>
        <w:t xml:space="preserve"> telecommunications regulatory regime regulates</w:t>
      </w:r>
      <w:r w:rsidRPr="00DC5592">
        <w:rPr>
          <w:rFonts w:ascii="Cambria" w:hAnsi="Cambria"/>
          <w:szCs w:val="20"/>
        </w:rPr>
        <w:t xml:space="preserve"> </w:t>
      </w:r>
      <w:r w:rsidR="008C772A">
        <w:rPr>
          <w:rFonts w:ascii="Cambria" w:hAnsi="Cambria"/>
          <w:szCs w:val="20"/>
        </w:rPr>
        <w:t xml:space="preserve">the </w:t>
      </w:r>
      <w:r w:rsidRPr="00DC5592">
        <w:rPr>
          <w:rFonts w:ascii="Cambria" w:hAnsi="Cambria"/>
          <w:szCs w:val="20"/>
        </w:rPr>
        <w:t>activities of CSPs and Content Service Providers.</w:t>
      </w:r>
    </w:p>
    <w:p w14:paraId="5792BB1D" w14:textId="77777777" w:rsidR="00925705" w:rsidRPr="00DC5592" w:rsidRDefault="006B57DA" w:rsidP="00417B79">
      <w:pPr>
        <w:pStyle w:val="Heading3"/>
        <w:rPr>
          <w:rFonts w:ascii="Cambria" w:hAnsi="Cambria"/>
        </w:rPr>
      </w:pPr>
      <w:bookmarkStart w:id="13" w:name="_Toc149033918"/>
      <w:r w:rsidRPr="00DC5592">
        <w:rPr>
          <w:rFonts w:ascii="Cambria" w:hAnsi="Cambria"/>
        </w:rPr>
        <w:lastRenderedPageBreak/>
        <w:t>How should we regulate?</w:t>
      </w:r>
      <w:bookmarkEnd w:id="13"/>
    </w:p>
    <w:p w14:paraId="5792BB1E" w14:textId="248D33B6" w:rsidR="002C0E6E" w:rsidRPr="00DC5592" w:rsidRDefault="006B57DA" w:rsidP="00581FC1">
      <w:pPr>
        <w:pStyle w:val="Heading5"/>
        <w:rPr>
          <w:rFonts w:ascii="Cambria" w:hAnsi="Cambria"/>
        </w:rPr>
      </w:pPr>
      <w:r w:rsidRPr="00906BB8">
        <w:rPr>
          <w:rFonts w:ascii="Cambria" w:hAnsi="Cambria"/>
        </w:rPr>
        <w:t xml:space="preserve">Current </w:t>
      </w:r>
      <w:r w:rsidR="008C772A">
        <w:rPr>
          <w:rFonts w:ascii="Cambria" w:hAnsi="Cambria"/>
        </w:rPr>
        <w:t>a</w:t>
      </w:r>
      <w:r w:rsidR="008C772A" w:rsidRPr="00906BB8">
        <w:rPr>
          <w:rFonts w:ascii="Cambria" w:hAnsi="Cambria"/>
        </w:rPr>
        <w:t>rrangements</w:t>
      </w:r>
    </w:p>
    <w:p w14:paraId="5792BB1F" w14:textId="58058D41" w:rsidR="0072085A" w:rsidRPr="00DC5592" w:rsidRDefault="005A30E4" w:rsidP="0082780D">
      <w:pPr>
        <w:rPr>
          <w:rFonts w:ascii="Cambria" w:hAnsi="Cambria"/>
        </w:rPr>
      </w:pPr>
      <w:r w:rsidRPr="00DC5592">
        <w:rPr>
          <w:rFonts w:ascii="Cambria" w:hAnsi="Cambria"/>
        </w:rPr>
        <w:t xml:space="preserve">The </w:t>
      </w:r>
      <w:r w:rsidR="00AD16E8" w:rsidRPr="00DC5592">
        <w:rPr>
          <w:rFonts w:ascii="Cambria" w:hAnsi="Cambria"/>
        </w:rPr>
        <w:t xml:space="preserve">telecommunications </w:t>
      </w:r>
      <w:r w:rsidRPr="00DC5592">
        <w:rPr>
          <w:rFonts w:ascii="Cambria" w:hAnsi="Cambria"/>
        </w:rPr>
        <w:t>regulatory framework currently</w:t>
      </w:r>
      <w:r w:rsidR="00357DF2" w:rsidRPr="00DC5592">
        <w:rPr>
          <w:rFonts w:ascii="Cambria" w:hAnsi="Cambria"/>
        </w:rPr>
        <w:t xml:space="preserve"> </w:t>
      </w:r>
      <w:r w:rsidRPr="00DC5592">
        <w:rPr>
          <w:rFonts w:ascii="Cambria" w:hAnsi="Cambria"/>
        </w:rPr>
        <w:t xml:space="preserve">captures </w:t>
      </w:r>
      <w:r w:rsidR="00F26544" w:rsidRPr="00DC5592">
        <w:rPr>
          <w:rFonts w:ascii="Cambria" w:hAnsi="Cambria"/>
        </w:rPr>
        <w:t xml:space="preserve">connected vehicle </w:t>
      </w:r>
      <w:r w:rsidR="00BE0FB6" w:rsidRPr="00DC5592">
        <w:rPr>
          <w:rFonts w:ascii="Cambria" w:hAnsi="Cambria"/>
        </w:rPr>
        <w:t>manufacturers</w:t>
      </w:r>
      <w:r w:rsidR="008403A2" w:rsidRPr="00DC5592">
        <w:rPr>
          <w:rFonts w:ascii="Cambria" w:hAnsi="Cambria"/>
        </w:rPr>
        <w:t xml:space="preserve"> a</w:t>
      </w:r>
      <w:r w:rsidR="008C4025" w:rsidRPr="00DC5592">
        <w:rPr>
          <w:rFonts w:ascii="Cambria" w:hAnsi="Cambria"/>
        </w:rPr>
        <w:t>n</w:t>
      </w:r>
      <w:r w:rsidR="008403A2" w:rsidRPr="00DC5592">
        <w:rPr>
          <w:rFonts w:ascii="Cambria" w:hAnsi="Cambria"/>
        </w:rPr>
        <w:t>d distr</w:t>
      </w:r>
      <w:r w:rsidR="008C4025" w:rsidRPr="00DC5592">
        <w:rPr>
          <w:rFonts w:ascii="Cambria" w:hAnsi="Cambria"/>
        </w:rPr>
        <w:t>i</w:t>
      </w:r>
      <w:r w:rsidR="008403A2" w:rsidRPr="00DC5592">
        <w:rPr>
          <w:rFonts w:ascii="Cambria" w:hAnsi="Cambria"/>
        </w:rPr>
        <w:t>butors,</w:t>
      </w:r>
      <w:r w:rsidR="00BE0FB6" w:rsidRPr="00DC5592">
        <w:rPr>
          <w:rFonts w:ascii="Cambria" w:hAnsi="Cambria"/>
        </w:rPr>
        <w:t xml:space="preserve"> or those who arrange for vehicle connectivity as</w:t>
      </w:r>
      <w:r w:rsidR="001E280D" w:rsidRPr="00DC5592">
        <w:rPr>
          <w:rFonts w:ascii="Cambria" w:hAnsi="Cambria"/>
        </w:rPr>
        <w:t xml:space="preserve"> CSIs </w:t>
      </w:r>
      <w:r w:rsidR="00BE0FB6" w:rsidRPr="00DC5592">
        <w:rPr>
          <w:rFonts w:ascii="Cambria" w:hAnsi="Cambria"/>
        </w:rPr>
        <w:t>(and hence a CSP under the Tel Act</w:t>
      </w:r>
      <w:r w:rsidR="001E280D" w:rsidRPr="00DC5592">
        <w:rPr>
          <w:rFonts w:ascii="Cambria" w:hAnsi="Cambria"/>
        </w:rPr>
        <w:t>)</w:t>
      </w:r>
      <w:r w:rsidR="008403A2" w:rsidRPr="00DC5592">
        <w:rPr>
          <w:rFonts w:ascii="Cambria" w:hAnsi="Cambria"/>
        </w:rPr>
        <w:t xml:space="preserve"> – that is</w:t>
      </w:r>
      <w:r w:rsidR="008C4025" w:rsidRPr="00DC5592">
        <w:rPr>
          <w:rFonts w:ascii="Cambria" w:hAnsi="Cambria"/>
        </w:rPr>
        <w:t>, they have arranged for the ongoing supply of a carriage service by a CSP to a third person</w:t>
      </w:r>
      <w:r w:rsidR="001E280D" w:rsidRPr="00DC5592">
        <w:rPr>
          <w:rFonts w:ascii="Cambria" w:hAnsi="Cambria"/>
        </w:rPr>
        <w:t>. CSPs</w:t>
      </w:r>
      <w:r w:rsidR="0072085A" w:rsidRPr="00DC5592">
        <w:rPr>
          <w:rFonts w:ascii="Cambria" w:hAnsi="Cambria"/>
        </w:rPr>
        <w:t xml:space="preserve"> </w:t>
      </w:r>
      <w:r w:rsidR="001E280D" w:rsidRPr="00DC5592">
        <w:rPr>
          <w:rFonts w:ascii="Cambria" w:hAnsi="Cambria"/>
        </w:rPr>
        <w:t>are subject to obligations</w:t>
      </w:r>
      <w:r w:rsidR="0072085A" w:rsidRPr="00DC5592">
        <w:rPr>
          <w:rFonts w:ascii="Cambria" w:hAnsi="Cambria"/>
        </w:rPr>
        <w:t xml:space="preserve"> in relation to consumer safeguards, security matters, </w:t>
      </w:r>
      <w:r w:rsidR="00A921A2" w:rsidRPr="00DC5592">
        <w:rPr>
          <w:rFonts w:ascii="Cambria" w:hAnsi="Cambria"/>
        </w:rPr>
        <w:t xml:space="preserve">and </w:t>
      </w:r>
      <w:r w:rsidR="008C772A" w:rsidRPr="00DC5592">
        <w:rPr>
          <w:rFonts w:ascii="Cambria" w:hAnsi="Cambria"/>
        </w:rPr>
        <w:t>telecommunications</w:t>
      </w:r>
      <w:r w:rsidR="008C772A">
        <w:rPr>
          <w:rFonts w:ascii="Cambria" w:hAnsi="Cambria"/>
        </w:rPr>
        <w:t>-</w:t>
      </w:r>
      <w:r w:rsidR="0072085A" w:rsidRPr="00DC5592">
        <w:rPr>
          <w:rFonts w:ascii="Cambria" w:hAnsi="Cambria"/>
        </w:rPr>
        <w:t>specific competition restraints.</w:t>
      </w:r>
      <w:r w:rsidR="001E280D" w:rsidRPr="00DC5592">
        <w:rPr>
          <w:rFonts w:ascii="Cambria" w:hAnsi="Cambria"/>
        </w:rPr>
        <w:t xml:space="preserve"> </w:t>
      </w:r>
      <w:r w:rsidR="00C374D3" w:rsidRPr="00DC5592">
        <w:rPr>
          <w:rFonts w:ascii="Cambria" w:hAnsi="Cambria"/>
        </w:rPr>
        <w:t>CSP</w:t>
      </w:r>
      <w:r w:rsidR="0072085A" w:rsidRPr="00DC5592">
        <w:rPr>
          <w:rFonts w:ascii="Cambria" w:hAnsi="Cambria"/>
        </w:rPr>
        <w:t xml:space="preserve">s </w:t>
      </w:r>
      <w:r w:rsidR="00ED35DC" w:rsidRPr="00DC5592">
        <w:rPr>
          <w:rFonts w:ascii="Cambria" w:hAnsi="Cambria"/>
        </w:rPr>
        <w:t>do no</w:t>
      </w:r>
      <w:r w:rsidR="008C772A">
        <w:rPr>
          <w:rFonts w:ascii="Cambria" w:hAnsi="Cambria"/>
        </w:rPr>
        <w:t>t</w:t>
      </w:r>
      <w:r w:rsidR="00ED35DC" w:rsidRPr="00DC5592">
        <w:rPr>
          <w:rFonts w:ascii="Cambria" w:hAnsi="Cambria"/>
        </w:rPr>
        <w:t xml:space="preserve"> need a licence but </w:t>
      </w:r>
      <w:r w:rsidR="0072085A" w:rsidRPr="00DC5592">
        <w:rPr>
          <w:rFonts w:ascii="Cambria" w:hAnsi="Cambria"/>
        </w:rPr>
        <w:t xml:space="preserve">are expected to understand </w:t>
      </w:r>
      <w:r w:rsidR="00E11A0D" w:rsidRPr="00DC5592">
        <w:rPr>
          <w:rFonts w:ascii="Cambria" w:hAnsi="Cambria"/>
        </w:rPr>
        <w:t>and comply with</w:t>
      </w:r>
      <w:r w:rsidR="0072085A" w:rsidRPr="00DC5592">
        <w:rPr>
          <w:rFonts w:ascii="Cambria" w:hAnsi="Cambria"/>
        </w:rPr>
        <w:t xml:space="preserve"> their </w:t>
      </w:r>
      <w:r w:rsidR="00397552" w:rsidRPr="00DC5592">
        <w:rPr>
          <w:rFonts w:ascii="Cambria" w:hAnsi="Cambria"/>
        </w:rPr>
        <w:t>o</w:t>
      </w:r>
      <w:r w:rsidR="0072085A" w:rsidRPr="00DC5592">
        <w:rPr>
          <w:rFonts w:ascii="Cambria" w:hAnsi="Cambria"/>
        </w:rPr>
        <w:t>bligations</w:t>
      </w:r>
      <w:r w:rsidR="00397552" w:rsidRPr="00DC5592">
        <w:rPr>
          <w:rFonts w:ascii="Cambria" w:hAnsi="Cambria"/>
        </w:rPr>
        <w:t>.</w:t>
      </w:r>
      <w:r w:rsidR="001E280D" w:rsidRPr="00DC5592">
        <w:rPr>
          <w:rStyle w:val="FootnoteReference"/>
          <w:rFonts w:ascii="Cambria" w:hAnsi="Cambria"/>
        </w:rPr>
        <w:footnoteReference w:id="24"/>
      </w:r>
    </w:p>
    <w:p w14:paraId="5792BB20" w14:textId="77777777" w:rsidR="000C1E20" w:rsidRPr="00DC5592" w:rsidRDefault="000C1E20" w:rsidP="000C1E20">
      <w:pPr>
        <w:rPr>
          <w:rFonts w:ascii="Cambria" w:hAnsi="Cambria"/>
        </w:rPr>
      </w:pPr>
      <w:r w:rsidRPr="00DC5592">
        <w:rPr>
          <w:rFonts w:ascii="Cambria" w:hAnsi="Cambria"/>
        </w:rPr>
        <w:t>It is highly likely that the roadside units used for direct, short range C-ITS communications between vehicles and infrastructure would be considered</w:t>
      </w:r>
      <w:r w:rsidR="0030400C" w:rsidRPr="00DC5592">
        <w:rPr>
          <w:rFonts w:ascii="Cambria" w:hAnsi="Cambria"/>
        </w:rPr>
        <w:t xml:space="preserve"> a network unit</w:t>
      </w:r>
      <w:r w:rsidR="007A06BD" w:rsidRPr="00DC5592">
        <w:rPr>
          <w:rFonts w:ascii="Cambria" w:hAnsi="Cambria"/>
        </w:rPr>
        <w:t xml:space="preserve"> and would require the owners of those units to have either a carrier licence, or a nominated carrier declaration to supply that service to vehicles. This could lead to government entities becoming</w:t>
      </w:r>
      <w:r w:rsidRPr="00DC5592">
        <w:rPr>
          <w:rFonts w:ascii="Cambria" w:hAnsi="Cambria"/>
        </w:rPr>
        <w:t xml:space="preserve"> ‘carriers’ under the Tel Act.</w:t>
      </w:r>
      <w:r w:rsidR="001528BF" w:rsidRPr="00DC5592">
        <w:rPr>
          <w:rStyle w:val="FootnoteReference"/>
          <w:rFonts w:ascii="Cambria" w:hAnsi="Cambria"/>
        </w:rPr>
        <w:footnoteReference w:id="25"/>
      </w:r>
    </w:p>
    <w:p w14:paraId="5792BB21" w14:textId="0559AA27" w:rsidR="000C1E20" w:rsidRPr="00DC5592" w:rsidRDefault="000C1E20" w:rsidP="0082780D">
      <w:pPr>
        <w:rPr>
          <w:rFonts w:ascii="Cambria" w:hAnsi="Cambria"/>
        </w:rPr>
      </w:pPr>
      <w:r w:rsidRPr="00DC5592">
        <w:rPr>
          <w:rFonts w:ascii="Cambria" w:hAnsi="Cambria"/>
        </w:rPr>
        <w:t xml:space="preserve">Carriers are subject to a range of other obligations, </w:t>
      </w:r>
      <w:r w:rsidR="0030400C" w:rsidRPr="00DC5592">
        <w:rPr>
          <w:rFonts w:ascii="Cambria" w:hAnsi="Cambria"/>
        </w:rPr>
        <w:t>beyond those</w:t>
      </w:r>
      <w:r w:rsidR="007A06BD" w:rsidRPr="00DC5592">
        <w:rPr>
          <w:rFonts w:ascii="Cambria" w:hAnsi="Cambria"/>
        </w:rPr>
        <w:t xml:space="preserve"> required for CSPs</w:t>
      </w:r>
      <w:r w:rsidRPr="00DC5592">
        <w:rPr>
          <w:rFonts w:ascii="Cambria" w:hAnsi="Cambria"/>
        </w:rPr>
        <w:t>.</w:t>
      </w:r>
      <w:r w:rsidR="007A06BD" w:rsidRPr="00DC5592">
        <w:rPr>
          <w:rFonts w:ascii="Cambria" w:hAnsi="Cambria"/>
        </w:rPr>
        <w:t xml:space="preserve"> </w:t>
      </w:r>
      <w:r w:rsidR="003A3DF4" w:rsidRPr="00DC5592">
        <w:rPr>
          <w:rFonts w:ascii="Cambria" w:hAnsi="Cambria"/>
        </w:rPr>
        <w:t>Entities involved in the</w:t>
      </w:r>
      <w:r w:rsidR="0058326C" w:rsidRPr="00DC5592">
        <w:rPr>
          <w:rFonts w:ascii="Cambria" w:hAnsi="Cambria"/>
        </w:rPr>
        <w:t xml:space="preserve"> creation of C-ITS communications networks will need to be aware of any licencing or other obligation</w:t>
      </w:r>
      <w:r w:rsidR="008C772A">
        <w:rPr>
          <w:rFonts w:ascii="Cambria" w:hAnsi="Cambria"/>
        </w:rPr>
        <w:t>s</w:t>
      </w:r>
      <w:r w:rsidR="0058326C" w:rsidRPr="00DC5592">
        <w:rPr>
          <w:rFonts w:ascii="Cambria" w:hAnsi="Cambria"/>
        </w:rPr>
        <w:t xml:space="preserve"> related to the ownership and use of those networks. This work is outside the scope of this particular discussion.</w:t>
      </w:r>
    </w:p>
    <w:p w14:paraId="5792BB22" w14:textId="77777777" w:rsidR="00755E45" w:rsidRPr="00DC5592" w:rsidRDefault="006B57DA" w:rsidP="00755E45">
      <w:pPr>
        <w:pStyle w:val="Heading5"/>
        <w:rPr>
          <w:rFonts w:ascii="Cambria" w:hAnsi="Cambria"/>
        </w:rPr>
      </w:pPr>
      <w:r w:rsidRPr="00DC5592">
        <w:rPr>
          <w:rFonts w:ascii="Cambria" w:hAnsi="Cambria"/>
        </w:rPr>
        <w:t>Anti-competitive conduct</w:t>
      </w:r>
      <w:r w:rsidR="00670F8F" w:rsidRPr="00DC5592">
        <w:rPr>
          <w:rFonts w:ascii="Cambria" w:hAnsi="Cambria"/>
        </w:rPr>
        <w:t xml:space="preserve"> </w:t>
      </w:r>
      <w:r w:rsidRPr="00DC5592">
        <w:rPr>
          <w:rFonts w:ascii="Cambria" w:hAnsi="Cambria"/>
        </w:rPr>
        <w:t>obligations</w:t>
      </w:r>
    </w:p>
    <w:p w14:paraId="5792BB23" w14:textId="77777777" w:rsidR="00AD16E8" w:rsidRDefault="00976AF4" w:rsidP="00AD16E8">
      <w:pPr>
        <w:rPr>
          <w:rFonts w:ascii="Cambria" w:hAnsi="Cambria" w:cs="Times New Roman"/>
        </w:rPr>
      </w:pPr>
      <w:r w:rsidRPr="00DC5592">
        <w:rPr>
          <w:rFonts w:ascii="Cambria" w:hAnsi="Cambria" w:cs="Times New Roman"/>
        </w:rPr>
        <w:t xml:space="preserve">Under the </w:t>
      </w:r>
      <w:r w:rsidRPr="00DC5592">
        <w:rPr>
          <w:rFonts w:ascii="Cambria" w:hAnsi="Cambria" w:cs="Times New Roman"/>
          <w:i/>
        </w:rPr>
        <w:t>Competition and Consumer Act 2010</w:t>
      </w:r>
      <w:r w:rsidRPr="00DC5592">
        <w:rPr>
          <w:rFonts w:ascii="Cambria" w:hAnsi="Cambria" w:cs="Times New Roman"/>
        </w:rPr>
        <w:t xml:space="preserve"> (</w:t>
      </w:r>
      <w:r w:rsidRPr="00DC5592">
        <w:rPr>
          <w:rFonts w:ascii="Cambria" w:hAnsi="Cambria" w:cs="Times New Roman"/>
          <w:i/>
        </w:rPr>
        <w:t>CCA</w:t>
      </w:r>
      <w:r w:rsidRPr="00DC5592">
        <w:rPr>
          <w:rFonts w:ascii="Cambria" w:hAnsi="Cambria" w:cs="Times New Roman"/>
        </w:rPr>
        <w:t xml:space="preserve">), </w:t>
      </w:r>
      <w:r w:rsidR="00AD16E8" w:rsidRPr="00DC5592">
        <w:rPr>
          <w:rFonts w:ascii="Cambria" w:hAnsi="Cambria" w:cs="Times New Roman"/>
        </w:rPr>
        <w:t>CSPs are subject to both a framework that prohibits anti-competitive behaviour</w:t>
      </w:r>
      <w:r w:rsidRPr="00DC5592">
        <w:rPr>
          <w:rStyle w:val="FootnoteReference"/>
          <w:rFonts w:ascii="Cambria" w:hAnsi="Cambria" w:cs="Times New Roman"/>
        </w:rPr>
        <w:footnoteReference w:id="26"/>
      </w:r>
      <w:r w:rsidR="00AD16E8" w:rsidRPr="00DC5592">
        <w:rPr>
          <w:rFonts w:ascii="Cambria" w:hAnsi="Cambria" w:cs="Times New Roman"/>
        </w:rPr>
        <w:t xml:space="preserve"> and a telecommunications access framework</w:t>
      </w:r>
      <w:r w:rsidRPr="00DC5592">
        <w:rPr>
          <w:rFonts w:ascii="Cambria" w:hAnsi="Cambria" w:cs="Times New Roman"/>
        </w:rPr>
        <w:t>.</w:t>
      </w:r>
      <w:r w:rsidRPr="00DC5592">
        <w:rPr>
          <w:rStyle w:val="FootnoteReference"/>
          <w:rFonts w:ascii="Cambria" w:hAnsi="Cambria" w:cs="Times New Roman"/>
        </w:rPr>
        <w:footnoteReference w:id="27"/>
      </w:r>
      <w:r w:rsidR="00AD16E8" w:rsidRPr="00DC5592">
        <w:rPr>
          <w:rFonts w:ascii="Cambria" w:hAnsi="Cambria" w:cs="Times New Roman"/>
          <w:i/>
        </w:rPr>
        <w:t xml:space="preserve"> </w:t>
      </w:r>
      <w:r w:rsidR="00AD16E8" w:rsidRPr="00DC5592">
        <w:rPr>
          <w:rFonts w:ascii="Cambria" w:hAnsi="Cambria" w:cs="Times New Roman"/>
        </w:rPr>
        <w:t>These operate alongside general competition protections in Part IV</w:t>
      </w:r>
      <w:r w:rsidR="00D531CE" w:rsidRPr="00DC5592">
        <w:rPr>
          <w:rFonts w:ascii="Cambria" w:hAnsi="Cambria" w:cs="Times New Roman"/>
        </w:rPr>
        <w:t xml:space="preserve"> of the </w:t>
      </w:r>
      <w:r w:rsidR="00D531CE" w:rsidRPr="00DC5592">
        <w:rPr>
          <w:rFonts w:ascii="Cambria" w:hAnsi="Cambria" w:cs="Times New Roman"/>
          <w:i/>
        </w:rPr>
        <w:t>CCA</w:t>
      </w:r>
      <w:r w:rsidR="00AD16E8" w:rsidRPr="00DC5592">
        <w:rPr>
          <w:rFonts w:ascii="Cambria" w:hAnsi="Cambria" w:cs="Times New Roman"/>
        </w:rPr>
        <w:t>. There are questions as to whether existing general competition protections are sufficient in the context of connected vehicles.</w:t>
      </w:r>
    </w:p>
    <w:p w14:paraId="5792BB24" w14:textId="77777777" w:rsidR="008E4990" w:rsidRDefault="008E4990" w:rsidP="008E4990">
      <w:pPr>
        <w:spacing w:after="0"/>
        <w:rPr>
          <w:rFonts w:ascii="Cambria" w:hAnsi="Cambria"/>
        </w:rPr>
      </w:pPr>
      <w:r>
        <w:rPr>
          <w:rFonts w:ascii="Cambria" w:hAnsi="Cambria"/>
        </w:rPr>
        <w:t>We are interested in views from stakeholders as to whether there are competition issues that have arisen or are likely to arise in relation to connected vehicles. For example, w</w:t>
      </w:r>
      <w:r w:rsidRPr="00023822">
        <w:rPr>
          <w:rFonts w:ascii="Cambria" w:hAnsi="Cambria"/>
        </w:rPr>
        <w:t xml:space="preserve">hile currently vehicle manufacturers and the carriers they use are separate entities, competition issues </w:t>
      </w:r>
      <w:r>
        <w:rPr>
          <w:rFonts w:ascii="Cambria" w:hAnsi="Cambria"/>
        </w:rPr>
        <w:t>could</w:t>
      </w:r>
      <w:r w:rsidRPr="00023822">
        <w:rPr>
          <w:rFonts w:ascii="Cambria" w:hAnsi="Cambria"/>
        </w:rPr>
        <w:t xml:space="preserve"> arise if vehicle companies and the corporate groups to which they are part </w:t>
      </w:r>
      <w:r w:rsidR="00A13213">
        <w:rPr>
          <w:rFonts w:ascii="Cambria" w:hAnsi="Cambria"/>
        </w:rPr>
        <w:t xml:space="preserve">of start to </w:t>
      </w:r>
      <w:r w:rsidRPr="00023822">
        <w:rPr>
          <w:rFonts w:ascii="Cambria" w:hAnsi="Cambria"/>
        </w:rPr>
        <w:t>own or control other parts of the telecommunications ecosystem, possibly bringing these entities into the scope of a</w:t>
      </w:r>
      <w:r>
        <w:rPr>
          <w:rFonts w:ascii="Cambria" w:hAnsi="Cambria"/>
        </w:rPr>
        <w:t xml:space="preserve"> </w:t>
      </w:r>
      <w:r w:rsidR="006D1B90">
        <w:rPr>
          <w:rFonts w:ascii="Cambria" w:hAnsi="Cambria"/>
        </w:rPr>
        <w:t>‘</w:t>
      </w:r>
      <w:r w:rsidRPr="00023822">
        <w:rPr>
          <w:rFonts w:ascii="Cambria" w:hAnsi="Cambria"/>
        </w:rPr>
        <w:t>telecommunications market’.</w:t>
      </w:r>
      <w:r w:rsidRPr="00023822">
        <w:rPr>
          <w:rStyle w:val="FootnoteReference"/>
          <w:rFonts w:ascii="Cambria" w:hAnsi="Cambria"/>
        </w:rPr>
        <w:footnoteReference w:id="28"/>
      </w:r>
      <w:r w:rsidRPr="00023822">
        <w:rPr>
          <w:rFonts w:ascii="Cambria" w:hAnsi="Cambria"/>
        </w:rPr>
        <w:t xml:space="preserve"> </w:t>
      </w:r>
    </w:p>
    <w:p w14:paraId="5792BB25" w14:textId="77777777" w:rsidR="008E4990" w:rsidRDefault="008E4990" w:rsidP="008E4990">
      <w:pPr>
        <w:spacing w:after="0"/>
        <w:rPr>
          <w:rFonts w:ascii="Cambria" w:hAnsi="Cambria"/>
        </w:rPr>
      </w:pPr>
    </w:p>
    <w:p w14:paraId="5792BB26" w14:textId="77777777" w:rsidR="008E4990" w:rsidRPr="00023822" w:rsidRDefault="008E4990" w:rsidP="008E4990">
      <w:pPr>
        <w:spacing w:after="0"/>
        <w:rPr>
          <w:rFonts w:ascii="Times New Roman" w:hAnsi="Times New Roman" w:cs="Times New Roman"/>
          <w:sz w:val="24"/>
          <w:szCs w:val="24"/>
          <w:lang w:eastAsia="en-AU"/>
        </w:rPr>
      </w:pPr>
      <w:r>
        <w:rPr>
          <w:rFonts w:ascii="Cambria" w:hAnsi="Cambria"/>
        </w:rPr>
        <w:lastRenderedPageBreak/>
        <w:t>Further,</w:t>
      </w:r>
      <w:r w:rsidRPr="00023822">
        <w:rPr>
          <w:rFonts w:ascii="Cambria" w:hAnsi="Cambria"/>
        </w:rPr>
        <w:t xml:space="preserve"> related corporate entities may respectively own a connected vehicle manufacturer, and a telecommunications company (either a traditional MNO or a Low Earth Orbit (LEO) satellite company). Conceivably these companies could combine their products to create a potential competition bottleneck, where purchasers of these connected vehicles could only maintain </w:t>
      </w:r>
    </w:p>
    <w:p w14:paraId="5792BB27" w14:textId="77777777" w:rsidR="008E4990" w:rsidRDefault="008E4990" w:rsidP="008E4990">
      <w:pPr>
        <w:pStyle w:val="CommentText"/>
        <w:rPr>
          <w:rFonts w:ascii="Cambria" w:hAnsi="Cambria"/>
          <w:sz w:val="22"/>
          <w:szCs w:val="22"/>
        </w:rPr>
      </w:pPr>
      <w:r w:rsidRPr="00023822">
        <w:rPr>
          <w:rFonts w:ascii="Cambria" w:hAnsi="Cambria"/>
          <w:sz w:val="22"/>
          <w:szCs w:val="22"/>
        </w:rPr>
        <w:t xml:space="preserve">connectivity through their telecommunications infrastructure. </w:t>
      </w:r>
    </w:p>
    <w:p w14:paraId="5792BB28" w14:textId="2FB5CCEA" w:rsidR="008E4990" w:rsidRPr="00DC5592" w:rsidRDefault="008E4990" w:rsidP="008E4990">
      <w:pPr>
        <w:pStyle w:val="CommentText"/>
        <w:rPr>
          <w:rFonts w:ascii="Cambria" w:hAnsi="Cambria"/>
        </w:rPr>
      </w:pPr>
      <w:r>
        <w:rPr>
          <w:rFonts w:ascii="Cambria" w:hAnsi="Cambria"/>
          <w:sz w:val="22"/>
          <w:szCs w:val="22"/>
        </w:rPr>
        <w:t xml:space="preserve">We note that the </w:t>
      </w:r>
      <w:r w:rsidR="008C772A">
        <w:rPr>
          <w:rFonts w:ascii="Cambria" w:hAnsi="Cambria"/>
          <w:i/>
          <w:sz w:val="22"/>
          <w:szCs w:val="22"/>
        </w:rPr>
        <w:t>CCA</w:t>
      </w:r>
      <w:r>
        <w:rPr>
          <w:rFonts w:ascii="Cambria" w:hAnsi="Cambria"/>
          <w:sz w:val="22"/>
          <w:szCs w:val="22"/>
        </w:rPr>
        <w:t xml:space="preserve"> has both general and telecommunications-specific anti-competitive conduct provisions, in Parts IV and XIB respectively. </w:t>
      </w:r>
      <w:r w:rsidRPr="00023822">
        <w:rPr>
          <w:rFonts w:ascii="Cambria" w:hAnsi="Cambria"/>
          <w:sz w:val="22"/>
          <w:szCs w:val="22"/>
        </w:rPr>
        <w:t xml:space="preserve">We are interested in views as to </w:t>
      </w:r>
      <w:r>
        <w:rPr>
          <w:rFonts w:ascii="Cambria" w:hAnsi="Cambria"/>
          <w:sz w:val="22"/>
          <w:szCs w:val="22"/>
        </w:rPr>
        <w:t>whether there would be advantages or disadvantages to connected vehicles being captured by telecommunications-specific anti-competitive conduct provisions.</w:t>
      </w:r>
    </w:p>
    <w:p w14:paraId="5792BB29" w14:textId="77777777" w:rsidR="00755E45" w:rsidRPr="00DC5592" w:rsidRDefault="004E6418" w:rsidP="00755E45">
      <w:pPr>
        <w:rPr>
          <w:rFonts w:ascii="Cambria" w:hAnsi="Cambria" w:cs="Times New Roman"/>
        </w:rPr>
      </w:pPr>
      <w:r w:rsidRPr="00DC5592">
        <w:rPr>
          <w:rFonts w:ascii="Cambria" w:hAnsi="Cambria" w:cs="Times New Roman"/>
        </w:rPr>
        <w:t xml:space="preserve">Along with those frameworks, which </w:t>
      </w:r>
      <w:r w:rsidR="00941EDA" w:rsidRPr="00DC5592">
        <w:rPr>
          <w:rFonts w:ascii="Cambria" w:hAnsi="Cambria" w:cs="Times New Roman"/>
        </w:rPr>
        <w:t>aim</w:t>
      </w:r>
      <w:r w:rsidRPr="00DC5592">
        <w:rPr>
          <w:rFonts w:ascii="Cambria" w:hAnsi="Cambria" w:cs="Times New Roman"/>
        </w:rPr>
        <w:t xml:space="preserve"> to prevent monopolistic behaviour and prevent </w:t>
      </w:r>
      <w:r w:rsidR="00E1508F" w:rsidRPr="00DC5592">
        <w:rPr>
          <w:rFonts w:ascii="Cambria" w:hAnsi="Cambria" w:cs="Times New Roman"/>
        </w:rPr>
        <w:t>activities that would substantially lessen competition</w:t>
      </w:r>
      <w:r w:rsidRPr="00DC5592">
        <w:rPr>
          <w:rFonts w:ascii="Cambria" w:hAnsi="Cambria" w:cs="Times New Roman"/>
        </w:rPr>
        <w:t xml:space="preserve"> in </w:t>
      </w:r>
      <w:r w:rsidR="00AD16E8" w:rsidRPr="00DC5592">
        <w:rPr>
          <w:rFonts w:ascii="Cambria" w:hAnsi="Cambria" w:cs="Times New Roman"/>
        </w:rPr>
        <w:t xml:space="preserve">a </w:t>
      </w:r>
      <w:r w:rsidRPr="00DC5592">
        <w:rPr>
          <w:rFonts w:ascii="Cambria" w:hAnsi="Cambria" w:cs="Times New Roman"/>
        </w:rPr>
        <w:t>telecommunications market, there are three</w:t>
      </w:r>
      <w:r w:rsidR="00AD16E8" w:rsidRPr="00DC5592">
        <w:rPr>
          <w:rFonts w:ascii="Cambria" w:hAnsi="Cambria" w:cs="Times New Roman"/>
        </w:rPr>
        <w:t xml:space="preserve"> other</w:t>
      </w:r>
      <w:r w:rsidRPr="00DC5592">
        <w:rPr>
          <w:rFonts w:ascii="Cambria" w:hAnsi="Cambria" w:cs="Times New Roman"/>
        </w:rPr>
        <w:t xml:space="preserve"> categories of obligations that face CSPs. These are detailed below.</w:t>
      </w:r>
    </w:p>
    <w:p w14:paraId="5792BB2A" w14:textId="77777777" w:rsidR="00755E45" w:rsidRPr="00DC5592" w:rsidRDefault="00755E45" w:rsidP="001019A9">
      <w:pPr>
        <w:keepNext/>
        <w:rPr>
          <w:rFonts w:ascii="Cambria" w:hAnsi="Cambria" w:cs="Times New Roman"/>
          <w:b/>
          <w:color w:val="0A2A44" w:themeColor="text2" w:themeShade="80"/>
        </w:rPr>
      </w:pPr>
      <w:r w:rsidRPr="00DC5592">
        <w:rPr>
          <w:rFonts w:ascii="Cambria" w:hAnsi="Cambria" w:cs="Times New Roman"/>
          <w:b/>
          <w:color w:val="0A2A44" w:themeColor="text2" w:themeShade="80"/>
        </w:rPr>
        <w:t xml:space="preserve">Consumer protection obligations </w:t>
      </w:r>
    </w:p>
    <w:p w14:paraId="5792BB2B" w14:textId="6C82F131" w:rsidR="00EE509B" w:rsidRPr="00DC5592" w:rsidRDefault="00EE509B" w:rsidP="00755E45">
      <w:pPr>
        <w:rPr>
          <w:rFonts w:ascii="Cambria" w:hAnsi="Cambria" w:cs="Times New Roman"/>
          <w:i/>
        </w:rPr>
      </w:pPr>
      <w:r w:rsidRPr="00DC5592">
        <w:rPr>
          <w:rFonts w:ascii="Cambria" w:hAnsi="Cambria" w:cs="Times New Roman"/>
          <w:i/>
        </w:rPr>
        <w:t xml:space="preserve">Australian </w:t>
      </w:r>
      <w:r w:rsidR="006D4204" w:rsidRPr="00DC5592">
        <w:rPr>
          <w:rFonts w:ascii="Cambria" w:hAnsi="Cambria" w:cs="Times New Roman"/>
          <w:i/>
        </w:rPr>
        <w:t>Consumer</w:t>
      </w:r>
      <w:r w:rsidRPr="00DC5592">
        <w:rPr>
          <w:rFonts w:ascii="Cambria" w:hAnsi="Cambria" w:cs="Times New Roman"/>
          <w:i/>
        </w:rPr>
        <w:t xml:space="preserve"> Law</w:t>
      </w:r>
      <w:r w:rsidR="00E33150">
        <w:rPr>
          <w:rFonts w:ascii="Cambria" w:hAnsi="Cambria" w:cs="Times New Roman"/>
          <w:i/>
        </w:rPr>
        <w:t xml:space="preserve">: </w:t>
      </w:r>
      <w:r w:rsidR="00257B50" w:rsidRPr="00DC5592">
        <w:rPr>
          <w:rFonts w:ascii="Cambria" w:hAnsi="Cambria"/>
        </w:rPr>
        <w:t xml:space="preserve">The </w:t>
      </w:r>
      <w:r w:rsidR="00332766" w:rsidRPr="00DC5592">
        <w:rPr>
          <w:rFonts w:ascii="Cambria" w:hAnsi="Cambria"/>
        </w:rPr>
        <w:t>Australian Consumer Law</w:t>
      </w:r>
      <w:r w:rsidR="00332766" w:rsidRPr="00DC5592">
        <w:rPr>
          <w:rStyle w:val="FootnoteReference"/>
          <w:rFonts w:ascii="Cambria" w:hAnsi="Cambria"/>
        </w:rPr>
        <w:footnoteReference w:id="29"/>
      </w:r>
      <w:r w:rsidRPr="00DC5592">
        <w:rPr>
          <w:rFonts w:ascii="Cambria" w:hAnsi="Cambria"/>
        </w:rPr>
        <w:t xml:space="preserve"> includes </w:t>
      </w:r>
      <w:r w:rsidR="003E7F64" w:rsidRPr="00DC5592">
        <w:rPr>
          <w:rFonts w:ascii="Cambria" w:hAnsi="Cambria"/>
        </w:rPr>
        <w:t xml:space="preserve">general </w:t>
      </w:r>
      <w:r w:rsidRPr="00DC5592">
        <w:rPr>
          <w:rFonts w:ascii="Cambria" w:hAnsi="Cambria"/>
        </w:rPr>
        <w:t xml:space="preserve">provisions that may </w:t>
      </w:r>
      <w:r w:rsidR="003E7F64" w:rsidRPr="00DC5592">
        <w:rPr>
          <w:rFonts w:ascii="Cambria" w:hAnsi="Cambria"/>
        </w:rPr>
        <w:t>extend</w:t>
      </w:r>
      <w:r w:rsidRPr="00DC5592">
        <w:rPr>
          <w:rFonts w:ascii="Cambria" w:hAnsi="Cambria"/>
        </w:rPr>
        <w:t xml:space="preserve"> </w:t>
      </w:r>
      <w:r w:rsidR="00257B50" w:rsidRPr="00DC5592">
        <w:rPr>
          <w:rFonts w:ascii="Cambria" w:hAnsi="Cambria"/>
        </w:rPr>
        <w:t>to</w:t>
      </w:r>
      <w:r w:rsidRPr="00DC5592">
        <w:rPr>
          <w:rFonts w:ascii="Cambria" w:hAnsi="Cambria"/>
        </w:rPr>
        <w:t xml:space="preserve"> connected vehicle</w:t>
      </w:r>
      <w:r w:rsidR="00257B50" w:rsidRPr="00DC5592">
        <w:rPr>
          <w:rFonts w:ascii="Cambria" w:hAnsi="Cambria"/>
        </w:rPr>
        <w:t>s</w:t>
      </w:r>
      <w:r w:rsidRPr="00DC5592">
        <w:rPr>
          <w:rFonts w:ascii="Cambria" w:hAnsi="Cambria"/>
        </w:rPr>
        <w:t>. These include</w:t>
      </w:r>
      <w:r w:rsidR="00332766" w:rsidRPr="00DC5592">
        <w:rPr>
          <w:rFonts w:ascii="Cambria" w:hAnsi="Cambria"/>
        </w:rPr>
        <w:t xml:space="preserve"> prohibitions </w:t>
      </w:r>
      <w:r w:rsidRPr="00DC5592">
        <w:rPr>
          <w:rFonts w:ascii="Cambria" w:hAnsi="Cambria"/>
        </w:rPr>
        <w:t xml:space="preserve">on </w:t>
      </w:r>
      <w:r w:rsidR="00257B50" w:rsidRPr="00DC5592">
        <w:rPr>
          <w:rFonts w:ascii="Cambria" w:hAnsi="Cambria"/>
        </w:rPr>
        <w:t xml:space="preserve">misleading and deceptive conduct and </w:t>
      </w:r>
      <w:r w:rsidRPr="00DC5592">
        <w:rPr>
          <w:rFonts w:ascii="Cambria" w:hAnsi="Cambria"/>
        </w:rPr>
        <w:t xml:space="preserve">unfair contract terms, </w:t>
      </w:r>
      <w:r w:rsidR="00332766" w:rsidRPr="00DC5592">
        <w:rPr>
          <w:rFonts w:ascii="Cambria" w:hAnsi="Cambria"/>
        </w:rPr>
        <w:t xml:space="preserve">protections against </w:t>
      </w:r>
      <w:r w:rsidRPr="00DC5592">
        <w:rPr>
          <w:rFonts w:ascii="Cambria" w:hAnsi="Cambria"/>
        </w:rPr>
        <w:t xml:space="preserve">unfair practices (including </w:t>
      </w:r>
      <w:r w:rsidR="00332766" w:rsidRPr="00DC5592">
        <w:rPr>
          <w:rFonts w:ascii="Cambria" w:hAnsi="Cambria"/>
        </w:rPr>
        <w:t xml:space="preserve">pricing, </w:t>
      </w:r>
      <w:r w:rsidRPr="00DC5592">
        <w:rPr>
          <w:rFonts w:ascii="Cambria" w:hAnsi="Cambria"/>
        </w:rPr>
        <w:t>false and misleading representations</w:t>
      </w:r>
      <w:r w:rsidR="008C772A">
        <w:rPr>
          <w:rFonts w:ascii="Cambria" w:hAnsi="Cambria"/>
        </w:rPr>
        <w:t>,</w:t>
      </w:r>
      <w:r w:rsidR="00332766" w:rsidRPr="00DC5592">
        <w:rPr>
          <w:rFonts w:ascii="Cambria" w:hAnsi="Cambria"/>
        </w:rPr>
        <w:t xml:space="preserve"> </w:t>
      </w:r>
      <w:r w:rsidR="008C772A">
        <w:rPr>
          <w:rFonts w:ascii="Cambria" w:hAnsi="Cambria"/>
        </w:rPr>
        <w:t>and</w:t>
      </w:r>
      <w:r w:rsidR="008C772A" w:rsidRPr="00DC5592">
        <w:rPr>
          <w:rFonts w:ascii="Cambria" w:hAnsi="Cambria"/>
        </w:rPr>
        <w:t xml:space="preserve"> </w:t>
      </w:r>
      <w:r w:rsidR="00332766" w:rsidRPr="00DC5592">
        <w:rPr>
          <w:rFonts w:ascii="Cambria" w:hAnsi="Cambria"/>
        </w:rPr>
        <w:t>harassment and coercion</w:t>
      </w:r>
      <w:r w:rsidRPr="00DC5592">
        <w:rPr>
          <w:rFonts w:ascii="Cambria" w:hAnsi="Cambria"/>
        </w:rPr>
        <w:t>) and consumer guarantees</w:t>
      </w:r>
      <w:r w:rsidR="00D620CF" w:rsidRPr="00DC5592">
        <w:rPr>
          <w:rFonts w:ascii="Cambria" w:hAnsi="Cambria"/>
        </w:rPr>
        <w:t xml:space="preserve"> relating to the supply of goods and services</w:t>
      </w:r>
      <w:r w:rsidRPr="00DC5592">
        <w:rPr>
          <w:rFonts w:ascii="Cambria" w:hAnsi="Cambria"/>
        </w:rPr>
        <w:t>.</w:t>
      </w:r>
      <w:r w:rsidR="00D620CF" w:rsidRPr="00DC5592">
        <w:rPr>
          <w:rFonts w:ascii="Cambria" w:hAnsi="Cambria"/>
        </w:rPr>
        <w:t xml:space="preserve"> The Minister may also make information standards related to goods or services of a particular kind.</w:t>
      </w:r>
      <w:r w:rsidR="00E33150">
        <w:rPr>
          <w:rFonts w:ascii="Cambria" w:hAnsi="Cambria"/>
        </w:rPr>
        <w:t xml:space="preserve"> </w:t>
      </w:r>
    </w:p>
    <w:p w14:paraId="5792BB2C" w14:textId="77777777" w:rsidR="005B6834" w:rsidRPr="00E33150" w:rsidRDefault="00755E45" w:rsidP="005B6834">
      <w:pPr>
        <w:rPr>
          <w:rFonts w:ascii="Cambria" w:hAnsi="Cambria" w:cs="Times New Roman"/>
          <w:i/>
        </w:rPr>
      </w:pPr>
      <w:r w:rsidRPr="00DC5592">
        <w:rPr>
          <w:rFonts w:ascii="Cambria" w:hAnsi="Cambria" w:cs="Times New Roman"/>
          <w:i/>
        </w:rPr>
        <w:t>T</w:t>
      </w:r>
      <w:r w:rsidR="006B57DA" w:rsidRPr="00DC5592">
        <w:rPr>
          <w:rFonts w:ascii="Cambria" w:hAnsi="Cambria" w:cs="Times New Roman"/>
          <w:i/>
        </w:rPr>
        <w:t>elecommunication</w:t>
      </w:r>
      <w:r w:rsidR="005737D3" w:rsidRPr="00DC5592">
        <w:rPr>
          <w:rFonts w:ascii="Cambria" w:hAnsi="Cambria" w:cs="Times New Roman"/>
          <w:i/>
        </w:rPr>
        <w:t>s</w:t>
      </w:r>
      <w:r w:rsidR="006B57DA" w:rsidRPr="00DC5592">
        <w:rPr>
          <w:rFonts w:ascii="Cambria" w:hAnsi="Cambria" w:cs="Times New Roman"/>
          <w:i/>
        </w:rPr>
        <w:t xml:space="preserve"> </w:t>
      </w:r>
      <w:r w:rsidRPr="00DC5592">
        <w:rPr>
          <w:rFonts w:ascii="Cambria" w:hAnsi="Cambria" w:cs="Times New Roman"/>
          <w:i/>
        </w:rPr>
        <w:t>C</w:t>
      </w:r>
      <w:r w:rsidR="006B57DA" w:rsidRPr="00DC5592">
        <w:rPr>
          <w:rFonts w:ascii="Cambria" w:hAnsi="Cambria" w:cs="Times New Roman"/>
          <w:i/>
        </w:rPr>
        <w:t xml:space="preserve">onsumer </w:t>
      </w:r>
      <w:r w:rsidRPr="00DC5592">
        <w:rPr>
          <w:rFonts w:ascii="Cambria" w:hAnsi="Cambria" w:cs="Times New Roman"/>
          <w:i/>
        </w:rPr>
        <w:t>P</w:t>
      </w:r>
      <w:r w:rsidR="006B57DA" w:rsidRPr="00DC5592">
        <w:rPr>
          <w:rFonts w:ascii="Cambria" w:hAnsi="Cambria" w:cs="Times New Roman"/>
          <w:i/>
        </w:rPr>
        <w:t>rotection</w:t>
      </w:r>
      <w:r w:rsidR="00063A61" w:rsidRPr="00DC5592">
        <w:rPr>
          <w:rFonts w:ascii="Cambria" w:hAnsi="Cambria" w:cs="Times New Roman"/>
          <w:i/>
        </w:rPr>
        <w:t>s</w:t>
      </w:r>
      <w:r w:rsidRPr="00DC5592">
        <w:rPr>
          <w:rFonts w:ascii="Cambria" w:hAnsi="Cambria" w:cs="Times New Roman"/>
          <w:i/>
        </w:rPr>
        <w:t xml:space="preserve"> </w:t>
      </w:r>
      <w:r w:rsidR="00AD16E8" w:rsidRPr="00DC5592">
        <w:rPr>
          <w:rFonts w:ascii="Cambria" w:hAnsi="Cambria" w:cs="Times New Roman"/>
          <w:i/>
        </w:rPr>
        <w:t>C</w:t>
      </w:r>
      <w:r w:rsidRPr="00DC5592">
        <w:rPr>
          <w:rFonts w:ascii="Cambria" w:hAnsi="Cambria" w:cs="Times New Roman"/>
          <w:i/>
        </w:rPr>
        <w:t>ode</w:t>
      </w:r>
      <w:r w:rsidR="00E33150">
        <w:rPr>
          <w:rFonts w:ascii="Cambria" w:hAnsi="Cambria" w:cs="Times New Roman"/>
          <w:i/>
        </w:rPr>
        <w:t xml:space="preserve">: </w:t>
      </w:r>
      <w:r w:rsidR="00B92153" w:rsidRPr="00DC5592">
        <w:rPr>
          <w:rFonts w:ascii="Cambria" w:hAnsi="Cambria" w:cs="Times New Roman"/>
        </w:rPr>
        <w:t xml:space="preserve">CSPs are expected to </w:t>
      </w:r>
      <w:r w:rsidR="00063A61" w:rsidRPr="00DC5592">
        <w:rPr>
          <w:rFonts w:ascii="Cambria" w:hAnsi="Cambria" w:cs="Times New Roman"/>
        </w:rPr>
        <w:t xml:space="preserve">adhere to </w:t>
      </w:r>
      <w:r w:rsidRPr="00DC5592">
        <w:rPr>
          <w:rFonts w:ascii="Cambria" w:hAnsi="Cambria" w:cs="Times New Roman"/>
        </w:rPr>
        <w:t>the Telecommunication</w:t>
      </w:r>
      <w:r w:rsidR="005737D3" w:rsidRPr="00DC5592">
        <w:rPr>
          <w:rFonts w:ascii="Cambria" w:hAnsi="Cambria" w:cs="Times New Roman"/>
        </w:rPr>
        <w:t>s</w:t>
      </w:r>
      <w:r w:rsidRPr="00DC5592">
        <w:rPr>
          <w:rFonts w:ascii="Cambria" w:hAnsi="Cambria" w:cs="Times New Roman"/>
        </w:rPr>
        <w:t xml:space="preserve"> Consumer Protection</w:t>
      </w:r>
      <w:r w:rsidR="00063A61" w:rsidRPr="00DC5592">
        <w:rPr>
          <w:rFonts w:ascii="Cambria" w:hAnsi="Cambria" w:cs="Times New Roman"/>
        </w:rPr>
        <w:t>s</w:t>
      </w:r>
      <w:r w:rsidRPr="00DC5592">
        <w:rPr>
          <w:rFonts w:ascii="Cambria" w:hAnsi="Cambria" w:cs="Times New Roman"/>
        </w:rPr>
        <w:t xml:space="preserve"> (TCP) Code</w:t>
      </w:r>
      <w:r w:rsidR="00B92153" w:rsidRPr="00DC5592">
        <w:rPr>
          <w:rFonts w:ascii="Cambria" w:hAnsi="Cambria" w:cs="Times New Roman"/>
        </w:rPr>
        <w:t>. The</w:t>
      </w:r>
      <w:r w:rsidRPr="00DC5592">
        <w:rPr>
          <w:rFonts w:ascii="Cambria" w:hAnsi="Cambria" w:cs="Times New Roman"/>
        </w:rPr>
        <w:t xml:space="preserve"> </w:t>
      </w:r>
      <w:r w:rsidR="00B92153" w:rsidRPr="00DC5592">
        <w:rPr>
          <w:rFonts w:ascii="Cambria" w:hAnsi="Cambria" w:cs="Times New Roman"/>
        </w:rPr>
        <w:t>TCP</w:t>
      </w:r>
      <w:r w:rsidRPr="00DC5592">
        <w:rPr>
          <w:rFonts w:ascii="Cambria" w:hAnsi="Cambria" w:cs="Times New Roman"/>
        </w:rPr>
        <w:t xml:space="preserve"> </w:t>
      </w:r>
      <w:r w:rsidR="00AD16E8" w:rsidRPr="00DC5592">
        <w:rPr>
          <w:rFonts w:ascii="Cambria" w:hAnsi="Cambria" w:cs="Times New Roman"/>
        </w:rPr>
        <w:t xml:space="preserve">Code </w:t>
      </w:r>
      <w:bookmarkStart w:id="14" w:name="_Hlk141349083"/>
      <w:r w:rsidR="00063A61" w:rsidRPr="00DC5592">
        <w:rPr>
          <w:rFonts w:ascii="Cambria" w:hAnsi="Cambria" w:cs="Times New Roman"/>
        </w:rPr>
        <w:t xml:space="preserve">provides </w:t>
      </w:r>
      <w:r w:rsidR="005B6834" w:rsidRPr="00DC5592">
        <w:rPr>
          <w:rFonts w:ascii="Cambria" w:hAnsi="Cambria" w:cs="Times New Roman"/>
        </w:rPr>
        <w:t xml:space="preserve">supplementary </w:t>
      </w:r>
      <w:r w:rsidR="00063A61" w:rsidRPr="00DC5592">
        <w:rPr>
          <w:rFonts w:ascii="Cambria" w:hAnsi="Cambria" w:cs="Times New Roman"/>
        </w:rPr>
        <w:t xml:space="preserve">consumer protections </w:t>
      </w:r>
      <w:r w:rsidR="005B6834" w:rsidRPr="00DC5592">
        <w:rPr>
          <w:rFonts w:ascii="Cambria" w:hAnsi="Cambria" w:cs="Times New Roman"/>
        </w:rPr>
        <w:t xml:space="preserve">that operate </w:t>
      </w:r>
      <w:r w:rsidRPr="00DC5592">
        <w:rPr>
          <w:rFonts w:ascii="Cambria" w:hAnsi="Cambria" w:cs="Times New Roman"/>
        </w:rPr>
        <w:t xml:space="preserve">over and above the general obligations provided in the Australian Consumer Law. </w:t>
      </w:r>
    </w:p>
    <w:p w14:paraId="5792BB2D" w14:textId="77777777" w:rsidR="00755E45" w:rsidRPr="00DC5592" w:rsidRDefault="004D2038" w:rsidP="00403993">
      <w:pPr>
        <w:rPr>
          <w:rFonts w:ascii="Cambria" w:hAnsi="Cambria" w:cs="Times New Roman"/>
        </w:rPr>
      </w:pPr>
      <w:r w:rsidRPr="00DC5592">
        <w:rPr>
          <w:rFonts w:ascii="Cambria" w:hAnsi="Cambria" w:cs="Times New Roman"/>
        </w:rPr>
        <w:t xml:space="preserve">The </w:t>
      </w:r>
      <w:r w:rsidR="00755E45" w:rsidRPr="00DC5592">
        <w:rPr>
          <w:rFonts w:ascii="Cambria" w:hAnsi="Cambria" w:cs="Times New Roman"/>
        </w:rPr>
        <w:t xml:space="preserve">protections relevant to </w:t>
      </w:r>
      <w:r w:rsidR="005B6834" w:rsidRPr="00DC5592">
        <w:rPr>
          <w:rFonts w:ascii="Cambria" w:hAnsi="Cambria" w:cs="Times New Roman"/>
        </w:rPr>
        <w:t>c</w:t>
      </w:r>
      <w:r w:rsidR="00B92153" w:rsidRPr="00DC5592">
        <w:rPr>
          <w:rFonts w:ascii="Cambria" w:hAnsi="Cambria" w:cs="Times New Roman"/>
        </w:rPr>
        <w:t xml:space="preserve">onnected </w:t>
      </w:r>
      <w:r w:rsidR="005B6834" w:rsidRPr="00DC5592">
        <w:rPr>
          <w:rFonts w:ascii="Cambria" w:hAnsi="Cambria" w:cs="Times New Roman"/>
        </w:rPr>
        <w:t xml:space="preserve">vehicle services </w:t>
      </w:r>
      <w:r w:rsidR="00B92153" w:rsidRPr="00DC5592">
        <w:rPr>
          <w:rFonts w:ascii="Cambria" w:hAnsi="Cambria" w:cs="Times New Roman"/>
        </w:rPr>
        <w:t>include</w:t>
      </w:r>
      <w:r w:rsidR="00755E45" w:rsidRPr="00DC5592">
        <w:rPr>
          <w:rFonts w:ascii="Cambria" w:hAnsi="Cambria" w:cs="Times New Roman"/>
        </w:rPr>
        <w:t xml:space="preserve"> ensuring customers </w:t>
      </w:r>
      <w:r w:rsidR="005B6834" w:rsidRPr="00DC5592">
        <w:rPr>
          <w:rFonts w:ascii="Cambria" w:hAnsi="Cambria" w:cs="Times New Roman"/>
        </w:rPr>
        <w:t>can</w:t>
      </w:r>
      <w:r w:rsidR="00755E45" w:rsidRPr="00DC5592">
        <w:rPr>
          <w:rFonts w:ascii="Cambria" w:hAnsi="Cambria" w:cs="Times New Roman"/>
        </w:rPr>
        <w:t>:</w:t>
      </w:r>
    </w:p>
    <w:p w14:paraId="5792BB2E" w14:textId="77777777" w:rsidR="00755E45" w:rsidRPr="00DC5592" w:rsidRDefault="00755E45" w:rsidP="00B537F9">
      <w:pPr>
        <w:pStyle w:val="ListParagraph"/>
        <w:numPr>
          <w:ilvl w:val="0"/>
          <w:numId w:val="46"/>
        </w:numPr>
        <w:rPr>
          <w:rFonts w:ascii="Cambria" w:hAnsi="Cambria" w:cs="Times New Roman"/>
        </w:rPr>
      </w:pPr>
      <w:r w:rsidRPr="00DC5592">
        <w:rPr>
          <w:rFonts w:ascii="Cambria" w:hAnsi="Cambria" w:cs="Times New Roman"/>
        </w:rPr>
        <w:t>understand the telecommunications service and its inclusions – by requiring the provision of a critical information summary; and</w:t>
      </w:r>
    </w:p>
    <w:p w14:paraId="5792BB2F" w14:textId="77777777" w:rsidR="00755E45" w:rsidRPr="00DC5592" w:rsidRDefault="00755E45" w:rsidP="00B537F9">
      <w:pPr>
        <w:pStyle w:val="ListParagraph"/>
        <w:numPr>
          <w:ilvl w:val="0"/>
          <w:numId w:val="46"/>
        </w:numPr>
        <w:rPr>
          <w:rFonts w:ascii="Cambria" w:hAnsi="Cambria" w:cs="Times New Roman"/>
        </w:rPr>
      </w:pPr>
      <w:r w:rsidRPr="00DC5592">
        <w:rPr>
          <w:rFonts w:ascii="Cambria" w:hAnsi="Cambria" w:cs="Times New Roman"/>
        </w:rPr>
        <w:t>understand billing and charges specific to the telecommunications product.</w:t>
      </w:r>
    </w:p>
    <w:p w14:paraId="5792BB30" w14:textId="77777777" w:rsidR="00755E45" w:rsidRPr="00DC5592" w:rsidRDefault="00755E45" w:rsidP="00755E45">
      <w:pPr>
        <w:rPr>
          <w:rFonts w:ascii="Cambria" w:hAnsi="Cambria" w:cs="Times New Roman"/>
        </w:rPr>
      </w:pPr>
      <w:r w:rsidRPr="00DC5592">
        <w:rPr>
          <w:rFonts w:ascii="Cambria" w:hAnsi="Cambria" w:cs="Times New Roman"/>
        </w:rPr>
        <w:t xml:space="preserve">The TCP Code also requires sales representatives to be appropriately trained to </w:t>
      </w:r>
      <w:r w:rsidR="00E07F4E" w:rsidRPr="00DC5592">
        <w:rPr>
          <w:rFonts w:ascii="Cambria" w:hAnsi="Cambria" w:cs="Times New Roman"/>
        </w:rPr>
        <w:t xml:space="preserve">help </w:t>
      </w:r>
      <w:r w:rsidRPr="00DC5592">
        <w:rPr>
          <w:rFonts w:ascii="Cambria" w:hAnsi="Cambria" w:cs="Times New Roman"/>
        </w:rPr>
        <w:t xml:space="preserve">consumers understand the telecommunications products they are purchasing. </w:t>
      </w:r>
    </w:p>
    <w:bookmarkEnd w:id="14"/>
    <w:p w14:paraId="5792BB31" w14:textId="77777777" w:rsidR="00755E45" w:rsidRPr="00E33150" w:rsidRDefault="00755E45" w:rsidP="00755E45">
      <w:pPr>
        <w:rPr>
          <w:rFonts w:ascii="Cambria" w:hAnsi="Cambria" w:cs="Times New Roman"/>
          <w:i/>
        </w:rPr>
      </w:pPr>
      <w:r w:rsidRPr="00DC5592">
        <w:rPr>
          <w:rFonts w:ascii="Cambria" w:hAnsi="Cambria" w:cs="Times New Roman"/>
          <w:i/>
        </w:rPr>
        <w:t>Telecommunications Industry Ombudsman scheme</w:t>
      </w:r>
      <w:r w:rsidR="00E33150">
        <w:rPr>
          <w:rFonts w:ascii="Cambria" w:hAnsi="Cambria" w:cs="Times New Roman"/>
          <w:i/>
        </w:rPr>
        <w:t xml:space="preserve">: </w:t>
      </w:r>
      <w:r w:rsidR="00DB3F51" w:rsidRPr="00DC5592">
        <w:rPr>
          <w:rFonts w:ascii="Cambria" w:hAnsi="Cambria" w:cs="Times New Roman"/>
        </w:rPr>
        <w:t>CSPs are obliged to become members of t</w:t>
      </w:r>
      <w:r w:rsidRPr="00DC5592">
        <w:rPr>
          <w:rFonts w:ascii="Cambria" w:hAnsi="Cambria" w:cs="Times New Roman"/>
        </w:rPr>
        <w:t>he Telecommunications Industry Ombudsman (TIO)</w:t>
      </w:r>
      <w:r w:rsidR="00470601" w:rsidRPr="00DC5592">
        <w:rPr>
          <w:rFonts w:ascii="Cambria" w:hAnsi="Cambria" w:cs="Times New Roman"/>
        </w:rPr>
        <w:t xml:space="preserve"> scheme. The TIO</w:t>
      </w:r>
      <w:r w:rsidRPr="00DC5592">
        <w:rPr>
          <w:rFonts w:ascii="Cambria" w:hAnsi="Cambria" w:cs="Times New Roman"/>
        </w:rPr>
        <w:t xml:space="preserve"> is the external dispute resolution body </w:t>
      </w:r>
      <w:r w:rsidR="004239D1" w:rsidRPr="00DC5592">
        <w:rPr>
          <w:rFonts w:ascii="Cambria" w:hAnsi="Cambria" w:cs="Times New Roman"/>
        </w:rPr>
        <w:t xml:space="preserve">that offers </w:t>
      </w:r>
      <w:r w:rsidRPr="00DC5592">
        <w:rPr>
          <w:rFonts w:ascii="Cambria" w:hAnsi="Cambria" w:cs="Times New Roman"/>
        </w:rPr>
        <w:t xml:space="preserve">telecommunications consumers and small businesses </w:t>
      </w:r>
      <w:r w:rsidR="00403993" w:rsidRPr="00DC5592">
        <w:rPr>
          <w:rFonts w:ascii="Cambria" w:hAnsi="Cambria" w:cs="Times New Roman"/>
        </w:rPr>
        <w:t xml:space="preserve">a pathway to have </w:t>
      </w:r>
      <w:r w:rsidR="00DC5592" w:rsidRPr="00DC5592">
        <w:rPr>
          <w:rFonts w:ascii="Cambria" w:hAnsi="Cambria" w:cs="Times New Roman"/>
        </w:rPr>
        <w:t>complaints</w:t>
      </w:r>
      <w:r w:rsidR="00403993" w:rsidRPr="00DC5592">
        <w:rPr>
          <w:rFonts w:ascii="Cambria" w:hAnsi="Cambria" w:cs="Times New Roman"/>
        </w:rPr>
        <w:t xml:space="preserve"> about their carriage service heard and resolved by an independent organisation if they cannot resolve it directly with the CSP. </w:t>
      </w:r>
      <w:r w:rsidR="009074DA" w:rsidRPr="00DC5592">
        <w:rPr>
          <w:rFonts w:ascii="Cambria" w:hAnsi="Cambria" w:cs="Times New Roman"/>
        </w:rPr>
        <w:t xml:space="preserve">The ACMA has </w:t>
      </w:r>
      <w:r w:rsidR="005B6834" w:rsidRPr="00DC5592">
        <w:rPr>
          <w:rFonts w:ascii="Cambria" w:hAnsi="Cambria" w:cs="Times New Roman"/>
        </w:rPr>
        <w:t xml:space="preserve">the </w:t>
      </w:r>
      <w:r w:rsidR="009074DA" w:rsidRPr="00DC5592">
        <w:rPr>
          <w:rFonts w:ascii="Cambria" w:hAnsi="Cambria" w:cs="Times New Roman"/>
        </w:rPr>
        <w:t xml:space="preserve">discretion to declare that a CSP is exempt from </w:t>
      </w:r>
      <w:r w:rsidR="003A3561" w:rsidRPr="00DC5592">
        <w:rPr>
          <w:rFonts w:ascii="Cambria" w:hAnsi="Cambria" w:cs="Times New Roman"/>
        </w:rPr>
        <w:t>having</w:t>
      </w:r>
      <w:r w:rsidR="009074DA" w:rsidRPr="00DC5592">
        <w:rPr>
          <w:rFonts w:ascii="Cambria" w:hAnsi="Cambria" w:cs="Times New Roman"/>
        </w:rPr>
        <w:t xml:space="preserve"> to join the TIO scheme.</w:t>
      </w:r>
      <w:r w:rsidR="009074DA" w:rsidRPr="00DC5592">
        <w:rPr>
          <w:rStyle w:val="FootnoteReference"/>
          <w:rFonts w:ascii="Cambria" w:hAnsi="Cambria" w:cs="Times New Roman"/>
        </w:rPr>
        <w:footnoteReference w:id="30"/>
      </w:r>
      <w:r w:rsidR="009074DA" w:rsidRPr="00DC5592">
        <w:rPr>
          <w:rFonts w:ascii="Cambria" w:hAnsi="Cambria" w:cs="Times New Roman"/>
        </w:rPr>
        <w:t xml:space="preserve"> </w:t>
      </w:r>
    </w:p>
    <w:p w14:paraId="5792BB32" w14:textId="69CD3B2F" w:rsidR="00535314" w:rsidRPr="00412FEE" w:rsidRDefault="00535314" w:rsidP="00535314">
      <w:pPr>
        <w:rPr>
          <w:rFonts w:ascii="Cambria" w:hAnsi="Cambria" w:cs="Times New Roman"/>
        </w:rPr>
      </w:pPr>
      <w:r w:rsidRPr="00412FEE">
        <w:rPr>
          <w:rFonts w:ascii="Cambria" w:hAnsi="Cambria" w:cs="Times New Roman"/>
        </w:rPr>
        <w:t xml:space="preserve">We are interested in whether there are advantages or disadvantages to imposing these obligations on carriage service intermediaries in the connected vehicle service delivery continuum. Is there a regulatory gap that would justify extending the application of telecommunications consumer protections to these entities beyond those found in Australian </w:t>
      </w:r>
      <w:r w:rsidR="008C772A">
        <w:rPr>
          <w:rFonts w:ascii="Cambria" w:hAnsi="Cambria" w:cs="Times New Roman"/>
        </w:rPr>
        <w:lastRenderedPageBreak/>
        <w:t>C</w:t>
      </w:r>
      <w:r w:rsidR="008C772A" w:rsidRPr="00412FEE">
        <w:rPr>
          <w:rFonts w:ascii="Cambria" w:hAnsi="Cambria" w:cs="Times New Roman"/>
        </w:rPr>
        <w:t xml:space="preserve">onsumer </w:t>
      </w:r>
      <w:r w:rsidR="008C772A">
        <w:rPr>
          <w:rFonts w:ascii="Cambria" w:hAnsi="Cambria" w:cs="Times New Roman"/>
        </w:rPr>
        <w:t>L</w:t>
      </w:r>
      <w:r w:rsidRPr="00412FEE">
        <w:rPr>
          <w:rFonts w:ascii="Cambria" w:hAnsi="Cambria" w:cs="Times New Roman"/>
        </w:rPr>
        <w:t xml:space="preserve">aw? Alternatively, is it efficient or sufficient to impose those obligations on others, like </w:t>
      </w:r>
      <w:r w:rsidR="008C772A">
        <w:rPr>
          <w:rFonts w:ascii="Cambria" w:hAnsi="Cambria" w:cs="Times New Roman"/>
        </w:rPr>
        <w:t>MNOs</w:t>
      </w:r>
      <w:r w:rsidRPr="00412FEE">
        <w:rPr>
          <w:rFonts w:ascii="Cambria" w:hAnsi="Cambria" w:cs="Times New Roman"/>
        </w:rPr>
        <w:t>?</w:t>
      </w:r>
    </w:p>
    <w:p w14:paraId="5792BB33" w14:textId="77777777" w:rsidR="00535314" w:rsidRPr="00DC5592" w:rsidRDefault="00535314" w:rsidP="00755E45">
      <w:pPr>
        <w:rPr>
          <w:rFonts w:ascii="Cambria" w:hAnsi="Cambria" w:cs="Times New Roman"/>
        </w:rPr>
      </w:pPr>
    </w:p>
    <w:p w14:paraId="5792BB34" w14:textId="77777777" w:rsidR="00755E45" w:rsidRPr="00DC5592" w:rsidRDefault="00755E45" w:rsidP="007772C4">
      <w:pPr>
        <w:keepNext/>
        <w:rPr>
          <w:rFonts w:ascii="Cambria" w:hAnsi="Cambria" w:cs="Times New Roman"/>
          <w:b/>
          <w:color w:val="1E466B" w:themeColor="accent4" w:themeShade="80"/>
        </w:rPr>
      </w:pPr>
      <w:r w:rsidRPr="00DC5592">
        <w:rPr>
          <w:rFonts w:ascii="Cambria" w:hAnsi="Cambria" w:cs="Times New Roman"/>
          <w:b/>
          <w:color w:val="1E466B" w:themeColor="accent4" w:themeShade="80"/>
        </w:rPr>
        <w:t>Security obligations</w:t>
      </w:r>
    </w:p>
    <w:p w14:paraId="5792BB35" w14:textId="77777777" w:rsidR="00755E45" w:rsidRPr="00DC5592" w:rsidRDefault="00755E45" w:rsidP="00755E45">
      <w:pPr>
        <w:rPr>
          <w:rFonts w:ascii="Cambria" w:hAnsi="Cambria" w:cs="Times New Roman"/>
          <w:i/>
        </w:rPr>
      </w:pPr>
      <w:r w:rsidRPr="00DC5592">
        <w:rPr>
          <w:rFonts w:ascii="Cambria" w:hAnsi="Cambria" w:cs="Times New Roman"/>
          <w:i/>
        </w:rPr>
        <w:t xml:space="preserve">Interception and data retention obligations </w:t>
      </w:r>
    </w:p>
    <w:p w14:paraId="5792BB36" w14:textId="77777777" w:rsidR="00755E45" w:rsidRPr="00DC5592" w:rsidRDefault="00755E45" w:rsidP="00162956">
      <w:pPr>
        <w:rPr>
          <w:rFonts w:ascii="Cambria" w:hAnsi="Cambria" w:cs="Times New Roman"/>
        </w:rPr>
      </w:pPr>
      <w:r w:rsidRPr="00DC5592">
        <w:rPr>
          <w:rFonts w:ascii="Cambria" w:hAnsi="Cambria" w:cs="Times New Roman"/>
        </w:rPr>
        <w:t xml:space="preserve">Under the </w:t>
      </w:r>
      <w:r w:rsidRPr="00DC5592">
        <w:rPr>
          <w:rFonts w:ascii="Cambria" w:hAnsi="Cambria" w:cs="Times New Roman"/>
          <w:i/>
        </w:rPr>
        <w:t>Telecommunications (Interception and Access) Act 1979</w:t>
      </w:r>
      <w:r w:rsidRPr="00DC5592">
        <w:rPr>
          <w:rFonts w:ascii="Cambria" w:hAnsi="Cambria" w:cs="Times New Roman"/>
        </w:rPr>
        <w:t>, all CSPs must</w:t>
      </w:r>
      <w:r w:rsidR="00965E7A" w:rsidRPr="00DC5592">
        <w:rPr>
          <w:rFonts w:ascii="Cambria" w:hAnsi="Cambria" w:cs="Times New Roman"/>
        </w:rPr>
        <w:t xml:space="preserve"> meet</w:t>
      </w:r>
      <w:r w:rsidR="00063A61" w:rsidRPr="00DC5592">
        <w:rPr>
          <w:rFonts w:ascii="Cambria" w:hAnsi="Cambria" w:cs="Times New Roman"/>
        </w:rPr>
        <w:t xml:space="preserve"> mandatory data retention obligations, and ensure that their services</w:t>
      </w:r>
      <w:r w:rsidRPr="00DC5592">
        <w:rPr>
          <w:rFonts w:ascii="Cambria" w:hAnsi="Cambria" w:cs="Times New Roman"/>
        </w:rPr>
        <w:t xml:space="preserve"> can be intercepted in accordance with an interception warrant</w:t>
      </w:r>
      <w:r w:rsidR="00063A61" w:rsidRPr="00DC5592">
        <w:rPr>
          <w:rFonts w:ascii="Cambria" w:hAnsi="Cambria" w:cs="Times New Roman"/>
        </w:rPr>
        <w:t>.</w:t>
      </w:r>
    </w:p>
    <w:p w14:paraId="5792BB37" w14:textId="77777777" w:rsidR="00755E45" w:rsidRPr="00DC5592" w:rsidRDefault="00755E45" w:rsidP="00755E45">
      <w:pPr>
        <w:rPr>
          <w:rFonts w:ascii="Cambria" w:hAnsi="Cambria" w:cs="Times New Roman"/>
        </w:rPr>
      </w:pPr>
      <w:r w:rsidRPr="00DC5592">
        <w:rPr>
          <w:rFonts w:ascii="Cambria" w:hAnsi="Cambria" w:cs="Times New Roman"/>
        </w:rPr>
        <w:t xml:space="preserve">The Communications Access Coordinator (CAC) in the Attorney-General’s Department can grant exemptions from these obligations. In considering exemption applications, the CAC must take into account the interests of law enforcement and national security agencies. </w:t>
      </w:r>
    </w:p>
    <w:p w14:paraId="5792BB38" w14:textId="77777777" w:rsidR="00755E45" w:rsidRPr="00DC5592" w:rsidRDefault="004945EC" w:rsidP="00755E45">
      <w:pPr>
        <w:rPr>
          <w:rFonts w:ascii="Cambria" w:hAnsi="Cambria" w:cs="Times New Roman"/>
        </w:rPr>
      </w:pPr>
      <w:r w:rsidRPr="00DC5592">
        <w:rPr>
          <w:rFonts w:ascii="Cambria" w:hAnsi="Cambria" w:cs="Times New Roman"/>
        </w:rPr>
        <w:t>I</w:t>
      </w:r>
      <w:r w:rsidR="00755E45" w:rsidRPr="00DC5592">
        <w:rPr>
          <w:rFonts w:ascii="Cambria" w:hAnsi="Cambria" w:cs="Times New Roman"/>
        </w:rPr>
        <w:t>n practice</w:t>
      </w:r>
      <w:r w:rsidRPr="00DC5592">
        <w:rPr>
          <w:rFonts w:ascii="Cambria" w:hAnsi="Cambria" w:cs="Times New Roman"/>
        </w:rPr>
        <w:t>,</w:t>
      </w:r>
      <w:r w:rsidR="00755E45" w:rsidRPr="00DC5592">
        <w:rPr>
          <w:rFonts w:ascii="Cambria" w:hAnsi="Cambria" w:cs="Times New Roman"/>
        </w:rPr>
        <w:t xml:space="preserve"> security agencies will </w:t>
      </w:r>
      <w:r w:rsidRPr="00DC5592">
        <w:rPr>
          <w:rFonts w:ascii="Cambria" w:hAnsi="Cambria" w:cs="Times New Roman"/>
        </w:rPr>
        <w:t xml:space="preserve">typically </w:t>
      </w:r>
      <w:r w:rsidR="00755E45" w:rsidRPr="00DC5592">
        <w:rPr>
          <w:rFonts w:ascii="Cambria" w:hAnsi="Cambria" w:cs="Times New Roman"/>
        </w:rPr>
        <w:t xml:space="preserve">serve interception notices to </w:t>
      </w:r>
      <w:r w:rsidR="00EE6964" w:rsidRPr="00DC5592">
        <w:rPr>
          <w:rFonts w:ascii="Cambria" w:hAnsi="Cambria" w:cs="Times New Roman"/>
        </w:rPr>
        <w:t xml:space="preserve">the </w:t>
      </w:r>
      <w:r w:rsidR="001E1F8C" w:rsidRPr="00DC5592">
        <w:rPr>
          <w:rFonts w:ascii="Cambria" w:hAnsi="Cambria" w:cs="Times New Roman"/>
        </w:rPr>
        <w:t xml:space="preserve">local </w:t>
      </w:r>
      <w:r w:rsidR="00EE6964" w:rsidRPr="00DC5592">
        <w:rPr>
          <w:rFonts w:ascii="Cambria" w:hAnsi="Cambria" w:cs="Times New Roman"/>
        </w:rPr>
        <w:t xml:space="preserve">MNOs </w:t>
      </w:r>
      <w:r w:rsidR="00755E45" w:rsidRPr="00DC5592">
        <w:rPr>
          <w:rFonts w:ascii="Cambria" w:hAnsi="Cambria" w:cs="Times New Roman"/>
        </w:rPr>
        <w:t xml:space="preserve">that provide the </w:t>
      </w:r>
      <w:r w:rsidR="004C4841" w:rsidRPr="00DC5592">
        <w:rPr>
          <w:rFonts w:ascii="Cambria" w:hAnsi="Cambria" w:cs="Times New Roman"/>
        </w:rPr>
        <w:t xml:space="preserve">mobile </w:t>
      </w:r>
      <w:r w:rsidR="00755E45" w:rsidRPr="00DC5592">
        <w:rPr>
          <w:rFonts w:ascii="Cambria" w:hAnsi="Cambria" w:cs="Times New Roman"/>
        </w:rPr>
        <w:t>infrastructure</w:t>
      </w:r>
      <w:r w:rsidR="004C4841" w:rsidRPr="00DC5592">
        <w:rPr>
          <w:rFonts w:ascii="Cambria" w:hAnsi="Cambria" w:cs="Times New Roman"/>
        </w:rPr>
        <w:t xml:space="preserve"> that connects to the connected vehicles</w:t>
      </w:r>
      <w:r w:rsidR="00755E45" w:rsidRPr="00DC5592">
        <w:rPr>
          <w:rFonts w:ascii="Cambria" w:hAnsi="Cambria" w:cs="Times New Roman"/>
        </w:rPr>
        <w:t xml:space="preserve">. </w:t>
      </w:r>
      <w:r w:rsidR="00CD7649" w:rsidRPr="00DC5592">
        <w:rPr>
          <w:rFonts w:ascii="Cambria" w:hAnsi="Cambria" w:cs="Times New Roman"/>
        </w:rPr>
        <w:t xml:space="preserve">As a vehicle will simply connect to the nearest mobile infrastructure, </w:t>
      </w:r>
      <w:r w:rsidR="00755E45" w:rsidRPr="00DC5592">
        <w:rPr>
          <w:rFonts w:ascii="Cambria" w:hAnsi="Cambria" w:cs="Times New Roman"/>
        </w:rPr>
        <w:t>it</w:t>
      </w:r>
      <w:r w:rsidR="00CD7649" w:rsidRPr="00DC5592">
        <w:rPr>
          <w:rFonts w:ascii="Cambria" w:hAnsi="Cambria" w:cs="Times New Roman"/>
        </w:rPr>
        <w:t xml:space="preserve"> becomes</w:t>
      </w:r>
      <w:r w:rsidR="00755E45" w:rsidRPr="00DC5592">
        <w:rPr>
          <w:rFonts w:ascii="Cambria" w:hAnsi="Cambria" w:cs="Times New Roman"/>
        </w:rPr>
        <w:t xml:space="preserve"> difficult for security agencies to determine which </w:t>
      </w:r>
      <w:r w:rsidR="00CD7649" w:rsidRPr="00DC5592">
        <w:rPr>
          <w:rFonts w:ascii="Cambria" w:hAnsi="Cambria" w:cs="Times New Roman"/>
        </w:rPr>
        <w:t>MNO</w:t>
      </w:r>
      <w:r w:rsidR="00755E45" w:rsidRPr="00DC5592">
        <w:rPr>
          <w:rFonts w:ascii="Cambria" w:hAnsi="Cambria" w:cs="Times New Roman"/>
        </w:rPr>
        <w:t xml:space="preserve"> to serve notice on</w:t>
      </w:r>
      <w:r w:rsidRPr="00DC5592">
        <w:rPr>
          <w:rFonts w:ascii="Cambria" w:hAnsi="Cambria" w:cs="Times New Roman"/>
        </w:rPr>
        <w:t xml:space="preserve">. This </w:t>
      </w:r>
      <w:r w:rsidR="00CD7649" w:rsidRPr="00DC5592">
        <w:rPr>
          <w:rFonts w:ascii="Cambria" w:hAnsi="Cambria" w:cs="Times New Roman"/>
        </w:rPr>
        <w:t>could</w:t>
      </w:r>
      <w:r w:rsidR="00755E45" w:rsidRPr="00DC5592">
        <w:rPr>
          <w:rFonts w:ascii="Cambria" w:hAnsi="Cambria" w:cs="Times New Roman"/>
        </w:rPr>
        <w:t xml:space="preserve"> </w:t>
      </w:r>
      <w:r w:rsidR="00CD7649" w:rsidRPr="00DC5592">
        <w:rPr>
          <w:rFonts w:ascii="Cambria" w:hAnsi="Cambria" w:cs="Times New Roman"/>
        </w:rPr>
        <w:t>require</w:t>
      </w:r>
      <w:r w:rsidR="00755E45" w:rsidRPr="00DC5592">
        <w:rPr>
          <w:rFonts w:ascii="Cambria" w:hAnsi="Cambria" w:cs="Times New Roman"/>
        </w:rPr>
        <w:t xml:space="preserve"> them to serve notice on all three</w:t>
      </w:r>
      <w:r w:rsidR="004C4841" w:rsidRPr="00DC5592">
        <w:rPr>
          <w:rFonts w:ascii="Cambria" w:hAnsi="Cambria" w:cs="Times New Roman"/>
        </w:rPr>
        <w:t xml:space="preserve"> MNOs (Telstra, Optus and TPG Telecom)</w:t>
      </w:r>
      <w:r w:rsidR="00470601" w:rsidRPr="00DC5592">
        <w:rPr>
          <w:rFonts w:ascii="Cambria" w:hAnsi="Cambria" w:cs="Times New Roman"/>
        </w:rPr>
        <w:t>, especially where the contracted provider is based overseas</w:t>
      </w:r>
      <w:r w:rsidR="00755E45" w:rsidRPr="00DC5592">
        <w:rPr>
          <w:rFonts w:ascii="Cambria" w:hAnsi="Cambria" w:cs="Times New Roman"/>
        </w:rPr>
        <w:t xml:space="preserve">. </w:t>
      </w:r>
    </w:p>
    <w:p w14:paraId="5792BB39" w14:textId="77777777" w:rsidR="001F1BEB" w:rsidRDefault="001F1BEB" w:rsidP="00755E45">
      <w:pPr>
        <w:rPr>
          <w:rFonts w:ascii="Cambria" w:hAnsi="Cambria" w:cs="Times New Roman"/>
        </w:rPr>
      </w:pPr>
      <w:r w:rsidRPr="00DC5592">
        <w:rPr>
          <w:rFonts w:ascii="Cambria" w:hAnsi="Cambria" w:cs="Times New Roman"/>
        </w:rPr>
        <w:t>CSPs are also required to provide notification of critical cyber security incidents as they become aware of them.</w:t>
      </w:r>
      <w:r w:rsidRPr="00DC5592">
        <w:rPr>
          <w:rStyle w:val="FootnoteReference"/>
          <w:rFonts w:ascii="Cambria" w:hAnsi="Cambria" w:cs="Times New Roman"/>
        </w:rPr>
        <w:footnoteReference w:id="31"/>
      </w:r>
    </w:p>
    <w:p w14:paraId="5792BB3A" w14:textId="01645CFC" w:rsidR="008E4990" w:rsidRPr="00DC5592" w:rsidRDefault="008E4990" w:rsidP="00755E45">
      <w:pPr>
        <w:rPr>
          <w:rFonts w:ascii="Cambria" w:hAnsi="Cambria" w:cs="Times New Roman"/>
        </w:rPr>
      </w:pPr>
      <w:r>
        <w:rPr>
          <w:rFonts w:ascii="Cambria" w:hAnsi="Cambria" w:cs="Times New Roman"/>
        </w:rPr>
        <w:t>We are int</w:t>
      </w:r>
      <w:r w:rsidR="0047035E">
        <w:rPr>
          <w:rFonts w:ascii="Cambria" w:hAnsi="Cambria" w:cs="Times New Roman"/>
        </w:rPr>
        <w:t>er</w:t>
      </w:r>
      <w:r>
        <w:rPr>
          <w:rFonts w:ascii="Cambria" w:hAnsi="Cambria" w:cs="Times New Roman"/>
        </w:rPr>
        <w:t xml:space="preserve">ested in views from stakeholders as to whether there are advantages or disadvantages </w:t>
      </w:r>
      <w:r w:rsidR="0047035E">
        <w:rPr>
          <w:rFonts w:ascii="Cambria" w:hAnsi="Cambria" w:cs="Times New Roman"/>
        </w:rPr>
        <w:t>in</w:t>
      </w:r>
      <w:r>
        <w:rPr>
          <w:rFonts w:ascii="Cambria" w:hAnsi="Cambria" w:cs="Times New Roman"/>
        </w:rPr>
        <w:t xml:space="preserve"> applying </w:t>
      </w:r>
      <w:r w:rsidR="0047035E">
        <w:rPr>
          <w:rFonts w:ascii="Cambria" w:hAnsi="Cambria" w:cs="Times New Roman"/>
        </w:rPr>
        <w:t xml:space="preserve">the </w:t>
      </w:r>
      <w:r>
        <w:rPr>
          <w:rFonts w:ascii="Cambria" w:hAnsi="Cambria" w:cs="Times New Roman"/>
        </w:rPr>
        <w:t xml:space="preserve">interception and data retention obligations to carriage service intermediaries </w:t>
      </w:r>
      <w:r w:rsidR="00753660">
        <w:rPr>
          <w:rFonts w:ascii="Cambria" w:hAnsi="Cambria" w:cs="Times New Roman"/>
        </w:rPr>
        <w:t xml:space="preserve">in the connected vehicle service delivery continuum. Is there an information or regulatory gap that would justify extending the application </w:t>
      </w:r>
      <w:r w:rsidR="0047035E">
        <w:rPr>
          <w:rFonts w:ascii="Cambria" w:hAnsi="Cambria" w:cs="Times New Roman"/>
        </w:rPr>
        <w:t xml:space="preserve">of </w:t>
      </w:r>
      <w:r w:rsidR="00753660">
        <w:rPr>
          <w:rFonts w:ascii="Cambria" w:hAnsi="Cambria" w:cs="Times New Roman"/>
        </w:rPr>
        <w:t xml:space="preserve">those obligations to </w:t>
      </w:r>
      <w:r w:rsidR="0047035E">
        <w:rPr>
          <w:rFonts w:ascii="Cambria" w:hAnsi="Cambria" w:cs="Times New Roman"/>
        </w:rPr>
        <w:t>these</w:t>
      </w:r>
      <w:r w:rsidR="00753660">
        <w:rPr>
          <w:rFonts w:ascii="Cambria" w:hAnsi="Cambria" w:cs="Times New Roman"/>
        </w:rPr>
        <w:t xml:space="preserve"> entities</w:t>
      </w:r>
      <w:r w:rsidR="0047035E">
        <w:rPr>
          <w:rFonts w:ascii="Cambria" w:hAnsi="Cambria" w:cs="Times New Roman"/>
        </w:rPr>
        <w:t>?</w:t>
      </w:r>
      <w:r w:rsidR="00753660">
        <w:rPr>
          <w:rFonts w:ascii="Cambria" w:hAnsi="Cambria" w:cs="Times New Roman"/>
        </w:rPr>
        <w:t xml:space="preserve"> Alternatively, is it efficient or sufficient to impose those obligations on others, like </w:t>
      </w:r>
      <w:r w:rsidR="008C772A">
        <w:rPr>
          <w:rFonts w:ascii="Cambria" w:hAnsi="Cambria" w:cs="Times New Roman"/>
        </w:rPr>
        <w:t>MNOs</w:t>
      </w:r>
      <w:r w:rsidR="00753660">
        <w:rPr>
          <w:rFonts w:ascii="Cambria" w:hAnsi="Cambria" w:cs="Times New Roman"/>
        </w:rPr>
        <w:t>?</w:t>
      </w:r>
    </w:p>
    <w:p w14:paraId="5792BB3B" w14:textId="77777777" w:rsidR="00755E45" w:rsidRPr="00DC5592" w:rsidRDefault="00755E45" w:rsidP="00755E45">
      <w:pPr>
        <w:rPr>
          <w:rFonts w:ascii="Cambria" w:hAnsi="Cambria" w:cs="Times New Roman"/>
          <w:i/>
        </w:rPr>
      </w:pPr>
      <w:r w:rsidRPr="00DC5592">
        <w:rPr>
          <w:rFonts w:ascii="Cambria" w:hAnsi="Cambria" w:cs="Times New Roman"/>
          <w:i/>
        </w:rPr>
        <w:t>Network security and assistance obligations</w:t>
      </w:r>
    </w:p>
    <w:p w14:paraId="5792BB3C" w14:textId="77777777" w:rsidR="00755E45" w:rsidRPr="00DC5592" w:rsidRDefault="009074DA" w:rsidP="00755E45">
      <w:pPr>
        <w:rPr>
          <w:rFonts w:ascii="Cambria" w:hAnsi="Cambria" w:cs="Times New Roman"/>
        </w:rPr>
      </w:pPr>
      <w:r w:rsidRPr="00DC5592">
        <w:rPr>
          <w:rFonts w:ascii="Cambria" w:hAnsi="Cambria" w:cs="Times New Roman"/>
        </w:rPr>
        <w:t xml:space="preserve">CSPs </w:t>
      </w:r>
      <w:r w:rsidR="004C4841" w:rsidRPr="00DC5592">
        <w:rPr>
          <w:rFonts w:ascii="Cambria" w:hAnsi="Cambria" w:cs="Times New Roman"/>
        </w:rPr>
        <w:t xml:space="preserve">are required </w:t>
      </w:r>
      <w:r w:rsidR="00755E45" w:rsidRPr="00DC5592">
        <w:rPr>
          <w:rFonts w:ascii="Cambria" w:hAnsi="Cambria" w:cs="Times New Roman"/>
        </w:rPr>
        <w:t>to do their best to prevent telecommunications networks and facilities from being used to commit offences</w:t>
      </w:r>
      <w:r w:rsidR="00D60C3F" w:rsidRPr="00DC5592">
        <w:rPr>
          <w:rFonts w:ascii="Cambria" w:hAnsi="Cambria" w:cs="Times New Roman"/>
        </w:rPr>
        <w:t xml:space="preserve">, </w:t>
      </w:r>
      <w:r w:rsidRPr="00DC5592">
        <w:rPr>
          <w:rFonts w:ascii="Cambria" w:hAnsi="Cambria" w:cs="Times New Roman"/>
        </w:rPr>
        <w:t>and to do</w:t>
      </w:r>
      <w:r w:rsidR="00D60C3F" w:rsidRPr="00DC5592">
        <w:rPr>
          <w:rFonts w:ascii="Cambria" w:hAnsi="Cambria" w:cs="Times New Roman"/>
        </w:rPr>
        <w:t xml:space="preserve"> their </w:t>
      </w:r>
      <w:r w:rsidR="00D60C3F" w:rsidRPr="00DC5592">
        <w:rPr>
          <w:rFonts w:ascii="Cambria" w:hAnsi="Cambria"/>
          <w:color w:val="000000"/>
          <w:shd w:val="clear" w:color="auto" w:fill="FFFFFF"/>
        </w:rPr>
        <w:t xml:space="preserve">best to protect telecommunications networks and facilities owned, operated or used by a carrier or </w:t>
      </w:r>
      <w:r w:rsidR="00E07F4E" w:rsidRPr="00DC5592">
        <w:rPr>
          <w:rFonts w:ascii="Cambria" w:hAnsi="Cambria"/>
          <w:color w:val="000000"/>
          <w:shd w:val="clear" w:color="auto" w:fill="FFFFFF"/>
        </w:rPr>
        <w:t>CSP</w:t>
      </w:r>
      <w:r w:rsidR="00D60C3F" w:rsidRPr="00DC5592">
        <w:rPr>
          <w:rFonts w:ascii="Cambria" w:hAnsi="Cambria"/>
          <w:color w:val="000000"/>
          <w:shd w:val="clear" w:color="auto" w:fill="FFFFFF"/>
        </w:rPr>
        <w:t xml:space="preserve"> from unauthorised interference or unauthorised access</w:t>
      </w:r>
      <w:r w:rsidR="00755E45" w:rsidRPr="00DC5592">
        <w:rPr>
          <w:rFonts w:ascii="Cambria" w:hAnsi="Cambria" w:cs="Times New Roman"/>
        </w:rPr>
        <w:t>.</w:t>
      </w:r>
      <w:r w:rsidR="004C4841" w:rsidRPr="00DC5592">
        <w:rPr>
          <w:rStyle w:val="FootnoteReference"/>
          <w:rFonts w:ascii="Cambria" w:hAnsi="Cambria" w:cs="Times New Roman"/>
        </w:rPr>
        <w:footnoteReference w:id="32"/>
      </w:r>
    </w:p>
    <w:p w14:paraId="5792BB3D" w14:textId="77777777" w:rsidR="00755E45" w:rsidRDefault="00976AF4" w:rsidP="00755E45">
      <w:pPr>
        <w:rPr>
          <w:rFonts w:ascii="Cambria" w:hAnsi="Cambria" w:cs="Times New Roman"/>
        </w:rPr>
      </w:pPr>
      <w:r w:rsidRPr="00DC5592">
        <w:rPr>
          <w:rFonts w:ascii="Cambria" w:hAnsi="Cambria" w:cs="Times New Roman"/>
        </w:rPr>
        <w:t>CSPs must also</w:t>
      </w:r>
      <w:r w:rsidR="00755E45" w:rsidRPr="00DC5592">
        <w:rPr>
          <w:rFonts w:ascii="Cambria" w:hAnsi="Cambria" w:cs="Times New Roman"/>
        </w:rPr>
        <w:t xml:space="preserve"> provide such help as is reasonably necessary to officers and authorities of the Commonwealth and the States and Territories in relation to </w:t>
      </w:r>
      <w:r w:rsidRPr="00DC5592">
        <w:rPr>
          <w:rFonts w:ascii="Cambria" w:hAnsi="Cambria" w:cs="Times New Roman"/>
        </w:rPr>
        <w:t xml:space="preserve">the </w:t>
      </w:r>
      <w:r w:rsidR="00755E45" w:rsidRPr="00DC5592">
        <w:rPr>
          <w:rFonts w:ascii="Cambria" w:hAnsi="Cambria" w:cs="Times New Roman"/>
        </w:rPr>
        <w:t>enforcement of criminal law and pecuniary penalties, safeguarding n</w:t>
      </w:r>
      <w:r w:rsidR="00753660">
        <w:rPr>
          <w:rFonts w:ascii="Cambria" w:hAnsi="Cambria" w:cs="Times New Roman"/>
        </w:rPr>
        <w:t>a</w:t>
      </w:r>
      <w:r w:rsidR="00755E45" w:rsidRPr="00DC5592">
        <w:rPr>
          <w:rFonts w:ascii="Cambria" w:hAnsi="Cambria" w:cs="Times New Roman"/>
        </w:rPr>
        <w:t>tional security, protecting public revenue and nationally declared emergencies.</w:t>
      </w:r>
      <w:r w:rsidRPr="00DC5592">
        <w:rPr>
          <w:rStyle w:val="FootnoteReference"/>
          <w:rFonts w:ascii="Cambria" w:hAnsi="Cambria" w:cs="Times New Roman"/>
        </w:rPr>
        <w:footnoteReference w:id="33"/>
      </w:r>
      <w:r w:rsidR="00755E45" w:rsidRPr="00DC5592">
        <w:rPr>
          <w:rFonts w:ascii="Cambria" w:hAnsi="Cambria" w:cs="Times New Roman"/>
        </w:rPr>
        <w:t xml:space="preserve"> </w:t>
      </w:r>
    </w:p>
    <w:p w14:paraId="5792BB3E" w14:textId="024FDA09" w:rsidR="00753660" w:rsidRPr="00DC5592" w:rsidRDefault="00753660" w:rsidP="00755E45">
      <w:pPr>
        <w:rPr>
          <w:rFonts w:ascii="Cambria" w:hAnsi="Cambria" w:cs="Times New Roman"/>
        </w:rPr>
      </w:pPr>
      <w:r>
        <w:rPr>
          <w:rFonts w:ascii="Cambria" w:hAnsi="Cambria" w:cs="Times New Roman"/>
        </w:rPr>
        <w:t xml:space="preserve">We are interested in whether there are advantages </w:t>
      </w:r>
      <w:r w:rsidR="0047035E">
        <w:rPr>
          <w:rFonts w:ascii="Cambria" w:hAnsi="Cambria" w:cs="Times New Roman"/>
        </w:rPr>
        <w:t>or</w:t>
      </w:r>
      <w:r>
        <w:rPr>
          <w:rFonts w:ascii="Cambria" w:hAnsi="Cambria" w:cs="Times New Roman"/>
        </w:rPr>
        <w:t xml:space="preserve"> disadvantages to imposing these obligations on carriage service intermediaries in the connected vehicle service delivery continuum. </w:t>
      </w:r>
      <w:r w:rsidR="0047035E">
        <w:rPr>
          <w:rFonts w:ascii="Cambria" w:hAnsi="Cambria" w:cs="Times New Roman"/>
        </w:rPr>
        <w:t>I</w:t>
      </w:r>
      <w:r>
        <w:rPr>
          <w:rFonts w:ascii="Cambria" w:hAnsi="Cambria" w:cs="Times New Roman"/>
        </w:rPr>
        <w:t>s there a regulatory</w:t>
      </w:r>
      <w:r w:rsidR="0047035E">
        <w:rPr>
          <w:rFonts w:ascii="Cambria" w:hAnsi="Cambria" w:cs="Times New Roman"/>
        </w:rPr>
        <w:t xml:space="preserve"> or information</w:t>
      </w:r>
      <w:r>
        <w:rPr>
          <w:rFonts w:ascii="Cambria" w:hAnsi="Cambria" w:cs="Times New Roman"/>
        </w:rPr>
        <w:t xml:space="preserve"> gap that would justify extending the application</w:t>
      </w:r>
      <w:r w:rsidR="0047035E">
        <w:rPr>
          <w:rFonts w:ascii="Cambria" w:hAnsi="Cambria" w:cs="Times New Roman"/>
        </w:rPr>
        <w:t xml:space="preserve"> of</w:t>
      </w:r>
      <w:r>
        <w:rPr>
          <w:rFonts w:ascii="Cambria" w:hAnsi="Cambria" w:cs="Times New Roman"/>
        </w:rPr>
        <w:t xml:space="preserve"> </w:t>
      </w:r>
      <w:r w:rsidR="0047035E">
        <w:rPr>
          <w:rFonts w:ascii="Cambria" w:hAnsi="Cambria" w:cs="Times New Roman"/>
        </w:rPr>
        <w:t>the network security and assistance</w:t>
      </w:r>
      <w:r>
        <w:rPr>
          <w:rFonts w:ascii="Cambria" w:hAnsi="Cambria" w:cs="Times New Roman"/>
        </w:rPr>
        <w:t xml:space="preserve"> obligations to </w:t>
      </w:r>
      <w:r w:rsidR="0047035E">
        <w:rPr>
          <w:rFonts w:ascii="Cambria" w:hAnsi="Cambria" w:cs="Times New Roman"/>
        </w:rPr>
        <w:t>these</w:t>
      </w:r>
      <w:r>
        <w:rPr>
          <w:rFonts w:ascii="Cambria" w:hAnsi="Cambria" w:cs="Times New Roman"/>
        </w:rPr>
        <w:t xml:space="preserve"> entities? Alternatively, is it efficient or sufficient to impose those obligations on others, like </w:t>
      </w:r>
      <w:r w:rsidR="008C772A">
        <w:rPr>
          <w:rFonts w:ascii="Cambria" w:hAnsi="Cambria" w:cs="Times New Roman"/>
        </w:rPr>
        <w:t>MNOs</w:t>
      </w:r>
      <w:r>
        <w:rPr>
          <w:rFonts w:ascii="Cambria" w:hAnsi="Cambria" w:cs="Times New Roman"/>
        </w:rPr>
        <w:t>?</w:t>
      </w:r>
    </w:p>
    <w:p w14:paraId="5792BB3F" w14:textId="77777777" w:rsidR="00755E45" w:rsidRPr="00DC5592" w:rsidRDefault="00755E45" w:rsidP="00E33150">
      <w:pPr>
        <w:keepNext/>
        <w:rPr>
          <w:rFonts w:ascii="Cambria" w:hAnsi="Cambria" w:cs="Times New Roman"/>
          <w:i/>
        </w:rPr>
      </w:pPr>
      <w:r w:rsidRPr="00DC5592">
        <w:rPr>
          <w:rFonts w:ascii="Cambria" w:hAnsi="Cambria" w:cs="Times New Roman"/>
          <w:i/>
        </w:rPr>
        <w:lastRenderedPageBreak/>
        <w:t>Information gathering powers of the ACMA</w:t>
      </w:r>
    </w:p>
    <w:p w14:paraId="5792BB40" w14:textId="77777777" w:rsidR="00755E45" w:rsidRPr="00DC5592" w:rsidRDefault="00755E45" w:rsidP="00755E45">
      <w:pPr>
        <w:rPr>
          <w:rFonts w:ascii="Cambria" w:hAnsi="Cambria" w:cs="Times New Roman"/>
        </w:rPr>
      </w:pPr>
      <w:r w:rsidRPr="00DC5592">
        <w:rPr>
          <w:rFonts w:ascii="Cambria" w:hAnsi="Cambria" w:cs="Times New Roman"/>
        </w:rPr>
        <w:t xml:space="preserve">Information gathering powers are necessary for the ACMA to exercise its functions </w:t>
      </w:r>
      <w:r w:rsidR="006B57DA" w:rsidRPr="00DC5592">
        <w:rPr>
          <w:rFonts w:ascii="Cambria" w:hAnsi="Cambria" w:cs="Times New Roman"/>
        </w:rPr>
        <w:t>and</w:t>
      </w:r>
      <w:r w:rsidRPr="00DC5592">
        <w:rPr>
          <w:rFonts w:ascii="Cambria" w:hAnsi="Cambria" w:cs="Times New Roman"/>
        </w:rPr>
        <w:t xml:space="preserve"> powers. CSPs are obliged to comply with</w:t>
      </w:r>
      <w:r w:rsidR="004C4841" w:rsidRPr="00DC5592">
        <w:rPr>
          <w:rFonts w:ascii="Cambria" w:hAnsi="Cambria" w:cs="Times New Roman"/>
        </w:rPr>
        <w:t xml:space="preserve"> a number of </w:t>
      </w:r>
      <w:proofErr w:type="gramStart"/>
      <w:r w:rsidR="004C4841" w:rsidRPr="00DC5592">
        <w:rPr>
          <w:rFonts w:ascii="Cambria" w:hAnsi="Cambria" w:cs="Times New Roman"/>
        </w:rPr>
        <w:t>record</w:t>
      </w:r>
      <w:proofErr w:type="gramEnd"/>
      <w:r w:rsidR="004C4841" w:rsidRPr="00DC5592">
        <w:rPr>
          <w:rFonts w:ascii="Cambria" w:hAnsi="Cambria" w:cs="Times New Roman"/>
        </w:rPr>
        <w:t xml:space="preserve"> keeping obligations</w:t>
      </w:r>
      <w:r w:rsidRPr="00DC5592">
        <w:rPr>
          <w:rFonts w:ascii="Cambria" w:hAnsi="Cambria" w:cs="Times New Roman"/>
        </w:rPr>
        <w:t xml:space="preserve">. The following thresholds apply to those obligations: </w:t>
      </w:r>
    </w:p>
    <w:p w14:paraId="5792BB41" w14:textId="77777777" w:rsidR="00755E45" w:rsidRPr="00DC5592" w:rsidRDefault="00755E45" w:rsidP="007772C4">
      <w:pPr>
        <w:pStyle w:val="ListParagraph"/>
        <w:numPr>
          <w:ilvl w:val="0"/>
          <w:numId w:val="47"/>
        </w:numPr>
        <w:rPr>
          <w:rFonts w:ascii="Cambria" w:hAnsi="Cambria" w:cs="Times New Roman"/>
        </w:rPr>
      </w:pPr>
      <w:r w:rsidRPr="00DC5592">
        <w:rPr>
          <w:rFonts w:ascii="Cambria" w:hAnsi="Cambria" w:cs="Times New Roman"/>
        </w:rPr>
        <w:t>Telecommunications (Consumer Complaints) Record-Keeping Rules 2018 – rules only apply to providers with a minimum of 30,000 services in operation; and</w:t>
      </w:r>
    </w:p>
    <w:p w14:paraId="5792BB42" w14:textId="77777777" w:rsidR="00755E45" w:rsidRDefault="00755E45" w:rsidP="007772C4">
      <w:pPr>
        <w:pStyle w:val="ListParagraph"/>
        <w:numPr>
          <w:ilvl w:val="0"/>
          <w:numId w:val="47"/>
        </w:numPr>
        <w:rPr>
          <w:rFonts w:ascii="Cambria" w:hAnsi="Cambria" w:cs="Times New Roman"/>
        </w:rPr>
      </w:pPr>
      <w:r w:rsidRPr="00DC5592">
        <w:rPr>
          <w:rFonts w:ascii="Cambria" w:hAnsi="Cambria" w:cs="Times New Roman"/>
        </w:rPr>
        <w:t>Telecommunications (Customer Service Guarantee) Record-Keeping Rules 2011 – rules only apply to providers with a minimum of 100,000 C</w:t>
      </w:r>
      <w:r w:rsidR="00A84292" w:rsidRPr="00DC5592">
        <w:rPr>
          <w:rFonts w:ascii="Cambria" w:hAnsi="Cambria" w:cs="Times New Roman"/>
        </w:rPr>
        <w:t xml:space="preserve">ustomer </w:t>
      </w:r>
      <w:r w:rsidRPr="00DC5592">
        <w:rPr>
          <w:rFonts w:ascii="Cambria" w:hAnsi="Cambria" w:cs="Times New Roman"/>
        </w:rPr>
        <w:t>S</w:t>
      </w:r>
      <w:r w:rsidR="00A84292" w:rsidRPr="00DC5592">
        <w:rPr>
          <w:rFonts w:ascii="Cambria" w:hAnsi="Cambria" w:cs="Times New Roman"/>
        </w:rPr>
        <w:t xml:space="preserve">ervice </w:t>
      </w:r>
      <w:r w:rsidRPr="00DC5592">
        <w:rPr>
          <w:rFonts w:ascii="Cambria" w:hAnsi="Cambria" w:cs="Times New Roman"/>
        </w:rPr>
        <w:t>G</w:t>
      </w:r>
      <w:r w:rsidR="00A84292" w:rsidRPr="00DC5592">
        <w:rPr>
          <w:rFonts w:ascii="Cambria" w:hAnsi="Cambria" w:cs="Times New Roman"/>
        </w:rPr>
        <w:t>uarantee</w:t>
      </w:r>
      <w:r w:rsidRPr="00DC5592">
        <w:rPr>
          <w:rFonts w:ascii="Cambria" w:hAnsi="Cambria" w:cs="Times New Roman"/>
        </w:rPr>
        <w:t xml:space="preserve"> services.</w:t>
      </w:r>
      <w:r w:rsidR="001528BF" w:rsidRPr="00DC5592">
        <w:rPr>
          <w:rStyle w:val="FootnoteReference"/>
          <w:rFonts w:ascii="Cambria" w:hAnsi="Cambria" w:cs="Times New Roman"/>
        </w:rPr>
        <w:footnoteReference w:id="34"/>
      </w:r>
    </w:p>
    <w:p w14:paraId="5792BB43" w14:textId="4C6C3E5F" w:rsidR="00E33150" w:rsidRPr="00E33150" w:rsidRDefault="208B7628" w:rsidP="208B7628">
      <w:pPr>
        <w:rPr>
          <w:rFonts w:ascii="Cambria" w:hAnsi="Cambria" w:cs="Times New Roman"/>
        </w:rPr>
      </w:pPr>
      <w:r w:rsidRPr="208B7628">
        <w:rPr>
          <w:rFonts w:ascii="Cambria" w:hAnsi="Cambria" w:cs="Times New Roman"/>
        </w:rPr>
        <w:t xml:space="preserve">We are interested in whether there are potential </w:t>
      </w:r>
      <w:r w:rsidR="008C772A">
        <w:rPr>
          <w:rFonts w:ascii="Cambria" w:hAnsi="Cambria" w:cs="Times New Roman"/>
        </w:rPr>
        <w:t>advantages</w:t>
      </w:r>
      <w:r w:rsidR="008C772A" w:rsidRPr="208B7628">
        <w:rPr>
          <w:rFonts w:ascii="Cambria" w:hAnsi="Cambria" w:cs="Times New Roman"/>
        </w:rPr>
        <w:t xml:space="preserve"> </w:t>
      </w:r>
      <w:r w:rsidRPr="208B7628">
        <w:rPr>
          <w:rFonts w:ascii="Cambria" w:hAnsi="Cambria" w:cs="Times New Roman"/>
        </w:rPr>
        <w:t xml:space="preserve">from the ACMA information gathering powers applying to providers in the connected vehicle service delivery continuum, or whether the potential regulatory burden outweighs the benefits. </w:t>
      </w:r>
    </w:p>
    <w:p w14:paraId="5792BB44" w14:textId="77777777" w:rsidR="00755E45" w:rsidRPr="00DC5592" w:rsidRDefault="00755E45" w:rsidP="00755E45">
      <w:pPr>
        <w:rPr>
          <w:rFonts w:ascii="Cambria" w:hAnsi="Cambria" w:cs="Times New Roman"/>
          <w:b/>
          <w:color w:val="1E466B" w:themeColor="accent4" w:themeShade="80"/>
        </w:rPr>
      </w:pPr>
      <w:r w:rsidRPr="00DC5592">
        <w:rPr>
          <w:rFonts w:ascii="Cambria" w:hAnsi="Cambria" w:cs="Times New Roman"/>
          <w:b/>
          <w:color w:val="1E466B" w:themeColor="accent4" w:themeShade="80"/>
        </w:rPr>
        <w:t xml:space="preserve">Technical obligations </w:t>
      </w:r>
    </w:p>
    <w:p w14:paraId="5792BB45" w14:textId="6FA1A334" w:rsidR="00755E45" w:rsidRPr="00DC5592" w:rsidRDefault="00755E45" w:rsidP="00755E45">
      <w:pPr>
        <w:rPr>
          <w:rFonts w:ascii="Cambria" w:hAnsi="Cambria" w:cs="Times New Roman"/>
        </w:rPr>
      </w:pPr>
      <w:r w:rsidRPr="00DC5592">
        <w:rPr>
          <w:rFonts w:ascii="Cambria" w:hAnsi="Cambria" w:cs="Times New Roman"/>
        </w:rPr>
        <w:t>There are</w:t>
      </w:r>
      <w:r w:rsidR="00470601" w:rsidRPr="00DC5592">
        <w:rPr>
          <w:rFonts w:ascii="Cambria" w:hAnsi="Cambria" w:cs="Times New Roman"/>
        </w:rPr>
        <w:t xml:space="preserve"> also</w:t>
      </w:r>
      <w:r w:rsidRPr="00DC5592">
        <w:rPr>
          <w:rFonts w:ascii="Cambria" w:hAnsi="Cambria" w:cs="Times New Roman"/>
        </w:rPr>
        <w:t xml:space="preserve"> a number of obligations in the </w:t>
      </w:r>
      <w:r w:rsidR="0075622F" w:rsidRPr="00DC5592">
        <w:rPr>
          <w:rFonts w:ascii="Cambria" w:hAnsi="Cambria" w:cs="Times New Roman"/>
        </w:rPr>
        <w:t xml:space="preserve">Tel </w:t>
      </w:r>
      <w:r w:rsidRPr="00DC5592">
        <w:rPr>
          <w:rFonts w:ascii="Cambria" w:hAnsi="Cambria" w:cs="Times New Roman"/>
        </w:rPr>
        <w:t xml:space="preserve">Act of a technical nature, which are largely not relevant </w:t>
      </w:r>
      <w:r w:rsidR="008C772A">
        <w:rPr>
          <w:rFonts w:ascii="Cambria" w:hAnsi="Cambria" w:cs="Times New Roman"/>
        </w:rPr>
        <w:t>to</w:t>
      </w:r>
      <w:r w:rsidR="008C772A" w:rsidRPr="00DC5592">
        <w:rPr>
          <w:rFonts w:ascii="Cambria" w:hAnsi="Cambria" w:cs="Times New Roman"/>
        </w:rPr>
        <w:t xml:space="preserve"> </w:t>
      </w:r>
      <w:r w:rsidR="00470601" w:rsidRPr="00DC5592">
        <w:rPr>
          <w:rFonts w:ascii="Cambria" w:hAnsi="Cambria" w:cs="Times New Roman"/>
        </w:rPr>
        <w:t>connected vehicles</w:t>
      </w:r>
      <w:r w:rsidRPr="00DC5592">
        <w:rPr>
          <w:rFonts w:ascii="Cambria" w:hAnsi="Cambria" w:cs="Times New Roman"/>
        </w:rPr>
        <w:t xml:space="preserve"> </w:t>
      </w:r>
      <w:r w:rsidR="00470601" w:rsidRPr="00DC5592">
        <w:rPr>
          <w:rFonts w:ascii="Cambria" w:hAnsi="Cambria" w:cs="Times New Roman"/>
        </w:rPr>
        <w:t>presently</w:t>
      </w:r>
      <w:r w:rsidRPr="00DC5592">
        <w:rPr>
          <w:rFonts w:ascii="Cambria" w:hAnsi="Cambria" w:cs="Times New Roman"/>
        </w:rPr>
        <w:t xml:space="preserve">. These are listed for completeness: </w:t>
      </w:r>
    </w:p>
    <w:p w14:paraId="5792BB46" w14:textId="5EEA27BE" w:rsidR="00755E45" w:rsidRPr="00DC5592" w:rsidRDefault="00755E45" w:rsidP="00755E45">
      <w:pPr>
        <w:pStyle w:val="ListParagraph"/>
        <w:numPr>
          <w:ilvl w:val="0"/>
          <w:numId w:val="46"/>
        </w:numPr>
        <w:rPr>
          <w:rFonts w:ascii="Cambria" w:hAnsi="Cambria" w:cs="Times New Roman"/>
        </w:rPr>
      </w:pPr>
      <w:r w:rsidRPr="00DC5592">
        <w:rPr>
          <w:rFonts w:ascii="Cambria" w:hAnsi="Cambria" w:cs="Times New Roman"/>
        </w:rPr>
        <w:t>Integrated Public Number Database</w:t>
      </w:r>
      <w:r w:rsidR="008C772A">
        <w:rPr>
          <w:rFonts w:ascii="Cambria" w:hAnsi="Cambria" w:cs="Times New Roman"/>
        </w:rPr>
        <w:t xml:space="preserve"> (IPND)</w:t>
      </w:r>
      <w:r w:rsidRPr="00DC5592">
        <w:rPr>
          <w:rFonts w:ascii="Cambria" w:hAnsi="Cambria" w:cs="Times New Roman"/>
        </w:rPr>
        <w:t>: CSPs that supply a carriage service to an end user with a public number must provide the public number customer data to the IPND Manager.</w:t>
      </w:r>
    </w:p>
    <w:p w14:paraId="5792BB47" w14:textId="77777777" w:rsidR="00755E45" w:rsidRPr="00DC5592" w:rsidRDefault="00755E45" w:rsidP="00755E45">
      <w:pPr>
        <w:pStyle w:val="ListParagraph"/>
        <w:numPr>
          <w:ilvl w:val="0"/>
          <w:numId w:val="46"/>
        </w:numPr>
        <w:rPr>
          <w:rFonts w:ascii="Cambria" w:hAnsi="Cambria" w:cs="Times New Roman"/>
        </w:rPr>
      </w:pPr>
      <w:r w:rsidRPr="00DC5592">
        <w:rPr>
          <w:rFonts w:ascii="Cambria" w:hAnsi="Cambria" w:cs="Times New Roman"/>
        </w:rPr>
        <w:t>The Numbering Plan: Sets out all the numbers that can be used to supply carriage services to the public and outlines rules for the use of public, and some non-public, numbers.</w:t>
      </w:r>
    </w:p>
    <w:p w14:paraId="5792BB48" w14:textId="77777777" w:rsidR="00755E45" w:rsidRPr="00DC5592" w:rsidRDefault="00755E45" w:rsidP="00755E45">
      <w:pPr>
        <w:pStyle w:val="ListParagraph"/>
        <w:numPr>
          <w:ilvl w:val="0"/>
          <w:numId w:val="46"/>
        </w:numPr>
        <w:rPr>
          <w:rFonts w:ascii="Cambria" w:hAnsi="Cambria" w:cs="Times New Roman"/>
        </w:rPr>
      </w:pPr>
      <w:r w:rsidRPr="00DC5592">
        <w:rPr>
          <w:rFonts w:ascii="Cambria" w:hAnsi="Cambria" w:cs="Times New Roman"/>
        </w:rPr>
        <w:t>Technical regulation—telecommunications standards: Specified customer equipment</w:t>
      </w:r>
      <w:r w:rsidR="00B03931" w:rsidRPr="00DC5592">
        <w:rPr>
          <w:rStyle w:val="FootnoteReference"/>
          <w:rFonts w:ascii="Cambria" w:hAnsi="Cambria" w:cs="Times New Roman"/>
        </w:rPr>
        <w:footnoteReference w:id="35"/>
      </w:r>
      <w:r w:rsidRPr="00DC5592">
        <w:rPr>
          <w:rFonts w:ascii="Cambria" w:hAnsi="Cambria" w:cs="Times New Roman"/>
        </w:rPr>
        <w:t xml:space="preserve"> and cabling </w:t>
      </w:r>
      <w:r w:rsidR="003C01CC" w:rsidRPr="00DC5592">
        <w:rPr>
          <w:rFonts w:ascii="Cambria" w:hAnsi="Cambria" w:cs="Times New Roman"/>
        </w:rPr>
        <w:t xml:space="preserve">that </w:t>
      </w:r>
      <w:r w:rsidRPr="00DC5592">
        <w:rPr>
          <w:rFonts w:ascii="Cambria" w:hAnsi="Cambria" w:cs="Times New Roman"/>
        </w:rPr>
        <w:t xml:space="preserve">comply with applicable technical standards </w:t>
      </w:r>
      <w:r w:rsidR="003C01CC" w:rsidRPr="00DC5592">
        <w:rPr>
          <w:rFonts w:ascii="Cambria" w:hAnsi="Cambria" w:cs="Times New Roman"/>
        </w:rPr>
        <w:t xml:space="preserve">must </w:t>
      </w:r>
      <w:r w:rsidRPr="00DC5592">
        <w:rPr>
          <w:rFonts w:ascii="Cambria" w:hAnsi="Cambria" w:cs="Times New Roman"/>
        </w:rPr>
        <w:t>be labelled with a compliance label.</w:t>
      </w:r>
      <w:r w:rsidR="003C01CC" w:rsidRPr="00DC5592">
        <w:rPr>
          <w:rFonts w:ascii="Cambria" w:hAnsi="Cambria" w:cs="Times New Roman"/>
        </w:rPr>
        <w:t xml:space="preserve"> Equipment and cabling that does not meet applicable technical standards must be labelled with a non-compliance label.</w:t>
      </w:r>
      <w:r w:rsidR="003C01CC" w:rsidRPr="00DC5592">
        <w:rPr>
          <w:rStyle w:val="FootnoteReference"/>
          <w:rFonts w:ascii="Cambria" w:hAnsi="Cambria" w:cs="Times New Roman"/>
        </w:rPr>
        <w:footnoteReference w:id="36"/>
      </w:r>
    </w:p>
    <w:p w14:paraId="5792BB49" w14:textId="26FEE792" w:rsidR="00755E45" w:rsidRDefault="00755E45" w:rsidP="0082780D">
      <w:pPr>
        <w:pStyle w:val="ListParagraph"/>
        <w:numPr>
          <w:ilvl w:val="0"/>
          <w:numId w:val="46"/>
        </w:numPr>
        <w:rPr>
          <w:rFonts w:ascii="Cambria" w:hAnsi="Cambria" w:cs="Times New Roman"/>
        </w:rPr>
      </w:pPr>
      <w:r w:rsidRPr="00DC5592">
        <w:rPr>
          <w:rFonts w:ascii="Cambria" w:hAnsi="Cambria" w:cs="Times New Roman"/>
        </w:rPr>
        <w:t>Obligation to connect: The manager of a network or facility must permit connection of any correctly labelled customer equipment</w:t>
      </w:r>
      <w:r w:rsidR="00A35A80" w:rsidRPr="00DC5592">
        <w:rPr>
          <w:rFonts w:ascii="Cambria" w:hAnsi="Cambria" w:cs="Times New Roman"/>
        </w:rPr>
        <w:t xml:space="preserve"> or cabling that also meets the standards required for that equipment or cabling</w:t>
      </w:r>
      <w:r w:rsidRPr="00DC5592">
        <w:rPr>
          <w:rFonts w:ascii="Cambria" w:hAnsi="Cambria" w:cs="Times New Roman"/>
        </w:rPr>
        <w:t xml:space="preserve">, except </w:t>
      </w:r>
      <w:r w:rsidR="00A35A80" w:rsidRPr="00DC5592">
        <w:rPr>
          <w:rFonts w:ascii="Cambria" w:hAnsi="Cambria" w:cs="Times New Roman"/>
        </w:rPr>
        <w:t xml:space="preserve">where that manager might believe labels have been applied in contravention of the Tel Act, or where there could be a threat to the integrity of a </w:t>
      </w:r>
      <w:r w:rsidR="00DC5592" w:rsidRPr="00DC5592">
        <w:rPr>
          <w:rFonts w:ascii="Cambria" w:hAnsi="Cambria" w:cs="Times New Roman"/>
        </w:rPr>
        <w:t>telecommunications</w:t>
      </w:r>
      <w:r w:rsidR="00A35A80" w:rsidRPr="00DC5592">
        <w:rPr>
          <w:rFonts w:ascii="Cambria" w:hAnsi="Cambria" w:cs="Times New Roman"/>
        </w:rPr>
        <w:t xml:space="preserve"> network, or to the health and safety of persons </w:t>
      </w:r>
      <w:r w:rsidR="008C772A">
        <w:rPr>
          <w:rFonts w:ascii="Cambria" w:hAnsi="Cambria" w:cs="Times New Roman"/>
        </w:rPr>
        <w:t>a</w:t>
      </w:r>
      <w:r w:rsidR="008C772A" w:rsidRPr="00DC5592">
        <w:rPr>
          <w:rFonts w:ascii="Cambria" w:hAnsi="Cambria" w:cs="Times New Roman"/>
        </w:rPr>
        <w:t xml:space="preserve">ffected </w:t>
      </w:r>
      <w:r w:rsidR="00A35A80" w:rsidRPr="00DC5592">
        <w:rPr>
          <w:rFonts w:ascii="Cambria" w:hAnsi="Cambria" w:cs="Times New Roman"/>
        </w:rPr>
        <w:t>by the telecommunications network.</w:t>
      </w:r>
      <w:r w:rsidR="00A35A80" w:rsidRPr="00DC5592">
        <w:rPr>
          <w:rStyle w:val="FootnoteReference"/>
          <w:rFonts w:ascii="Cambria" w:hAnsi="Cambria" w:cs="Times New Roman"/>
        </w:rPr>
        <w:footnoteReference w:id="37"/>
      </w:r>
    </w:p>
    <w:p w14:paraId="5792BB4A" w14:textId="2C73267E" w:rsidR="00E33150" w:rsidRPr="00E33150" w:rsidRDefault="208B7628" w:rsidP="208B7628">
      <w:pPr>
        <w:rPr>
          <w:rFonts w:ascii="Cambria" w:hAnsi="Cambria" w:cs="Times New Roman"/>
        </w:rPr>
      </w:pPr>
      <w:r w:rsidRPr="208B7628">
        <w:rPr>
          <w:rFonts w:ascii="Cambria" w:hAnsi="Cambria" w:cs="Times New Roman"/>
        </w:rPr>
        <w:t xml:space="preserve">We are interested in views from stakeholders about whether these obligations ought </w:t>
      </w:r>
      <w:r w:rsidR="008C772A">
        <w:rPr>
          <w:rFonts w:ascii="Cambria" w:hAnsi="Cambria" w:cs="Times New Roman"/>
        </w:rPr>
        <w:t xml:space="preserve">to </w:t>
      </w:r>
      <w:r w:rsidRPr="208B7628">
        <w:rPr>
          <w:rFonts w:ascii="Cambria" w:hAnsi="Cambria" w:cs="Times New Roman"/>
        </w:rPr>
        <w:t>apply to particular providers in the connected vehicle service delivery continuum.</w:t>
      </w:r>
    </w:p>
    <w:p w14:paraId="5792BB4B" w14:textId="77777777" w:rsidR="00522528" w:rsidRPr="00DC5592" w:rsidRDefault="00522528" w:rsidP="00522528">
      <w:pPr>
        <w:pStyle w:val="Heading3"/>
        <w:rPr>
          <w:rFonts w:ascii="Cambria" w:hAnsi="Cambria"/>
        </w:rPr>
      </w:pPr>
      <w:bookmarkStart w:id="15" w:name="_Toc149033919"/>
      <w:r w:rsidRPr="00DC5592">
        <w:rPr>
          <w:rFonts w:ascii="Cambria" w:hAnsi="Cambria"/>
        </w:rPr>
        <w:t>Questions</w:t>
      </w:r>
      <w:r w:rsidR="00482E97" w:rsidRPr="00DC5592">
        <w:rPr>
          <w:rFonts w:ascii="Cambria" w:hAnsi="Cambria"/>
        </w:rPr>
        <w:t xml:space="preserve"> for stakeholders</w:t>
      </w:r>
      <w:bookmarkEnd w:id="15"/>
    </w:p>
    <w:p w14:paraId="5792BB4C" w14:textId="77777777" w:rsidR="00063A94" w:rsidRPr="00DC5592" w:rsidRDefault="00520BBB" w:rsidP="008D3A05">
      <w:pPr>
        <w:rPr>
          <w:rFonts w:ascii="Cambria" w:hAnsi="Cambria"/>
        </w:rPr>
      </w:pPr>
      <w:r w:rsidRPr="00DC5592">
        <w:rPr>
          <w:rFonts w:ascii="Cambria" w:hAnsi="Cambria"/>
        </w:rPr>
        <w:t xml:space="preserve">In general, </w:t>
      </w:r>
      <w:r w:rsidR="00282D80" w:rsidRPr="00DC5592">
        <w:rPr>
          <w:rFonts w:ascii="Cambria" w:hAnsi="Cambria"/>
        </w:rPr>
        <w:t>connected vehicle man</w:t>
      </w:r>
      <w:r w:rsidR="00A760B8" w:rsidRPr="00DC5592">
        <w:rPr>
          <w:rFonts w:ascii="Cambria" w:hAnsi="Cambria"/>
        </w:rPr>
        <w:t>ufacturers and after-market providers are</w:t>
      </w:r>
      <w:r w:rsidR="001E280D" w:rsidRPr="00DC5592">
        <w:rPr>
          <w:rFonts w:ascii="Cambria" w:hAnsi="Cambria"/>
        </w:rPr>
        <w:t xml:space="preserve"> subject to </w:t>
      </w:r>
      <w:r w:rsidRPr="00DC5592">
        <w:rPr>
          <w:rFonts w:ascii="Cambria" w:hAnsi="Cambria"/>
        </w:rPr>
        <w:t xml:space="preserve">the obligations </w:t>
      </w:r>
      <w:r w:rsidR="00A760B8" w:rsidRPr="00DC5592">
        <w:rPr>
          <w:rFonts w:ascii="Cambria" w:hAnsi="Cambria"/>
        </w:rPr>
        <w:t>on</w:t>
      </w:r>
      <w:r w:rsidRPr="00DC5592">
        <w:rPr>
          <w:rFonts w:ascii="Cambria" w:hAnsi="Cambria"/>
        </w:rPr>
        <w:t xml:space="preserve"> CSPs</w:t>
      </w:r>
      <w:r w:rsidR="00A516FC" w:rsidRPr="00DC5592">
        <w:rPr>
          <w:rFonts w:ascii="Cambria" w:hAnsi="Cambria"/>
        </w:rPr>
        <w:t>.</w:t>
      </w:r>
      <w:r w:rsidRPr="00DC5592">
        <w:rPr>
          <w:rFonts w:ascii="Cambria" w:hAnsi="Cambria"/>
        </w:rPr>
        <w:t xml:space="preserve"> However, </w:t>
      </w:r>
      <w:r w:rsidR="00D77EAB" w:rsidRPr="00DC5592">
        <w:rPr>
          <w:rFonts w:ascii="Cambria" w:hAnsi="Cambria"/>
        </w:rPr>
        <w:t xml:space="preserve">it is unclear whether, </w:t>
      </w:r>
      <w:r w:rsidR="00A760B8" w:rsidRPr="00DC5592">
        <w:rPr>
          <w:rFonts w:ascii="Cambria" w:hAnsi="Cambria"/>
        </w:rPr>
        <w:t xml:space="preserve">how </w:t>
      </w:r>
      <w:r w:rsidR="00D77EAB" w:rsidRPr="00DC5592">
        <w:rPr>
          <w:rFonts w:ascii="Cambria" w:hAnsi="Cambria"/>
        </w:rPr>
        <w:t xml:space="preserve">or by whom in the supply chain </w:t>
      </w:r>
      <w:r w:rsidR="00A760B8" w:rsidRPr="00DC5592">
        <w:rPr>
          <w:rFonts w:ascii="Cambria" w:hAnsi="Cambria"/>
        </w:rPr>
        <w:t>these obligation</w:t>
      </w:r>
      <w:r w:rsidR="007C61E2" w:rsidRPr="00DC5592">
        <w:rPr>
          <w:rFonts w:ascii="Cambria" w:hAnsi="Cambria"/>
        </w:rPr>
        <w:t>s</w:t>
      </w:r>
      <w:r w:rsidR="00A760B8" w:rsidRPr="00DC5592">
        <w:rPr>
          <w:rFonts w:ascii="Cambria" w:hAnsi="Cambria"/>
        </w:rPr>
        <w:t xml:space="preserve"> should be met</w:t>
      </w:r>
      <w:r w:rsidR="00D77EAB" w:rsidRPr="00DC5592">
        <w:rPr>
          <w:rFonts w:ascii="Cambria" w:hAnsi="Cambria"/>
        </w:rPr>
        <w:t>. T</w:t>
      </w:r>
      <w:r w:rsidR="00D11204" w:rsidRPr="00DC5592">
        <w:rPr>
          <w:rFonts w:ascii="Cambria" w:hAnsi="Cambria"/>
        </w:rPr>
        <w:t xml:space="preserve">he increasing </w:t>
      </w:r>
      <w:r w:rsidR="00A760B8" w:rsidRPr="00DC5592">
        <w:rPr>
          <w:rFonts w:ascii="Cambria" w:hAnsi="Cambria"/>
        </w:rPr>
        <w:t>prevalence of connected vehicles and the future of automated vehicles</w:t>
      </w:r>
      <w:r w:rsidR="00CA4ACB" w:rsidRPr="00DC5592">
        <w:rPr>
          <w:rFonts w:ascii="Cambria" w:hAnsi="Cambria"/>
        </w:rPr>
        <w:t xml:space="preserve"> </w:t>
      </w:r>
      <w:r w:rsidR="00387274" w:rsidRPr="00DC5592">
        <w:rPr>
          <w:rFonts w:ascii="Cambria" w:hAnsi="Cambria"/>
        </w:rPr>
        <w:t>raise</w:t>
      </w:r>
      <w:r w:rsidR="00D11204" w:rsidRPr="00DC5592">
        <w:rPr>
          <w:rFonts w:ascii="Cambria" w:hAnsi="Cambria"/>
        </w:rPr>
        <w:t>s</w:t>
      </w:r>
      <w:r w:rsidR="00387274" w:rsidRPr="00DC5592">
        <w:rPr>
          <w:rFonts w:ascii="Cambria" w:hAnsi="Cambria"/>
        </w:rPr>
        <w:t xml:space="preserve"> questions about how the regulatory framework</w:t>
      </w:r>
      <w:r w:rsidR="00CA4ACB" w:rsidRPr="00DC5592">
        <w:rPr>
          <w:rFonts w:ascii="Cambria" w:hAnsi="Cambria"/>
        </w:rPr>
        <w:t xml:space="preserve"> should define </w:t>
      </w:r>
      <w:r w:rsidR="00A760B8" w:rsidRPr="00DC5592">
        <w:rPr>
          <w:rFonts w:ascii="Cambria" w:hAnsi="Cambria"/>
        </w:rPr>
        <w:t>these</w:t>
      </w:r>
      <w:r w:rsidR="001E280D" w:rsidRPr="00DC5592">
        <w:rPr>
          <w:rFonts w:ascii="Cambria" w:hAnsi="Cambria"/>
        </w:rPr>
        <w:t xml:space="preserve"> </w:t>
      </w:r>
      <w:r w:rsidR="00CA4ACB" w:rsidRPr="00DC5592">
        <w:rPr>
          <w:rFonts w:ascii="Cambria" w:hAnsi="Cambria"/>
        </w:rPr>
        <w:lastRenderedPageBreak/>
        <w:t>network</w:t>
      </w:r>
      <w:r w:rsidR="00387274" w:rsidRPr="00DC5592">
        <w:rPr>
          <w:rFonts w:ascii="Cambria" w:hAnsi="Cambria"/>
        </w:rPr>
        <w:t>s</w:t>
      </w:r>
      <w:r w:rsidR="00A760B8" w:rsidRPr="00DC5592">
        <w:rPr>
          <w:rFonts w:ascii="Cambria" w:hAnsi="Cambria"/>
        </w:rPr>
        <w:t>,</w:t>
      </w:r>
      <w:r w:rsidR="00CA4ACB" w:rsidRPr="00DC5592">
        <w:rPr>
          <w:rFonts w:ascii="Cambria" w:hAnsi="Cambria"/>
        </w:rPr>
        <w:t xml:space="preserve"> </w:t>
      </w:r>
      <w:r w:rsidR="00387274" w:rsidRPr="00DC5592">
        <w:rPr>
          <w:rFonts w:ascii="Cambria" w:hAnsi="Cambria"/>
        </w:rPr>
        <w:t>which</w:t>
      </w:r>
      <w:r w:rsidR="00CA4ACB" w:rsidRPr="00DC5592">
        <w:rPr>
          <w:rFonts w:ascii="Cambria" w:hAnsi="Cambria"/>
        </w:rPr>
        <w:t xml:space="preserve"> </w:t>
      </w:r>
      <w:r w:rsidR="00A760B8" w:rsidRPr="00DC5592">
        <w:rPr>
          <w:rFonts w:ascii="Cambria" w:hAnsi="Cambria"/>
        </w:rPr>
        <w:t>obligations should</w:t>
      </w:r>
      <w:r w:rsidR="00387274" w:rsidRPr="00DC5592">
        <w:rPr>
          <w:rFonts w:ascii="Cambria" w:hAnsi="Cambria"/>
        </w:rPr>
        <w:t xml:space="preserve"> appl</w:t>
      </w:r>
      <w:r w:rsidR="00A760B8" w:rsidRPr="00DC5592">
        <w:rPr>
          <w:rFonts w:ascii="Cambria" w:hAnsi="Cambria"/>
        </w:rPr>
        <w:t>y</w:t>
      </w:r>
      <w:r w:rsidR="00387274" w:rsidRPr="00DC5592">
        <w:rPr>
          <w:rFonts w:ascii="Cambria" w:hAnsi="Cambria"/>
        </w:rPr>
        <w:t xml:space="preserve">, </w:t>
      </w:r>
      <w:r w:rsidR="006C3E64" w:rsidRPr="00DC5592">
        <w:rPr>
          <w:rFonts w:ascii="Cambria" w:hAnsi="Cambria"/>
        </w:rPr>
        <w:t xml:space="preserve">and who ultimately should be responsible for </w:t>
      </w:r>
      <w:r w:rsidR="00387274" w:rsidRPr="00DC5592">
        <w:rPr>
          <w:rFonts w:ascii="Cambria" w:hAnsi="Cambria"/>
        </w:rPr>
        <w:t>fulfilling those</w:t>
      </w:r>
      <w:r w:rsidR="006C3E64" w:rsidRPr="00DC5592">
        <w:rPr>
          <w:rFonts w:ascii="Cambria" w:hAnsi="Cambria"/>
        </w:rPr>
        <w:t xml:space="preserve"> obligations. </w:t>
      </w:r>
    </w:p>
    <w:p w14:paraId="5792BB4D" w14:textId="77777777" w:rsidR="00A9742C" w:rsidRPr="00DC5592" w:rsidRDefault="00387274" w:rsidP="00A9742C">
      <w:pPr>
        <w:rPr>
          <w:rFonts w:ascii="Cambria" w:hAnsi="Cambria"/>
        </w:rPr>
      </w:pPr>
      <w:r w:rsidRPr="00DC5592">
        <w:rPr>
          <w:rFonts w:ascii="Cambria" w:hAnsi="Cambria"/>
        </w:rPr>
        <w:t>In particular, t</w:t>
      </w:r>
      <w:r w:rsidR="00A9742C" w:rsidRPr="00DC5592">
        <w:rPr>
          <w:rFonts w:ascii="Cambria" w:hAnsi="Cambria"/>
        </w:rPr>
        <w:t xml:space="preserve">he Department </w:t>
      </w:r>
      <w:r w:rsidRPr="00DC5592">
        <w:rPr>
          <w:rFonts w:ascii="Cambria" w:hAnsi="Cambria"/>
        </w:rPr>
        <w:t>is interested in</w:t>
      </w:r>
      <w:r w:rsidR="00A9742C" w:rsidRPr="00DC5592">
        <w:rPr>
          <w:rFonts w:ascii="Cambria" w:hAnsi="Cambria"/>
        </w:rPr>
        <w:t xml:space="preserve"> the implications of </w:t>
      </w:r>
      <w:r w:rsidR="00275034" w:rsidRPr="00DC5592">
        <w:rPr>
          <w:rFonts w:ascii="Cambria" w:hAnsi="Cambria"/>
        </w:rPr>
        <w:t>data and communications being carried across telecommunications infrastructure in ways that would not previously have been thought of as tradition</w:t>
      </w:r>
      <w:r w:rsidR="00D77EAB" w:rsidRPr="00DC5592">
        <w:rPr>
          <w:rFonts w:ascii="Cambria" w:hAnsi="Cambria"/>
        </w:rPr>
        <w:t>al</w:t>
      </w:r>
      <w:r w:rsidR="00275034" w:rsidRPr="00DC5592">
        <w:rPr>
          <w:rFonts w:ascii="Cambria" w:hAnsi="Cambria"/>
        </w:rPr>
        <w:t xml:space="preserve"> telecommunications, and whether the obligations required for CSPs easily overlay these non-traditional formats</w:t>
      </w:r>
      <w:r w:rsidR="00A9742C" w:rsidRPr="00DC5592">
        <w:rPr>
          <w:rFonts w:ascii="Cambria" w:hAnsi="Cambria"/>
        </w:rPr>
        <w:t xml:space="preserve">. </w:t>
      </w:r>
      <w:r w:rsidR="00C95C16" w:rsidRPr="00DC5592">
        <w:rPr>
          <w:rFonts w:ascii="Cambria" w:hAnsi="Cambria"/>
        </w:rPr>
        <w:t>The Department’s initial views are that while this is an emerging technology that does not meet the traditional view of a carriage service, there are still important network safeguards and consumer obligations that should continue to apply to these services and certainty around those obligations and who is responsible for them are necessary to allow this sector to grow.</w:t>
      </w:r>
    </w:p>
    <w:p w14:paraId="5792BB4E" w14:textId="77777777" w:rsidR="00A55504" w:rsidRPr="00DC5592" w:rsidRDefault="00CA43FE" w:rsidP="00022C46">
      <w:pPr>
        <w:rPr>
          <w:rFonts w:ascii="Cambria" w:hAnsi="Cambria"/>
        </w:rPr>
      </w:pPr>
      <w:r w:rsidRPr="00DC5592">
        <w:rPr>
          <w:rFonts w:ascii="Cambria" w:hAnsi="Cambria"/>
        </w:rPr>
        <w:t xml:space="preserve">To that end, </w:t>
      </w:r>
      <w:r w:rsidR="00022C46" w:rsidRPr="00DC5592">
        <w:rPr>
          <w:rFonts w:ascii="Cambria" w:hAnsi="Cambria"/>
        </w:rPr>
        <w:t>the Department seeks to ask</w:t>
      </w:r>
      <w:r w:rsidR="009D2C6B" w:rsidRPr="00DC5592">
        <w:rPr>
          <w:rFonts w:ascii="Cambria" w:hAnsi="Cambria"/>
        </w:rPr>
        <w:t xml:space="preserve"> the following questions:</w:t>
      </w:r>
    </w:p>
    <w:p w14:paraId="5792BB4F" w14:textId="77777777" w:rsidR="00D263C0" w:rsidRPr="00DC5592" w:rsidRDefault="00D77EAB">
      <w:pPr>
        <w:pStyle w:val="ListParagraph"/>
        <w:numPr>
          <w:ilvl w:val="0"/>
          <w:numId w:val="39"/>
        </w:numPr>
        <w:spacing w:after="120"/>
        <w:ind w:left="357" w:hanging="357"/>
        <w:contextualSpacing w:val="0"/>
        <w:rPr>
          <w:rFonts w:ascii="Cambria" w:hAnsi="Cambria"/>
          <w:b/>
        </w:rPr>
      </w:pPr>
      <w:bookmarkStart w:id="16" w:name="_Hlk141085910"/>
      <w:r w:rsidRPr="00DC5592">
        <w:rPr>
          <w:rFonts w:ascii="Cambria" w:hAnsi="Cambria"/>
          <w:b/>
        </w:rPr>
        <w:t>Should c</w:t>
      </w:r>
      <w:r w:rsidR="007C61E2" w:rsidRPr="00DC5592">
        <w:rPr>
          <w:rFonts w:ascii="Cambria" w:hAnsi="Cambria"/>
          <w:b/>
        </w:rPr>
        <w:t xml:space="preserve">ompanies that distribute </w:t>
      </w:r>
      <w:r w:rsidR="00CA05D3" w:rsidRPr="00DC5592">
        <w:rPr>
          <w:rFonts w:ascii="Cambria" w:hAnsi="Cambria"/>
          <w:b/>
        </w:rPr>
        <w:t xml:space="preserve">connected </w:t>
      </w:r>
      <w:r w:rsidR="007C61E2" w:rsidRPr="00DC5592">
        <w:rPr>
          <w:rFonts w:ascii="Cambria" w:hAnsi="Cambria"/>
          <w:b/>
        </w:rPr>
        <w:t>vehicles (or products that can alter vehicles so they</w:t>
      </w:r>
      <w:r w:rsidR="00A760B8" w:rsidRPr="00DC5592">
        <w:rPr>
          <w:rFonts w:ascii="Cambria" w:hAnsi="Cambria"/>
          <w:b/>
        </w:rPr>
        <w:t xml:space="preserve"> can connect to </w:t>
      </w:r>
      <w:r w:rsidR="00A921A2" w:rsidRPr="00DC5592">
        <w:rPr>
          <w:rFonts w:ascii="Cambria" w:hAnsi="Cambria"/>
          <w:b/>
        </w:rPr>
        <w:t>telecommunications infrastructure for the purpose of</w:t>
      </w:r>
      <w:r w:rsidR="00A760B8" w:rsidRPr="00DC5592">
        <w:rPr>
          <w:rFonts w:ascii="Cambria" w:hAnsi="Cambria"/>
          <w:b/>
        </w:rPr>
        <w:t xml:space="preserve"> transmit</w:t>
      </w:r>
      <w:r w:rsidR="00A921A2" w:rsidRPr="00DC5592">
        <w:rPr>
          <w:rFonts w:ascii="Cambria" w:hAnsi="Cambria"/>
          <w:b/>
        </w:rPr>
        <w:t>ting</w:t>
      </w:r>
      <w:r w:rsidR="00A760B8" w:rsidRPr="00DC5592">
        <w:rPr>
          <w:rFonts w:ascii="Cambria" w:hAnsi="Cambria"/>
          <w:b/>
        </w:rPr>
        <w:t xml:space="preserve"> data to and from the vehicle</w:t>
      </w:r>
      <w:r w:rsidR="00B62E01" w:rsidRPr="00DC5592">
        <w:rPr>
          <w:rFonts w:ascii="Cambria" w:hAnsi="Cambria"/>
          <w:b/>
        </w:rPr>
        <w:t>)</w:t>
      </w:r>
      <w:r w:rsidR="00E8318C" w:rsidRPr="00DC5592">
        <w:rPr>
          <w:rFonts w:ascii="Cambria" w:hAnsi="Cambria"/>
          <w:b/>
        </w:rPr>
        <w:t xml:space="preserve"> </w:t>
      </w:r>
      <w:r w:rsidRPr="00DC5592">
        <w:rPr>
          <w:rFonts w:ascii="Cambria" w:hAnsi="Cambria"/>
          <w:b/>
        </w:rPr>
        <w:t xml:space="preserve">be </w:t>
      </w:r>
      <w:r w:rsidR="00E8318C" w:rsidRPr="00DC5592">
        <w:rPr>
          <w:rFonts w:ascii="Cambria" w:hAnsi="Cambria"/>
          <w:b/>
        </w:rPr>
        <w:t>categorised as CSPs under current regulations</w:t>
      </w:r>
      <w:r w:rsidRPr="00DC5592">
        <w:rPr>
          <w:rFonts w:ascii="Cambria" w:hAnsi="Cambria"/>
          <w:b/>
        </w:rPr>
        <w:t>? Or s</w:t>
      </w:r>
      <w:r w:rsidR="00A760B8" w:rsidRPr="00DC5592">
        <w:rPr>
          <w:rFonts w:ascii="Cambria" w:hAnsi="Cambria"/>
          <w:b/>
        </w:rPr>
        <w:t xml:space="preserve">hould these </w:t>
      </w:r>
      <w:r w:rsidR="00351459" w:rsidRPr="00DC5592">
        <w:rPr>
          <w:rFonts w:ascii="Cambria" w:hAnsi="Cambria"/>
          <w:b/>
        </w:rPr>
        <w:t>c</w:t>
      </w:r>
      <w:r w:rsidR="007C61E2" w:rsidRPr="00DC5592">
        <w:rPr>
          <w:rFonts w:ascii="Cambria" w:hAnsi="Cambria"/>
          <w:b/>
        </w:rPr>
        <w:t xml:space="preserve">ompanies </w:t>
      </w:r>
      <w:r w:rsidR="00A760B8" w:rsidRPr="00DC5592">
        <w:rPr>
          <w:rFonts w:ascii="Cambria" w:hAnsi="Cambria"/>
          <w:b/>
        </w:rPr>
        <w:t>be exempt from this categorisation</w:t>
      </w:r>
      <w:r w:rsidR="00E8318C" w:rsidRPr="00DC5592">
        <w:rPr>
          <w:rFonts w:ascii="Cambria" w:hAnsi="Cambria"/>
          <w:b/>
        </w:rPr>
        <w:t xml:space="preserve">? </w:t>
      </w:r>
      <w:r w:rsidR="00A921A2" w:rsidRPr="00DC5592">
        <w:rPr>
          <w:rFonts w:ascii="Cambria" w:hAnsi="Cambria"/>
          <w:b/>
        </w:rPr>
        <w:t xml:space="preserve">Is it possible </w:t>
      </w:r>
      <w:r w:rsidR="00C95C16" w:rsidRPr="00DC5592">
        <w:rPr>
          <w:rFonts w:ascii="Cambria" w:hAnsi="Cambria"/>
          <w:b/>
        </w:rPr>
        <w:t>for a solution</w:t>
      </w:r>
      <w:r w:rsidR="00A921A2" w:rsidRPr="00DC5592">
        <w:rPr>
          <w:rFonts w:ascii="Cambria" w:hAnsi="Cambria"/>
          <w:b/>
        </w:rPr>
        <w:t xml:space="preserve"> to incorporate future technologies that may have a similar effect?</w:t>
      </w:r>
    </w:p>
    <w:p w14:paraId="5792BB50" w14:textId="77777777" w:rsidR="00207A3D" w:rsidRPr="00DC5592" w:rsidRDefault="00A760B8" w:rsidP="0076209E">
      <w:pPr>
        <w:pStyle w:val="ListParagraph"/>
        <w:numPr>
          <w:ilvl w:val="0"/>
          <w:numId w:val="39"/>
        </w:numPr>
        <w:spacing w:after="120"/>
        <w:ind w:left="357" w:hanging="357"/>
        <w:contextualSpacing w:val="0"/>
        <w:rPr>
          <w:rFonts w:ascii="Cambria" w:hAnsi="Cambria"/>
          <w:b/>
        </w:rPr>
      </w:pPr>
      <w:r w:rsidRPr="00DC5592">
        <w:rPr>
          <w:rFonts w:ascii="Cambria" w:hAnsi="Cambria"/>
          <w:b/>
        </w:rPr>
        <w:t xml:space="preserve">If these </w:t>
      </w:r>
      <w:r w:rsidR="007C61E2" w:rsidRPr="00DC5592">
        <w:rPr>
          <w:rFonts w:ascii="Cambria" w:hAnsi="Cambria"/>
          <w:b/>
        </w:rPr>
        <w:t xml:space="preserve">companies </w:t>
      </w:r>
      <w:r w:rsidRPr="00DC5592">
        <w:rPr>
          <w:rFonts w:ascii="Cambria" w:hAnsi="Cambria"/>
          <w:b/>
        </w:rPr>
        <w:t xml:space="preserve">are not exempted, which obligations should they comply with? Which entity </w:t>
      </w:r>
      <w:r w:rsidR="00D77EAB" w:rsidRPr="00DC5592">
        <w:rPr>
          <w:rFonts w:ascii="Cambria" w:hAnsi="Cambria"/>
          <w:b/>
        </w:rPr>
        <w:t>in the overall supply chain</w:t>
      </w:r>
      <w:r w:rsidRPr="00DC5592">
        <w:rPr>
          <w:rFonts w:ascii="Cambria" w:hAnsi="Cambria"/>
          <w:b/>
        </w:rPr>
        <w:t xml:space="preserve"> should be responsible for those obligations?</w:t>
      </w:r>
      <w:r w:rsidR="007C61E2" w:rsidRPr="00DC5592">
        <w:rPr>
          <w:rFonts w:ascii="Cambria" w:hAnsi="Cambria"/>
          <w:b/>
        </w:rPr>
        <w:t xml:space="preserve"> What would be a feasible mechanism for ensuring obligations are met?</w:t>
      </w:r>
      <w:r w:rsidR="00B62E01" w:rsidRPr="00DC5592">
        <w:rPr>
          <w:rFonts w:ascii="Cambria" w:hAnsi="Cambria"/>
          <w:b/>
        </w:rPr>
        <w:t xml:space="preserve"> </w:t>
      </w:r>
    </w:p>
    <w:p w14:paraId="5792BB51" w14:textId="77777777" w:rsidR="00A760B8" w:rsidRPr="00DC5592" w:rsidRDefault="00B62E01" w:rsidP="0076209E">
      <w:pPr>
        <w:pStyle w:val="ListParagraph"/>
        <w:numPr>
          <w:ilvl w:val="0"/>
          <w:numId w:val="39"/>
        </w:numPr>
        <w:spacing w:after="120"/>
        <w:ind w:left="357" w:hanging="357"/>
        <w:contextualSpacing w:val="0"/>
        <w:rPr>
          <w:rFonts w:ascii="Cambria" w:hAnsi="Cambria"/>
          <w:b/>
        </w:rPr>
      </w:pPr>
      <w:r w:rsidRPr="00DC5592">
        <w:rPr>
          <w:rFonts w:ascii="Cambria" w:hAnsi="Cambria"/>
          <w:b/>
        </w:rPr>
        <w:t xml:space="preserve">Can you envisage </w:t>
      </w:r>
      <w:r w:rsidR="00207A3D" w:rsidRPr="00DC5592">
        <w:rPr>
          <w:rFonts w:ascii="Cambria" w:hAnsi="Cambria"/>
          <w:b/>
        </w:rPr>
        <w:t>upstream and downstream competition issues that would benefit from telecommunications-specific regulation?</w:t>
      </w:r>
    </w:p>
    <w:p w14:paraId="5792BB52" w14:textId="77777777" w:rsidR="00207A3D" w:rsidRPr="00DC5592" w:rsidRDefault="00207A3D" w:rsidP="0076209E">
      <w:pPr>
        <w:pStyle w:val="ListParagraph"/>
        <w:numPr>
          <w:ilvl w:val="0"/>
          <w:numId w:val="39"/>
        </w:numPr>
        <w:spacing w:after="120"/>
        <w:ind w:left="357" w:hanging="357"/>
        <w:contextualSpacing w:val="0"/>
        <w:rPr>
          <w:rFonts w:ascii="Cambria" w:hAnsi="Cambria"/>
          <w:b/>
        </w:rPr>
      </w:pPr>
      <w:r w:rsidRPr="00DC5592">
        <w:rPr>
          <w:rFonts w:ascii="Cambria" w:hAnsi="Cambria"/>
          <w:b/>
        </w:rPr>
        <w:t>Would telecommunications-specific consumer protection benefit owners of connected vehicles, or is the general consumer law sufficient?</w:t>
      </w:r>
    </w:p>
    <w:p w14:paraId="5792BB53" w14:textId="77777777" w:rsidR="00AA2230" w:rsidRPr="00DC5592" w:rsidRDefault="008C505F">
      <w:pPr>
        <w:pStyle w:val="ListParagraph"/>
        <w:numPr>
          <w:ilvl w:val="0"/>
          <w:numId w:val="39"/>
        </w:numPr>
        <w:spacing w:after="120"/>
        <w:contextualSpacing w:val="0"/>
        <w:rPr>
          <w:rFonts w:ascii="Cambria" w:hAnsi="Cambria"/>
          <w:b/>
        </w:rPr>
      </w:pPr>
      <w:r w:rsidRPr="00DC5592">
        <w:rPr>
          <w:rFonts w:ascii="Cambria" w:hAnsi="Cambria"/>
          <w:b/>
        </w:rPr>
        <w:t xml:space="preserve">There is a general obligation on Carriers </w:t>
      </w:r>
      <w:r w:rsidR="00307DE4" w:rsidRPr="00DC5592">
        <w:rPr>
          <w:rFonts w:ascii="Cambria" w:hAnsi="Cambria"/>
          <w:b/>
        </w:rPr>
        <w:t>and</w:t>
      </w:r>
      <w:r w:rsidRPr="00DC5592">
        <w:rPr>
          <w:rFonts w:ascii="Cambria" w:hAnsi="Cambria"/>
          <w:b/>
        </w:rPr>
        <w:t xml:space="preserve"> CSPs to secure their networks and equipment from interference. </w:t>
      </w:r>
      <w:r w:rsidR="00307DE4" w:rsidRPr="00DC5592">
        <w:rPr>
          <w:rFonts w:ascii="Cambria" w:hAnsi="Cambria"/>
          <w:b/>
        </w:rPr>
        <w:t xml:space="preserve">Can all parts of the network be reasonably protected? </w:t>
      </w:r>
      <w:r w:rsidR="00433BD8" w:rsidRPr="00DC5592">
        <w:rPr>
          <w:rFonts w:ascii="Cambria" w:hAnsi="Cambria"/>
          <w:b/>
        </w:rPr>
        <w:t xml:space="preserve">Is there anything about </w:t>
      </w:r>
      <w:r w:rsidR="00A760B8" w:rsidRPr="00DC5592">
        <w:rPr>
          <w:rFonts w:ascii="Cambria" w:hAnsi="Cambria"/>
          <w:b/>
        </w:rPr>
        <w:t>connected vehicles</w:t>
      </w:r>
      <w:r w:rsidR="00433BD8" w:rsidRPr="00DC5592">
        <w:rPr>
          <w:rFonts w:ascii="Cambria" w:hAnsi="Cambria"/>
          <w:b/>
        </w:rPr>
        <w:t xml:space="preserve"> that make them particularly vulnerable to attack?</w:t>
      </w:r>
      <w:r w:rsidR="00307DE4" w:rsidRPr="00DC5592">
        <w:rPr>
          <w:rFonts w:ascii="Cambria" w:hAnsi="Cambria"/>
          <w:b/>
        </w:rPr>
        <w:t xml:space="preserve"> </w:t>
      </w:r>
    </w:p>
    <w:p w14:paraId="5792BB54" w14:textId="77777777" w:rsidR="008C505F" w:rsidRPr="00DC5592" w:rsidRDefault="00275034" w:rsidP="0076209E">
      <w:pPr>
        <w:pStyle w:val="ListParagraph"/>
        <w:numPr>
          <w:ilvl w:val="0"/>
          <w:numId w:val="39"/>
        </w:numPr>
        <w:spacing w:after="120"/>
        <w:contextualSpacing w:val="0"/>
        <w:rPr>
          <w:rFonts w:ascii="Cambria" w:hAnsi="Cambria"/>
          <w:b/>
        </w:rPr>
      </w:pPr>
      <w:r w:rsidRPr="00DC5592">
        <w:rPr>
          <w:rFonts w:ascii="Cambria" w:hAnsi="Cambria"/>
          <w:b/>
        </w:rPr>
        <w:t xml:space="preserve">CSPs also have obligations requiring them to assist with law enforcement and national security agencies. </w:t>
      </w:r>
      <w:r w:rsidR="00EC6326" w:rsidRPr="00DC5592">
        <w:rPr>
          <w:rFonts w:ascii="Cambria" w:hAnsi="Cambria"/>
          <w:b/>
        </w:rPr>
        <w:t>Is this required assistance already provided for under existing legislation?</w:t>
      </w:r>
      <w:r w:rsidR="00582EAA">
        <w:rPr>
          <w:rFonts w:ascii="Cambria" w:hAnsi="Cambria"/>
          <w:b/>
        </w:rPr>
        <w:t xml:space="preserve"> Is there information or assistance that </w:t>
      </w:r>
      <w:r w:rsidR="00C70A3E">
        <w:rPr>
          <w:rFonts w:ascii="Cambria" w:hAnsi="Cambria"/>
          <w:b/>
        </w:rPr>
        <w:t xml:space="preserve">can </w:t>
      </w:r>
      <w:r w:rsidR="00582EAA">
        <w:rPr>
          <w:rFonts w:ascii="Cambria" w:hAnsi="Cambria"/>
          <w:b/>
        </w:rPr>
        <w:t>be provided by</w:t>
      </w:r>
      <w:r w:rsidR="00C70A3E">
        <w:rPr>
          <w:rFonts w:ascii="Cambria" w:hAnsi="Cambria"/>
          <w:b/>
        </w:rPr>
        <w:t xml:space="preserve"> companies that distribute connected vehicles (</w:t>
      </w:r>
      <w:r w:rsidR="00C70A3E" w:rsidRPr="00DC5592">
        <w:rPr>
          <w:rFonts w:ascii="Cambria" w:hAnsi="Cambria"/>
          <w:b/>
        </w:rPr>
        <w:t>or products that can alter vehicles so they can connect to telecommunications infrastructure for the purpose of transmitting data to and from the vehicle</w:t>
      </w:r>
      <w:r w:rsidR="00C70A3E">
        <w:rPr>
          <w:rFonts w:ascii="Cambria" w:hAnsi="Cambria"/>
          <w:b/>
        </w:rPr>
        <w:t>) that cannot be provided by more ‘traditional’ Carriers or CSPs?</w:t>
      </w:r>
    </w:p>
    <w:bookmarkEnd w:id="16"/>
    <w:p w14:paraId="5792BB55" w14:textId="77777777" w:rsidR="00AA2230" w:rsidRPr="00DC5592" w:rsidRDefault="00AA2230" w:rsidP="00EC1F24">
      <w:pPr>
        <w:pStyle w:val="ListParagraph"/>
        <w:numPr>
          <w:ilvl w:val="0"/>
          <w:numId w:val="0"/>
        </w:numPr>
        <w:spacing w:after="120"/>
        <w:ind w:left="360"/>
        <w:contextualSpacing w:val="0"/>
        <w:rPr>
          <w:rFonts w:ascii="Cambria" w:hAnsi="Cambria"/>
          <w:b/>
        </w:rPr>
      </w:pPr>
    </w:p>
    <w:p w14:paraId="5792BB56" w14:textId="75ED1033" w:rsidR="00CF7935" w:rsidRDefault="00CF7935" w:rsidP="00CF7935">
      <w:pPr>
        <w:rPr>
          <w:rFonts w:ascii="Cambria" w:hAnsi="Cambria"/>
        </w:rPr>
      </w:pPr>
      <w:r w:rsidRPr="00DC5592">
        <w:rPr>
          <w:rFonts w:ascii="Cambria" w:hAnsi="Cambria"/>
        </w:rPr>
        <w:t>The Department is interested in hearing from interested stakeholders on these and other related questions.</w:t>
      </w:r>
    </w:p>
    <w:p w14:paraId="22937987" w14:textId="71BC121E" w:rsidR="008C772A" w:rsidRDefault="008C772A" w:rsidP="00CF7935">
      <w:pPr>
        <w:rPr>
          <w:rFonts w:ascii="Cambria" w:hAnsi="Cambria"/>
        </w:rPr>
      </w:pPr>
    </w:p>
    <w:p w14:paraId="5710002F" w14:textId="1BE3EB82" w:rsidR="008C772A" w:rsidRDefault="008C772A" w:rsidP="00CF7935">
      <w:pPr>
        <w:rPr>
          <w:rFonts w:ascii="Cambria" w:hAnsi="Cambria"/>
        </w:rPr>
      </w:pPr>
    </w:p>
    <w:p w14:paraId="11CEAB4D" w14:textId="408E70FB" w:rsidR="008C772A" w:rsidRDefault="008C772A" w:rsidP="00CF7935">
      <w:pPr>
        <w:rPr>
          <w:rFonts w:ascii="Cambria" w:hAnsi="Cambria"/>
        </w:rPr>
      </w:pPr>
    </w:p>
    <w:p w14:paraId="33911604" w14:textId="77777777" w:rsidR="008C772A" w:rsidRPr="00DC5592" w:rsidRDefault="008C772A" w:rsidP="00CF7935">
      <w:pPr>
        <w:rPr>
          <w:rFonts w:ascii="Cambria" w:hAnsi="Cambria"/>
        </w:rPr>
      </w:pPr>
    </w:p>
    <w:p w14:paraId="5792BB58" w14:textId="77777777" w:rsidR="000B5C08" w:rsidRPr="00DC5592" w:rsidRDefault="007F4134" w:rsidP="007F4134">
      <w:pPr>
        <w:pStyle w:val="Heading2"/>
        <w:rPr>
          <w:rFonts w:ascii="Cambria" w:hAnsi="Cambria"/>
        </w:rPr>
      </w:pPr>
      <w:bookmarkStart w:id="17" w:name="_Toc149033920"/>
      <w:r w:rsidRPr="00DC5592">
        <w:rPr>
          <w:rFonts w:ascii="Cambria" w:hAnsi="Cambria"/>
        </w:rPr>
        <w:lastRenderedPageBreak/>
        <w:t xml:space="preserve">Appendix </w:t>
      </w:r>
      <w:r w:rsidR="00B0474A" w:rsidRPr="00DC5592">
        <w:rPr>
          <w:rFonts w:ascii="Cambria" w:hAnsi="Cambria"/>
        </w:rPr>
        <w:t>1</w:t>
      </w:r>
      <w:bookmarkEnd w:id="17"/>
    </w:p>
    <w:p w14:paraId="5792BB59" w14:textId="77777777" w:rsidR="00655DAD" w:rsidRPr="00DC5592" w:rsidRDefault="00655DAD" w:rsidP="00655DAD">
      <w:pPr>
        <w:rPr>
          <w:rFonts w:ascii="Cambria" w:hAnsi="Cambria"/>
        </w:rPr>
      </w:pPr>
    </w:p>
    <w:tbl>
      <w:tblPr>
        <w:tblStyle w:val="TableGrid"/>
        <w:tblW w:w="0" w:type="auto"/>
        <w:tblLook w:val="04A0" w:firstRow="1" w:lastRow="0" w:firstColumn="1" w:lastColumn="0" w:noHBand="0" w:noVBand="1"/>
      </w:tblPr>
      <w:tblGrid>
        <w:gridCol w:w="2283"/>
        <w:gridCol w:w="2276"/>
        <w:gridCol w:w="2276"/>
        <w:gridCol w:w="2345"/>
      </w:tblGrid>
      <w:tr w:rsidR="00655DAD" w:rsidRPr="00DC5592" w14:paraId="5792BB5B" w14:textId="77777777" w:rsidTr="00B1674E">
        <w:tc>
          <w:tcPr>
            <w:tcW w:w="9180" w:type="dxa"/>
            <w:gridSpan w:val="4"/>
            <w:tcBorders>
              <w:top w:val="single" w:sz="4" w:space="0" w:color="FFFFFF"/>
              <w:left w:val="single" w:sz="4" w:space="0" w:color="FFFFFF"/>
              <w:bottom w:val="single" w:sz="4" w:space="0" w:color="FFFFFF"/>
              <w:right w:val="single" w:sz="4" w:space="0" w:color="FFFFFF"/>
            </w:tcBorders>
          </w:tcPr>
          <w:p w14:paraId="5792BB5A" w14:textId="77777777" w:rsidR="00655DAD" w:rsidRPr="00DC5592" w:rsidRDefault="00655DAD" w:rsidP="00325673">
            <w:pPr>
              <w:jc w:val="center"/>
              <w:rPr>
                <w:rFonts w:ascii="Cambria" w:hAnsi="Cambria" w:cstheme="minorHAnsi"/>
                <w:b/>
              </w:rPr>
            </w:pPr>
          </w:p>
        </w:tc>
      </w:tr>
      <w:tr w:rsidR="00B1674E" w:rsidRPr="00DC5592" w14:paraId="5792BB60" w14:textId="77777777" w:rsidTr="00B1674E">
        <w:tc>
          <w:tcPr>
            <w:tcW w:w="2295" w:type="dxa"/>
            <w:tcBorders>
              <w:top w:val="single" w:sz="4" w:space="0" w:color="FFFFFF"/>
              <w:left w:val="single" w:sz="4" w:space="0" w:color="FFFFFF"/>
              <w:bottom w:val="single" w:sz="4" w:space="0" w:color="FFFFFF"/>
              <w:right w:val="single" w:sz="4" w:space="0" w:color="FFFFFF"/>
            </w:tcBorders>
          </w:tcPr>
          <w:p w14:paraId="5792BB5C" w14:textId="77777777" w:rsidR="00655DAD" w:rsidRPr="00DC5592" w:rsidRDefault="0010437D" w:rsidP="00325673">
            <w:pPr>
              <w:spacing w:after="0"/>
              <w:jc w:val="center"/>
              <w:rPr>
                <w:rFonts w:ascii="Cambria" w:hAnsi="Cambria" w:cstheme="minorHAnsi"/>
              </w:rPr>
            </w:pPr>
            <w:r w:rsidRPr="00DC5592">
              <w:rPr>
                <w:rFonts w:ascii="Cambria" w:hAnsi="Cambria" w:cstheme="minorHAnsi"/>
                <w:noProof/>
              </w:rPr>
              <w:drawing>
                <wp:inline distT="0" distB="0" distL="0" distR="0" wp14:anchorId="5792BB8A" wp14:editId="5792BB8B">
                  <wp:extent cx="1200150" cy="1111250"/>
                  <wp:effectExtent l="0" t="0" r="0" b="127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c>
          <w:tcPr>
            <w:tcW w:w="2295" w:type="dxa"/>
            <w:tcBorders>
              <w:top w:val="single" w:sz="4" w:space="0" w:color="FFFFFF"/>
              <w:left w:val="single" w:sz="4" w:space="0" w:color="FFFFFF"/>
              <w:bottom w:val="single" w:sz="4" w:space="0" w:color="FFFFFF"/>
              <w:right w:val="single" w:sz="4" w:space="0" w:color="FFFFFF"/>
            </w:tcBorders>
          </w:tcPr>
          <w:p w14:paraId="5792BB5D" w14:textId="77777777" w:rsidR="00655DAD" w:rsidRPr="00DC5592" w:rsidRDefault="0010437D" w:rsidP="00325673">
            <w:pPr>
              <w:spacing w:after="0"/>
              <w:jc w:val="center"/>
              <w:rPr>
                <w:rFonts w:ascii="Cambria" w:hAnsi="Cambria" w:cstheme="minorHAnsi"/>
              </w:rPr>
            </w:pPr>
            <w:r w:rsidRPr="00DC5592">
              <w:rPr>
                <w:rFonts w:ascii="Cambria" w:hAnsi="Cambria" w:cstheme="minorHAnsi"/>
                <w:noProof/>
              </w:rPr>
              <w:drawing>
                <wp:inline distT="0" distB="0" distL="0" distR="0" wp14:anchorId="5792BB8C" wp14:editId="5792BB8D">
                  <wp:extent cx="1123950" cy="1104900"/>
                  <wp:effectExtent l="0" t="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c>
          <w:tcPr>
            <w:tcW w:w="2295" w:type="dxa"/>
            <w:tcBorders>
              <w:top w:val="single" w:sz="4" w:space="0" w:color="FFFFFF"/>
              <w:left w:val="single" w:sz="4" w:space="0" w:color="FFFFFF"/>
              <w:bottom w:val="single" w:sz="4" w:space="0" w:color="FFFFFF"/>
              <w:right w:val="single" w:sz="4" w:space="0" w:color="FFFFFF"/>
            </w:tcBorders>
          </w:tcPr>
          <w:p w14:paraId="5792BB5E" w14:textId="77777777" w:rsidR="0010437D" w:rsidRPr="00DC5592" w:rsidRDefault="0010437D" w:rsidP="00325673">
            <w:pPr>
              <w:spacing w:after="0"/>
              <w:jc w:val="center"/>
              <w:rPr>
                <w:rFonts w:ascii="Cambria" w:hAnsi="Cambria" w:cstheme="minorHAnsi"/>
              </w:rPr>
            </w:pPr>
            <w:r w:rsidRPr="00DC5592">
              <w:rPr>
                <w:rFonts w:ascii="Cambria" w:hAnsi="Cambria" w:cstheme="minorHAnsi"/>
                <w:noProof/>
              </w:rPr>
              <w:drawing>
                <wp:inline distT="0" distB="0" distL="0" distR="0" wp14:anchorId="5792BB8E" wp14:editId="5792BB8F">
                  <wp:extent cx="1123950" cy="1136650"/>
                  <wp:effectExtent l="0" t="0" r="19050" b="63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c>
        <w:tc>
          <w:tcPr>
            <w:tcW w:w="2295" w:type="dxa"/>
            <w:tcBorders>
              <w:top w:val="single" w:sz="4" w:space="0" w:color="FFFFFF"/>
              <w:left w:val="single" w:sz="4" w:space="0" w:color="FFFFFF"/>
              <w:bottom w:val="single" w:sz="4" w:space="0" w:color="FFFFFF"/>
              <w:right w:val="single" w:sz="4" w:space="0" w:color="FFFFFF"/>
            </w:tcBorders>
          </w:tcPr>
          <w:p w14:paraId="5792BB5F" w14:textId="77777777" w:rsidR="00655DAD" w:rsidRPr="00DC5592" w:rsidRDefault="0010437D" w:rsidP="00325673">
            <w:pPr>
              <w:spacing w:after="0"/>
              <w:jc w:val="center"/>
              <w:rPr>
                <w:rFonts w:ascii="Cambria" w:hAnsi="Cambria" w:cstheme="minorHAnsi"/>
              </w:rPr>
            </w:pPr>
            <w:r w:rsidRPr="00DC5592">
              <w:rPr>
                <w:rFonts w:ascii="Cambria" w:hAnsi="Cambria" w:cstheme="minorHAnsi"/>
                <w:noProof/>
              </w:rPr>
              <w:drawing>
                <wp:inline distT="0" distB="0" distL="0" distR="0" wp14:anchorId="5792BB90" wp14:editId="0380E154">
                  <wp:extent cx="1117600" cy="1143000"/>
                  <wp:effectExtent l="0" t="0" r="254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c>
      </w:tr>
      <w:tr w:rsidR="00B1674E" w:rsidRPr="00DC5592" w14:paraId="5792BB84" w14:textId="77777777" w:rsidTr="00325673">
        <w:tc>
          <w:tcPr>
            <w:tcW w:w="2295" w:type="dxa"/>
            <w:tcBorders>
              <w:top w:val="single" w:sz="4" w:space="0" w:color="FFFFFF"/>
              <w:left w:val="single" w:sz="4" w:space="0" w:color="FFFFFF"/>
              <w:bottom w:val="single" w:sz="4" w:space="0" w:color="FFFFFF"/>
              <w:right w:val="single" w:sz="4" w:space="0" w:color="FFFFFF"/>
            </w:tcBorders>
            <w:shd w:val="clear" w:color="auto" w:fill="DAE7F4" w:themeFill="accent6" w:themeFillTint="33"/>
          </w:tcPr>
          <w:p w14:paraId="5792BB61"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Access regulation: ACCC regulated terms for services, information and facilities</w:t>
            </w:r>
          </w:p>
          <w:p w14:paraId="5792BB62"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Wholesale-only and functional separation requirements for residential broadband</w:t>
            </w:r>
          </w:p>
          <w:p w14:paraId="5792BB63"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Any-to-any connectivity</w:t>
            </w:r>
          </w:p>
          <w:p w14:paraId="5792BB64"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Non-discrimination</w:t>
            </w:r>
          </w:p>
          <w:p w14:paraId="5792BB65"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Numbering</w:t>
            </w:r>
          </w:p>
          <w:p w14:paraId="5792BB66"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Anti-competitive conduct prohibitions</w:t>
            </w:r>
          </w:p>
          <w:p w14:paraId="5792BB67"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 xml:space="preserve">Powers and immunities </w:t>
            </w:r>
          </w:p>
          <w:p w14:paraId="5792BB68"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 xml:space="preserve">NBN-specific requirements (wholesale, line of business, privatisation) </w:t>
            </w:r>
          </w:p>
        </w:tc>
        <w:tc>
          <w:tcPr>
            <w:tcW w:w="2295" w:type="dxa"/>
            <w:tcBorders>
              <w:top w:val="single" w:sz="4" w:space="0" w:color="FFFFFF"/>
              <w:left w:val="single" w:sz="4" w:space="0" w:color="FFFFFF"/>
              <w:bottom w:val="single" w:sz="4" w:space="0" w:color="FFFFFF"/>
              <w:right w:val="single" w:sz="4" w:space="0" w:color="FFFFFF"/>
            </w:tcBorders>
            <w:shd w:val="clear" w:color="auto" w:fill="DAE7F4" w:themeFill="accent6" w:themeFillTint="33"/>
          </w:tcPr>
          <w:p w14:paraId="5792BB69"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Codes and Standards</w:t>
            </w:r>
          </w:p>
          <w:p w14:paraId="5792BB6A"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Consumer service guarantee</w:t>
            </w:r>
          </w:p>
          <w:p w14:paraId="5792BB6B"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Network reliability</w:t>
            </w:r>
          </w:p>
          <w:p w14:paraId="5792BB6C"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Spam and telemarketing</w:t>
            </w:r>
          </w:p>
          <w:p w14:paraId="5792BB6D" w14:textId="77777777" w:rsidR="00655DAD" w:rsidRPr="00DC5592" w:rsidRDefault="00DC5592" w:rsidP="00325673">
            <w:pPr>
              <w:pStyle w:val="ListParagraph"/>
              <w:numPr>
                <w:ilvl w:val="0"/>
                <w:numId w:val="56"/>
              </w:numPr>
              <w:ind w:left="164" w:hanging="164"/>
              <w:rPr>
                <w:rFonts w:ascii="Cambria" w:hAnsi="Cambria" w:cstheme="minorHAnsi"/>
              </w:rPr>
            </w:pPr>
            <w:r w:rsidRPr="00DC5592">
              <w:rPr>
                <w:rFonts w:ascii="Cambria" w:hAnsi="Cambria" w:cstheme="minorHAnsi"/>
              </w:rPr>
              <w:t>Privacy</w:t>
            </w:r>
            <w:r w:rsidR="00655DAD" w:rsidRPr="00DC5592">
              <w:rPr>
                <w:rFonts w:ascii="Cambria" w:hAnsi="Cambria" w:cstheme="minorHAnsi"/>
              </w:rPr>
              <w:t xml:space="preserve"> protections</w:t>
            </w:r>
          </w:p>
          <w:p w14:paraId="5792BB6E"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Calling Line Identification</w:t>
            </w:r>
          </w:p>
          <w:p w14:paraId="5792BB6F"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Universal service provision: broadband</w:t>
            </w:r>
          </w:p>
          <w:p w14:paraId="5792BB70"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Universal service provision: voice</w:t>
            </w:r>
          </w:p>
          <w:p w14:paraId="5792BB71"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Broadband readiness for new developments</w:t>
            </w:r>
          </w:p>
          <w:p w14:paraId="5792BB72"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ACMA technical regs</w:t>
            </w:r>
          </w:p>
          <w:p w14:paraId="5792BB73"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Operator services</w:t>
            </w:r>
          </w:p>
          <w:p w14:paraId="5792BB74"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Directory services</w:t>
            </w:r>
          </w:p>
          <w:p w14:paraId="5792BB75"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TIO membership</w:t>
            </w:r>
          </w:p>
          <w:p w14:paraId="5792BB76"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Do not call / Anti-spam</w:t>
            </w:r>
          </w:p>
        </w:tc>
        <w:tc>
          <w:tcPr>
            <w:tcW w:w="2295" w:type="dxa"/>
            <w:tcBorders>
              <w:top w:val="single" w:sz="4" w:space="0" w:color="FFFFFF"/>
              <w:left w:val="single" w:sz="4" w:space="0" w:color="FFFFFF"/>
              <w:bottom w:val="single" w:sz="4" w:space="0" w:color="FFFFFF"/>
              <w:right w:val="single" w:sz="4" w:space="0" w:color="FFFFFF"/>
            </w:tcBorders>
            <w:shd w:val="clear" w:color="auto" w:fill="DAE7F4" w:themeFill="accent6" w:themeFillTint="33"/>
          </w:tcPr>
          <w:p w14:paraId="5792BB77"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Reasonable assistance to government (law enforcement, security, disasters)</w:t>
            </w:r>
          </w:p>
          <w:p w14:paraId="5792BB78" w14:textId="77777777" w:rsidR="00655DAD" w:rsidRPr="00DC5592" w:rsidRDefault="00655DAD" w:rsidP="00325673">
            <w:pPr>
              <w:pStyle w:val="ListParagraph"/>
              <w:numPr>
                <w:ilvl w:val="0"/>
                <w:numId w:val="56"/>
              </w:numPr>
              <w:ind w:left="164" w:hanging="164"/>
              <w:rPr>
                <w:rFonts w:ascii="Cambria" w:hAnsi="Cambria" w:cstheme="minorHAnsi"/>
              </w:rPr>
            </w:pPr>
            <w:r w:rsidRPr="00DC5592">
              <w:rPr>
                <w:rFonts w:ascii="Cambria" w:hAnsi="Cambria" w:cstheme="minorHAnsi"/>
              </w:rPr>
              <w:t>Technical assistance to security and law enforcement</w:t>
            </w:r>
          </w:p>
          <w:p w14:paraId="5792BB79" w14:textId="77777777" w:rsidR="00655DAD" w:rsidRPr="00DC5592" w:rsidRDefault="0010437D" w:rsidP="00325673">
            <w:pPr>
              <w:pStyle w:val="ListParagraph"/>
              <w:numPr>
                <w:ilvl w:val="0"/>
                <w:numId w:val="56"/>
              </w:numPr>
              <w:ind w:left="164" w:hanging="164"/>
              <w:rPr>
                <w:rFonts w:ascii="Cambria" w:hAnsi="Cambria" w:cstheme="minorHAnsi"/>
              </w:rPr>
            </w:pPr>
            <w:r w:rsidRPr="00DC5592">
              <w:rPr>
                <w:rFonts w:ascii="Cambria" w:hAnsi="Cambria" w:cstheme="minorHAnsi"/>
              </w:rPr>
              <w:t>Defence and Disaster plan compliance</w:t>
            </w:r>
          </w:p>
          <w:p w14:paraId="5792BB7A" w14:textId="77777777" w:rsidR="0010437D" w:rsidRPr="00DC5592" w:rsidRDefault="0010437D" w:rsidP="00325673">
            <w:pPr>
              <w:pStyle w:val="ListParagraph"/>
              <w:numPr>
                <w:ilvl w:val="0"/>
                <w:numId w:val="56"/>
              </w:numPr>
              <w:ind w:left="164" w:hanging="164"/>
              <w:rPr>
                <w:rFonts w:ascii="Cambria" w:hAnsi="Cambria" w:cstheme="minorHAnsi"/>
              </w:rPr>
            </w:pPr>
            <w:r w:rsidRPr="00DC5592">
              <w:rPr>
                <w:rFonts w:ascii="Cambria" w:hAnsi="Cambria" w:cstheme="minorHAnsi"/>
              </w:rPr>
              <w:t>Interception</w:t>
            </w:r>
          </w:p>
          <w:p w14:paraId="5792BB7B" w14:textId="77777777" w:rsidR="0010437D" w:rsidRPr="00DC5592" w:rsidRDefault="0010437D" w:rsidP="00325673">
            <w:pPr>
              <w:pStyle w:val="ListParagraph"/>
              <w:numPr>
                <w:ilvl w:val="0"/>
                <w:numId w:val="56"/>
              </w:numPr>
              <w:ind w:left="164" w:hanging="164"/>
              <w:rPr>
                <w:rFonts w:ascii="Cambria" w:hAnsi="Cambria" w:cstheme="minorHAnsi"/>
              </w:rPr>
            </w:pPr>
            <w:r w:rsidRPr="00DC5592">
              <w:rPr>
                <w:rFonts w:ascii="Cambria" w:hAnsi="Cambria" w:cstheme="minorHAnsi"/>
              </w:rPr>
              <w:t>Stored communications preservation</w:t>
            </w:r>
          </w:p>
          <w:p w14:paraId="5792BB7C" w14:textId="77777777" w:rsidR="0010437D" w:rsidRPr="00DC5592" w:rsidRDefault="0010437D" w:rsidP="00325673">
            <w:pPr>
              <w:pStyle w:val="ListParagraph"/>
              <w:numPr>
                <w:ilvl w:val="0"/>
                <w:numId w:val="56"/>
              </w:numPr>
              <w:ind w:left="164" w:hanging="164"/>
              <w:rPr>
                <w:rFonts w:ascii="Cambria" w:hAnsi="Cambria" w:cstheme="minorHAnsi"/>
              </w:rPr>
            </w:pPr>
            <w:r w:rsidRPr="00DC5592">
              <w:rPr>
                <w:rFonts w:ascii="Cambria" w:hAnsi="Cambria" w:cstheme="minorHAnsi"/>
              </w:rPr>
              <w:t xml:space="preserve">Data retention </w:t>
            </w:r>
          </w:p>
          <w:p w14:paraId="5792BB7D" w14:textId="77777777" w:rsidR="0010437D" w:rsidRPr="00DC5592" w:rsidRDefault="0010437D" w:rsidP="00325673">
            <w:pPr>
              <w:pStyle w:val="ListParagraph"/>
              <w:numPr>
                <w:ilvl w:val="0"/>
                <w:numId w:val="56"/>
              </w:numPr>
              <w:ind w:left="164" w:hanging="164"/>
              <w:rPr>
                <w:rFonts w:ascii="Cambria" w:hAnsi="Cambria" w:cstheme="minorHAnsi"/>
              </w:rPr>
            </w:pPr>
            <w:r w:rsidRPr="00DC5592">
              <w:rPr>
                <w:rFonts w:ascii="Cambria" w:hAnsi="Cambria" w:cstheme="minorHAnsi"/>
              </w:rPr>
              <w:t>Physical and cyber security (including submarine cables)</w:t>
            </w:r>
          </w:p>
          <w:p w14:paraId="5792BB7E" w14:textId="77777777" w:rsidR="0010437D" w:rsidRPr="00DC5592" w:rsidRDefault="0010437D" w:rsidP="00325673">
            <w:pPr>
              <w:pStyle w:val="ListParagraph"/>
              <w:numPr>
                <w:ilvl w:val="0"/>
                <w:numId w:val="56"/>
              </w:numPr>
              <w:ind w:left="164" w:hanging="164"/>
              <w:rPr>
                <w:rFonts w:ascii="Cambria" w:hAnsi="Cambria" w:cstheme="minorHAnsi"/>
              </w:rPr>
            </w:pPr>
            <w:r w:rsidRPr="00DC5592">
              <w:rPr>
                <w:rFonts w:ascii="Cambria" w:hAnsi="Cambria" w:cstheme="minorHAnsi"/>
              </w:rPr>
              <w:t>Integrated Public Number Database</w:t>
            </w:r>
          </w:p>
          <w:p w14:paraId="5792BB7F" w14:textId="77777777" w:rsidR="00655DAD" w:rsidRPr="00DC5592" w:rsidRDefault="00655DAD" w:rsidP="00325673">
            <w:pPr>
              <w:jc w:val="center"/>
              <w:rPr>
                <w:rFonts w:ascii="Cambria" w:hAnsi="Cambria" w:cstheme="minorHAnsi"/>
              </w:rPr>
            </w:pPr>
          </w:p>
        </w:tc>
        <w:tc>
          <w:tcPr>
            <w:tcW w:w="2295" w:type="dxa"/>
            <w:tcBorders>
              <w:top w:val="single" w:sz="4" w:space="0" w:color="FFFFFF"/>
              <w:left w:val="single" w:sz="4" w:space="0" w:color="FFFFFF"/>
              <w:bottom w:val="single" w:sz="4" w:space="0" w:color="FFFFFF"/>
              <w:right w:val="single" w:sz="4" w:space="0" w:color="FFFFFF"/>
            </w:tcBorders>
            <w:shd w:val="clear" w:color="auto" w:fill="DAE7F4" w:themeFill="accent6" w:themeFillTint="33"/>
          </w:tcPr>
          <w:p w14:paraId="5792BB80" w14:textId="77777777" w:rsidR="00655DAD" w:rsidRPr="00DC5592" w:rsidRDefault="0010437D" w:rsidP="00325673">
            <w:pPr>
              <w:pStyle w:val="ListParagraph"/>
              <w:numPr>
                <w:ilvl w:val="0"/>
                <w:numId w:val="56"/>
              </w:numPr>
              <w:ind w:left="164" w:hanging="164"/>
              <w:rPr>
                <w:rFonts w:ascii="Cambria" w:hAnsi="Cambria" w:cstheme="minorHAnsi"/>
              </w:rPr>
            </w:pPr>
            <w:r w:rsidRPr="00DC5592">
              <w:rPr>
                <w:rFonts w:ascii="Cambria" w:hAnsi="Cambria" w:cstheme="minorHAnsi"/>
              </w:rPr>
              <w:t>Telecommunications Industry Levy for Universal Service Obligation, national relay service, emergency call service</w:t>
            </w:r>
          </w:p>
          <w:p w14:paraId="5792BB81" w14:textId="77777777" w:rsidR="0010437D" w:rsidRPr="00DC5592" w:rsidRDefault="0010437D" w:rsidP="00325673">
            <w:pPr>
              <w:pStyle w:val="ListParagraph"/>
              <w:numPr>
                <w:ilvl w:val="0"/>
                <w:numId w:val="56"/>
              </w:numPr>
              <w:ind w:left="164" w:hanging="164"/>
              <w:rPr>
                <w:rFonts w:ascii="Cambria" w:hAnsi="Cambria" w:cstheme="minorHAnsi"/>
              </w:rPr>
            </w:pPr>
            <w:r w:rsidRPr="00DC5592">
              <w:rPr>
                <w:rFonts w:ascii="Cambria" w:hAnsi="Cambria" w:cstheme="minorHAnsi"/>
              </w:rPr>
              <w:t>Regional Broadband Scheme</w:t>
            </w:r>
          </w:p>
          <w:p w14:paraId="5792BB83" w14:textId="295D3828" w:rsidR="0010437D" w:rsidRPr="00DC5592" w:rsidRDefault="0010437D" w:rsidP="00612974">
            <w:pPr>
              <w:pStyle w:val="ListParagraph"/>
              <w:numPr>
                <w:ilvl w:val="0"/>
                <w:numId w:val="0"/>
              </w:numPr>
              <w:ind w:left="164"/>
              <w:rPr>
                <w:rFonts w:ascii="Cambria" w:hAnsi="Cambria" w:cstheme="minorHAnsi"/>
              </w:rPr>
            </w:pPr>
          </w:p>
        </w:tc>
      </w:tr>
    </w:tbl>
    <w:p w14:paraId="5792BB85" w14:textId="77777777" w:rsidR="00581FC1" w:rsidRPr="00DC5592" w:rsidRDefault="00581FC1" w:rsidP="00655DAD">
      <w:pPr>
        <w:rPr>
          <w:rFonts w:ascii="Cambria" w:hAnsi="Cambria"/>
        </w:rPr>
      </w:pPr>
    </w:p>
    <w:sectPr w:rsidR="00581FC1" w:rsidRPr="00DC5592" w:rsidSect="002307B1">
      <w:headerReference w:type="default" r:id="rId33"/>
      <w:pgSz w:w="11906" w:h="16838"/>
      <w:pgMar w:top="1985" w:right="1276"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2BB95" w14:textId="77777777" w:rsidR="00DB54E2" w:rsidRDefault="00DB54E2" w:rsidP="005113AA">
      <w:pPr>
        <w:spacing w:after="0"/>
      </w:pPr>
      <w:r>
        <w:separator/>
      </w:r>
    </w:p>
  </w:endnote>
  <w:endnote w:type="continuationSeparator" w:id="0">
    <w:p w14:paraId="5792BB96" w14:textId="77777777" w:rsidR="00DB54E2" w:rsidRDefault="00DB54E2" w:rsidP="005113AA">
      <w:pPr>
        <w:spacing w:after="0"/>
      </w:pPr>
      <w:r>
        <w:continuationSeparator/>
      </w:r>
    </w:p>
  </w:endnote>
  <w:endnote w:type="continuationNotice" w:id="1">
    <w:p w14:paraId="5792BB97" w14:textId="77777777" w:rsidR="00DB54E2" w:rsidRDefault="00DB54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2BB92" w14:textId="77777777" w:rsidR="00DB54E2" w:rsidRDefault="00DB54E2" w:rsidP="005113AA">
      <w:pPr>
        <w:spacing w:after="0"/>
      </w:pPr>
      <w:r>
        <w:separator/>
      </w:r>
    </w:p>
  </w:footnote>
  <w:footnote w:type="continuationSeparator" w:id="0">
    <w:p w14:paraId="5792BB93" w14:textId="77777777" w:rsidR="00DB54E2" w:rsidRDefault="00DB54E2" w:rsidP="005113AA">
      <w:pPr>
        <w:spacing w:after="0"/>
      </w:pPr>
      <w:r>
        <w:continuationSeparator/>
      </w:r>
    </w:p>
  </w:footnote>
  <w:footnote w:type="continuationNotice" w:id="1">
    <w:p w14:paraId="5792BB94" w14:textId="77777777" w:rsidR="00DB54E2" w:rsidRDefault="00DB54E2">
      <w:pPr>
        <w:spacing w:after="0"/>
      </w:pPr>
    </w:p>
  </w:footnote>
  <w:footnote w:id="2">
    <w:p w14:paraId="5792BB9E" w14:textId="1BC6A43F" w:rsidR="003054C3" w:rsidRPr="00C327DB" w:rsidRDefault="003054C3">
      <w:pPr>
        <w:pStyle w:val="FootnoteText"/>
        <w:rPr>
          <w:rFonts w:ascii="Cambria" w:hAnsi="Cambria"/>
        </w:rPr>
      </w:pPr>
      <w:r w:rsidRPr="00C327DB">
        <w:rPr>
          <w:rStyle w:val="FootnoteReference"/>
          <w:rFonts w:ascii="Cambria" w:hAnsi="Cambria"/>
        </w:rPr>
        <w:footnoteRef/>
      </w:r>
      <w:r w:rsidRPr="00C327DB">
        <w:rPr>
          <w:rFonts w:ascii="Cambria" w:hAnsi="Cambria"/>
        </w:rPr>
        <w:t xml:space="preserve"> Connected vehicles use information and communication technologies to communicate with the driver, other road users, roadside infrastructure and other wireless services. Source: </w:t>
      </w:r>
      <w:hyperlink r:id="rId1" w:history="1">
        <w:r w:rsidRPr="00C327DB">
          <w:rPr>
            <w:rStyle w:val="Hyperlink"/>
            <w:rFonts w:ascii="Cambria" w:hAnsi="Cambria"/>
          </w:rPr>
          <w:t>Connected and automated vehicles | Department of Infrastructure, Transport, Regional Development, Communications and the Arts</w:t>
        </w:r>
      </w:hyperlink>
    </w:p>
  </w:footnote>
  <w:footnote w:id="3">
    <w:p w14:paraId="5792BB9F" w14:textId="2E97BC2F" w:rsidR="003054C3" w:rsidRPr="00C327DB" w:rsidRDefault="003054C3">
      <w:pPr>
        <w:pStyle w:val="FootnoteText"/>
        <w:rPr>
          <w:rFonts w:ascii="Cambria" w:hAnsi="Cambria"/>
        </w:rPr>
      </w:pPr>
      <w:r w:rsidRPr="00C327DB">
        <w:rPr>
          <w:rStyle w:val="FootnoteReference"/>
          <w:rFonts w:ascii="Cambria" w:hAnsi="Cambria"/>
        </w:rPr>
        <w:footnoteRef/>
      </w:r>
      <w:r w:rsidRPr="00C327DB">
        <w:rPr>
          <w:rFonts w:ascii="Cambria" w:hAnsi="Cambria"/>
        </w:rPr>
        <w:t xml:space="preserve"> </w:t>
      </w:r>
      <w:hyperlink r:id="rId2" w:history="1">
        <w:r w:rsidRPr="00C327DB">
          <w:rPr>
            <w:rStyle w:val="Hyperlink"/>
            <w:rFonts w:ascii="Cambria" w:hAnsi="Cambria"/>
          </w:rPr>
          <w:t>Connected Vehicle Market Trends 2023 Size Equity, Competitive Landscape, Key Factors, Regional Segments and Forecast to 2030 - MarketWatch</w:t>
        </w:r>
      </w:hyperlink>
    </w:p>
  </w:footnote>
  <w:footnote w:id="4">
    <w:p w14:paraId="5792BBA0" w14:textId="0E1B32DD" w:rsidR="003054C3" w:rsidRPr="00C327DB" w:rsidRDefault="003054C3">
      <w:pPr>
        <w:pStyle w:val="FootnoteText"/>
        <w:rPr>
          <w:rFonts w:ascii="Cambria" w:hAnsi="Cambria"/>
        </w:rPr>
      </w:pPr>
      <w:r w:rsidRPr="00C327DB">
        <w:rPr>
          <w:rStyle w:val="FootnoteReference"/>
          <w:rFonts w:ascii="Cambria" w:hAnsi="Cambria"/>
        </w:rPr>
        <w:footnoteRef/>
      </w:r>
      <w:r w:rsidRPr="00C327DB">
        <w:rPr>
          <w:rFonts w:ascii="Cambria" w:hAnsi="Cambria"/>
        </w:rPr>
        <w:t xml:space="preserve"> </w:t>
      </w:r>
      <w:hyperlink r:id="rId3" w:history="1">
        <w:r w:rsidRPr="00C327DB">
          <w:rPr>
            <w:rStyle w:val="Hyperlink"/>
            <w:rFonts w:ascii="Cambria" w:hAnsi="Cambria"/>
          </w:rPr>
          <w:t>Asia-Pacific Connected Vehicle Market Size 2023 Demands Status, Strategies and Key Dynamics Forecast to 2030 - MarketWatch</w:t>
        </w:r>
      </w:hyperlink>
    </w:p>
  </w:footnote>
  <w:footnote w:id="5">
    <w:p w14:paraId="5792BBA1" w14:textId="447B0F51" w:rsidR="003054C3" w:rsidRPr="00C327DB" w:rsidRDefault="003054C3">
      <w:pPr>
        <w:pStyle w:val="FootnoteText"/>
        <w:rPr>
          <w:rFonts w:ascii="Cambria" w:hAnsi="Cambria"/>
        </w:rPr>
      </w:pPr>
      <w:r w:rsidRPr="00C327DB">
        <w:rPr>
          <w:rStyle w:val="FootnoteReference"/>
          <w:rFonts w:ascii="Cambria" w:hAnsi="Cambria"/>
        </w:rPr>
        <w:footnoteRef/>
      </w:r>
      <w:r w:rsidRPr="00C327DB">
        <w:rPr>
          <w:rFonts w:ascii="Cambria" w:hAnsi="Cambria"/>
        </w:rPr>
        <w:t xml:space="preserve"> </w:t>
      </w:r>
      <w:hyperlink r:id="rId4" w:history="1">
        <w:r w:rsidRPr="00C327DB">
          <w:rPr>
            <w:rStyle w:val="Hyperlink"/>
            <w:rFonts w:ascii="Cambria" w:hAnsi="Cambria"/>
          </w:rPr>
          <w:t>Connected and Automated Vehicles | Future Transport and Mobility (austrade.gov.au)</w:t>
        </w:r>
      </w:hyperlink>
    </w:p>
  </w:footnote>
  <w:footnote w:id="6">
    <w:p w14:paraId="5792BBA2" w14:textId="400777C2" w:rsidR="003054C3" w:rsidRPr="00C327DB" w:rsidRDefault="003054C3">
      <w:pPr>
        <w:pStyle w:val="FootnoteText"/>
        <w:rPr>
          <w:rFonts w:ascii="Cambria" w:hAnsi="Cambria"/>
        </w:rPr>
      </w:pPr>
      <w:r w:rsidRPr="00E347C1">
        <w:rPr>
          <w:rStyle w:val="FootnoteReference"/>
          <w:rFonts w:ascii="Cambria" w:hAnsi="Cambria"/>
        </w:rPr>
        <w:footnoteRef/>
      </w:r>
      <w:r w:rsidRPr="00E347C1">
        <w:rPr>
          <w:rFonts w:ascii="Cambria" w:hAnsi="Cambria"/>
        </w:rPr>
        <w:t xml:space="preserve"> </w:t>
      </w:r>
      <w:hyperlink r:id="rId5" w:history="1">
        <w:r w:rsidRPr="00C327DB">
          <w:rPr>
            <w:rStyle w:val="Hyperlink"/>
            <w:rFonts w:ascii="Cambria" w:hAnsi="Cambria"/>
          </w:rPr>
          <w:t>Connected and automated vehicles | Department of Infrastructure, Transport, Regional Development, Communications and the Arts</w:t>
        </w:r>
      </w:hyperlink>
    </w:p>
  </w:footnote>
  <w:footnote w:id="7">
    <w:p w14:paraId="5792BBA3" w14:textId="798A2570" w:rsidR="003054C3" w:rsidRPr="00E92865" w:rsidRDefault="003054C3">
      <w:pPr>
        <w:pStyle w:val="FootnoteText"/>
        <w:rPr>
          <w:rFonts w:ascii="Cambria" w:hAnsi="Cambria"/>
        </w:rPr>
      </w:pPr>
      <w:r w:rsidRPr="00C327DB">
        <w:rPr>
          <w:rStyle w:val="FootnoteReference"/>
          <w:rFonts w:ascii="Cambria" w:hAnsi="Cambria"/>
        </w:rPr>
        <w:footnoteRef/>
      </w:r>
      <w:r w:rsidRPr="00C327DB">
        <w:rPr>
          <w:rFonts w:ascii="Cambria" w:hAnsi="Cambria"/>
        </w:rPr>
        <w:t xml:space="preserve"> </w:t>
      </w:r>
      <w:hyperlink r:id="rId6" w:history="1">
        <w:r w:rsidRPr="00C327DB">
          <w:rPr>
            <w:rStyle w:val="Hyperlink"/>
            <w:rFonts w:ascii="Cambria" w:hAnsi="Cambria"/>
          </w:rPr>
          <w:t>Connected car - Wikipedia</w:t>
        </w:r>
      </w:hyperlink>
      <w:r w:rsidRPr="00C327DB">
        <w:rPr>
          <w:rStyle w:val="Hyperlink"/>
          <w:rFonts w:ascii="Cambria" w:hAnsi="Cambria"/>
        </w:rPr>
        <w:t>.</w:t>
      </w:r>
      <w:r w:rsidRPr="004C4841">
        <w:rPr>
          <w:rStyle w:val="Hyperlink"/>
          <w:rFonts w:ascii="Cambria" w:hAnsi="Cambria"/>
          <w:u w:val="none"/>
        </w:rPr>
        <w:t xml:space="preserve">  </w:t>
      </w:r>
      <w:r w:rsidRPr="004C4841">
        <w:rPr>
          <w:rStyle w:val="Hyperlink"/>
          <w:rFonts w:ascii="Cambria" w:hAnsi="Cambria"/>
          <w:color w:val="auto"/>
          <w:u w:val="none"/>
        </w:rPr>
        <w:t xml:space="preserve">It should be noted that connectivity listed is not mutually exclusive, and will often overlap </w:t>
      </w:r>
      <w:r w:rsidRPr="00E92865">
        <w:rPr>
          <w:rStyle w:val="Hyperlink"/>
          <w:rFonts w:ascii="Cambria" w:hAnsi="Cambria"/>
          <w:color w:val="auto"/>
          <w:u w:val="none"/>
        </w:rPr>
        <w:t>with other types of connectivity (</w:t>
      </w:r>
      <w:r w:rsidR="00DC5592" w:rsidRPr="00E92865">
        <w:rPr>
          <w:rStyle w:val="Hyperlink"/>
          <w:rFonts w:ascii="Cambria" w:hAnsi="Cambria"/>
          <w:color w:val="auto"/>
          <w:u w:val="none"/>
        </w:rPr>
        <w:t>e.g.</w:t>
      </w:r>
      <w:r w:rsidRPr="00E92865">
        <w:rPr>
          <w:rStyle w:val="Hyperlink"/>
          <w:rFonts w:ascii="Cambria" w:hAnsi="Cambria"/>
          <w:color w:val="auto"/>
          <w:u w:val="none"/>
        </w:rPr>
        <w:t xml:space="preserve"> V2P will incorporate V2V and V2I connectivity, as well as connecting to </w:t>
      </w:r>
      <w:r w:rsidR="00737EBB">
        <w:rPr>
          <w:rStyle w:val="Hyperlink"/>
          <w:rFonts w:ascii="Cambria" w:hAnsi="Cambria"/>
          <w:color w:val="auto"/>
          <w:u w:val="none"/>
        </w:rPr>
        <w:t>p</w:t>
      </w:r>
      <w:r w:rsidR="00737EBB" w:rsidRPr="00E92865">
        <w:rPr>
          <w:rStyle w:val="Hyperlink"/>
          <w:rFonts w:ascii="Cambria" w:hAnsi="Cambria"/>
          <w:color w:val="auto"/>
          <w:u w:val="none"/>
        </w:rPr>
        <w:t>edestrians</w:t>
      </w:r>
      <w:r w:rsidRPr="00E92865">
        <w:rPr>
          <w:rStyle w:val="Hyperlink"/>
          <w:rFonts w:ascii="Cambria" w:hAnsi="Cambria"/>
          <w:color w:val="auto"/>
          <w:u w:val="none"/>
        </w:rPr>
        <w:t>).</w:t>
      </w:r>
    </w:p>
  </w:footnote>
  <w:footnote w:id="8">
    <w:p w14:paraId="5792BBA4" w14:textId="43CB4355" w:rsidR="003054C3" w:rsidRPr="0010781D" w:rsidRDefault="003054C3">
      <w:pPr>
        <w:pStyle w:val="FootnoteText"/>
        <w:rPr>
          <w:lang w:val="en-US"/>
        </w:rPr>
      </w:pPr>
      <w:r>
        <w:rPr>
          <w:rStyle w:val="FootnoteReference"/>
        </w:rPr>
        <w:footnoteRef/>
      </w:r>
      <w:r>
        <w:t xml:space="preserve"> </w:t>
      </w:r>
      <w:hyperlink r:id="rId7" w:history="1">
        <w:r w:rsidRPr="007772C4">
          <w:rPr>
            <w:rStyle w:val="Hyperlink"/>
            <w:rFonts w:ascii="Cambria" w:hAnsi="Cambria"/>
          </w:rPr>
          <w:t>A typical telematics architecture in a connected vehicle. | Download Scientific Diagram (researchgate.net)</w:t>
        </w:r>
      </w:hyperlink>
    </w:p>
  </w:footnote>
  <w:footnote w:id="9">
    <w:p w14:paraId="5792BBA5" w14:textId="67E2E147" w:rsidR="003054C3" w:rsidRPr="0010781D" w:rsidRDefault="003054C3">
      <w:pPr>
        <w:pStyle w:val="FootnoteText"/>
        <w:rPr>
          <w:rFonts w:ascii="Cambria" w:hAnsi="Cambria"/>
        </w:rPr>
      </w:pPr>
      <w:r w:rsidRPr="00C327DB">
        <w:rPr>
          <w:rStyle w:val="FootnoteReference"/>
          <w:rFonts w:ascii="Cambria" w:hAnsi="Cambria"/>
        </w:rPr>
        <w:footnoteRef/>
      </w:r>
      <w:r w:rsidRPr="00C327DB">
        <w:rPr>
          <w:rFonts w:ascii="Cambria" w:hAnsi="Cambria"/>
        </w:rPr>
        <w:t xml:space="preserve"> </w:t>
      </w:r>
      <w:hyperlink r:id="rId8" w:history="1">
        <w:r w:rsidRPr="00C327DB">
          <w:rPr>
            <w:rStyle w:val="Hyperlink"/>
            <w:rFonts w:ascii="Cambria" w:hAnsi="Cambria"/>
          </w:rPr>
          <w:t>Connected and automated vehicles | Department of Infrastructure, Transport, Regional Development, Communications and the Arts</w:t>
        </w:r>
      </w:hyperlink>
      <w:r w:rsidRPr="00C327DB">
        <w:rPr>
          <w:rFonts w:ascii="Cambria" w:hAnsi="Cambria"/>
        </w:rPr>
        <w:t xml:space="preserve"> </w:t>
      </w:r>
    </w:p>
  </w:footnote>
  <w:footnote w:id="10">
    <w:p w14:paraId="5792BBA6" w14:textId="05E952FD" w:rsidR="003054C3" w:rsidRPr="0010781D" w:rsidRDefault="003054C3">
      <w:pPr>
        <w:pStyle w:val="FootnoteText"/>
        <w:rPr>
          <w:rFonts w:ascii="Cambria" w:hAnsi="Cambria"/>
          <w:lang w:val="en-US"/>
        </w:rPr>
      </w:pPr>
      <w:r w:rsidRPr="0010781D">
        <w:rPr>
          <w:rStyle w:val="FootnoteReference"/>
          <w:rFonts w:ascii="Cambria" w:hAnsi="Cambria"/>
        </w:rPr>
        <w:footnoteRef/>
      </w:r>
      <w:r w:rsidRPr="0010781D">
        <w:rPr>
          <w:rFonts w:ascii="Cambria" w:hAnsi="Cambria"/>
        </w:rPr>
        <w:t xml:space="preserve"> </w:t>
      </w:r>
      <w:hyperlink r:id="rId9" w:history="1">
        <w:r w:rsidRPr="0010781D">
          <w:rPr>
            <w:rStyle w:val="Hyperlink"/>
            <w:rFonts w:ascii="Cambria" w:hAnsi="Cambria"/>
          </w:rPr>
          <w:t>AP-R654-21 | Austroads</w:t>
        </w:r>
      </w:hyperlink>
      <w:r w:rsidRPr="0010781D">
        <w:rPr>
          <w:rFonts w:ascii="Cambria" w:hAnsi="Cambria"/>
        </w:rPr>
        <w:t>, p. 27 &amp; 28</w:t>
      </w:r>
    </w:p>
  </w:footnote>
  <w:footnote w:id="11">
    <w:p w14:paraId="5792BBA7" w14:textId="6321607E" w:rsidR="003054C3" w:rsidRPr="0010781D" w:rsidRDefault="003054C3">
      <w:pPr>
        <w:pStyle w:val="FootnoteText"/>
        <w:rPr>
          <w:rFonts w:ascii="Cambria" w:hAnsi="Cambria"/>
          <w:lang w:val="en-US"/>
        </w:rPr>
      </w:pPr>
      <w:r w:rsidRPr="0010781D">
        <w:rPr>
          <w:rStyle w:val="FootnoteReference"/>
          <w:rFonts w:ascii="Cambria" w:hAnsi="Cambria"/>
        </w:rPr>
        <w:footnoteRef/>
      </w:r>
      <w:r w:rsidRPr="0010781D">
        <w:rPr>
          <w:rFonts w:ascii="Cambria" w:hAnsi="Cambria"/>
        </w:rPr>
        <w:t xml:space="preserve"> </w:t>
      </w:r>
      <w:hyperlink r:id="rId10" w:history="1">
        <w:r w:rsidRPr="0010781D">
          <w:rPr>
            <w:rStyle w:val="Hyperlink"/>
            <w:rFonts w:ascii="Cambria" w:hAnsi="Cambria"/>
          </w:rPr>
          <w:t>AP-R654-21 | Austroads</w:t>
        </w:r>
      </w:hyperlink>
      <w:r w:rsidRPr="0010781D">
        <w:rPr>
          <w:rFonts w:ascii="Cambria" w:hAnsi="Cambria"/>
        </w:rPr>
        <w:t>, p. 17-19</w:t>
      </w:r>
    </w:p>
  </w:footnote>
  <w:footnote w:id="12">
    <w:p w14:paraId="5792BBA8" w14:textId="127F9E8A" w:rsidR="003054C3" w:rsidRPr="00E347C1" w:rsidRDefault="003054C3" w:rsidP="001528BF">
      <w:pPr>
        <w:pStyle w:val="FootnoteText"/>
        <w:rPr>
          <w:rFonts w:ascii="Cambria" w:hAnsi="Cambria"/>
        </w:rPr>
      </w:pPr>
      <w:r w:rsidRPr="00E347C1">
        <w:rPr>
          <w:rStyle w:val="FootnoteReference"/>
          <w:rFonts w:ascii="Cambria" w:hAnsi="Cambria"/>
        </w:rPr>
        <w:footnoteRef/>
      </w:r>
      <w:r w:rsidRPr="00E347C1">
        <w:rPr>
          <w:rFonts w:ascii="Cambria" w:hAnsi="Cambria"/>
        </w:rPr>
        <w:t xml:space="preserve"> </w:t>
      </w:r>
      <w:hyperlink r:id="rId11" w:history="1">
        <w:r w:rsidRPr="00C327DB">
          <w:rPr>
            <w:rStyle w:val="Hyperlink"/>
            <w:rFonts w:ascii="Cambria" w:hAnsi="Cambria"/>
          </w:rPr>
          <w:t>Connected vehicles | Transport and motoring | Queensland Government (www.qld.gov.au)</w:t>
        </w:r>
      </w:hyperlink>
    </w:p>
    <w:p w14:paraId="5792BBA9" w14:textId="77777777" w:rsidR="003054C3" w:rsidRPr="00E347C1" w:rsidRDefault="003054C3" w:rsidP="001528BF">
      <w:pPr>
        <w:pStyle w:val="FootnoteText"/>
        <w:rPr>
          <w:rFonts w:ascii="Cambria" w:hAnsi="Cambria"/>
        </w:rPr>
      </w:pPr>
    </w:p>
  </w:footnote>
  <w:footnote w:id="13">
    <w:p w14:paraId="5792BBAA" w14:textId="77777777" w:rsidR="003054C3" w:rsidRPr="00B1204C" w:rsidRDefault="003054C3" w:rsidP="001528BF">
      <w:pPr>
        <w:pStyle w:val="FootnoteText"/>
        <w:rPr>
          <w:rFonts w:ascii="Cambria" w:hAnsi="Cambria"/>
        </w:rPr>
      </w:pPr>
      <w:r w:rsidRPr="00B1204C">
        <w:rPr>
          <w:rStyle w:val="FootnoteReference"/>
          <w:rFonts w:ascii="Cambria" w:hAnsi="Cambria"/>
        </w:rPr>
        <w:footnoteRef/>
      </w:r>
      <w:r w:rsidRPr="00B1204C">
        <w:rPr>
          <w:rFonts w:ascii="Cambria" w:hAnsi="Cambria"/>
        </w:rPr>
        <w:t xml:space="preserve"> Section 6 of the </w:t>
      </w:r>
      <w:r w:rsidRPr="00B1204C">
        <w:rPr>
          <w:rFonts w:ascii="Cambria" w:hAnsi="Cambria"/>
          <w:i/>
        </w:rPr>
        <w:t xml:space="preserve">TCPSS Act </w:t>
      </w:r>
      <w:r w:rsidRPr="00B1204C">
        <w:rPr>
          <w:rFonts w:ascii="Cambria" w:hAnsi="Cambria"/>
        </w:rPr>
        <w:t>defines a standard telephone service as a carriage service for the purpose of voice telephony where an end</w:t>
      </w:r>
      <w:r w:rsidRPr="00B1204C">
        <w:rPr>
          <w:rFonts w:ascii="Cambria" w:hAnsi="Cambria" w:cs="Cambria Math"/>
        </w:rPr>
        <w:t>‑</w:t>
      </w:r>
      <w:r w:rsidRPr="00B1204C">
        <w:rPr>
          <w:rFonts w:ascii="Cambria" w:hAnsi="Cambria"/>
        </w:rPr>
        <w:t>user supplied with the service is ordinarily able to communicate, by means of the service, with each other end</w:t>
      </w:r>
      <w:r w:rsidRPr="00B1204C">
        <w:rPr>
          <w:rFonts w:ascii="Cambria" w:hAnsi="Cambria" w:cs="Cambria Math"/>
        </w:rPr>
        <w:t>‑</w:t>
      </w:r>
      <w:r w:rsidRPr="00B1204C">
        <w:rPr>
          <w:rFonts w:ascii="Cambria" w:hAnsi="Cambria"/>
        </w:rPr>
        <w:t>user who is supplied with the same service for the same purpose, whether or not the end</w:t>
      </w:r>
      <w:r w:rsidRPr="00B1204C">
        <w:rPr>
          <w:rFonts w:ascii="Cambria" w:hAnsi="Cambria" w:cs="Cambria Math"/>
        </w:rPr>
        <w:t>‑</w:t>
      </w:r>
      <w:r w:rsidRPr="00B1204C">
        <w:rPr>
          <w:rFonts w:ascii="Cambria" w:hAnsi="Cambria"/>
        </w:rPr>
        <w:t xml:space="preserve">users are connected to the same telecommunications network. </w:t>
      </w:r>
    </w:p>
  </w:footnote>
  <w:footnote w:id="14">
    <w:p w14:paraId="5792BBAB" w14:textId="77777777" w:rsidR="003054C3" w:rsidRPr="00B1204C" w:rsidRDefault="003054C3">
      <w:pPr>
        <w:pStyle w:val="FootnoteText"/>
        <w:rPr>
          <w:rFonts w:ascii="Cambria" w:hAnsi="Cambria"/>
        </w:rPr>
      </w:pPr>
      <w:r w:rsidRPr="00B1204C">
        <w:rPr>
          <w:rStyle w:val="FootnoteReference"/>
          <w:rFonts w:ascii="Cambria" w:hAnsi="Cambria"/>
        </w:rPr>
        <w:footnoteRef/>
      </w:r>
      <w:r w:rsidRPr="00B1204C">
        <w:rPr>
          <w:rFonts w:ascii="Cambria" w:hAnsi="Cambria"/>
        </w:rPr>
        <w:t xml:space="preserve"> This paper uses the term </w:t>
      </w:r>
      <w:r w:rsidRPr="00B1204C">
        <w:rPr>
          <w:rFonts w:ascii="Cambria" w:hAnsi="Cambria"/>
          <w:i/>
        </w:rPr>
        <w:t>telecommunications network provider</w:t>
      </w:r>
      <w:r w:rsidRPr="00B1204C">
        <w:rPr>
          <w:rFonts w:ascii="Cambria" w:hAnsi="Cambria"/>
        </w:rPr>
        <w:t xml:space="preserve"> for these providers rather than the catch all term ‘carrier’. This is due to the Tel Act defining a carrier as ‘the holder of a carrier licence’ (Section 7). As these providers may be based overseas and may not hold an Australian carrier licence, we have opted not to use the term carrier.</w:t>
      </w:r>
    </w:p>
  </w:footnote>
  <w:footnote w:id="15">
    <w:p w14:paraId="5792BBAC" w14:textId="77777777" w:rsidR="003054C3" w:rsidRPr="00C327DB" w:rsidRDefault="003054C3" w:rsidP="00244C9A">
      <w:pPr>
        <w:pStyle w:val="FootnoteText"/>
        <w:rPr>
          <w:rFonts w:ascii="Cambria" w:hAnsi="Cambria"/>
        </w:rPr>
      </w:pPr>
      <w:r w:rsidRPr="00C327DB">
        <w:rPr>
          <w:rStyle w:val="FootnoteReference"/>
          <w:rFonts w:ascii="Cambria" w:hAnsi="Cambria"/>
        </w:rPr>
        <w:footnoteRef/>
      </w:r>
      <w:r w:rsidRPr="00C327DB">
        <w:rPr>
          <w:rFonts w:ascii="Cambria" w:hAnsi="Cambria"/>
        </w:rPr>
        <w:t xml:space="preserve"> Section 87(5) of the Tel Act provides that a CSI is a CSP for the purposes of the Tel Act.</w:t>
      </w:r>
    </w:p>
  </w:footnote>
  <w:footnote w:id="16">
    <w:p w14:paraId="5792BBAD" w14:textId="77777777" w:rsidR="00F901B7" w:rsidRPr="00F901B7" w:rsidRDefault="00F901B7">
      <w:pPr>
        <w:pStyle w:val="FootnoteText"/>
        <w:rPr>
          <w:rFonts w:ascii="Cambria" w:hAnsi="Cambria"/>
        </w:rPr>
      </w:pPr>
      <w:r>
        <w:rPr>
          <w:rStyle w:val="FootnoteReference"/>
        </w:rPr>
        <w:footnoteRef/>
      </w:r>
      <w:r>
        <w:t xml:space="preserve"> </w:t>
      </w:r>
      <w:r w:rsidRPr="00F901B7">
        <w:rPr>
          <w:rFonts w:ascii="Cambria" w:hAnsi="Cambria"/>
        </w:rPr>
        <w:t>Section 95 allows the Minister to exempt a specified carriage service or a specified person from a specified eligible definition provision. In this instance, exempting an entity from being a CSP/CSI.</w:t>
      </w:r>
    </w:p>
  </w:footnote>
  <w:footnote w:id="17">
    <w:p w14:paraId="5792BBAE" w14:textId="77777777" w:rsidR="003054C3" w:rsidRPr="00F508A0" w:rsidRDefault="003054C3">
      <w:pPr>
        <w:pStyle w:val="FootnoteText"/>
        <w:rPr>
          <w:rFonts w:ascii="Cambria" w:hAnsi="Cambria"/>
          <w:lang w:val="en-US"/>
        </w:rPr>
      </w:pPr>
      <w:r w:rsidRPr="00F508A0">
        <w:rPr>
          <w:rStyle w:val="FootnoteReference"/>
          <w:rFonts w:ascii="Cambria" w:hAnsi="Cambria"/>
        </w:rPr>
        <w:footnoteRef/>
      </w:r>
      <w:r w:rsidRPr="00F508A0">
        <w:rPr>
          <w:rFonts w:ascii="Cambria" w:hAnsi="Cambria"/>
        </w:rPr>
        <w:t xml:space="preserve"> </w:t>
      </w:r>
      <w:r w:rsidRPr="00F508A0">
        <w:rPr>
          <w:rFonts w:ascii="Cambria" w:hAnsi="Cambria"/>
          <w:lang w:val="en-US"/>
        </w:rPr>
        <w:t xml:space="preserve">Tel Act s 42. </w:t>
      </w:r>
    </w:p>
  </w:footnote>
  <w:footnote w:id="18">
    <w:p w14:paraId="5792BBAF" w14:textId="77777777" w:rsidR="003054C3" w:rsidRPr="00F508A0" w:rsidRDefault="003054C3">
      <w:pPr>
        <w:pStyle w:val="FootnoteText"/>
        <w:rPr>
          <w:rFonts w:ascii="Cambria" w:hAnsi="Cambria"/>
          <w:lang w:val="en-US"/>
        </w:rPr>
      </w:pPr>
      <w:r w:rsidRPr="00F508A0">
        <w:rPr>
          <w:rStyle w:val="FootnoteReference"/>
          <w:rFonts w:ascii="Cambria" w:hAnsi="Cambria"/>
        </w:rPr>
        <w:footnoteRef/>
      </w:r>
      <w:r w:rsidRPr="00F508A0">
        <w:rPr>
          <w:rFonts w:ascii="Cambria" w:hAnsi="Cambria"/>
        </w:rPr>
        <w:t xml:space="preserve"> </w:t>
      </w:r>
      <w:r w:rsidRPr="00F508A0">
        <w:rPr>
          <w:rFonts w:ascii="Cambria" w:hAnsi="Cambria"/>
          <w:lang w:val="en-US"/>
        </w:rPr>
        <w:t>Such networks are referred to as communications within the ‘immediate circle’ of the owner of the network units, and are not considered ‘supply to the public’ under section 44 of the Tel Act.</w:t>
      </w:r>
    </w:p>
  </w:footnote>
  <w:footnote w:id="19">
    <w:p w14:paraId="5792BBB0" w14:textId="77777777" w:rsidR="003054C3" w:rsidRPr="0010781D" w:rsidRDefault="003054C3">
      <w:pPr>
        <w:pStyle w:val="FootnoteText"/>
        <w:rPr>
          <w:rFonts w:ascii="Cambria" w:hAnsi="Cambria"/>
          <w:lang w:val="en-US"/>
        </w:rPr>
      </w:pPr>
      <w:r w:rsidRPr="0010781D">
        <w:rPr>
          <w:rStyle w:val="FootnoteReference"/>
          <w:rFonts w:ascii="Cambria" w:hAnsi="Cambria"/>
        </w:rPr>
        <w:footnoteRef/>
      </w:r>
      <w:r w:rsidRPr="0010781D">
        <w:rPr>
          <w:rFonts w:ascii="Cambria" w:hAnsi="Cambria"/>
        </w:rPr>
        <w:t xml:space="preserve"> </w:t>
      </w:r>
      <w:r w:rsidRPr="0010781D">
        <w:rPr>
          <w:rFonts w:ascii="Cambria" w:hAnsi="Cambria"/>
          <w:lang w:val="en-US"/>
        </w:rPr>
        <w:t xml:space="preserve">Tel Act s 87. </w:t>
      </w:r>
    </w:p>
  </w:footnote>
  <w:footnote w:id="20">
    <w:p w14:paraId="5792BBB1" w14:textId="77777777" w:rsidR="003054C3" w:rsidRPr="00C327DB" w:rsidRDefault="003054C3">
      <w:pPr>
        <w:pStyle w:val="FootnoteText"/>
        <w:rPr>
          <w:rFonts w:ascii="Cambria" w:hAnsi="Cambria"/>
        </w:rPr>
      </w:pPr>
      <w:r w:rsidRPr="0010781D">
        <w:rPr>
          <w:rStyle w:val="FootnoteReference"/>
          <w:rFonts w:ascii="Cambria" w:hAnsi="Cambria"/>
        </w:rPr>
        <w:footnoteRef/>
      </w:r>
      <w:r w:rsidRPr="0010781D">
        <w:rPr>
          <w:rFonts w:ascii="Cambria" w:hAnsi="Cambria"/>
        </w:rPr>
        <w:t xml:space="preserve"> </w:t>
      </w:r>
      <w:r w:rsidRPr="00F508A0">
        <w:rPr>
          <w:rFonts w:ascii="Cambria" w:hAnsi="Cambria"/>
        </w:rPr>
        <w:t>Tel Act ss 7, 16.</w:t>
      </w:r>
      <w:r w:rsidR="00162956">
        <w:rPr>
          <w:rFonts w:ascii="Cambria" w:hAnsi="Cambria"/>
        </w:rPr>
        <w:t xml:space="preserve"> A listed carriage service is a carriage service between: a point in Australia and one or more points in Australia; a point and one or more other points, where the first-mentioned point is in Australia and at least one of the other points is outside Australia; or a point and one or more other points, where the first-mentioned point is outside Australia and at least one of the other points is in Australia. </w:t>
      </w:r>
    </w:p>
  </w:footnote>
  <w:footnote w:id="21">
    <w:p w14:paraId="5792BBB2" w14:textId="77777777" w:rsidR="003054C3" w:rsidRPr="00F94E84" w:rsidRDefault="003054C3" w:rsidP="004E7C04">
      <w:pPr>
        <w:pStyle w:val="FootnoteText"/>
        <w:rPr>
          <w:lang w:val="en-US"/>
        </w:rPr>
      </w:pPr>
      <w:r>
        <w:rPr>
          <w:rStyle w:val="FootnoteReference"/>
        </w:rPr>
        <w:footnoteRef/>
      </w:r>
      <w:r>
        <w:t xml:space="preserve"> </w:t>
      </w:r>
      <w:r w:rsidRPr="00697C20">
        <w:rPr>
          <w:rFonts w:ascii="Cambria" w:hAnsi="Cambria"/>
        </w:rPr>
        <w:t>Tel Act</w:t>
      </w:r>
      <w:r>
        <w:rPr>
          <w:rFonts w:ascii="Cambria" w:hAnsi="Cambria"/>
        </w:rPr>
        <w:t xml:space="preserve"> s 87(2)</w:t>
      </w:r>
      <w:r w:rsidRPr="00697C20">
        <w:rPr>
          <w:rFonts w:ascii="Cambria" w:hAnsi="Cambria"/>
        </w:rPr>
        <w:t>.</w:t>
      </w:r>
    </w:p>
  </w:footnote>
  <w:footnote w:id="22">
    <w:p w14:paraId="5792BBB3" w14:textId="77777777" w:rsidR="003054C3" w:rsidRPr="0010781D" w:rsidRDefault="003054C3">
      <w:pPr>
        <w:pStyle w:val="FootnoteText"/>
        <w:rPr>
          <w:rFonts w:ascii="Cambria" w:hAnsi="Cambria"/>
        </w:rPr>
      </w:pPr>
      <w:r w:rsidRPr="0010781D">
        <w:rPr>
          <w:rStyle w:val="FootnoteReference"/>
          <w:rFonts w:ascii="Cambria" w:hAnsi="Cambria"/>
        </w:rPr>
        <w:footnoteRef/>
      </w:r>
      <w:r w:rsidRPr="0010781D">
        <w:rPr>
          <w:rFonts w:ascii="Cambria" w:hAnsi="Cambria"/>
        </w:rPr>
        <w:t xml:space="preserve"> </w:t>
      </w:r>
      <w:r w:rsidRPr="00C327DB">
        <w:rPr>
          <w:rFonts w:ascii="Cambria" w:hAnsi="Cambria"/>
          <w:lang w:val="en-US"/>
        </w:rPr>
        <w:t>Tel Act</w:t>
      </w:r>
      <w:r>
        <w:rPr>
          <w:rFonts w:ascii="Cambria" w:hAnsi="Cambria"/>
          <w:lang w:val="en-US"/>
        </w:rPr>
        <w:t xml:space="preserve"> s 87(5).</w:t>
      </w:r>
    </w:p>
  </w:footnote>
  <w:footnote w:id="23">
    <w:p w14:paraId="5792BBB4" w14:textId="77777777" w:rsidR="003054C3" w:rsidRPr="00C327DB" w:rsidRDefault="003054C3" w:rsidP="006F3429">
      <w:pPr>
        <w:pStyle w:val="FootnoteText"/>
        <w:rPr>
          <w:rFonts w:ascii="Cambria" w:hAnsi="Cambria"/>
        </w:rPr>
      </w:pPr>
      <w:r w:rsidRPr="00C327DB">
        <w:rPr>
          <w:rStyle w:val="FootnoteReference"/>
          <w:rFonts w:ascii="Cambria" w:hAnsi="Cambria"/>
        </w:rPr>
        <w:footnoteRef/>
      </w:r>
      <w:r w:rsidRPr="00C327DB">
        <w:rPr>
          <w:rFonts w:ascii="Cambria" w:hAnsi="Cambria"/>
        </w:rPr>
        <w:t xml:space="preserve"> Tel Act</w:t>
      </w:r>
      <w:r>
        <w:rPr>
          <w:rFonts w:ascii="Cambria" w:hAnsi="Cambria"/>
        </w:rPr>
        <w:t xml:space="preserve"> 97</w:t>
      </w:r>
      <w:r w:rsidRPr="00C327DB">
        <w:rPr>
          <w:rFonts w:ascii="Cambria" w:hAnsi="Cambria"/>
        </w:rPr>
        <w:t>.</w:t>
      </w:r>
      <w:r>
        <w:rPr>
          <w:rFonts w:ascii="Cambria" w:hAnsi="Cambria"/>
        </w:rPr>
        <w:t xml:space="preserve"> I</w:t>
      </w:r>
      <w:r w:rsidRPr="00C327DB">
        <w:rPr>
          <w:rFonts w:ascii="Cambria" w:hAnsi="Cambria"/>
        </w:rPr>
        <w:t xml:space="preserve">t is understood that this provision has </w:t>
      </w:r>
      <w:r>
        <w:rPr>
          <w:rFonts w:ascii="Cambria" w:hAnsi="Cambria"/>
        </w:rPr>
        <w:t>yet to be</w:t>
      </w:r>
      <w:r w:rsidRPr="00C327DB">
        <w:rPr>
          <w:rFonts w:ascii="Cambria" w:hAnsi="Cambria"/>
        </w:rPr>
        <w:t xml:space="preserve"> used.</w:t>
      </w:r>
    </w:p>
  </w:footnote>
  <w:footnote w:id="24">
    <w:p w14:paraId="5792BBB5" w14:textId="77777777" w:rsidR="003054C3" w:rsidRPr="0010781D" w:rsidRDefault="003054C3">
      <w:pPr>
        <w:pStyle w:val="FootnoteText"/>
        <w:rPr>
          <w:rFonts w:ascii="Cambria" w:hAnsi="Cambria"/>
        </w:rPr>
      </w:pPr>
      <w:r w:rsidRPr="0010781D">
        <w:rPr>
          <w:rStyle w:val="FootnoteReference"/>
          <w:rFonts w:ascii="Cambria" w:hAnsi="Cambria"/>
        </w:rPr>
        <w:footnoteRef/>
      </w:r>
      <w:r w:rsidRPr="0010781D">
        <w:rPr>
          <w:rFonts w:ascii="Cambria" w:hAnsi="Cambria"/>
        </w:rPr>
        <w:t xml:space="preserve"> </w:t>
      </w:r>
      <w:r w:rsidRPr="00C327DB">
        <w:rPr>
          <w:rFonts w:ascii="Cambria" w:hAnsi="Cambria"/>
        </w:rPr>
        <w:t xml:space="preserve">As a general rule, where </w:t>
      </w:r>
      <w:r>
        <w:rPr>
          <w:rFonts w:ascii="Cambria" w:hAnsi="Cambria"/>
        </w:rPr>
        <w:t>a</w:t>
      </w:r>
      <w:r w:rsidRPr="00C327DB">
        <w:rPr>
          <w:rFonts w:ascii="Cambria" w:hAnsi="Cambria"/>
        </w:rPr>
        <w:t xml:space="preserve"> CSP does not provide a service that is subject to an obligation, they do not need to fulfil the obligation related to that service.</w:t>
      </w:r>
    </w:p>
  </w:footnote>
  <w:footnote w:id="25">
    <w:p w14:paraId="5792BBB6" w14:textId="5BE1583F" w:rsidR="003054C3" w:rsidRPr="00C327DB" w:rsidRDefault="003054C3" w:rsidP="001528BF">
      <w:pPr>
        <w:pStyle w:val="FootnoteText"/>
        <w:rPr>
          <w:rFonts w:ascii="Cambria" w:hAnsi="Cambria"/>
        </w:rPr>
      </w:pPr>
      <w:r w:rsidRPr="0010781D">
        <w:rPr>
          <w:rStyle w:val="FootnoteReference"/>
          <w:rFonts w:ascii="Cambria" w:hAnsi="Cambria"/>
        </w:rPr>
        <w:footnoteRef/>
      </w:r>
      <w:r w:rsidRPr="0010781D">
        <w:rPr>
          <w:rFonts w:ascii="Cambria" w:hAnsi="Cambria"/>
        </w:rPr>
        <w:t xml:space="preserve"> </w:t>
      </w:r>
      <w:r w:rsidRPr="00C327DB">
        <w:rPr>
          <w:rFonts w:ascii="Cambria" w:hAnsi="Cambria"/>
        </w:rPr>
        <w:t>NB: C-V2X can enable short range communication through mobile infrastructure, however DSRC does not.</w:t>
      </w:r>
      <w:r w:rsidRPr="004C4841">
        <w:rPr>
          <w:rFonts w:ascii="Cambria" w:hAnsi="Cambria"/>
        </w:rPr>
        <w:t xml:space="preserve"> </w:t>
      </w:r>
      <w:r w:rsidRPr="00E92865">
        <w:rPr>
          <w:rFonts w:ascii="Cambria" w:hAnsi="Cambria"/>
        </w:rPr>
        <w:t xml:space="preserve">As mentioned </w:t>
      </w:r>
      <w:r w:rsidRPr="00C327DB">
        <w:rPr>
          <w:rFonts w:ascii="Cambria" w:hAnsi="Cambria"/>
        </w:rPr>
        <w:t xml:space="preserve">previously, ownership of network units and their use in the supply of a carriage service requires either a carrier licence or a nominated carrier declaration. If C-ITS </w:t>
      </w:r>
      <w:r w:rsidRPr="00C327DB">
        <w:rPr>
          <w:rFonts w:ascii="Cambria" w:hAnsi="Cambria"/>
          <w:i/>
        </w:rPr>
        <w:t>were</w:t>
      </w:r>
      <w:r w:rsidRPr="00C327DB">
        <w:rPr>
          <w:rFonts w:ascii="Cambria" w:hAnsi="Cambria"/>
        </w:rPr>
        <w:t xml:space="preserve"> to require the deployment of specialised units to enable connectivity</w:t>
      </w:r>
      <w:r w:rsidR="008C772A">
        <w:rPr>
          <w:rFonts w:ascii="Cambria" w:hAnsi="Cambria"/>
        </w:rPr>
        <w:t>,</w:t>
      </w:r>
      <w:r w:rsidRPr="00C327DB">
        <w:rPr>
          <w:rFonts w:ascii="Cambria" w:hAnsi="Cambria"/>
        </w:rPr>
        <w:t xml:space="preserve"> then the owners of those units would require a carrier licence and hence be classified as carriers, a definition that could potentially capture government entities if those entities built and maintained ownership of the C-ITS infrastructure.</w:t>
      </w:r>
    </w:p>
  </w:footnote>
  <w:footnote w:id="26">
    <w:p w14:paraId="5792BBB7" w14:textId="77777777" w:rsidR="003054C3" w:rsidRPr="00181D8B" w:rsidRDefault="003054C3">
      <w:pPr>
        <w:pStyle w:val="FootnoteText"/>
        <w:rPr>
          <w:rFonts w:ascii="Cambria" w:hAnsi="Cambria"/>
          <w:lang w:val="en-US"/>
        </w:rPr>
      </w:pPr>
      <w:r w:rsidRPr="00181D8B">
        <w:rPr>
          <w:rStyle w:val="FootnoteReference"/>
          <w:rFonts w:ascii="Cambria" w:hAnsi="Cambria"/>
        </w:rPr>
        <w:footnoteRef/>
      </w:r>
      <w:r w:rsidRPr="00181D8B">
        <w:rPr>
          <w:rFonts w:ascii="Cambria" w:hAnsi="Cambria"/>
        </w:rPr>
        <w:t xml:space="preserve"> </w:t>
      </w:r>
      <w:r w:rsidRPr="00181D8B">
        <w:rPr>
          <w:rFonts w:ascii="Cambria" w:hAnsi="Cambria"/>
          <w:lang w:val="en-US"/>
        </w:rPr>
        <w:t>Part XIB</w:t>
      </w:r>
      <w:r>
        <w:rPr>
          <w:rFonts w:ascii="Cambria" w:hAnsi="Cambria"/>
          <w:lang w:val="en-US"/>
        </w:rPr>
        <w:t xml:space="preserve"> </w:t>
      </w:r>
      <w:r w:rsidRPr="00C327DB">
        <w:rPr>
          <w:rFonts w:ascii="Cambria" w:hAnsi="Cambria"/>
          <w:color w:val="000000"/>
          <w:shd w:val="clear" w:color="auto" w:fill="FFFFFF"/>
        </w:rPr>
        <w:t>sets up a regime for regulating anti</w:t>
      </w:r>
      <w:r w:rsidRPr="00C327DB">
        <w:rPr>
          <w:rFonts w:ascii="Cambria" w:hAnsi="Cambria"/>
          <w:color w:val="000000"/>
          <w:shd w:val="clear" w:color="auto" w:fill="FFFFFF"/>
        </w:rPr>
        <w:noBreakHyphen/>
        <w:t>competitive conduct in the telecommunications industry.</w:t>
      </w:r>
    </w:p>
  </w:footnote>
  <w:footnote w:id="27">
    <w:p w14:paraId="5792BBB8" w14:textId="77777777" w:rsidR="003054C3" w:rsidRPr="00181D8B" w:rsidRDefault="003054C3">
      <w:pPr>
        <w:pStyle w:val="FootnoteText"/>
        <w:rPr>
          <w:rFonts w:ascii="Cambria" w:hAnsi="Cambria"/>
          <w:lang w:val="en-US"/>
        </w:rPr>
      </w:pPr>
      <w:r w:rsidRPr="00181D8B">
        <w:rPr>
          <w:rStyle w:val="FootnoteReference"/>
          <w:rFonts w:ascii="Cambria" w:hAnsi="Cambria"/>
        </w:rPr>
        <w:footnoteRef/>
      </w:r>
      <w:r w:rsidRPr="00181D8B">
        <w:rPr>
          <w:rFonts w:ascii="Cambria" w:hAnsi="Cambria"/>
        </w:rPr>
        <w:t xml:space="preserve"> </w:t>
      </w:r>
      <w:r w:rsidRPr="00181D8B">
        <w:rPr>
          <w:rFonts w:ascii="Cambria" w:hAnsi="Cambria"/>
          <w:lang w:val="en-US"/>
        </w:rPr>
        <w:t xml:space="preserve">Part XIC </w:t>
      </w:r>
      <w:r w:rsidRPr="00C327DB">
        <w:rPr>
          <w:rFonts w:ascii="Cambria" w:hAnsi="Cambria"/>
        </w:rPr>
        <w:t xml:space="preserve">allows the ACCC to declare a service. </w:t>
      </w:r>
      <w:r w:rsidRPr="00C327DB">
        <w:rPr>
          <w:rFonts w:ascii="Cambria" w:hAnsi="Cambria"/>
          <w:color w:val="000000"/>
          <w:shd w:val="clear" w:color="auto" w:fill="FFFFFF"/>
        </w:rPr>
        <w:t>Carriers and CSPs who provide declared services are required to comply with </w:t>
      </w:r>
      <w:r w:rsidRPr="004C4841">
        <w:rPr>
          <w:rFonts w:ascii="Cambria" w:hAnsi="Cambria"/>
          <w:bCs/>
          <w:i/>
          <w:iCs/>
          <w:color w:val="000000"/>
          <w:shd w:val="clear" w:color="auto" w:fill="FFFFFF"/>
        </w:rPr>
        <w:t>standard access obligations</w:t>
      </w:r>
      <w:r w:rsidRPr="004C4841">
        <w:rPr>
          <w:rFonts w:ascii="Cambria" w:hAnsi="Cambria"/>
          <w:color w:val="000000"/>
          <w:shd w:val="clear" w:color="auto" w:fill="FFFFFF"/>
        </w:rPr>
        <w:t> in relation to those services. The </w:t>
      </w:r>
      <w:r w:rsidRPr="00E92865">
        <w:rPr>
          <w:rFonts w:ascii="Cambria" w:hAnsi="Cambria"/>
          <w:bCs/>
          <w:i/>
          <w:iCs/>
          <w:color w:val="000000"/>
          <w:shd w:val="clear" w:color="auto" w:fill="FFFFFF"/>
        </w:rPr>
        <w:t>standard access obligations</w:t>
      </w:r>
      <w:r w:rsidRPr="00E92865">
        <w:rPr>
          <w:rFonts w:ascii="Cambria" w:hAnsi="Cambria"/>
          <w:color w:val="000000"/>
          <w:shd w:val="clear" w:color="auto" w:fill="FFFFFF"/>
        </w:rPr>
        <w:t xml:space="preserve"> facilitate the provision of access to declared services by service providers </w:t>
      </w:r>
      <w:r>
        <w:rPr>
          <w:rFonts w:ascii="Cambria" w:hAnsi="Cambria"/>
          <w:color w:val="000000"/>
          <w:shd w:val="clear" w:color="auto" w:fill="FFFFFF"/>
        </w:rPr>
        <w:t>so</w:t>
      </w:r>
      <w:r w:rsidRPr="00E92865">
        <w:rPr>
          <w:rFonts w:ascii="Cambria" w:hAnsi="Cambria"/>
          <w:color w:val="000000"/>
          <w:shd w:val="clear" w:color="auto" w:fill="FFFFFF"/>
        </w:rPr>
        <w:t xml:space="preserve"> tha</w:t>
      </w:r>
      <w:r w:rsidRPr="00C327DB">
        <w:rPr>
          <w:rFonts w:ascii="Cambria" w:hAnsi="Cambria"/>
          <w:color w:val="000000"/>
          <w:shd w:val="clear" w:color="auto" w:fill="FFFFFF"/>
        </w:rPr>
        <w:t>t service providers can provide carriage services and/or content services.</w:t>
      </w:r>
    </w:p>
  </w:footnote>
  <w:footnote w:id="28">
    <w:p w14:paraId="5792BBB9" w14:textId="77777777" w:rsidR="008E4990" w:rsidRPr="00075CFC" w:rsidRDefault="008E4990" w:rsidP="008E4990">
      <w:pPr>
        <w:pStyle w:val="FootnoteText"/>
        <w:rPr>
          <w:rFonts w:ascii="Cambria" w:hAnsi="Cambria"/>
        </w:rPr>
      </w:pPr>
      <w:r w:rsidRPr="00725B39">
        <w:rPr>
          <w:rStyle w:val="FootnoteReference"/>
          <w:rFonts w:ascii="Cambria" w:hAnsi="Cambria"/>
        </w:rPr>
        <w:footnoteRef/>
      </w:r>
      <w:r w:rsidRPr="00725B39">
        <w:rPr>
          <w:rFonts w:ascii="Cambria" w:hAnsi="Cambria"/>
        </w:rPr>
        <w:t xml:space="preserve"> </w:t>
      </w:r>
      <w:r w:rsidRPr="001851F0">
        <w:rPr>
          <w:rFonts w:ascii="Cambria" w:hAnsi="Cambria"/>
          <w:i/>
        </w:rPr>
        <w:t>CCA</w:t>
      </w:r>
      <w:r>
        <w:rPr>
          <w:rFonts w:ascii="Cambria" w:hAnsi="Cambria"/>
        </w:rPr>
        <w:t xml:space="preserve"> s</w:t>
      </w:r>
      <w:r w:rsidRPr="00725B39">
        <w:rPr>
          <w:rFonts w:ascii="Cambria" w:hAnsi="Cambria"/>
        </w:rPr>
        <w:t xml:space="preserve"> 151AF</w:t>
      </w:r>
      <w:r>
        <w:rPr>
          <w:rFonts w:ascii="Cambria" w:hAnsi="Cambria"/>
        </w:rPr>
        <w:t>. A</w:t>
      </w:r>
      <w:r w:rsidRPr="004C4841">
        <w:rPr>
          <w:rFonts w:ascii="Cambria" w:hAnsi="Cambria"/>
        </w:rPr>
        <w:t xml:space="preserve"> telecommunications market </w:t>
      </w:r>
      <w:r>
        <w:rPr>
          <w:rFonts w:ascii="Cambria" w:hAnsi="Cambria"/>
        </w:rPr>
        <w:t>is</w:t>
      </w:r>
      <w:r w:rsidRPr="004C4841">
        <w:rPr>
          <w:rFonts w:ascii="Cambria" w:hAnsi="Cambria"/>
        </w:rPr>
        <w:t xml:space="preserve"> one in which carriage services, goods or services for use in connection with a carriage service, facility access</w:t>
      </w:r>
      <w:r>
        <w:rPr>
          <w:rFonts w:ascii="Cambria" w:hAnsi="Cambria"/>
        </w:rPr>
        <w:t>, or</w:t>
      </w:r>
      <w:r w:rsidRPr="004C4841">
        <w:rPr>
          <w:rFonts w:ascii="Cambria" w:hAnsi="Cambria"/>
        </w:rPr>
        <w:t xml:space="preserve"> content services are supplied or acquired. It could be argued that a vehicle intended to be connected to a carriage service such as the internet, and any ongoing services that require the use of a carriage service is a ‘good</w:t>
      </w:r>
      <w:r w:rsidRPr="00E92865">
        <w:rPr>
          <w:rFonts w:ascii="Cambria" w:hAnsi="Cambria"/>
        </w:rPr>
        <w:t>s and service.’</w:t>
      </w:r>
    </w:p>
  </w:footnote>
  <w:footnote w:id="29">
    <w:p w14:paraId="5792BBBA" w14:textId="77777777" w:rsidR="003054C3" w:rsidRPr="00F508A0" w:rsidRDefault="003054C3">
      <w:pPr>
        <w:pStyle w:val="FootnoteText"/>
        <w:rPr>
          <w:rFonts w:ascii="Cambria" w:hAnsi="Cambria"/>
        </w:rPr>
      </w:pPr>
      <w:r w:rsidRPr="00F508A0">
        <w:rPr>
          <w:rStyle w:val="FootnoteReference"/>
          <w:rFonts w:ascii="Cambria" w:hAnsi="Cambria"/>
        </w:rPr>
        <w:footnoteRef/>
      </w:r>
      <w:r w:rsidRPr="00F508A0">
        <w:rPr>
          <w:rFonts w:ascii="Cambria" w:hAnsi="Cambria"/>
        </w:rPr>
        <w:t xml:space="preserve"> </w:t>
      </w:r>
      <w:r w:rsidRPr="00F508A0">
        <w:rPr>
          <w:rFonts w:ascii="Cambria" w:hAnsi="Cambria"/>
          <w:i/>
        </w:rPr>
        <w:t>CCA</w:t>
      </w:r>
      <w:r>
        <w:rPr>
          <w:rFonts w:ascii="Cambria" w:hAnsi="Cambria"/>
        </w:rPr>
        <w:t xml:space="preserve"> schedule 2</w:t>
      </w:r>
      <w:r w:rsidRPr="00F508A0">
        <w:rPr>
          <w:rFonts w:ascii="Cambria" w:hAnsi="Cambria"/>
        </w:rPr>
        <w:t xml:space="preserve">. </w:t>
      </w:r>
    </w:p>
  </w:footnote>
  <w:footnote w:id="30">
    <w:p w14:paraId="5792BBBB" w14:textId="77777777" w:rsidR="003054C3" w:rsidRPr="00181D8B" w:rsidRDefault="003054C3" w:rsidP="009074DA">
      <w:pPr>
        <w:pStyle w:val="FootnoteText"/>
        <w:rPr>
          <w:rFonts w:ascii="Cambria" w:hAnsi="Cambria"/>
          <w:lang w:val="en-US"/>
        </w:rPr>
      </w:pPr>
      <w:r w:rsidRPr="00181D8B">
        <w:rPr>
          <w:rStyle w:val="FootnoteReference"/>
          <w:rFonts w:ascii="Cambria" w:hAnsi="Cambria"/>
        </w:rPr>
        <w:footnoteRef/>
      </w:r>
      <w:r w:rsidRPr="00181D8B">
        <w:rPr>
          <w:rFonts w:ascii="Cambria" w:hAnsi="Cambria"/>
        </w:rPr>
        <w:t xml:space="preserve"> </w:t>
      </w:r>
      <w:r w:rsidRPr="00181D8B">
        <w:rPr>
          <w:rFonts w:ascii="Cambria" w:hAnsi="Cambria"/>
          <w:i/>
          <w:lang w:val="en-US"/>
        </w:rPr>
        <w:t>TCPSS Act</w:t>
      </w:r>
      <w:r>
        <w:rPr>
          <w:rFonts w:ascii="Cambria" w:hAnsi="Cambria"/>
          <w:lang w:val="en-US"/>
        </w:rPr>
        <w:t xml:space="preserve"> </w:t>
      </w:r>
      <w:r w:rsidRPr="00181D8B">
        <w:rPr>
          <w:rFonts w:ascii="Cambria" w:hAnsi="Cambria"/>
          <w:lang w:val="en-US"/>
        </w:rPr>
        <w:t xml:space="preserve">s 129(1). </w:t>
      </w:r>
    </w:p>
  </w:footnote>
  <w:footnote w:id="31">
    <w:p w14:paraId="5792BBBC" w14:textId="77777777" w:rsidR="003054C3" w:rsidRPr="00181D8B" w:rsidRDefault="003054C3">
      <w:pPr>
        <w:pStyle w:val="FootnoteText"/>
        <w:rPr>
          <w:rFonts w:ascii="Cambria" w:hAnsi="Cambria"/>
        </w:rPr>
      </w:pPr>
      <w:r w:rsidRPr="00181D8B">
        <w:rPr>
          <w:rStyle w:val="FootnoteReference"/>
          <w:rFonts w:ascii="Cambria" w:hAnsi="Cambria"/>
        </w:rPr>
        <w:footnoteRef/>
      </w:r>
      <w:r w:rsidRPr="00181D8B">
        <w:rPr>
          <w:rFonts w:ascii="Cambria" w:hAnsi="Cambria"/>
        </w:rPr>
        <w:t xml:space="preserve"> </w:t>
      </w:r>
      <w:r w:rsidRPr="00181D8B">
        <w:rPr>
          <w:rFonts w:ascii="Cambria" w:hAnsi="Cambria"/>
          <w:bCs/>
          <w:i/>
          <w:color w:val="000000"/>
          <w:shd w:val="clear" w:color="auto" w:fill="FFFFFF"/>
        </w:rPr>
        <w:t>Telecommunications (Carriage Service Provider—Security Information) Determination 2022</w:t>
      </w:r>
      <w:r w:rsidRPr="00E07F4E">
        <w:rPr>
          <w:rFonts w:ascii="Cambria" w:hAnsi="Cambria"/>
          <w:bCs/>
          <w:color w:val="000000"/>
          <w:shd w:val="clear" w:color="auto" w:fill="FFFFFF"/>
        </w:rPr>
        <w:t xml:space="preserve">, division 2. </w:t>
      </w:r>
    </w:p>
  </w:footnote>
  <w:footnote w:id="32">
    <w:p w14:paraId="5792BBBD" w14:textId="77777777" w:rsidR="003054C3" w:rsidRPr="00181D8B" w:rsidRDefault="003054C3">
      <w:pPr>
        <w:pStyle w:val="FootnoteText"/>
        <w:rPr>
          <w:rFonts w:ascii="Cambria" w:hAnsi="Cambria"/>
          <w:lang w:val="en-US"/>
        </w:rPr>
      </w:pPr>
      <w:r w:rsidRPr="00181D8B">
        <w:rPr>
          <w:rStyle w:val="FootnoteReference"/>
          <w:rFonts w:ascii="Cambria" w:hAnsi="Cambria"/>
        </w:rPr>
        <w:footnoteRef/>
      </w:r>
      <w:r w:rsidRPr="00181D8B">
        <w:rPr>
          <w:rFonts w:ascii="Cambria" w:hAnsi="Cambria"/>
        </w:rPr>
        <w:t xml:space="preserve"> </w:t>
      </w:r>
      <w:r w:rsidRPr="00181D8B">
        <w:rPr>
          <w:rFonts w:ascii="Cambria" w:hAnsi="Cambria"/>
          <w:lang w:val="en-US"/>
        </w:rPr>
        <w:t xml:space="preserve">Tel Act part 14. </w:t>
      </w:r>
    </w:p>
  </w:footnote>
  <w:footnote w:id="33">
    <w:p w14:paraId="5792BBBE" w14:textId="77777777" w:rsidR="003054C3" w:rsidRPr="00181D8B" w:rsidRDefault="003054C3">
      <w:pPr>
        <w:pStyle w:val="FootnoteText"/>
        <w:rPr>
          <w:rFonts w:ascii="Cambria" w:hAnsi="Cambria"/>
          <w:lang w:val="en-US"/>
        </w:rPr>
      </w:pPr>
      <w:r w:rsidRPr="00181D8B">
        <w:rPr>
          <w:rStyle w:val="FootnoteReference"/>
          <w:rFonts w:ascii="Cambria" w:hAnsi="Cambria"/>
        </w:rPr>
        <w:footnoteRef/>
      </w:r>
      <w:r w:rsidRPr="00181D8B">
        <w:rPr>
          <w:rFonts w:ascii="Cambria" w:hAnsi="Cambria"/>
        </w:rPr>
        <w:t xml:space="preserve"> </w:t>
      </w:r>
      <w:r w:rsidRPr="00181D8B">
        <w:rPr>
          <w:rFonts w:ascii="Cambria" w:hAnsi="Cambria"/>
          <w:lang w:val="en-US"/>
        </w:rPr>
        <w:t xml:space="preserve">Tel Act s 313. </w:t>
      </w:r>
    </w:p>
  </w:footnote>
  <w:footnote w:id="34">
    <w:p w14:paraId="5792BBBF" w14:textId="77777777" w:rsidR="003054C3" w:rsidRPr="00E92865" w:rsidRDefault="003054C3" w:rsidP="001528BF">
      <w:pPr>
        <w:pStyle w:val="FootnoteText"/>
        <w:rPr>
          <w:rFonts w:ascii="Cambria" w:hAnsi="Cambria"/>
        </w:rPr>
      </w:pPr>
      <w:r w:rsidRPr="00181D8B">
        <w:rPr>
          <w:rStyle w:val="FootnoteReference"/>
          <w:rFonts w:ascii="Cambria" w:hAnsi="Cambria"/>
        </w:rPr>
        <w:footnoteRef/>
      </w:r>
      <w:r w:rsidRPr="00181D8B">
        <w:rPr>
          <w:rFonts w:ascii="Cambria" w:hAnsi="Cambria"/>
        </w:rPr>
        <w:t xml:space="preserve"> </w:t>
      </w:r>
      <w:r w:rsidRPr="00C327DB">
        <w:rPr>
          <w:rFonts w:ascii="Cambria" w:hAnsi="Cambria"/>
        </w:rPr>
        <w:t>This obligation only a</w:t>
      </w:r>
      <w:r w:rsidRPr="004C4841">
        <w:rPr>
          <w:rFonts w:ascii="Cambria" w:hAnsi="Cambria"/>
        </w:rPr>
        <w:t>ffects CSPs using landlines and would not be an obligation faced by CAV manufacturers or</w:t>
      </w:r>
      <w:r w:rsidRPr="00E92865">
        <w:rPr>
          <w:rFonts w:ascii="Cambria" w:hAnsi="Cambria"/>
        </w:rPr>
        <w:t xml:space="preserve"> aftermarket resellers.</w:t>
      </w:r>
    </w:p>
  </w:footnote>
  <w:footnote w:id="35">
    <w:p w14:paraId="5792BBC0" w14:textId="77777777" w:rsidR="003054C3" w:rsidRPr="00181D8B" w:rsidRDefault="003054C3">
      <w:pPr>
        <w:pStyle w:val="FootnoteText"/>
        <w:rPr>
          <w:rFonts w:ascii="Cambria" w:hAnsi="Cambria"/>
        </w:rPr>
      </w:pPr>
      <w:r w:rsidRPr="00181D8B">
        <w:rPr>
          <w:rStyle w:val="FootnoteReference"/>
          <w:rFonts w:ascii="Cambria" w:hAnsi="Cambria"/>
        </w:rPr>
        <w:footnoteRef/>
      </w:r>
      <w:r w:rsidRPr="00181D8B">
        <w:rPr>
          <w:rFonts w:ascii="Cambria" w:hAnsi="Cambria"/>
        </w:rPr>
        <w:t xml:space="preserve"> </w:t>
      </w:r>
      <w:r w:rsidRPr="00C327DB">
        <w:rPr>
          <w:rFonts w:ascii="Cambria" w:hAnsi="Cambria"/>
        </w:rPr>
        <w:t>Tel Act</w:t>
      </w:r>
      <w:r>
        <w:rPr>
          <w:rFonts w:ascii="Cambria" w:hAnsi="Cambria"/>
        </w:rPr>
        <w:t xml:space="preserve"> s 21 defines ‘customer equipment’.</w:t>
      </w:r>
      <w:r w:rsidRPr="00C327DB">
        <w:rPr>
          <w:rFonts w:ascii="Cambria" w:hAnsi="Cambria"/>
        </w:rPr>
        <w:t xml:space="preserve"> It is likely that the ACMA could make technical standards for CAVs if it chose to do so, or that certain aspects of connected vehicle equipment may need to be compliant with certain telecommunication</w:t>
      </w:r>
      <w:r>
        <w:rPr>
          <w:rFonts w:ascii="Cambria" w:hAnsi="Cambria"/>
        </w:rPr>
        <w:t>s</w:t>
      </w:r>
      <w:r w:rsidRPr="00C327DB">
        <w:rPr>
          <w:rFonts w:ascii="Cambria" w:hAnsi="Cambria"/>
        </w:rPr>
        <w:t xml:space="preserve"> standards.</w:t>
      </w:r>
    </w:p>
  </w:footnote>
  <w:footnote w:id="36">
    <w:p w14:paraId="5792BBC1" w14:textId="77777777" w:rsidR="003054C3" w:rsidRPr="00181D8B" w:rsidRDefault="003054C3">
      <w:pPr>
        <w:pStyle w:val="FootnoteText"/>
        <w:rPr>
          <w:rFonts w:ascii="Cambria" w:hAnsi="Cambria"/>
        </w:rPr>
      </w:pPr>
      <w:r w:rsidRPr="00181D8B">
        <w:rPr>
          <w:rStyle w:val="FootnoteReference"/>
          <w:rFonts w:ascii="Cambria" w:hAnsi="Cambria"/>
        </w:rPr>
        <w:footnoteRef/>
      </w:r>
      <w:r w:rsidRPr="00181D8B">
        <w:rPr>
          <w:rFonts w:ascii="Cambria" w:hAnsi="Cambria"/>
        </w:rPr>
        <w:t xml:space="preserve"> </w:t>
      </w:r>
      <w:r w:rsidRPr="00181D8B">
        <w:rPr>
          <w:rFonts w:ascii="Cambria" w:hAnsi="Cambria"/>
          <w:bCs/>
          <w:i/>
          <w:color w:val="000000"/>
          <w:shd w:val="clear" w:color="auto" w:fill="FFFFFF"/>
        </w:rPr>
        <w:t>Telecommunications (Labelling Notice for Customer Equipment and Customer Cabling) Instrument 2015</w:t>
      </w:r>
      <w:r>
        <w:rPr>
          <w:rFonts w:ascii="Cambria" w:hAnsi="Cambria"/>
          <w:bCs/>
          <w:color w:val="000000"/>
          <w:shd w:val="clear" w:color="auto" w:fill="FFFFFF"/>
        </w:rPr>
        <w:t>.</w:t>
      </w:r>
    </w:p>
  </w:footnote>
  <w:footnote w:id="37">
    <w:p w14:paraId="5792BBC2" w14:textId="77777777" w:rsidR="003054C3" w:rsidRPr="00181D8B" w:rsidRDefault="003054C3">
      <w:pPr>
        <w:pStyle w:val="FootnoteText"/>
        <w:rPr>
          <w:rFonts w:ascii="Cambria" w:hAnsi="Cambria"/>
        </w:rPr>
      </w:pPr>
      <w:r w:rsidRPr="00181D8B">
        <w:rPr>
          <w:rStyle w:val="FootnoteReference"/>
          <w:rFonts w:ascii="Cambria" w:hAnsi="Cambria"/>
        </w:rPr>
        <w:footnoteRef/>
      </w:r>
      <w:r w:rsidRPr="00181D8B">
        <w:rPr>
          <w:rFonts w:ascii="Cambria" w:hAnsi="Cambria"/>
        </w:rPr>
        <w:t xml:space="preserve"> </w:t>
      </w:r>
      <w:r>
        <w:rPr>
          <w:rFonts w:ascii="Cambria" w:hAnsi="Cambria"/>
        </w:rPr>
        <w:t xml:space="preserve">Tel Act s 413(3).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2BB9D" w14:textId="782D7456" w:rsidR="003054C3" w:rsidRPr="00AD7475" w:rsidRDefault="003054C3" w:rsidP="005113AA">
    <w:pPr>
      <w:pStyle w:val="Header"/>
      <w:tabs>
        <w:tab w:val="clear" w:pos="9026"/>
        <w:tab w:val="right" w:pos="9333"/>
      </w:tabs>
      <w:ind w:right="-46"/>
      <w:rPr>
        <w:color w:val="001C40"/>
      </w:rPr>
    </w:pPr>
    <w:r w:rsidRPr="00734290">
      <w:rPr>
        <w:color w:val="001C40"/>
      </w:rPr>
      <w:t>Department of Infrastructure, Transport, Regional Development</w:t>
    </w:r>
    <w:r w:rsidR="008C772A">
      <w:rPr>
        <w:color w:val="001C40"/>
      </w:rPr>
      <w:t xml:space="preserve">, </w:t>
    </w:r>
    <w:r w:rsidRPr="00734290">
      <w:rPr>
        <w:color w:val="001C40"/>
      </w:rPr>
      <w:t>Communications</w:t>
    </w:r>
    <w:r>
      <w:rPr>
        <w:color w:val="001C40"/>
      </w:rPr>
      <w:t xml:space="preserve"> and the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193"/>
    <w:multiLevelType w:val="hybridMultilevel"/>
    <w:tmpl w:val="F1EA6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91B2A"/>
    <w:multiLevelType w:val="hybridMultilevel"/>
    <w:tmpl w:val="7FBCD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0753A"/>
    <w:multiLevelType w:val="hybridMultilevel"/>
    <w:tmpl w:val="EC7C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B1BF8"/>
    <w:multiLevelType w:val="hybridMultilevel"/>
    <w:tmpl w:val="6B74E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75E2B"/>
    <w:multiLevelType w:val="hybridMultilevel"/>
    <w:tmpl w:val="46EC6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8D0B1D"/>
    <w:multiLevelType w:val="hybridMultilevel"/>
    <w:tmpl w:val="EFC03C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4F636E"/>
    <w:multiLevelType w:val="hybridMultilevel"/>
    <w:tmpl w:val="759EC1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06551D"/>
    <w:multiLevelType w:val="hybridMultilevel"/>
    <w:tmpl w:val="091E35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36324E"/>
    <w:multiLevelType w:val="hybridMultilevel"/>
    <w:tmpl w:val="3DB6F4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014002"/>
    <w:multiLevelType w:val="hybridMultilevel"/>
    <w:tmpl w:val="A482A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7B4EFA"/>
    <w:multiLevelType w:val="hybridMultilevel"/>
    <w:tmpl w:val="07DE3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E2362"/>
    <w:multiLevelType w:val="hybridMultilevel"/>
    <w:tmpl w:val="F1C6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3C4A35"/>
    <w:multiLevelType w:val="hybridMultilevel"/>
    <w:tmpl w:val="3BC689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DA63367"/>
    <w:multiLevelType w:val="hybridMultilevel"/>
    <w:tmpl w:val="62B40F4E"/>
    <w:lvl w:ilvl="0" w:tplc="96EC4D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5B49F8"/>
    <w:multiLevelType w:val="hybridMultilevel"/>
    <w:tmpl w:val="CE82DAF0"/>
    <w:lvl w:ilvl="0" w:tplc="935CB060">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FC01F5"/>
    <w:multiLevelType w:val="hybridMultilevel"/>
    <w:tmpl w:val="81041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FD663E"/>
    <w:multiLevelType w:val="hybridMultilevel"/>
    <w:tmpl w:val="6B80AD8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4817B1"/>
    <w:multiLevelType w:val="hybridMultilevel"/>
    <w:tmpl w:val="18303D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2E344640"/>
    <w:multiLevelType w:val="hybridMultilevel"/>
    <w:tmpl w:val="22403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D94EC4"/>
    <w:multiLevelType w:val="hybridMultilevel"/>
    <w:tmpl w:val="20605D94"/>
    <w:lvl w:ilvl="0" w:tplc="1ACC439C">
      <w:start w:val="2"/>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B6BD5"/>
    <w:multiLevelType w:val="multilevel"/>
    <w:tmpl w:val="54C6B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5C2313"/>
    <w:multiLevelType w:val="hybridMultilevel"/>
    <w:tmpl w:val="A9024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A6B4C5D"/>
    <w:multiLevelType w:val="hybridMultilevel"/>
    <w:tmpl w:val="729AED50"/>
    <w:lvl w:ilvl="0" w:tplc="A00EDCE2">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C7A57DC"/>
    <w:multiLevelType w:val="hybridMultilevel"/>
    <w:tmpl w:val="90988400"/>
    <w:lvl w:ilvl="0" w:tplc="2B547C4A">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432EA9"/>
    <w:multiLevelType w:val="hybridMultilevel"/>
    <w:tmpl w:val="A482A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346C16"/>
    <w:multiLevelType w:val="hybridMultilevel"/>
    <w:tmpl w:val="A482A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7907D5"/>
    <w:multiLevelType w:val="hybridMultilevel"/>
    <w:tmpl w:val="2D3A679A"/>
    <w:lvl w:ilvl="0" w:tplc="E18A0BC2">
      <w:start w:val="1"/>
      <w:numFmt w:val="decimal"/>
      <w:lvlText w:val="%1."/>
      <w:lvlJc w:val="left"/>
      <w:pPr>
        <w:tabs>
          <w:tab w:val="num" w:pos="720"/>
        </w:tabs>
        <w:ind w:left="720" w:hanging="360"/>
      </w:pPr>
    </w:lvl>
    <w:lvl w:ilvl="1" w:tplc="7B38A02C" w:tentative="1">
      <w:start w:val="1"/>
      <w:numFmt w:val="decimal"/>
      <w:lvlText w:val="%2."/>
      <w:lvlJc w:val="left"/>
      <w:pPr>
        <w:tabs>
          <w:tab w:val="num" w:pos="1440"/>
        </w:tabs>
        <w:ind w:left="1440" w:hanging="360"/>
      </w:pPr>
    </w:lvl>
    <w:lvl w:ilvl="2" w:tplc="5454A9E6" w:tentative="1">
      <w:start w:val="1"/>
      <w:numFmt w:val="decimal"/>
      <w:lvlText w:val="%3."/>
      <w:lvlJc w:val="left"/>
      <w:pPr>
        <w:tabs>
          <w:tab w:val="num" w:pos="2160"/>
        </w:tabs>
        <w:ind w:left="2160" w:hanging="360"/>
      </w:pPr>
    </w:lvl>
    <w:lvl w:ilvl="3" w:tplc="4C7A41C0" w:tentative="1">
      <w:start w:val="1"/>
      <w:numFmt w:val="decimal"/>
      <w:lvlText w:val="%4."/>
      <w:lvlJc w:val="left"/>
      <w:pPr>
        <w:tabs>
          <w:tab w:val="num" w:pos="2880"/>
        </w:tabs>
        <w:ind w:left="2880" w:hanging="360"/>
      </w:pPr>
    </w:lvl>
    <w:lvl w:ilvl="4" w:tplc="C9B25932" w:tentative="1">
      <w:start w:val="1"/>
      <w:numFmt w:val="decimal"/>
      <w:lvlText w:val="%5."/>
      <w:lvlJc w:val="left"/>
      <w:pPr>
        <w:tabs>
          <w:tab w:val="num" w:pos="3600"/>
        </w:tabs>
        <w:ind w:left="3600" w:hanging="360"/>
      </w:pPr>
    </w:lvl>
    <w:lvl w:ilvl="5" w:tplc="4D6C963A" w:tentative="1">
      <w:start w:val="1"/>
      <w:numFmt w:val="decimal"/>
      <w:lvlText w:val="%6."/>
      <w:lvlJc w:val="left"/>
      <w:pPr>
        <w:tabs>
          <w:tab w:val="num" w:pos="4320"/>
        </w:tabs>
        <w:ind w:left="4320" w:hanging="360"/>
      </w:pPr>
    </w:lvl>
    <w:lvl w:ilvl="6" w:tplc="C6C657F2" w:tentative="1">
      <w:start w:val="1"/>
      <w:numFmt w:val="decimal"/>
      <w:lvlText w:val="%7."/>
      <w:lvlJc w:val="left"/>
      <w:pPr>
        <w:tabs>
          <w:tab w:val="num" w:pos="5040"/>
        </w:tabs>
        <w:ind w:left="5040" w:hanging="360"/>
      </w:pPr>
    </w:lvl>
    <w:lvl w:ilvl="7" w:tplc="5D9463B6" w:tentative="1">
      <w:start w:val="1"/>
      <w:numFmt w:val="decimal"/>
      <w:lvlText w:val="%8."/>
      <w:lvlJc w:val="left"/>
      <w:pPr>
        <w:tabs>
          <w:tab w:val="num" w:pos="5760"/>
        </w:tabs>
        <w:ind w:left="5760" w:hanging="360"/>
      </w:pPr>
    </w:lvl>
    <w:lvl w:ilvl="8" w:tplc="D9984162" w:tentative="1">
      <w:start w:val="1"/>
      <w:numFmt w:val="decimal"/>
      <w:lvlText w:val="%9."/>
      <w:lvlJc w:val="left"/>
      <w:pPr>
        <w:tabs>
          <w:tab w:val="num" w:pos="6480"/>
        </w:tabs>
        <w:ind w:left="6480" w:hanging="360"/>
      </w:pPr>
    </w:lvl>
  </w:abstractNum>
  <w:abstractNum w:abstractNumId="28" w15:restartNumberingAfterBreak="0">
    <w:nsid w:val="49854177"/>
    <w:multiLevelType w:val="hybridMultilevel"/>
    <w:tmpl w:val="432C5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B56BE4"/>
    <w:multiLevelType w:val="hybridMultilevel"/>
    <w:tmpl w:val="D032A3F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1D522FE"/>
    <w:multiLevelType w:val="hybridMultilevel"/>
    <w:tmpl w:val="492EE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3F128C"/>
    <w:multiLevelType w:val="hybridMultilevel"/>
    <w:tmpl w:val="971EE4D2"/>
    <w:lvl w:ilvl="0" w:tplc="1ACC439C">
      <w:start w:val="2"/>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801305"/>
    <w:multiLevelType w:val="hybridMultilevel"/>
    <w:tmpl w:val="2CAC34A8"/>
    <w:lvl w:ilvl="0" w:tplc="07A46BA6">
      <w:start w:val="1"/>
      <w:numFmt w:val="decimal"/>
      <w:lvlText w:val="%1."/>
      <w:lvlJc w:val="left"/>
      <w:pPr>
        <w:ind w:left="360" w:hanging="360"/>
      </w:pPr>
    </w:lvl>
    <w:lvl w:ilvl="1" w:tplc="4FD4D694">
      <w:start w:val="1"/>
      <w:numFmt w:val="lowerLetter"/>
      <w:lvlText w:val="%2."/>
      <w:lvlJc w:val="left"/>
      <w:pPr>
        <w:ind w:left="1080" w:hanging="360"/>
      </w:pPr>
    </w:lvl>
    <w:lvl w:ilvl="2" w:tplc="9774CC74" w:tentative="1">
      <w:start w:val="1"/>
      <w:numFmt w:val="lowerRoman"/>
      <w:lvlText w:val="%3."/>
      <w:lvlJc w:val="right"/>
      <w:pPr>
        <w:ind w:left="1800" w:hanging="180"/>
      </w:pPr>
    </w:lvl>
    <w:lvl w:ilvl="3" w:tplc="F9560E4E" w:tentative="1">
      <w:start w:val="1"/>
      <w:numFmt w:val="decimal"/>
      <w:lvlText w:val="%4."/>
      <w:lvlJc w:val="left"/>
      <w:pPr>
        <w:ind w:left="2520" w:hanging="360"/>
      </w:pPr>
    </w:lvl>
    <w:lvl w:ilvl="4" w:tplc="1BA4B24A" w:tentative="1">
      <w:start w:val="1"/>
      <w:numFmt w:val="lowerLetter"/>
      <w:lvlText w:val="%5."/>
      <w:lvlJc w:val="left"/>
      <w:pPr>
        <w:ind w:left="3240" w:hanging="360"/>
      </w:pPr>
    </w:lvl>
    <w:lvl w:ilvl="5" w:tplc="63425CFC" w:tentative="1">
      <w:start w:val="1"/>
      <w:numFmt w:val="lowerRoman"/>
      <w:lvlText w:val="%6."/>
      <w:lvlJc w:val="right"/>
      <w:pPr>
        <w:ind w:left="3960" w:hanging="180"/>
      </w:pPr>
    </w:lvl>
    <w:lvl w:ilvl="6" w:tplc="B8F89F38" w:tentative="1">
      <w:start w:val="1"/>
      <w:numFmt w:val="decimal"/>
      <w:lvlText w:val="%7."/>
      <w:lvlJc w:val="left"/>
      <w:pPr>
        <w:ind w:left="4680" w:hanging="360"/>
      </w:pPr>
    </w:lvl>
    <w:lvl w:ilvl="7" w:tplc="AE64C5C2" w:tentative="1">
      <w:start w:val="1"/>
      <w:numFmt w:val="lowerLetter"/>
      <w:lvlText w:val="%8."/>
      <w:lvlJc w:val="left"/>
      <w:pPr>
        <w:ind w:left="5400" w:hanging="360"/>
      </w:pPr>
    </w:lvl>
    <w:lvl w:ilvl="8" w:tplc="5DFAB0F2" w:tentative="1">
      <w:start w:val="1"/>
      <w:numFmt w:val="lowerRoman"/>
      <w:lvlText w:val="%9."/>
      <w:lvlJc w:val="right"/>
      <w:pPr>
        <w:ind w:left="6120" w:hanging="180"/>
      </w:pPr>
    </w:lvl>
  </w:abstractNum>
  <w:abstractNum w:abstractNumId="34" w15:restartNumberingAfterBreak="0">
    <w:nsid w:val="59F5663E"/>
    <w:multiLevelType w:val="hybridMultilevel"/>
    <w:tmpl w:val="AECAF82E"/>
    <w:lvl w:ilvl="0" w:tplc="DB1C51BA">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51206B"/>
    <w:multiLevelType w:val="hybridMultilevel"/>
    <w:tmpl w:val="CE96F086"/>
    <w:lvl w:ilvl="0" w:tplc="EB56F00A">
      <w:start w:val="1"/>
      <w:numFmt w:val="bullet"/>
      <w:lvlText w:val="•"/>
      <w:lvlJc w:val="left"/>
      <w:pPr>
        <w:tabs>
          <w:tab w:val="num" w:pos="720"/>
        </w:tabs>
        <w:ind w:left="720" w:hanging="360"/>
      </w:pPr>
      <w:rPr>
        <w:rFonts w:ascii="Arial" w:hAnsi="Arial" w:hint="default"/>
      </w:rPr>
    </w:lvl>
    <w:lvl w:ilvl="1" w:tplc="4FA629C8" w:tentative="1">
      <w:start w:val="1"/>
      <w:numFmt w:val="bullet"/>
      <w:lvlText w:val="•"/>
      <w:lvlJc w:val="left"/>
      <w:pPr>
        <w:tabs>
          <w:tab w:val="num" w:pos="1440"/>
        </w:tabs>
        <w:ind w:left="1440" w:hanging="360"/>
      </w:pPr>
      <w:rPr>
        <w:rFonts w:ascii="Arial" w:hAnsi="Arial" w:hint="default"/>
      </w:rPr>
    </w:lvl>
    <w:lvl w:ilvl="2" w:tplc="43D4843A" w:tentative="1">
      <w:start w:val="1"/>
      <w:numFmt w:val="bullet"/>
      <w:lvlText w:val="•"/>
      <w:lvlJc w:val="left"/>
      <w:pPr>
        <w:tabs>
          <w:tab w:val="num" w:pos="2160"/>
        </w:tabs>
        <w:ind w:left="2160" w:hanging="360"/>
      </w:pPr>
      <w:rPr>
        <w:rFonts w:ascii="Arial" w:hAnsi="Arial" w:hint="default"/>
      </w:rPr>
    </w:lvl>
    <w:lvl w:ilvl="3" w:tplc="2C9845D2" w:tentative="1">
      <w:start w:val="1"/>
      <w:numFmt w:val="bullet"/>
      <w:lvlText w:val="•"/>
      <w:lvlJc w:val="left"/>
      <w:pPr>
        <w:tabs>
          <w:tab w:val="num" w:pos="2880"/>
        </w:tabs>
        <w:ind w:left="2880" w:hanging="360"/>
      </w:pPr>
      <w:rPr>
        <w:rFonts w:ascii="Arial" w:hAnsi="Arial" w:hint="default"/>
      </w:rPr>
    </w:lvl>
    <w:lvl w:ilvl="4" w:tplc="07CA2FC2" w:tentative="1">
      <w:start w:val="1"/>
      <w:numFmt w:val="bullet"/>
      <w:lvlText w:val="•"/>
      <w:lvlJc w:val="left"/>
      <w:pPr>
        <w:tabs>
          <w:tab w:val="num" w:pos="3600"/>
        </w:tabs>
        <w:ind w:left="3600" w:hanging="360"/>
      </w:pPr>
      <w:rPr>
        <w:rFonts w:ascii="Arial" w:hAnsi="Arial" w:hint="default"/>
      </w:rPr>
    </w:lvl>
    <w:lvl w:ilvl="5" w:tplc="A91E4E92" w:tentative="1">
      <w:start w:val="1"/>
      <w:numFmt w:val="bullet"/>
      <w:lvlText w:val="•"/>
      <w:lvlJc w:val="left"/>
      <w:pPr>
        <w:tabs>
          <w:tab w:val="num" w:pos="4320"/>
        </w:tabs>
        <w:ind w:left="4320" w:hanging="360"/>
      </w:pPr>
      <w:rPr>
        <w:rFonts w:ascii="Arial" w:hAnsi="Arial" w:hint="default"/>
      </w:rPr>
    </w:lvl>
    <w:lvl w:ilvl="6" w:tplc="AAA4D8EA" w:tentative="1">
      <w:start w:val="1"/>
      <w:numFmt w:val="bullet"/>
      <w:lvlText w:val="•"/>
      <w:lvlJc w:val="left"/>
      <w:pPr>
        <w:tabs>
          <w:tab w:val="num" w:pos="5040"/>
        </w:tabs>
        <w:ind w:left="5040" w:hanging="360"/>
      </w:pPr>
      <w:rPr>
        <w:rFonts w:ascii="Arial" w:hAnsi="Arial" w:hint="default"/>
      </w:rPr>
    </w:lvl>
    <w:lvl w:ilvl="7" w:tplc="2F84427E" w:tentative="1">
      <w:start w:val="1"/>
      <w:numFmt w:val="bullet"/>
      <w:lvlText w:val="•"/>
      <w:lvlJc w:val="left"/>
      <w:pPr>
        <w:tabs>
          <w:tab w:val="num" w:pos="5760"/>
        </w:tabs>
        <w:ind w:left="5760" w:hanging="360"/>
      </w:pPr>
      <w:rPr>
        <w:rFonts w:ascii="Arial" w:hAnsi="Arial" w:hint="default"/>
      </w:rPr>
    </w:lvl>
    <w:lvl w:ilvl="8" w:tplc="7228DFB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F16ED0"/>
    <w:multiLevelType w:val="multilevel"/>
    <w:tmpl w:val="CF30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0B43DE"/>
    <w:multiLevelType w:val="hybridMultilevel"/>
    <w:tmpl w:val="D15EBCF2"/>
    <w:lvl w:ilvl="0" w:tplc="ACBC48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FC6B14"/>
    <w:multiLevelType w:val="multilevel"/>
    <w:tmpl w:val="415E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5A1BB7"/>
    <w:multiLevelType w:val="hybridMultilevel"/>
    <w:tmpl w:val="E752E024"/>
    <w:lvl w:ilvl="0" w:tplc="4F2EEE12">
      <w:start w:val="2"/>
      <w:numFmt w:val="bullet"/>
      <w:lvlText w:val="-"/>
      <w:lvlJc w:val="left"/>
      <w:pPr>
        <w:ind w:left="720" w:hanging="360"/>
      </w:pPr>
      <w:rPr>
        <w:rFonts w:ascii="Cambria" w:eastAsiaTheme="minorHAnsi" w:hAnsi="Cambri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ED1464"/>
    <w:multiLevelType w:val="hybridMultilevel"/>
    <w:tmpl w:val="D190347A"/>
    <w:lvl w:ilvl="0" w:tplc="B896C42E">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8F545C8"/>
    <w:multiLevelType w:val="hybridMultilevel"/>
    <w:tmpl w:val="475A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AD797A"/>
    <w:multiLevelType w:val="hybridMultilevel"/>
    <w:tmpl w:val="042C70D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3" w15:restartNumberingAfterBreak="0">
    <w:nsid w:val="707A3A04"/>
    <w:multiLevelType w:val="hybridMultilevel"/>
    <w:tmpl w:val="A482A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25213B0"/>
    <w:multiLevelType w:val="hybridMultilevel"/>
    <w:tmpl w:val="835CE53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4C908A1"/>
    <w:multiLevelType w:val="hybridMultilevel"/>
    <w:tmpl w:val="EC6ECBEE"/>
    <w:lvl w:ilvl="0" w:tplc="6FE41110">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6B54DAF"/>
    <w:multiLevelType w:val="hybridMultilevel"/>
    <w:tmpl w:val="01C2E2CE"/>
    <w:lvl w:ilvl="0" w:tplc="2AA0BD7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2D1E44"/>
    <w:multiLevelType w:val="hybridMultilevel"/>
    <w:tmpl w:val="A482A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46"/>
  </w:num>
  <w:num w:numId="2">
    <w:abstractNumId w:val="15"/>
  </w:num>
  <w:num w:numId="3">
    <w:abstractNumId w:val="30"/>
  </w:num>
  <w:num w:numId="4">
    <w:abstractNumId w:val="40"/>
  </w:num>
  <w:num w:numId="5">
    <w:abstractNumId w:val="33"/>
  </w:num>
  <w:num w:numId="6">
    <w:abstractNumId w:val="25"/>
  </w:num>
  <w:num w:numId="7">
    <w:abstractNumId w:val="1"/>
  </w:num>
  <w:num w:numId="8">
    <w:abstractNumId w:val="13"/>
  </w:num>
  <w:num w:numId="9">
    <w:abstractNumId w:val="39"/>
  </w:num>
  <w:num w:numId="10">
    <w:abstractNumId w:val="20"/>
  </w:num>
  <w:num w:numId="11">
    <w:abstractNumId w:val="32"/>
  </w:num>
  <w:num w:numId="12">
    <w:abstractNumId w:val="37"/>
  </w:num>
  <w:num w:numId="13">
    <w:abstractNumId w:val="43"/>
  </w:num>
  <w:num w:numId="14">
    <w:abstractNumId w:val="17"/>
  </w:num>
  <w:num w:numId="15">
    <w:abstractNumId w:val="9"/>
  </w:num>
  <w:num w:numId="16">
    <w:abstractNumId w:val="34"/>
  </w:num>
  <w:num w:numId="17">
    <w:abstractNumId w:val="26"/>
  </w:num>
  <w:num w:numId="18">
    <w:abstractNumId w:val="48"/>
  </w:num>
  <w:num w:numId="19">
    <w:abstractNumId w:val="23"/>
  </w:num>
  <w:num w:numId="20">
    <w:abstractNumId w:val="31"/>
  </w:num>
  <w:num w:numId="21">
    <w:abstractNumId w:val="8"/>
  </w:num>
  <w:num w:numId="22">
    <w:abstractNumId w:val="12"/>
  </w:num>
  <w:num w:numId="23">
    <w:abstractNumId w:val="49"/>
  </w:num>
  <w:num w:numId="24">
    <w:abstractNumId w:val="19"/>
  </w:num>
  <w:num w:numId="25">
    <w:abstractNumId w:val="30"/>
  </w:num>
  <w:num w:numId="26">
    <w:abstractNumId w:val="30"/>
  </w:num>
  <w:num w:numId="27">
    <w:abstractNumId w:val="30"/>
  </w:num>
  <w:num w:numId="28">
    <w:abstractNumId w:val="47"/>
  </w:num>
  <w:num w:numId="29">
    <w:abstractNumId w:val="5"/>
  </w:num>
  <w:num w:numId="30">
    <w:abstractNumId w:val="28"/>
  </w:num>
  <w:num w:numId="31">
    <w:abstractNumId w:val="10"/>
  </w:num>
  <w:num w:numId="32">
    <w:abstractNumId w:val="0"/>
  </w:num>
  <w:num w:numId="33">
    <w:abstractNumId w:val="11"/>
  </w:num>
  <w:num w:numId="34">
    <w:abstractNumId w:val="22"/>
  </w:num>
  <w:num w:numId="35">
    <w:abstractNumId w:val="16"/>
  </w:num>
  <w:num w:numId="36">
    <w:abstractNumId w:val="38"/>
  </w:num>
  <w:num w:numId="37">
    <w:abstractNumId w:val="24"/>
  </w:num>
  <w:num w:numId="38">
    <w:abstractNumId w:val="7"/>
  </w:num>
  <w:num w:numId="39">
    <w:abstractNumId w:val="44"/>
  </w:num>
  <w:num w:numId="40">
    <w:abstractNumId w:val="27"/>
  </w:num>
  <w:num w:numId="41">
    <w:abstractNumId w:val="29"/>
  </w:num>
  <w:num w:numId="42">
    <w:abstractNumId w:val="49"/>
  </w:num>
  <w:num w:numId="43">
    <w:abstractNumId w:val="4"/>
  </w:num>
  <w:num w:numId="44">
    <w:abstractNumId w:val="42"/>
  </w:num>
  <w:num w:numId="45">
    <w:abstractNumId w:val="18"/>
  </w:num>
  <w:num w:numId="46">
    <w:abstractNumId w:val="2"/>
  </w:num>
  <w:num w:numId="47">
    <w:abstractNumId w:val="3"/>
  </w:num>
  <w:num w:numId="48">
    <w:abstractNumId w:val="6"/>
  </w:num>
  <w:num w:numId="49">
    <w:abstractNumId w:val="35"/>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45"/>
  </w:num>
  <w:num w:numId="55">
    <w:abstractNumId w:val="36"/>
  </w:num>
  <w:num w:numId="56">
    <w:abstractNumId w:val="41"/>
  </w:num>
  <w:num w:numId="57">
    <w:abstractNumId w:val="30"/>
  </w:num>
  <w:num w:numId="58">
    <w:abstractNumId w:val="30"/>
  </w:num>
  <w:num w:numId="59">
    <w:abstractNumId w:val="30"/>
  </w:num>
  <w:num w:numId="60">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E47"/>
    <w:rsid w:val="00004B98"/>
    <w:rsid w:val="00004D24"/>
    <w:rsid w:val="00004EBF"/>
    <w:rsid w:val="00005499"/>
    <w:rsid w:val="0000565C"/>
    <w:rsid w:val="00007892"/>
    <w:rsid w:val="00007A3E"/>
    <w:rsid w:val="00007F74"/>
    <w:rsid w:val="00010FA9"/>
    <w:rsid w:val="00014CB8"/>
    <w:rsid w:val="000168D2"/>
    <w:rsid w:val="00016A71"/>
    <w:rsid w:val="00021201"/>
    <w:rsid w:val="00022C46"/>
    <w:rsid w:val="00023286"/>
    <w:rsid w:val="00023822"/>
    <w:rsid w:val="00024481"/>
    <w:rsid w:val="000256B9"/>
    <w:rsid w:val="00025744"/>
    <w:rsid w:val="00025920"/>
    <w:rsid w:val="00025D35"/>
    <w:rsid w:val="00027ACC"/>
    <w:rsid w:val="00030F97"/>
    <w:rsid w:val="000312FD"/>
    <w:rsid w:val="00031955"/>
    <w:rsid w:val="0003355A"/>
    <w:rsid w:val="000359F1"/>
    <w:rsid w:val="00035F53"/>
    <w:rsid w:val="0003632B"/>
    <w:rsid w:val="000375C1"/>
    <w:rsid w:val="00037BE4"/>
    <w:rsid w:val="0004072B"/>
    <w:rsid w:val="00043287"/>
    <w:rsid w:val="00044767"/>
    <w:rsid w:val="00047442"/>
    <w:rsid w:val="00050D73"/>
    <w:rsid w:val="00050D99"/>
    <w:rsid w:val="00050EB3"/>
    <w:rsid w:val="000533C0"/>
    <w:rsid w:val="0005348F"/>
    <w:rsid w:val="00054142"/>
    <w:rsid w:val="00054298"/>
    <w:rsid w:val="0005441A"/>
    <w:rsid w:val="000548B1"/>
    <w:rsid w:val="000564CC"/>
    <w:rsid w:val="000565BA"/>
    <w:rsid w:val="00056604"/>
    <w:rsid w:val="0005682A"/>
    <w:rsid w:val="00060D34"/>
    <w:rsid w:val="00061433"/>
    <w:rsid w:val="00063A61"/>
    <w:rsid w:val="00063A94"/>
    <w:rsid w:val="00064873"/>
    <w:rsid w:val="000658F1"/>
    <w:rsid w:val="00066A7E"/>
    <w:rsid w:val="00070C65"/>
    <w:rsid w:val="00070EB0"/>
    <w:rsid w:val="0007144E"/>
    <w:rsid w:val="0007496D"/>
    <w:rsid w:val="000775AE"/>
    <w:rsid w:val="000776D7"/>
    <w:rsid w:val="000830EB"/>
    <w:rsid w:val="000842B1"/>
    <w:rsid w:val="00086E5D"/>
    <w:rsid w:val="00090916"/>
    <w:rsid w:val="000909A3"/>
    <w:rsid w:val="00090BF4"/>
    <w:rsid w:val="0009255E"/>
    <w:rsid w:val="00094FEE"/>
    <w:rsid w:val="0009580C"/>
    <w:rsid w:val="00097CEB"/>
    <w:rsid w:val="000A30CF"/>
    <w:rsid w:val="000A3129"/>
    <w:rsid w:val="000A4A4A"/>
    <w:rsid w:val="000A59B0"/>
    <w:rsid w:val="000A6160"/>
    <w:rsid w:val="000A64A7"/>
    <w:rsid w:val="000A74CC"/>
    <w:rsid w:val="000B09C4"/>
    <w:rsid w:val="000B4E04"/>
    <w:rsid w:val="000B57C1"/>
    <w:rsid w:val="000B5C08"/>
    <w:rsid w:val="000B68F7"/>
    <w:rsid w:val="000C01F1"/>
    <w:rsid w:val="000C1E20"/>
    <w:rsid w:val="000C2B89"/>
    <w:rsid w:val="000C3913"/>
    <w:rsid w:val="000C432F"/>
    <w:rsid w:val="000C521C"/>
    <w:rsid w:val="000D2DC8"/>
    <w:rsid w:val="000D2EAD"/>
    <w:rsid w:val="000D31BA"/>
    <w:rsid w:val="000D3276"/>
    <w:rsid w:val="000D3FBC"/>
    <w:rsid w:val="000E0BED"/>
    <w:rsid w:val="000E3BF4"/>
    <w:rsid w:val="000E4B28"/>
    <w:rsid w:val="000E7BEC"/>
    <w:rsid w:val="000F1F59"/>
    <w:rsid w:val="000F4914"/>
    <w:rsid w:val="000F5E42"/>
    <w:rsid w:val="000F69FF"/>
    <w:rsid w:val="000F75D1"/>
    <w:rsid w:val="000F76D2"/>
    <w:rsid w:val="001019A9"/>
    <w:rsid w:val="0010291A"/>
    <w:rsid w:val="00102CE2"/>
    <w:rsid w:val="0010437D"/>
    <w:rsid w:val="00104B39"/>
    <w:rsid w:val="001051AF"/>
    <w:rsid w:val="001067AA"/>
    <w:rsid w:val="0010781D"/>
    <w:rsid w:val="00111D7E"/>
    <w:rsid w:val="0011581C"/>
    <w:rsid w:val="00120AF7"/>
    <w:rsid w:val="0012147F"/>
    <w:rsid w:val="00121B08"/>
    <w:rsid w:val="00122E0A"/>
    <w:rsid w:val="00123B4B"/>
    <w:rsid w:val="00125828"/>
    <w:rsid w:val="00125BDD"/>
    <w:rsid w:val="001263CE"/>
    <w:rsid w:val="001264B7"/>
    <w:rsid w:val="00126F81"/>
    <w:rsid w:val="00130096"/>
    <w:rsid w:val="001305FC"/>
    <w:rsid w:val="00132855"/>
    <w:rsid w:val="0013325F"/>
    <w:rsid w:val="00133B08"/>
    <w:rsid w:val="00137071"/>
    <w:rsid w:val="00142715"/>
    <w:rsid w:val="0014449D"/>
    <w:rsid w:val="001448C1"/>
    <w:rsid w:val="00146F58"/>
    <w:rsid w:val="001472A3"/>
    <w:rsid w:val="00147745"/>
    <w:rsid w:val="00150799"/>
    <w:rsid w:val="001510A1"/>
    <w:rsid w:val="001510DB"/>
    <w:rsid w:val="0015125A"/>
    <w:rsid w:val="001528BF"/>
    <w:rsid w:val="00153DC4"/>
    <w:rsid w:val="001552F3"/>
    <w:rsid w:val="00157AAA"/>
    <w:rsid w:val="00157B28"/>
    <w:rsid w:val="00160403"/>
    <w:rsid w:val="00160C3E"/>
    <w:rsid w:val="00160CF3"/>
    <w:rsid w:val="00162956"/>
    <w:rsid w:val="001665E3"/>
    <w:rsid w:val="00173028"/>
    <w:rsid w:val="00174383"/>
    <w:rsid w:val="00175036"/>
    <w:rsid w:val="00175382"/>
    <w:rsid w:val="00175F68"/>
    <w:rsid w:val="001768F5"/>
    <w:rsid w:val="00177440"/>
    <w:rsid w:val="0017768A"/>
    <w:rsid w:val="00181982"/>
    <w:rsid w:val="00181C67"/>
    <w:rsid w:val="00181D8B"/>
    <w:rsid w:val="0018255B"/>
    <w:rsid w:val="00183F29"/>
    <w:rsid w:val="0018450B"/>
    <w:rsid w:val="0018515F"/>
    <w:rsid w:val="001851F0"/>
    <w:rsid w:val="00186659"/>
    <w:rsid w:val="00190C52"/>
    <w:rsid w:val="001929F5"/>
    <w:rsid w:val="00194788"/>
    <w:rsid w:val="00195E94"/>
    <w:rsid w:val="00196212"/>
    <w:rsid w:val="001977B3"/>
    <w:rsid w:val="00197EAA"/>
    <w:rsid w:val="001A1D92"/>
    <w:rsid w:val="001A22EA"/>
    <w:rsid w:val="001A30D1"/>
    <w:rsid w:val="001A3F70"/>
    <w:rsid w:val="001B301D"/>
    <w:rsid w:val="001B3A12"/>
    <w:rsid w:val="001B503E"/>
    <w:rsid w:val="001B7D91"/>
    <w:rsid w:val="001C00E1"/>
    <w:rsid w:val="001C04A9"/>
    <w:rsid w:val="001C1A7A"/>
    <w:rsid w:val="001C26B8"/>
    <w:rsid w:val="001C3151"/>
    <w:rsid w:val="001C3AD1"/>
    <w:rsid w:val="001C616E"/>
    <w:rsid w:val="001D06B7"/>
    <w:rsid w:val="001D0C0A"/>
    <w:rsid w:val="001D384A"/>
    <w:rsid w:val="001D4039"/>
    <w:rsid w:val="001D53FB"/>
    <w:rsid w:val="001D5F18"/>
    <w:rsid w:val="001E1F8C"/>
    <w:rsid w:val="001E280D"/>
    <w:rsid w:val="001E2C7D"/>
    <w:rsid w:val="001E6613"/>
    <w:rsid w:val="001E72D1"/>
    <w:rsid w:val="001F1BEB"/>
    <w:rsid w:val="001F3097"/>
    <w:rsid w:val="001F716C"/>
    <w:rsid w:val="00200BEF"/>
    <w:rsid w:val="00203CE5"/>
    <w:rsid w:val="00207684"/>
    <w:rsid w:val="00207A3D"/>
    <w:rsid w:val="00207D1A"/>
    <w:rsid w:val="00207E79"/>
    <w:rsid w:val="002100BC"/>
    <w:rsid w:val="00211B29"/>
    <w:rsid w:val="00211DF4"/>
    <w:rsid w:val="00213902"/>
    <w:rsid w:val="00214258"/>
    <w:rsid w:val="002147BA"/>
    <w:rsid w:val="00216721"/>
    <w:rsid w:val="00220939"/>
    <w:rsid w:val="00221392"/>
    <w:rsid w:val="002216E4"/>
    <w:rsid w:val="002221B6"/>
    <w:rsid w:val="00222B10"/>
    <w:rsid w:val="00222E59"/>
    <w:rsid w:val="00224445"/>
    <w:rsid w:val="00225889"/>
    <w:rsid w:val="00227C80"/>
    <w:rsid w:val="0023028E"/>
    <w:rsid w:val="002307B1"/>
    <w:rsid w:val="00230912"/>
    <w:rsid w:val="00230F3B"/>
    <w:rsid w:val="00232723"/>
    <w:rsid w:val="002342DD"/>
    <w:rsid w:val="00235D83"/>
    <w:rsid w:val="0023738E"/>
    <w:rsid w:val="00237A37"/>
    <w:rsid w:val="002403DB"/>
    <w:rsid w:val="00242A70"/>
    <w:rsid w:val="00244911"/>
    <w:rsid w:val="0024495F"/>
    <w:rsid w:val="00244C9A"/>
    <w:rsid w:val="00244E21"/>
    <w:rsid w:val="002459E8"/>
    <w:rsid w:val="00245A4B"/>
    <w:rsid w:val="00247BAD"/>
    <w:rsid w:val="00247CE6"/>
    <w:rsid w:val="00250341"/>
    <w:rsid w:val="002505AD"/>
    <w:rsid w:val="00252D29"/>
    <w:rsid w:val="00253BE9"/>
    <w:rsid w:val="0025462E"/>
    <w:rsid w:val="002548BC"/>
    <w:rsid w:val="002559BD"/>
    <w:rsid w:val="00256293"/>
    <w:rsid w:val="00257B05"/>
    <w:rsid w:val="00257B50"/>
    <w:rsid w:val="0026200E"/>
    <w:rsid w:val="0026407C"/>
    <w:rsid w:val="00266A44"/>
    <w:rsid w:val="00266C9B"/>
    <w:rsid w:val="00271A41"/>
    <w:rsid w:val="002720AF"/>
    <w:rsid w:val="0027329C"/>
    <w:rsid w:val="00273566"/>
    <w:rsid w:val="00273849"/>
    <w:rsid w:val="0027445E"/>
    <w:rsid w:val="00274F3F"/>
    <w:rsid w:val="00275034"/>
    <w:rsid w:val="00275BC6"/>
    <w:rsid w:val="00275F09"/>
    <w:rsid w:val="00276A15"/>
    <w:rsid w:val="00277ECD"/>
    <w:rsid w:val="00282556"/>
    <w:rsid w:val="00282D80"/>
    <w:rsid w:val="00282E6D"/>
    <w:rsid w:val="00285061"/>
    <w:rsid w:val="00285CDF"/>
    <w:rsid w:val="00285E2D"/>
    <w:rsid w:val="00285F5F"/>
    <w:rsid w:val="00286775"/>
    <w:rsid w:val="0029047A"/>
    <w:rsid w:val="002924F0"/>
    <w:rsid w:val="00293D79"/>
    <w:rsid w:val="00294C4F"/>
    <w:rsid w:val="00295786"/>
    <w:rsid w:val="002961C8"/>
    <w:rsid w:val="002971BA"/>
    <w:rsid w:val="00297565"/>
    <w:rsid w:val="002A165F"/>
    <w:rsid w:val="002A19D1"/>
    <w:rsid w:val="002A1D71"/>
    <w:rsid w:val="002A2603"/>
    <w:rsid w:val="002A47E8"/>
    <w:rsid w:val="002A5BA3"/>
    <w:rsid w:val="002B0189"/>
    <w:rsid w:val="002B40C7"/>
    <w:rsid w:val="002B7A20"/>
    <w:rsid w:val="002C06A0"/>
    <w:rsid w:val="002C0B8C"/>
    <w:rsid w:val="002C0E6E"/>
    <w:rsid w:val="002C1E47"/>
    <w:rsid w:val="002C2061"/>
    <w:rsid w:val="002C3D52"/>
    <w:rsid w:val="002C4ABC"/>
    <w:rsid w:val="002D03DA"/>
    <w:rsid w:val="002D0D60"/>
    <w:rsid w:val="002D196C"/>
    <w:rsid w:val="002D2B30"/>
    <w:rsid w:val="002D3161"/>
    <w:rsid w:val="002D448E"/>
    <w:rsid w:val="002D5297"/>
    <w:rsid w:val="002E1B4B"/>
    <w:rsid w:val="002E653F"/>
    <w:rsid w:val="002E65BF"/>
    <w:rsid w:val="002E6EE3"/>
    <w:rsid w:val="002F0CD0"/>
    <w:rsid w:val="002F18B7"/>
    <w:rsid w:val="002F191B"/>
    <w:rsid w:val="002F1EDE"/>
    <w:rsid w:val="002F2311"/>
    <w:rsid w:val="002F2933"/>
    <w:rsid w:val="002F4451"/>
    <w:rsid w:val="002F50FD"/>
    <w:rsid w:val="002F5F4B"/>
    <w:rsid w:val="002F612B"/>
    <w:rsid w:val="002F7E14"/>
    <w:rsid w:val="00301CD9"/>
    <w:rsid w:val="0030234C"/>
    <w:rsid w:val="003038C9"/>
    <w:rsid w:val="0030400C"/>
    <w:rsid w:val="00304D41"/>
    <w:rsid w:val="003054C3"/>
    <w:rsid w:val="003064F2"/>
    <w:rsid w:val="00307B41"/>
    <w:rsid w:val="00307DE4"/>
    <w:rsid w:val="00311423"/>
    <w:rsid w:val="00312ED3"/>
    <w:rsid w:val="00316120"/>
    <w:rsid w:val="00316BB9"/>
    <w:rsid w:val="00317480"/>
    <w:rsid w:val="00320A38"/>
    <w:rsid w:val="00321C62"/>
    <w:rsid w:val="00321F90"/>
    <w:rsid w:val="003222E7"/>
    <w:rsid w:val="00324604"/>
    <w:rsid w:val="00325673"/>
    <w:rsid w:val="00327DCB"/>
    <w:rsid w:val="00327EF3"/>
    <w:rsid w:val="003310F6"/>
    <w:rsid w:val="00332766"/>
    <w:rsid w:val="00332AED"/>
    <w:rsid w:val="00332D75"/>
    <w:rsid w:val="00333ACD"/>
    <w:rsid w:val="0033429B"/>
    <w:rsid w:val="00335116"/>
    <w:rsid w:val="0034163C"/>
    <w:rsid w:val="00341A46"/>
    <w:rsid w:val="00342CC5"/>
    <w:rsid w:val="00345727"/>
    <w:rsid w:val="00345CA8"/>
    <w:rsid w:val="00347D26"/>
    <w:rsid w:val="003506B7"/>
    <w:rsid w:val="003508BC"/>
    <w:rsid w:val="00350CE0"/>
    <w:rsid w:val="00351459"/>
    <w:rsid w:val="00352228"/>
    <w:rsid w:val="00357DF2"/>
    <w:rsid w:val="00361116"/>
    <w:rsid w:val="00361EBD"/>
    <w:rsid w:val="00364304"/>
    <w:rsid w:val="003649A8"/>
    <w:rsid w:val="003656F7"/>
    <w:rsid w:val="003657AA"/>
    <w:rsid w:val="00373EC8"/>
    <w:rsid w:val="00374167"/>
    <w:rsid w:val="00374F58"/>
    <w:rsid w:val="00375036"/>
    <w:rsid w:val="003750A4"/>
    <w:rsid w:val="00377AC6"/>
    <w:rsid w:val="003804E9"/>
    <w:rsid w:val="0038414C"/>
    <w:rsid w:val="003842A4"/>
    <w:rsid w:val="00385877"/>
    <w:rsid w:val="00386C2A"/>
    <w:rsid w:val="00387274"/>
    <w:rsid w:val="00390268"/>
    <w:rsid w:val="00391E8A"/>
    <w:rsid w:val="00393CCE"/>
    <w:rsid w:val="00397552"/>
    <w:rsid w:val="00397D7E"/>
    <w:rsid w:val="003A050F"/>
    <w:rsid w:val="003A2402"/>
    <w:rsid w:val="003A27C7"/>
    <w:rsid w:val="003A3561"/>
    <w:rsid w:val="003A3DF4"/>
    <w:rsid w:val="003B0526"/>
    <w:rsid w:val="003B0B40"/>
    <w:rsid w:val="003B2CC7"/>
    <w:rsid w:val="003B36F6"/>
    <w:rsid w:val="003B393B"/>
    <w:rsid w:val="003B5FFF"/>
    <w:rsid w:val="003B600D"/>
    <w:rsid w:val="003B7838"/>
    <w:rsid w:val="003C01CC"/>
    <w:rsid w:val="003C053E"/>
    <w:rsid w:val="003C0B6A"/>
    <w:rsid w:val="003C19BA"/>
    <w:rsid w:val="003C1AFF"/>
    <w:rsid w:val="003C255F"/>
    <w:rsid w:val="003C2582"/>
    <w:rsid w:val="003C2A07"/>
    <w:rsid w:val="003C2CE2"/>
    <w:rsid w:val="003C4B63"/>
    <w:rsid w:val="003C6199"/>
    <w:rsid w:val="003C6465"/>
    <w:rsid w:val="003C6494"/>
    <w:rsid w:val="003D0DBE"/>
    <w:rsid w:val="003D10BD"/>
    <w:rsid w:val="003D193C"/>
    <w:rsid w:val="003D335E"/>
    <w:rsid w:val="003D58AE"/>
    <w:rsid w:val="003D7127"/>
    <w:rsid w:val="003D72B4"/>
    <w:rsid w:val="003E0508"/>
    <w:rsid w:val="003E244C"/>
    <w:rsid w:val="003E3B09"/>
    <w:rsid w:val="003E4A69"/>
    <w:rsid w:val="003E4B32"/>
    <w:rsid w:val="003E5E68"/>
    <w:rsid w:val="003E7DD3"/>
    <w:rsid w:val="003E7F64"/>
    <w:rsid w:val="003F299E"/>
    <w:rsid w:val="003F3466"/>
    <w:rsid w:val="003F5596"/>
    <w:rsid w:val="003F5A4B"/>
    <w:rsid w:val="003F6FDB"/>
    <w:rsid w:val="003F7713"/>
    <w:rsid w:val="003F7C90"/>
    <w:rsid w:val="004005EB"/>
    <w:rsid w:val="00402729"/>
    <w:rsid w:val="00403993"/>
    <w:rsid w:val="0040551C"/>
    <w:rsid w:val="00406DF0"/>
    <w:rsid w:val="00407FD0"/>
    <w:rsid w:val="004119F7"/>
    <w:rsid w:val="00412BF5"/>
    <w:rsid w:val="00412FEE"/>
    <w:rsid w:val="004131C0"/>
    <w:rsid w:val="00413504"/>
    <w:rsid w:val="0041460E"/>
    <w:rsid w:val="0041689B"/>
    <w:rsid w:val="00417B79"/>
    <w:rsid w:val="004239D1"/>
    <w:rsid w:val="00424594"/>
    <w:rsid w:val="004261B5"/>
    <w:rsid w:val="00430AB9"/>
    <w:rsid w:val="00430CF5"/>
    <w:rsid w:val="00433414"/>
    <w:rsid w:val="004337C1"/>
    <w:rsid w:val="00433BD8"/>
    <w:rsid w:val="004353BB"/>
    <w:rsid w:val="004358D1"/>
    <w:rsid w:val="004363E6"/>
    <w:rsid w:val="00437B5B"/>
    <w:rsid w:val="00437C4A"/>
    <w:rsid w:val="004412DB"/>
    <w:rsid w:val="004413EA"/>
    <w:rsid w:val="00441642"/>
    <w:rsid w:val="00442A8E"/>
    <w:rsid w:val="00445BA3"/>
    <w:rsid w:val="00445BBB"/>
    <w:rsid w:val="00446738"/>
    <w:rsid w:val="004468D8"/>
    <w:rsid w:val="00450397"/>
    <w:rsid w:val="00450C30"/>
    <w:rsid w:val="0045271E"/>
    <w:rsid w:val="00452C81"/>
    <w:rsid w:val="0045300D"/>
    <w:rsid w:val="00453571"/>
    <w:rsid w:val="004535CF"/>
    <w:rsid w:val="0045556A"/>
    <w:rsid w:val="00455FDD"/>
    <w:rsid w:val="00457C56"/>
    <w:rsid w:val="00467EBC"/>
    <w:rsid w:val="0047035E"/>
    <w:rsid w:val="00470601"/>
    <w:rsid w:val="00471D95"/>
    <w:rsid w:val="004776E0"/>
    <w:rsid w:val="00477B1C"/>
    <w:rsid w:val="00477D6B"/>
    <w:rsid w:val="004803D1"/>
    <w:rsid w:val="00481753"/>
    <w:rsid w:val="00482E97"/>
    <w:rsid w:val="00483976"/>
    <w:rsid w:val="00484396"/>
    <w:rsid w:val="004859C9"/>
    <w:rsid w:val="00485C31"/>
    <w:rsid w:val="0048773A"/>
    <w:rsid w:val="00487D3F"/>
    <w:rsid w:val="00492963"/>
    <w:rsid w:val="00492B0D"/>
    <w:rsid w:val="00493509"/>
    <w:rsid w:val="00493BCF"/>
    <w:rsid w:val="00493CCB"/>
    <w:rsid w:val="004945EC"/>
    <w:rsid w:val="004966B3"/>
    <w:rsid w:val="004A00E5"/>
    <w:rsid w:val="004A1CA7"/>
    <w:rsid w:val="004A445D"/>
    <w:rsid w:val="004A4B1C"/>
    <w:rsid w:val="004A62CE"/>
    <w:rsid w:val="004B0C5F"/>
    <w:rsid w:val="004B222A"/>
    <w:rsid w:val="004B34B8"/>
    <w:rsid w:val="004B3ABD"/>
    <w:rsid w:val="004B5383"/>
    <w:rsid w:val="004B7933"/>
    <w:rsid w:val="004C0F4C"/>
    <w:rsid w:val="004C1808"/>
    <w:rsid w:val="004C2716"/>
    <w:rsid w:val="004C4841"/>
    <w:rsid w:val="004C6338"/>
    <w:rsid w:val="004C75B8"/>
    <w:rsid w:val="004D00F9"/>
    <w:rsid w:val="004D0897"/>
    <w:rsid w:val="004D2038"/>
    <w:rsid w:val="004D2E4B"/>
    <w:rsid w:val="004D33E3"/>
    <w:rsid w:val="004D3754"/>
    <w:rsid w:val="004D5451"/>
    <w:rsid w:val="004D5711"/>
    <w:rsid w:val="004E08D2"/>
    <w:rsid w:val="004E098E"/>
    <w:rsid w:val="004E1823"/>
    <w:rsid w:val="004E1939"/>
    <w:rsid w:val="004E2372"/>
    <w:rsid w:val="004E2C14"/>
    <w:rsid w:val="004E2D55"/>
    <w:rsid w:val="004E3669"/>
    <w:rsid w:val="004E4C29"/>
    <w:rsid w:val="004E5325"/>
    <w:rsid w:val="004E55E1"/>
    <w:rsid w:val="004E6294"/>
    <w:rsid w:val="004E6418"/>
    <w:rsid w:val="004E7C04"/>
    <w:rsid w:val="004F0686"/>
    <w:rsid w:val="004F07FA"/>
    <w:rsid w:val="004F2378"/>
    <w:rsid w:val="004F57AD"/>
    <w:rsid w:val="004F7C27"/>
    <w:rsid w:val="004F7E9D"/>
    <w:rsid w:val="00500E5E"/>
    <w:rsid w:val="00502344"/>
    <w:rsid w:val="00502348"/>
    <w:rsid w:val="00502D4E"/>
    <w:rsid w:val="00506033"/>
    <w:rsid w:val="00506ADF"/>
    <w:rsid w:val="005107E7"/>
    <w:rsid w:val="00510D50"/>
    <w:rsid w:val="005112C1"/>
    <w:rsid w:val="005113AA"/>
    <w:rsid w:val="005115A8"/>
    <w:rsid w:val="00511643"/>
    <w:rsid w:val="00513ED1"/>
    <w:rsid w:val="00515991"/>
    <w:rsid w:val="00515997"/>
    <w:rsid w:val="005159B6"/>
    <w:rsid w:val="00515F7D"/>
    <w:rsid w:val="005204E8"/>
    <w:rsid w:val="00520BBB"/>
    <w:rsid w:val="00520C1F"/>
    <w:rsid w:val="005216C0"/>
    <w:rsid w:val="00522528"/>
    <w:rsid w:val="00522C84"/>
    <w:rsid w:val="00523156"/>
    <w:rsid w:val="00523FBF"/>
    <w:rsid w:val="00524795"/>
    <w:rsid w:val="0052552D"/>
    <w:rsid w:val="0052603F"/>
    <w:rsid w:val="00526074"/>
    <w:rsid w:val="005261F5"/>
    <w:rsid w:val="0052773B"/>
    <w:rsid w:val="005278EA"/>
    <w:rsid w:val="00527EFF"/>
    <w:rsid w:val="0053253B"/>
    <w:rsid w:val="005338EB"/>
    <w:rsid w:val="00533C52"/>
    <w:rsid w:val="00535314"/>
    <w:rsid w:val="0053560C"/>
    <w:rsid w:val="00535B78"/>
    <w:rsid w:val="00536BC6"/>
    <w:rsid w:val="005371A4"/>
    <w:rsid w:val="00537E4F"/>
    <w:rsid w:val="0054106F"/>
    <w:rsid w:val="00541939"/>
    <w:rsid w:val="00544FAC"/>
    <w:rsid w:val="005451D5"/>
    <w:rsid w:val="005465F5"/>
    <w:rsid w:val="0055015E"/>
    <w:rsid w:val="005510A3"/>
    <w:rsid w:val="0055221C"/>
    <w:rsid w:val="0055286D"/>
    <w:rsid w:val="00555FE2"/>
    <w:rsid w:val="0055628D"/>
    <w:rsid w:val="00557DE2"/>
    <w:rsid w:val="005603E4"/>
    <w:rsid w:val="00562A23"/>
    <w:rsid w:val="00562F13"/>
    <w:rsid w:val="005632F2"/>
    <w:rsid w:val="00567687"/>
    <w:rsid w:val="00567D44"/>
    <w:rsid w:val="005716B7"/>
    <w:rsid w:val="00571A44"/>
    <w:rsid w:val="00572430"/>
    <w:rsid w:val="00572B28"/>
    <w:rsid w:val="005737D3"/>
    <w:rsid w:val="00574163"/>
    <w:rsid w:val="005741F4"/>
    <w:rsid w:val="0057464E"/>
    <w:rsid w:val="00576186"/>
    <w:rsid w:val="00576255"/>
    <w:rsid w:val="0058045B"/>
    <w:rsid w:val="00580B91"/>
    <w:rsid w:val="00581FC1"/>
    <w:rsid w:val="00582EAA"/>
    <w:rsid w:val="0058326C"/>
    <w:rsid w:val="0058387D"/>
    <w:rsid w:val="00583E6E"/>
    <w:rsid w:val="005865D5"/>
    <w:rsid w:val="00590210"/>
    <w:rsid w:val="005911DE"/>
    <w:rsid w:val="00593C21"/>
    <w:rsid w:val="0059412C"/>
    <w:rsid w:val="00594584"/>
    <w:rsid w:val="005A056B"/>
    <w:rsid w:val="005A0B8A"/>
    <w:rsid w:val="005A1659"/>
    <w:rsid w:val="005A2E6D"/>
    <w:rsid w:val="005A30E4"/>
    <w:rsid w:val="005A408F"/>
    <w:rsid w:val="005A5497"/>
    <w:rsid w:val="005A54D0"/>
    <w:rsid w:val="005A694D"/>
    <w:rsid w:val="005A6ED5"/>
    <w:rsid w:val="005B14E7"/>
    <w:rsid w:val="005B32F1"/>
    <w:rsid w:val="005B4066"/>
    <w:rsid w:val="005B5054"/>
    <w:rsid w:val="005B56B4"/>
    <w:rsid w:val="005B6834"/>
    <w:rsid w:val="005C02C2"/>
    <w:rsid w:val="005C1BFC"/>
    <w:rsid w:val="005C1EDA"/>
    <w:rsid w:val="005C25DC"/>
    <w:rsid w:val="005C37C4"/>
    <w:rsid w:val="005C44DF"/>
    <w:rsid w:val="005C4BF5"/>
    <w:rsid w:val="005C51EA"/>
    <w:rsid w:val="005C545A"/>
    <w:rsid w:val="005C5E1F"/>
    <w:rsid w:val="005C6D52"/>
    <w:rsid w:val="005C727F"/>
    <w:rsid w:val="005D311A"/>
    <w:rsid w:val="005D3868"/>
    <w:rsid w:val="005D462D"/>
    <w:rsid w:val="005D5F77"/>
    <w:rsid w:val="005D657F"/>
    <w:rsid w:val="005D68B8"/>
    <w:rsid w:val="005D6D3B"/>
    <w:rsid w:val="005D7CD8"/>
    <w:rsid w:val="005E04A5"/>
    <w:rsid w:val="005E065B"/>
    <w:rsid w:val="005E415C"/>
    <w:rsid w:val="005E470E"/>
    <w:rsid w:val="005E4967"/>
    <w:rsid w:val="005E4A30"/>
    <w:rsid w:val="005E64A4"/>
    <w:rsid w:val="005E6F50"/>
    <w:rsid w:val="005F010F"/>
    <w:rsid w:val="005F071A"/>
    <w:rsid w:val="005F0CC7"/>
    <w:rsid w:val="005F1C62"/>
    <w:rsid w:val="005F2310"/>
    <w:rsid w:val="005F2D57"/>
    <w:rsid w:val="005F68B1"/>
    <w:rsid w:val="00600598"/>
    <w:rsid w:val="00603FA9"/>
    <w:rsid w:val="00604E6E"/>
    <w:rsid w:val="00605ECD"/>
    <w:rsid w:val="0060610C"/>
    <w:rsid w:val="0060624D"/>
    <w:rsid w:val="00611B89"/>
    <w:rsid w:val="00612974"/>
    <w:rsid w:val="00613072"/>
    <w:rsid w:val="00614347"/>
    <w:rsid w:val="00615A6B"/>
    <w:rsid w:val="00616B42"/>
    <w:rsid w:val="0061753D"/>
    <w:rsid w:val="00621D88"/>
    <w:rsid w:val="00625CB7"/>
    <w:rsid w:val="00626905"/>
    <w:rsid w:val="00626BA7"/>
    <w:rsid w:val="00626E80"/>
    <w:rsid w:val="00627617"/>
    <w:rsid w:val="00627F99"/>
    <w:rsid w:val="00630DC1"/>
    <w:rsid w:val="006310B5"/>
    <w:rsid w:val="00632E16"/>
    <w:rsid w:val="00633AD0"/>
    <w:rsid w:val="006360E0"/>
    <w:rsid w:val="006430DF"/>
    <w:rsid w:val="00643676"/>
    <w:rsid w:val="006448D8"/>
    <w:rsid w:val="0064496E"/>
    <w:rsid w:val="00645473"/>
    <w:rsid w:val="006468C8"/>
    <w:rsid w:val="00646A6A"/>
    <w:rsid w:val="0065061E"/>
    <w:rsid w:val="00650F9D"/>
    <w:rsid w:val="006515D3"/>
    <w:rsid w:val="006526B8"/>
    <w:rsid w:val="006545AA"/>
    <w:rsid w:val="006548E4"/>
    <w:rsid w:val="00655AF3"/>
    <w:rsid w:val="00655DAD"/>
    <w:rsid w:val="00657DD0"/>
    <w:rsid w:val="0066377D"/>
    <w:rsid w:val="006643E6"/>
    <w:rsid w:val="00664F3D"/>
    <w:rsid w:val="006650D7"/>
    <w:rsid w:val="00665A2B"/>
    <w:rsid w:val="00665C28"/>
    <w:rsid w:val="00666E7E"/>
    <w:rsid w:val="00670F8F"/>
    <w:rsid w:val="0067110D"/>
    <w:rsid w:val="00671F39"/>
    <w:rsid w:val="006744AE"/>
    <w:rsid w:val="006753DB"/>
    <w:rsid w:val="0068040A"/>
    <w:rsid w:val="0068073C"/>
    <w:rsid w:val="00680E59"/>
    <w:rsid w:val="006813FD"/>
    <w:rsid w:val="006816DD"/>
    <w:rsid w:val="00681823"/>
    <w:rsid w:val="006852F3"/>
    <w:rsid w:val="006865E0"/>
    <w:rsid w:val="0068669F"/>
    <w:rsid w:val="00691218"/>
    <w:rsid w:val="006923CA"/>
    <w:rsid w:val="0069409F"/>
    <w:rsid w:val="00695E10"/>
    <w:rsid w:val="00696D8B"/>
    <w:rsid w:val="00697622"/>
    <w:rsid w:val="006A0F01"/>
    <w:rsid w:val="006A4716"/>
    <w:rsid w:val="006A5EF6"/>
    <w:rsid w:val="006B36B2"/>
    <w:rsid w:val="006B3795"/>
    <w:rsid w:val="006B57DA"/>
    <w:rsid w:val="006B5C6F"/>
    <w:rsid w:val="006B68ED"/>
    <w:rsid w:val="006C01A4"/>
    <w:rsid w:val="006C0FA8"/>
    <w:rsid w:val="006C13B9"/>
    <w:rsid w:val="006C1748"/>
    <w:rsid w:val="006C1B60"/>
    <w:rsid w:val="006C3B50"/>
    <w:rsid w:val="006C3E64"/>
    <w:rsid w:val="006D097E"/>
    <w:rsid w:val="006D1B90"/>
    <w:rsid w:val="006D4204"/>
    <w:rsid w:val="006D4ABC"/>
    <w:rsid w:val="006D5547"/>
    <w:rsid w:val="006D6BFB"/>
    <w:rsid w:val="006E0BF2"/>
    <w:rsid w:val="006E1FFF"/>
    <w:rsid w:val="006E5AC9"/>
    <w:rsid w:val="006E784E"/>
    <w:rsid w:val="006F1918"/>
    <w:rsid w:val="006F3429"/>
    <w:rsid w:val="006F3DEC"/>
    <w:rsid w:val="006F69C9"/>
    <w:rsid w:val="00700AB1"/>
    <w:rsid w:val="007014F0"/>
    <w:rsid w:val="00702FB1"/>
    <w:rsid w:val="0070513D"/>
    <w:rsid w:val="00711D55"/>
    <w:rsid w:val="00712EBF"/>
    <w:rsid w:val="00714479"/>
    <w:rsid w:val="007155D2"/>
    <w:rsid w:val="00715DED"/>
    <w:rsid w:val="00716F94"/>
    <w:rsid w:val="007170B7"/>
    <w:rsid w:val="0072085A"/>
    <w:rsid w:val="0072117A"/>
    <w:rsid w:val="00723EC8"/>
    <w:rsid w:val="00725B39"/>
    <w:rsid w:val="0072611E"/>
    <w:rsid w:val="007262D4"/>
    <w:rsid w:val="00726329"/>
    <w:rsid w:val="0072722A"/>
    <w:rsid w:val="007272E2"/>
    <w:rsid w:val="0072748C"/>
    <w:rsid w:val="0073264A"/>
    <w:rsid w:val="00734290"/>
    <w:rsid w:val="007351EE"/>
    <w:rsid w:val="00737EBB"/>
    <w:rsid w:val="00743470"/>
    <w:rsid w:val="00744AB9"/>
    <w:rsid w:val="00746004"/>
    <w:rsid w:val="007477AA"/>
    <w:rsid w:val="00751787"/>
    <w:rsid w:val="007522ED"/>
    <w:rsid w:val="007529B4"/>
    <w:rsid w:val="007531B5"/>
    <w:rsid w:val="00753660"/>
    <w:rsid w:val="00753E71"/>
    <w:rsid w:val="00755E45"/>
    <w:rsid w:val="0075622F"/>
    <w:rsid w:val="00756502"/>
    <w:rsid w:val="00756993"/>
    <w:rsid w:val="007571CD"/>
    <w:rsid w:val="00757CB4"/>
    <w:rsid w:val="007601DD"/>
    <w:rsid w:val="00760664"/>
    <w:rsid w:val="0076209E"/>
    <w:rsid w:val="00764FC6"/>
    <w:rsid w:val="00766064"/>
    <w:rsid w:val="007704A8"/>
    <w:rsid w:val="00771FFE"/>
    <w:rsid w:val="00774D05"/>
    <w:rsid w:val="007772C4"/>
    <w:rsid w:val="00780123"/>
    <w:rsid w:val="00783758"/>
    <w:rsid w:val="007857A9"/>
    <w:rsid w:val="00790811"/>
    <w:rsid w:val="00790C62"/>
    <w:rsid w:val="00792568"/>
    <w:rsid w:val="00795EBE"/>
    <w:rsid w:val="007963D5"/>
    <w:rsid w:val="007A0051"/>
    <w:rsid w:val="007A00D3"/>
    <w:rsid w:val="007A06BD"/>
    <w:rsid w:val="007A2923"/>
    <w:rsid w:val="007A2DC9"/>
    <w:rsid w:val="007A3449"/>
    <w:rsid w:val="007A6A56"/>
    <w:rsid w:val="007A7095"/>
    <w:rsid w:val="007B0617"/>
    <w:rsid w:val="007B1393"/>
    <w:rsid w:val="007B1939"/>
    <w:rsid w:val="007B47A0"/>
    <w:rsid w:val="007B5C23"/>
    <w:rsid w:val="007B7120"/>
    <w:rsid w:val="007B765B"/>
    <w:rsid w:val="007C03B4"/>
    <w:rsid w:val="007C0C25"/>
    <w:rsid w:val="007C2DD4"/>
    <w:rsid w:val="007C458C"/>
    <w:rsid w:val="007C538A"/>
    <w:rsid w:val="007C5D55"/>
    <w:rsid w:val="007C61E2"/>
    <w:rsid w:val="007C64B4"/>
    <w:rsid w:val="007C737C"/>
    <w:rsid w:val="007C7C63"/>
    <w:rsid w:val="007D0C7E"/>
    <w:rsid w:val="007D1A1E"/>
    <w:rsid w:val="007D1CA4"/>
    <w:rsid w:val="007D2B0D"/>
    <w:rsid w:val="007D3143"/>
    <w:rsid w:val="007D3D48"/>
    <w:rsid w:val="007D49A1"/>
    <w:rsid w:val="007D66AA"/>
    <w:rsid w:val="007D6D81"/>
    <w:rsid w:val="007D7C36"/>
    <w:rsid w:val="007D7C49"/>
    <w:rsid w:val="007E0045"/>
    <w:rsid w:val="007E0D01"/>
    <w:rsid w:val="007E1BD1"/>
    <w:rsid w:val="007E7A0A"/>
    <w:rsid w:val="007F0614"/>
    <w:rsid w:val="007F306C"/>
    <w:rsid w:val="007F3F37"/>
    <w:rsid w:val="007F4134"/>
    <w:rsid w:val="007F5E42"/>
    <w:rsid w:val="00800F3F"/>
    <w:rsid w:val="00801398"/>
    <w:rsid w:val="00802F5E"/>
    <w:rsid w:val="008039DC"/>
    <w:rsid w:val="008048D6"/>
    <w:rsid w:val="00806545"/>
    <w:rsid w:val="008068D0"/>
    <w:rsid w:val="00806978"/>
    <w:rsid w:val="0080747E"/>
    <w:rsid w:val="00807C5E"/>
    <w:rsid w:val="00807F90"/>
    <w:rsid w:val="0081105B"/>
    <w:rsid w:val="00812DA7"/>
    <w:rsid w:val="0081310A"/>
    <w:rsid w:val="008141ED"/>
    <w:rsid w:val="008142F0"/>
    <w:rsid w:val="00814CBD"/>
    <w:rsid w:val="008177AC"/>
    <w:rsid w:val="00821560"/>
    <w:rsid w:val="008216B3"/>
    <w:rsid w:val="00821C19"/>
    <w:rsid w:val="008231D5"/>
    <w:rsid w:val="00824848"/>
    <w:rsid w:val="0082558A"/>
    <w:rsid w:val="00825B2B"/>
    <w:rsid w:val="0082780D"/>
    <w:rsid w:val="00833357"/>
    <w:rsid w:val="00833BB2"/>
    <w:rsid w:val="00836B77"/>
    <w:rsid w:val="008403A2"/>
    <w:rsid w:val="00843921"/>
    <w:rsid w:val="00844D07"/>
    <w:rsid w:val="008458D8"/>
    <w:rsid w:val="00845EE9"/>
    <w:rsid w:val="008460D0"/>
    <w:rsid w:val="008469BB"/>
    <w:rsid w:val="008510C4"/>
    <w:rsid w:val="00851283"/>
    <w:rsid w:val="00852B4A"/>
    <w:rsid w:val="0085380F"/>
    <w:rsid w:val="00854127"/>
    <w:rsid w:val="00855B7E"/>
    <w:rsid w:val="00856286"/>
    <w:rsid w:val="00857E0B"/>
    <w:rsid w:val="008650AC"/>
    <w:rsid w:val="00865C82"/>
    <w:rsid w:val="00867664"/>
    <w:rsid w:val="00867EB3"/>
    <w:rsid w:val="0087001F"/>
    <w:rsid w:val="008701C0"/>
    <w:rsid w:val="00870AA8"/>
    <w:rsid w:val="008721EB"/>
    <w:rsid w:val="00873165"/>
    <w:rsid w:val="008736AD"/>
    <w:rsid w:val="00877389"/>
    <w:rsid w:val="00877C8A"/>
    <w:rsid w:val="0088194E"/>
    <w:rsid w:val="00882657"/>
    <w:rsid w:val="00882946"/>
    <w:rsid w:val="008844FC"/>
    <w:rsid w:val="00884961"/>
    <w:rsid w:val="00885D48"/>
    <w:rsid w:val="008937FE"/>
    <w:rsid w:val="00893CE8"/>
    <w:rsid w:val="00894441"/>
    <w:rsid w:val="00895440"/>
    <w:rsid w:val="0089593F"/>
    <w:rsid w:val="00895BB7"/>
    <w:rsid w:val="0089685C"/>
    <w:rsid w:val="008A1CAE"/>
    <w:rsid w:val="008A4CF9"/>
    <w:rsid w:val="008A6481"/>
    <w:rsid w:val="008B17DD"/>
    <w:rsid w:val="008B48A0"/>
    <w:rsid w:val="008B61F1"/>
    <w:rsid w:val="008B7D47"/>
    <w:rsid w:val="008C1816"/>
    <w:rsid w:val="008C202A"/>
    <w:rsid w:val="008C27E9"/>
    <w:rsid w:val="008C2C4D"/>
    <w:rsid w:val="008C343E"/>
    <w:rsid w:val="008C3A1E"/>
    <w:rsid w:val="008C4025"/>
    <w:rsid w:val="008C4150"/>
    <w:rsid w:val="008C505F"/>
    <w:rsid w:val="008C772A"/>
    <w:rsid w:val="008C7B2A"/>
    <w:rsid w:val="008D0168"/>
    <w:rsid w:val="008D0962"/>
    <w:rsid w:val="008D0976"/>
    <w:rsid w:val="008D0AE3"/>
    <w:rsid w:val="008D33B5"/>
    <w:rsid w:val="008D3A05"/>
    <w:rsid w:val="008D54E7"/>
    <w:rsid w:val="008D55AD"/>
    <w:rsid w:val="008D68F7"/>
    <w:rsid w:val="008E0EDC"/>
    <w:rsid w:val="008E1473"/>
    <w:rsid w:val="008E1741"/>
    <w:rsid w:val="008E18D4"/>
    <w:rsid w:val="008E1E65"/>
    <w:rsid w:val="008E31E1"/>
    <w:rsid w:val="008E4990"/>
    <w:rsid w:val="008E57C9"/>
    <w:rsid w:val="008E5E47"/>
    <w:rsid w:val="008E67CF"/>
    <w:rsid w:val="008E6E02"/>
    <w:rsid w:val="008E6E69"/>
    <w:rsid w:val="008E758A"/>
    <w:rsid w:val="008E7E80"/>
    <w:rsid w:val="008F0A87"/>
    <w:rsid w:val="008F0E2D"/>
    <w:rsid w:val="008F38DD"/>
    <w:rsid w:val="008F5946"/>
    <w:rsid w:val="008F7728"/>
    <w:rsid w:val="008F7884"/>
    <w:rsid w:val="008F7AD8"/>
    <w:rsid w:val="008F7E12"/>
    <w:rsid w:val="009008AA"/>
    <w:rsid w:val="00901888"/>
    <w:rsid w:val="00902E02"/>
    <w:rsid w:val="009037DF"/>
    <w:rsid w:val="0090544D"/>
    <w:rsid w:val="00905526"/>
    <w:rsid w:val="00905CBB"/>
    <w:rsid w:val="00906BB8"/>
    <w:rsid w:val="009074DA"/>
    <w:rsid w:val="00907E4B"/>
    <w:rsid w:val="00912705"/>
    <w:rsid w:val="00913792"/>
    <w:rsid w:val="00913D77"/>
    <w:rsid w:val="00913E3E"/>
    <w:rsid w:val="00915961"/>
    <w:rsid w:val="009159D9"/>
    <w:rsid w:val="00917AF7"/>
    <w:rsid w:val="0092217C"/>
    <w:rsid w:val="00922954"/>
    <w:rsid w:val="00923C64"/>
    <w:rsid w:val="009254FA"/>
    <w:rsid w:val="00925705"/>
    <w:rsid w:val="009265A6"/>
    <w:rsid w:val="009273B3"/>
    <w:rsid w:val="0092747B"/>
    <w:rsid w:val="00927C99"/>
    <w:rsid w:val="0093218C"/>
    <w:rsid w:val="00932E13"/>
    <w:rsid w:val="00934436"/>
    <w:rsid w:val="009352E4"/>
    <w:rsid w:val="009357C1"/>
    <w:rsid w:val="0093649E"/>
    <w:rsid w:val="0093705A"/>
    <w:rsid w:val="00940DDD"/>
    <w:rsid w:val="00941EDA"/>
    <w:rsid w:val="009423F3"/>
    <w:rsid w:val="00943D52"/>
    <w:rsid w:val="00943D91"/>
    <w:rsid w:val="00943FE0"/>
    <w:rsid w:val="009450EA"/>
    <w:rsid w:val="009516E8"/>
    <w:rsid w:val="00951E57"/>
    <w:rsid w:val="009524BE"/>
    <w:rsid w:val="00954986"/>
    <w:rsid w:val="009554F9"/>
    <w:rsid w:val="00956EDF"/>
    <w:rsid w:val="0095767C"/>
    <w:rsid w:val="009637AB"/>
    <w:rsid w:val="00963801"/>
    <w:rsid w:val="00964A30"/>
    <w:rsid w:val="00965E7A"/>
    <w:rsid w:val="00967E9D"/>
    <w:rsid w:val="0097012A"/>
    <w:rsid w:val="00970632"/>
    <w:rsid w:val="00970678"/>
    <w:rsid w:val="00970965"/>
    <w:rsid w:val="00972106"/>
    <w:rsid w:val="00972A5F"/>
    <w:rsid w:val="00976176"/>
    <w:rsid w:val="00976AF4"/>
    <w:rsid w:val="00980265"/>
    <w:rsid w:val="0098491B"/>
    <w:rsid w:val="009852B5"/>
    <w:rsid w:val="00985345"/>
    <w:rsid w:val="00985A8A"/>
    <w:rsid w:val="00986FBE"/>
    <w:rsid w:val="009879F0"/>
    <w:rsid w:val="00991B72"/>
    <w:rsid w:val="009920E4"/>
    <w:rsid w:val="00992634"/>
    <w:rsid w:val="00992994"/>
    <w:rsid w:val="009940B5"/>
    <w:rsid w:val="00994F82"/>
    <w:rsid w:val="0099516B"/>
    <w:rsid w:val="009959E7"/>
    <w:rsid w:val="009967A9"/>
    <w:rsid w:val="00997578"/>
    <w:rsid w:val="009A1FB0"/>
    <w:rsid w:val="009A430F"/>
    <w:rsid w:val="009A5114"/>
    <w:rsid w:val="009A6C0D"/>
    <w:rsid w:val="009B1A20"/>
    <w:rsid w:val="009B3330"/>
    <w:rsid w:val="009B37A9"/>
    <w:rsid w:val="009B5517"/>
    <w:rsid w:val="009B5FE3"/>
    <w:rsid w:val="009C10D9"/>
    <w:rsid w:val="009C5D0B"/>
    <w:rsid w:val="009D1308"/>
    <w:rsid w:val="009D178F"/>
    <w:rsid w:val="009D25CB"/>
    <w:rsid w:val="009D2C6B"/>
    <w:rsid w:val="009D3039"/>
    <w:rsid w:val="009D38EF"/>
    <w:rsid w:val="009E12F2"/>
    <w:rsid w:val="009E314B"/>
    <w:rsid w:val="009E61A3"/>
    <w:rsid w:val="009E65C4"/>
    <w:rsid w:val="009E7006"/>
    <w:rsid w:val="009E74E3"/>
    <w:rsid w:val="009F2AD4"/>
    <w:rsid w:val="009F4B46"/>
    <w:rsid w:val="009F510F"/>
    <w:rsid w:val="009F60B7"/>
    <w:rsid w:val="00A0096F"/>
    <w:rsid w:val="00A021D9"/>
    <w:rsid w:val="00A068DD"/>
    <w:rsid w:val="00A10190"/>
    <w:rsid w:val="00A11523"/>
    <w:rsid w:val="00A126CA"/>
    <w:rsid w:val="00A13213"/>
    <w:rsid w:val="00A13E00"/>
    <w:rsid w:val="00A1432A"/>
    <w:rsid w:val="00A16868"/>
    <w:rsid w:val="00A16DA3"/>
    <w:rsid w:val="00A17E3A"/>
    <w:rsid w:val="00A21500"/>
    <w:rsid w:val="00A215CD"/>
    <w:rsid w:val="00A2212A"/>
    <w:rsid w:val="00A23C41"/>
    <w:rsid w:val="00A23CCE"/>
    <w:rsid w:val="00A23D31"/>
    <w:rsid w:val="00A24164"/>
    <w:rsid w:val="00A24E50"/>
    <w:rsid w:val="00A26BD7"/>
    <w:rsid w:val="00A30E04"/>
    <w:rsid w:val="00A30FF9"/>
    <w:rsid w:val="00A312BF"/>
    <w:rsid w:val="00A31515"/>
    <w:rsid w:val="00A31D69"/>
    <w:rsid w:val="00A31E88"/>
    <w:rsid w:val="00A34F3B"/>
    <w:rsid w:val="00A353C3"/>
    <w:rsid w:val="00A35A80"/>
    <w:rsid w:val="00A402B4"/>
    <w:rsid w:val="00A407C1"/>
    <w:rsid w:val="00A41767"/>
    <w:rsid w:val="00A4412F"/>
    <w:rsid w:val="00A516FC"/>
    <w:rsid w:val="00A54900"/>
    <w:rsid w:val="00A55504"/>
    <w:rsid w:val="00A55D45"/>
    <w:rsid w:val="00A55FDA"/>
    <w:rsid w:val="00A60BD5"/>
    <w:rsid w:val="00A6219D"/>
    <w:rsid w:val="00A62BD1"/>
    <w:rsid w:val="00A63630"/>
    <w:rsid w:val="00A63EDC"/>
    <w:rsid w:val="00A66D24"/>
    <w:rsid w:val="00A70143"/>
    <w:rsid w:val="00A70AC6"/>
    <w:rsid w:val="00A760B8"/>
    <w:rsid w:val="00A77581"/>
    <w:rsid w:val="00A802A9"/>
    <w:rsid w:val="00A820E8"/>
    <w:rsid w:val="00A82DA1"/>
    <w:rsid w:val="00A8413F"/>
    <w:rsid w:val="00A84292"/>
    <w:rsid w:val="00A84601"/>
    <w:rsid w:val="00A9016E"/>
    <w:rsid w:val="00A91618"/>
    <w:rsid w:val="00A921A2"/>
    <w:rsid w:val="00A92207"/>
    <w:rsid w:val="00A940BE"/>
    <w:rsid w:val="00A9742C"/>
    <w:rsid w:val="00AA2230"/>
    <w:rsid w:val="00AA36E3"/>
    <w:rsid w:val="00AA36F2"/>
    <w:rsid w:val="00AA3F07"/>
    <w:rsid w:val="00AA4EC3"/>
    <w:rsid w:val="00AA6BC6"/>
    <w:rsid w:val="00AA6D44"/>
    <w:rsid w:val="00AA6E58"/>
    <w:rsid w:val="00AA77F4"/>
    <w:rsid w:val="00AB01D0"/>
    <w:rsid w:val="00AB1456"/>
    <w:rsid w:val="00AB1758"/>
    <w:rsid w:val="00AB3B64"/>
    <w:rsid w:val="00AB4601"/>
    <w:rsid w:val="00AB4889"/>
    <w:rsid w:val="00AB51A3"/>
    <w:rsid w:val="00AB5C8B"/>
    <w:rsid w:val="00AB738F"/>
    <w:rsid w:val="00AC1BFE"/>
    <w:rsid w:val="00AC1C52"/>
    <w:rsid w:val="00AD01D9"/>
    <w:rsid w:val="00AD16E8"/>
    <w:rsid w:val="00AD17F4"/>
    <w:rsid w:val="00AD1AAA"/>
    <w:rsid w:val="00AD1DB4"/>
    <w:rsid w:val="00AD214A"/>
    <w:rsid w:val="00AD4A05"/>
    <w:rsid w:val="00AD5BCC"/>
    <w:rsid w:val="00AD60B1"/>
    <w:rsid w:val="00AD79FA"/>
    <w:rsid w:val="00AD7AC2"/>
    <w:rsid w:val="00AE0DFE"/>
    <w:rsid w:val="00AE22E8"/>
    <w:rsid w:val="00AE4555"/>
    <w:rsid w:val="00AE4E40"/>
    <w:rsid w:val="00AF25A1"/>
    <w:rsid w:val="00AF2870"/>
    <w:rsid w:val="00AF5508"/>
    <w:rsid w:val="00AF63AE"/>
    <w:rsid w:val="00AF6EDC"/>
    <w:rsid w:val="00B002AD"/>
    <w:rsid w:val="00B0190B"/>
    <w:rsid w:val="00B0285E"/>
    <w:rsid w:val="00B03931"/>
    <w:rsid w:val="00B0474A"/>
    <w:rsid w:val="00B058EE"/>
    <w:rsid w:val="00B07AF5"/>
    <w:rsid w:val="00B103C1"/>
    <w:rsid w:val="00B10E42"/>
    <w:rsid w:val="00B1204C"/>
    <w:rsid w:val="00B14217"/>
    <w:rsid w:val="00B1674E"/>
    <w:rsid w:val="00B17EF9"/>
    <w:rsid w:val="00B21A53"/>
    <w:rsid w:val="00B222BE"/>
    <w:rsid w:val="00B222F9"/>
    <w:rsid w:val="00B224A0"/>
    <w:rsid w:val="00B22BB7"/>
    <w:rsid w:val="00B22F58"/>
    <w:rsid w:val="00B24026"/>
    <w:rsid w:val="00B2410C"/>
    <w:rsid w:val="00B26C16"/>
    <w:rsid w:val="00B31944"/>
    <w:rsid w:val="00B341EE"/>
    <w:rsid w:val="00B400CE"/>
    <w:rsid w:val="00B420C8"/>
    <w:rsid w:val="00B43DAF"/>
    <w:rsid w:val="00B44EB7"/>
    <w:rsid w:val="00B456A4"/>
    <w:rsid w:val="00B459F0"/>
    <w:rsid w:val="00B46476"/>
    <w:rsid w:val="00B508CC"/>
    <w:rsid w:val="00B509D3"/>
    <w:rsid w:val="00B53164"/>
    <w:rsid w:val="00B537F9"/>
    <w:rsid w:val="00B5391F"/>
    <w:rsid w:val="00B556A9"/>
    <w:rsid w:val="00B56E9D"/>
    <w:rsid w:val="00B573EA"/>
    <w:rsid w:val="00B57F5B"/>
    <w:rsid w:val="00B6050B"/>
    <w:rsid w:val="00B62C90"/>
    <w:rsid w:val="00B62E01"/>
    <w:rsid w:val="00B62FC1"/>
    <w:rsid w:val="00B635CC"/>
    <w:rsid w:val="00B7052B"/>
    <w:rsid w:val="00B710DA"/>
    <w:rsid w:val="00B72A47"/>
    <w:rsid w:val="00B73A79"/>
    <w:rsid w:val="00B73E92"/>
    <w:rsid w:val="00B74FD7"/>
    <w:rsid w:val="00B83D6E"/>
    <w:rsid w:val="00B85871"/>
    <w:rsid w:val="00B863DA"/>
    <w:rsid w:val="00B92153"/>
    <w:rsid w:val="00B93930"/>
    <w:rsid w:val="00B94060"/>
    <w:rsid w:val="00B95389"/>
    <w:rsid w:val="00B97518"/>
    <w:rsid w:val="00BA307F"/>
    <w:rsid w:val="00BA7048"/>
    <w:rsid w:val="00BA7B2A"/>
    <w:rsid w:val="00BB2697"/>
    <w:rsid w:val="00BB2C53"/>
    <w:rsid w:val="00BB3574"/>
    <w:rsid w:val="00BB38FD"/>
    <w:rsid w:val="00BB3935"/>
    <w:rsid w:val="00BB46D9"/>
    <w:rsid w:val="00BB5BD4"/>
    <w:rsid w:val="00BB672B"/>
    <w:rsid w:val="00BB7E85"/>
    <w:rsid w:val="00BC0928"/>
    <w:rsid w:val="00BC1953"/>
    <w:rsid w:val="00BC1DD8"/>
    <w:rsid w:val="00BC3D1A"/>
    <w:rsid w:val="00BC4555"/>
    <w:rsid w:val="00BC6EC3"/>
    <w:rsid w:val="00BC73C8"/>
    <w:rsid w:val="00BD2838"/>
    <w:rsid w:val="00BE0FB6"/>
    <w:rsid w:val="00BE2432"/>
    <w:rsid w:val="00BE3984"/>
    <w:rsid w:val="00BE3B76"/>
    <w:rsid w:val="00BE3E13"/>
    <w:rsid w:val="00BE47C9"/>
    <w:rsid w:val="00BE4812"/>
    <w:rsid w:val="00BF0E8F"/>
    <w:rsid w:val="00BF312B"/>
    <w:rsid w:val="00BF7745"/>
    <w:rsid w:val="00C014F3"/>
    <w:rsid w:val="00C023EB"/>
    <w:rsid w:val="00C0291D"/>
    <w:rsid w:val="00C05A26"/>
    <w:rsid w:val="00C0642D"/>
    <w:rsid w:val="00C175E5"/>
    <w:rsid w:val="00C22988"/>
    <w:rsid w:val="00C24A25"/>
    <w:rsid w:val="00C25F45"/>
    <w:rsid w:val="00C26D24"/>
    <w:rsid w:val="00C27304"/>
    <w:rsid w:val="00C30DFB"/>
    <w:rsid w:val="00C326D5"/>
    <w:rsid w:val="00C327DB"/>
    <w:rsid w:val="00C33150"/>
    <w:rsid w:val="00C34157"/>
    <w:rsid w:val="00C355B9"/>
    <w:rsid w:val="00C374D3"/>
    <w:rsid w:val="00C424C0"/>
    <w:rsid w:val="00C42D90"/>
    <w:rsid w:val="00C51A58"/>
    <w:rsid w:val="00C51A92"/>
    <w:rsid w:val="00C522EA"/>
    <w:rsid w:val="00C52680"/>
    <w:rsid w:val="00C54D61"/>
    <w:rsid w:val="00C5526F"/>
    <w:rsid w:val="00C56183"/>
    <w:rsid w:val="00C57073"/>
    <w:rsid w:val="00C62509"/>
    <w:rsid w:val="00C65039"/>
    <w:rsid w:val="00C65EDD"/>
    <w:rsid w:val="00C67B3F"/>
    <w:rsid w:val="00C70A3E"/>
    <w:rsid w:val="00C710FB"/>
    <w:rsid w:val="00C722D5"/>
    <w:rsid w:val="00C73EE0"/>
    <w:rsid w:val="00C74CE4"/>
    <w:rsid w:val="00C7504B"/>
    <w:rsid w:val="00C768F9"/>
    <w:rsid w:val="00C77968"/>
    <w:rsid w:val="00C81292"/>
    <w:rsid w:val="00C81B1E"/>
    <w:rsid w:val="00C81C1E"/>
    <w:rsid w:val="00C822EF"/>
    <w:rsid w:val="00C83F7C"/>
    <w:rsid w:val="00C8443D"/>
    <w:rsid w:val="00C84A42"/>
    <w:rsid w:val="00C84EB4"/>
    <w:rsid w:val="00C85B67"/>
    <w:rsid w:val="00C946FD"/>
    <w:rsid w:val="00C94BC0"/>
    <w:rsid w:val="00C95C16"/>
    <w:rsid w:val="00C96420"/>
    <w:rsid w:val="00CA05D3"/>
    <w:rsid w:val="00CA0C5B"/>
    <w:rsid w:val="00CA1BE2"/>
    <w:rsid w:val="00CA3E54"/>
    <w:rsid w:val="00CA43FE"/>
    <w:rsid w:val="00CA4ACB"/>
    <w:rsid w:val="00CA5809"/>
    <w:rsid w:val="00CB2A5F"/>
    <w:rsid w:val="00CB2DC7"/>
    <w:rsid w:val="00CB40B0"/>
    <w:rsid w:val="00CB4B8A"/>
    <w:rsid w:val="00CB50FD"/>
    <w:rsid w:val="00CB5595"/>
    <w:rsid w:val="00CC4114"/>
    <w:rsid w:val="00CC782B"/>
    <w:rsid w:val="00CD05F1"/>
    <w:rsid w:val="00CD1A31"/>
    <w:rsid w:val="00CD2E5E"/>
    <w:rsid w:val="00CD345D"/>
    <w:rsid w:val="00CD6C0B"/>
    <w:rsid w:val="00CD7649"/>
    <w:rsid w:val="00CE0589"/>
    <w:rsid w:val="00CE23E6"/>
    <w:rsid w:val="00CE306C"/>
    <w:rsid w:val="00CE44B9"/>
    <w:rsid w:val="00CE54F6"/>
    <w:rsid w:val="00CE5E82"/>
    <w:rsid w:val="00CE637E"/>
    <w:rsid w:val="00CE63EB"/>
    <w:rsid w:val="00CF278A"/>
    <w:rsid w:val="00CF3BBC"/>
    <w:rsid w:val="00CF46C1"/>
    <w:rsid w:val="00CF49F5"/>
    <w:rsid w:val="00CF75D9"/>
    <w:rsid w:val="00CF7935"/>
    <w:rsid w:val="00D00DB2"/>
    <w:rsid w:val="00D02ABE"/>
    <w:rsid w:val="00D02D3A"/>
    <w:rsid w:val="00D04087"/>
    <w:rsid w:val="00D04746"/>
    <w:rsid w:val="00D04A69"/>
    <w:rsid w:val="00D05064"/>
    <w:rsid w:val="00D06C22"/>
    <w:rsid w:val="00D06D0E"/>
    <w:rsid w:val="00D06E0D"/>
    <w:rsid w:val="00D07CE7"/>
    <w:rsid w:val="00D07DEC"/>
    <w:rsid w:val="00D07FBD"/>
    <w:rsid w:val="00D11204"/>
    <w:rsid w:val="00D1154B"/>
    <w:rsid w:val="00D12CCF"/>
    <w:rsid w:val="00D15E66"/>
    <w:rsid w:val="00D16324"/>
    <w:rsid w:val="00D20397"/>
    <w:rsid w:val="00D2143A"/>
    <w:rsid w:val="00D21819"/>
    <w:rsid w:val="00D22DB7"/>
    <w:rsid w:val="00D230A0"/>
    <w:rsid w:val="00D23498"/>
    <w:rsid w:val="00D2385D"/>
    <w:rsid w:val="00D263C0"/>
    <w:rsid w:val="00D26610"/>
    <w:rsid w:val="00D268D3"/>
    <w:rsid w:val="00D2781B"/>
    <w:rsid w:val="00D30129"/>
    <w:rsid w:val="00D3013B"/>
    <w:rsid w:val="00D3227D"/>
    <w:rsid w:val="00D326A4"/>
    <w:rsid w:val="00D35C04"/>
    <w:rsid w:val="00D3762A"/>
    <w:rsid w:val="00D408F7"/>
    <w:rsid w:val="00D41797"/>
    <w:rsid w:val="00D42583"/>
    <w:rsid w:val="00D42DA8"/>
    <w:rsid w:val="00D43EDE"/>
    <w:rsid w:val="00D45BA0"/>
    <w:rsid w:val="00D46174"/>
    <w:rsid w:val="00D46A01"/>
    <w:rsid w:val="00D47CF7"/>
    <w:rsid w:val="00D52BF3"/>
    <w:rsid w:val="00D531CE"/>
    <w:rsid w:val="00D53723"/>
    <w:rsid w:val="00D5372C"/>
    <w:rsid w:val="00D556FF"/>
    <w:rsid w:val="00D57720"/>
    <w:rsid w:val="00D57A02"/>
    <w:rsid w:val="00D57A9A"/>
    <w:rsid w:val="00D60C3F"/>
    <w:rsid w:val="00D620CF"/>
    <w:rsid w:val="00D627C5"/>
    <w:rsid w:val="00D63E10"/>
    <w:rsid w:val="00D64D21"/>
    <w:rsid w:val="00D65B62"/>
    <w:rsid w:val="00D6708F"/>
    <w:rsid w:val="00D676F7"/>
    <w:rsid w:val="00D67E76"/>
    <w:rsid w:val="00D719A4"/>
    <w:rsid w:val="00D71B09"/>
    <w:rsid w:val="00D7363C"/>
    <w:rsid w:val="00D73C3E"/>
    <w:rsid w:val="00D77EAB"/>
    <w:rsid w:val="00D8441D"/>
    <w:rsid w:val="00D86CC7"/>
    <w:rsid w:val="00D92ACF"/>
    <w:rsid w:val="00D93DD8"/>
    <w:rsid w:val="00D959E8"/>
    <w:rsid w:val="00D96C74"/>
    <w:rsid w:val="00DA026E"/>
    <w:rsid w:val="00DA0CD3"/>
    <w:rsid w:val="00DA204B"/>
    <w:rsid w:val="00DA29AA"/>
    <w:rsid w:val="00DA4C0B"/>
    <w:rsid w:val="00DA567E"/>
    <w:rsid w:val="00DA6BD2"/>
    <w:rsid w:val="00DA7256"/>
    <w:rsid w:val="00DB06DB"/>
    <w:rsid w:val="00DB3F51"/>
    <w:rsid w:val="00DB5149"/>
    <w:rsid w:val="00DB54E2"/>
    <w:rsid w:val="00DB61AE"/>
    <w:rsid w:val="00DB65E1"/>
    <w:rsid w:val="00DB795D"/>
    <w:rsid w:val="00DC16F6"/>
    <w:rsid w:val="00DC1882"/>
    <w:rsid w:val="00DC28D0"/>
    <w:rsid w:val="00DC4548"/>
    <w:rsid w:val="00DC5592"/>
    <w:rsid w:val="00DC68D4"/>
    <w:rsid w:val="00DC7DA6"/>
    <w:rsid w:val="00DD0A20"/>
    <w:rsid w:val="00DD185E"/>
    <w:rsid w:val="00DD3BF7"/>
    <w:rsid w:val="00DD5A31"/>
    <w:rsid w:val="00DD6C84"/>
    <w:rsid w:val="00DD770B"/>
    <w:rsid w:val="00DE290F"/>
    <w:rsid w:val="00DE318F"/>
    <w:rsid w:val="00DE31FE"/>
    <w:rsid w:val="00DE419A"/>
    <w:rsid w:val="00DE4DDB"/>
    <w:rsid w:val="00DE62C5"/>
    <w:rsid w:val="00DE7E59"/>
    <w:rsid w:val="00DF295F"/>
    <w:rsid w:val="00DF5161"/>
    <w:rsid w:val="00DF5D8D"/>
    <w:rsid w:val="00DF6BF4"/>
    <w:rsid w:val="00E01CFF"/>
    <w:rsid w:val="00E01D25"/>
    <w:rsid w:val="00E074C5"/>
    <w:rsid w:val="00E07C0B"/>
    <w:rsid w:val="00E07F4E"/>
    <w:rsid w:val="00E11A0D"/>
    <w:rsid w:val="00E124F1"/>
    <w:rsid w:val="00E1356B"/>
    <w:rsid w:val="00E1508F"/>
    <w:rsid w:val="00E152B9"/>
    <w:rsid w:val="00E21560"/>
    <w:rsid w:val="00E226A8"/>
    <w:rsid w:val="00E22C61"/>
    <w:rsid w:val="00E24BB6"/>
    <w:rsid w:val="00E25137"/>
    <w:rsid w:val="00E253B4"/>
    <w:rsid w:val="00E27154"/>
    <w:rsid w:val="00E27244"/>
    <w:rsid w:val="00E300E0"/>
    <w:rsid w:val="00E32EAF"/>
    <w:rsid w:val="00E33150"/>
    <w:rsid w:val="00E335F9"/>
    <w:rsid w:val="00E347C1"/>
    <w:rsid w:val="00E35742"/>
    <w:rsid w:val="00E40500"/>
    <w:rsid w:val="00E40E79"/>
    <w:rsid w:val="00E4230D"/>
    <w:rsid w:val="00E430A5"/>
    <w:rsid w:val="00E43838"/>
    <w:rsid w:val="00E44F70"/>
    <w:rsid w:val="00E45513"/>
    <w:rsid w:val="00E45536"/>
    <w:rsid w:val="00E47B3E"/>
    <w:rsid w:val="00E50B25"/>
    <w:rsid w:val="00E50E90"/>
    <w:rsid w:val="00E5105F"/>
    <w:rsid w:val="00E547AD"/>
    <w:rsid w:val="00E5532B"/>
    <w:rsid w:val="00E717EC"/>
    <w:rsid w:val="00E8243D"/>
    <w:rsid w:val="00E82BE6"/>
    <w:rsid w:val="00E8318C"/>
    <w:rsid w:val="00E852E0"/>
    <w:rsid w:val="00E85593"/>
    <w:rsid w:val="00E85758"/>
    <w:rsid w:val="00E86E18"/>
    <w:rsid w:val="00E91A51"/>
    <w:rsid w:val="00E92865"/>
    <w:rsid w:val="00E928E3"/>
    <w:rsid w:val="00E92FCA"/>
    <w:rsid w:val="00E949DE"/>
    <w:rsid w:val="00E96AA2"/>
    <w:rsid w:val="00E96F46"/>
    <w:rsid w:val="00E977D9"/>
    <w:rsid w:val="00EA4AE4"/>
    <w:rsid w:val="00EA6583"/>
    <w:rsid w:val="00EB0ED1"/>
    <w:rsid w:val="00EB296B"/>
    <w:rsid w:val="00EB29DB"/>
    <w:rsid w:val="00EB4865"/>
    <w:rsid w:val="00EB5D3F"/>
    <w:rsid w:val="00EC0455"/>
    <w:rsid w:val="00EC049B"/>
    <w:rsid w:val="00EC0642"/>
    <w:rsid w:val="00EC0FA1"/>
    <w:rsid w:val="00EC1F24"/>
    <w:rsid w:val="00EC2991"/>
    <w:rsid w:val="00EC33EE"/>
    <w:rsid w:val="00EC6326"/>
    <w:rsid w:val="00EC66FA"/>
    <w:rsid w:val="00EC6814"/>
    <w:rsid w:val="00EC72B7"/>
    <w:rsid w:val="00ED22FC"/>
    <w:rsid w:val="00ED312C"/>
    <w:rsid w:val="00ED35DC"/>
    <w:rsid w:val="00ED3D7B"/>
    <w:rsid w:val="00ED6BBA"/>
    <w:rsid w:val="00EE3A15"/>
    <w:rsid w:val="00EE509B"/>
    <w:rsid w:val="00EE531F"/>
    <w:rsid w:val="00EE56DF"/>
    <w:rsid w:val="00EE5884"/>
    <w:rsid w:val="00EE6182"/>
    <w:rsid w:val="00EE6679"/>
    <w:rsid w:val="00EE6964"/>
    <w:rsid w:val="00EE6C2F"/>
    <w:rsid w:val="00EF085C"/>
    <w:rsid w:val="00EF1BFF"/>
    <w:rsid w:val="00EF241F"/>
    <w:rsid w:val="00EF33A6"/>
    <w:rsid w:val="00EF6967"/>
    <w:rsid w:val="00EF6BF5"/>
    <w:rsid w:val="00F00678"/>
    <w:rsid w:val="00F01397"/>
    <w:rsid w:val="00F02B64"/>
    <w:rsid w:val="00F02CEB"/>
    <w:rsid w:val="00F05E93"/>
    <w:rsid w:val="00F07359"/>
    <w:rsid w:val="00F07A5E"/>
    <w:rsid w:val="00F16D5E"/>
    <w:rsid w:val="00F20131"/>
    <w:rsid w:val="00F21362"/>
    <w:rsid w:val="00F2198A"/>
    <w:rsid w:val="00F228CC"/>
    <w:rsid w:val="00F230DA"/>
    <w:rsid w:val="00F23535"/>
    <w:rsid w:val="00F23B52"/>
    <w:rsid w:val="00F2501C"/>
    <w:rsid w:val="00F255CE"/>
    <w:rsid w:val="00F26292"/>
    <w:rsid w:val="00F26544"/>
    <w:rsid w:val="00F31E16"/>
    <w:rsid w:val="00F330D3"/>
    <w:rsid w:val="00F34374"/>
    <w:rsid w:val="00F371A6"/>
    <w:rsid w:val="00F40DCF"/>
    <w:rsid w:val="00F42725"/>
    <w:rsid w:val="00F42EF2"/>
    <w:rsid w:val="00F473D3"/>
    <w:rsid w:val="00F508A0"/>
    <w:rsid w:val="00F52BB3"/>
    <w:rsid w:val="00F5347B"/>
    <w:rsid w:val="00F575C6"/>
    <w:rsid w:val="00F63D35"/>
    <w:rsid w:val="00F655DB"/>
    <w:rsid w:val="00F6577C"/>
    <w:rsid w:val="00F66249"/>
    <w:rsid w:val="00F66E5C"/>
    <w:rsid w:val="00F726F8"/>
    <w:rsid w:val="00F72906"/>
    <w:rsid w:val="00F73531"/>
    <w:rsid w:val="00F740AE"/>
    <w:rsid w:val="00F744C4"/>
    <w:rsid w:val="00F75933"/>
    <w:rsid w:val="00F75DB3"/>
    <w:rsid w:val="00F75EE0"/>
    <w:rsid w:val="00F76F5D"/>
    <w:rsid w:val="00F802AA"/>
    <w:rsid w:val="00F81972"/>
    <w:rsid w:val="00F81E1D"/>
    <w:rsid w:val="00F825E0"/>
    <w:rsid w:val="00F82F4E"/>
    <w:rsid w:val="00F837BB"/>
    <w:rsid w:val="00F83914"/>
    <w:rsid w:val="00F83C50"/>
    <w:rsid w:val="00F85878"/>
    <w:rsid w:val="00F901B7"/>
    <w:rsid w:val="00F90F76"/>
    <w:rsid w:val="00F91FE2"/>
    <w:rsid w:val="00F94A64"/>
    <w:rsid w:val="00F958F0"/>
    <w:rsid w:val="00F95E89"/>
    <w:rsid w:val="00F96AEC"/>
    <w:rsid w:val="00FA07E6"/>
    <w:rsid w:val="00FA1957"/>
    <w:rsid w:val="00FA2AEA"/>
    <w:rsid w:val="00FA2DED"/>
    <w:rsid w:val="00FA2F17"/>
    <w:rsid w:val="00FA3A41"/>
    <w:rsid w:val="00FA4632"/>
    <w:rsid w:val="00FA61D4"/>
    <w:rsid w:val="00FA7580"/>
    <w:rsid w:val="00FA77CF"/>
    <w:rsid w:val="00FA77DA"/>
    <w:rsid w:val="00FB0D7D"/>
    <w:rsid w:val="00FB17CB"/>
    <w:rsid w:val="00FB6238"/>
    <w:rsid w:val="00FB6BA9"/>
    <w:rsid w:val="00FB7520"/>
    <w:rsid w:val="00FB7583"/>
    <w:rsid w:val="00FC05E2"/>
    <w:rsid w:val="00FC08FD"/>
    <w:rsid w:val="00FC1BC9"/>
    <w:rsid w:val="00FC1DA9"/>
    <w:rsid w:val="00FC3772"/>
    <w:rsid w:val="00FC5180"/>
    <w:rsid w:val="00FC7862"/>
    <w:rsid w:val="00FD3310"/>
    <w:rsid w:val="00FD5F64"/>
    <w:rsid w:val="00FD7898"/>
    <w:rsid w:val="00FE0746"/>
    <w:rsid w:val="00FE0CCE"/>
    <w:rsid w:val="00FE37BF"/>
    <w:rsid w:val="00FE6732"/>
    <w:rsid w:val="00FE7D90"/>
    <w:rsid w:val="00FF013D"/>
    <w:rsid w:val="00FF1827"/>
    <w:rsid w:val="00FF27B7"/>
    <w:rsid w:val="00FF4ADE"/>
    <w:rsid w:val="00FF6105"/>
    <w:rsid w:val="208B76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2BAC0"/>
  <w15:chartTrackingRefBased/>
  <w15:docId w15:val="{0757B46F-7622-4B8E-9C5E-078B6C88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F64"/>
    <w:pPr>
      <w:spacing w:after="200"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unhideWhenUsed/>
    <w:rsid w:val="005113AA"/>
    <w:pPr>
      <w:spacing w:after="0"/>
    </w:pPr>
    <w:rPr>
      <w:sz w:val="20"/>
      <w:szCs w:val="20"/>
    </w:rPr>
  </w:style>
  <w:style w:type="character" w:customStyle="1" w:styleId="FootnoteTextChar">
    <w:name w:val="Footnote Text Char"/>
    <w:basedOn w:val="DefaultParagraphFont"/>
    <w:link w:val="FootnoteText"/>
    <w:uiPriority w:val="99"/>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Bullet List,Bullet li,Bulletr List Paragraph,FooterText,L,List Paragraph1,List Paragraph2,List Paragraph21,Listeafsnit1,Paragraphe de liste1,Parágrafo da Lista1,Párrafo de lista1,Recommendation,bullet point list"/>
    <w:basedOn w:val="Normal"/>
    <w:link w:val="ListParagraphChar"/>
    <w:uiPriority w:val="34"/>
    <w:qFormat/>
    <w:rsid w:val="0007496D"/>
    <w:pPr>
      <w:numPr>
        <w:numId w:val="3"/>
      </w:numPr>
      <w:contextualSpacing/>
    </w:pPr>
  </w:style>
  <w:style w:type="paragraph" w:customStyle="1" w:styleId="Listparagraphbullets">
    <w:name w:val="List paragraph—bullets"/>
    <w:basedOn w:val="ListParagraph"/>
    <w:qFormat/>
    <w:rsid w:val="0007496D"/>
    <w:pPr>
      <w:numPr>
        <w:numId w:val="2"/>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Listparagraphbulletssecondlevel">
    <w:name w:val="List paragraph—bullets—second level"/>
    <w:basedOn w:val="Listparagraphbullets"/>
    <w:qFormat/>
    <w:rsid w:val="00F02B64"/>
    <w:pPr>
      <w:ind w:left="1134"/>
    </w:pPr>
  </w:style>
  <w:style w:type="character" w:styleId="FollowedHyperlink">
    <w:name w:val="FollowedHyperlink"/>
    <w:basedOn w:val="DefaultParagraphFont"/>
    <w:uiPriority w:val="99"/>
    <w:semiHidden/>
    <w:unhideWhenUsed/>
    <w:rsid w:val="003D0DBE"/>
    <w:rPr>
      <w:color w:val="155589" w:themeColor="followedHyperlink"/>
      <w:u w:val="single"/>
    </w:rPr>
  </w:style>
  <w:style w:type="paragraph" w:styleId="BalloonText">
    <w:name w:val="Balloon Text"/>
    <w:basedOn w:val="Normal"/>
    <w:link w:val="BalloonTextChar"/>
    <w:uiPriority w:val="99"/>
    <w:semiHidden/>
    <w:unhideWhenUsed/>
    <w:rsid w:val="004839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976"/>
    <w:rPr>
      <w:rFonts w:ascii="Segoe UI" w:hAnsi="Segoe UI" w:cs="Segoe UI"/>
      <w:sz w:val="18"/>
      <w:szCs w:val="18"/>
    </w:rPr>
  </w:style>
  <w:style w:type="character" w:styleId="Emphasis">
    <w:name w:val="Emphasis"/>
    <w:basedOn w:val="DefaultParagraphFont"/>
    <w:uiPriority w:val="20"/>
    <w:qFormat/>
    <w:rsid w:val="00BE3E13"/>
    <w:rPr>
      <w:i/>
      <w:iCs/>
    </w:rPr>
  </w:style>
  <w:style w:type="character" w:styleId="CommentReference">
    <w:name w:val="annotation reference"/>
    <w:basedOn w:val="DefaultParagraphFont"/>
    <w:uiPriority w:val="99"/>
    <w:semiHidden/>
    <w:unhideWhenUsed/>
    <w:rsid w:val="00160403"/>
    <w:rPr>
      <w:sz w:val="16"/>
      <w:szCs w:val="16"/>
    </w:rPr>
  </w:style>
  <w:style w:type="paragraph" w:styleId="CommentText">
    <w:name w:val="annotation text"/>
    <w:basedOn w:val="Normal"/>
    <w:link w:val="CommentTextChar"/>
    <w:uiPriority w:val="99"/>
    <w:unhideWhenUsed/>
    <w:rsid w:val="00160403"/>
    <w:rPr>
      <w:sz w:val="20"/>
      <w:szCs w:val="20"/>
    </w:rPr>
  </w:style>
  <w:style w:type="character" w:customStyle="1" w:styleId="CommentTextChar">
    <w:name w:val="Comment Text Char"/>
    <w:basedOn w:val="DefaultParagraphFont"/>
    <w:link w:val="CommentText"/>
    <w:uiPriority w:val="99"/>
    <w:rsid w:val="00160403"/>
    <w:rPr>
      <w:sz w:val="20"/>
      <w:szCs w:val="20"/>
    </w:rPr>
  </w:style>
  <w:style w:type="paragraph" w:styleId="CommentSubject">
    <w:name w:val="annotation subject"/>
    <w:basedOn w:val="CommentText"/>
    <w:next w:val="CommentText"/>
    <w:link w:val="CommentSubjectChar"/>
    <w:uiPriority w:val="99"/>
    <w:semiHidden/>
    <w:unhideWhenUsed/>
    <w:rsid w:val="00160403"/>
    <w:rPr>
      <w:b/>
      <w:bCs/>
    </w:rPr>
  </w:style>
  <w:style w:type="character" w:customStyle="1" w:styleId="CommentSubjectChar">
    <w:name w:val="Comment Subject Char"/>
    <w:basedOn w:val="CommentTextChar"/>
    <w:link w:val="CommentSubject"/>
    <w:uiPriority w:val="99"/>
    <w:semiHidden/>
    <w:rsid w:val="00160403"/>
    <w:rPr>
      <w:b/>
      <w:bCs/>
      <w:sz w:val="20"/>
      <w:szCs w:val="20"/>
    </w:rPr>
  </w:style>
  <w:style w:type="character" w:customStyle="1" w:styleId="ListParagraphChar">
    <w:name w:val="List Paragraph Char"/>
    <w:aliases w:val="List Paragraph—numbers Char,Bullet List Char,Bullet li Char,Bulletr List Paragraph Char,FooterText Char,L Char,List Paragraph1 Char,List Paragraph2 Char,List Paragraph21 Char,Listeafsnit1 Char,Paragraphe de liste1 Char"/>
    <w:link w:val="ListParagraph"/>
    <w:uiPriority w:val="34"/>
    <w:qFormat/>
    <w:rsid w:val="0000565C"/>
  </w:style>
  <w:style w:type="paragraph" w:styleId="NormalWeb">
    <w:name w:val="Normal (Web)"/>
    <w:basedOn w:val="Normal"/>
    <w:uiPriority w:val="99"/>
    <w:semiHidden/>
    <w:unhideWhenUsed/>
    <w:rsid w:val="00D556FF"/>
    <w:pPr>
      <w:spacing w:after="375"/>
    </w:pPr>
    <w:rPr>
      <w:rFonts w:ascii="Times New Roman" w:eastAsia="Times New Roman" w:hAnsi="Times New Roman" w:cs="Times New Roman"/>
      <w:sz w:val="24"/>
      <w:szCs w:val="24"/>
      <w:lang w:eastAsia="en-AU"/>
    </w:rPr>
  </w:style>
  <w:style w:type="paragraph" w:styleId="Revision">
    <w:name w:val="Revision"/>
    <w:hidden/>
    <w:uiPriority w:val="99"/>
    <w:semiHidden/>
    <w:rsid w:val="00F228CC"/>
    <w:pPr>
      <w:spacing w:after="0" w:line="240" w:lineRule="auto"/>
    </w:pPr>
  </w:style>
  <w:style w:type="paragraph" w:styleId="Caption">
    <w:name w:val="caption"/>
    <w:basedOn w:val="Normal"/>
    <w:next w:val="Normal"/>
    <w:uiPriority w:val="14"/>
    <w:qFormat/>
    <w:rsid w:val="00DB65E1"/>
    <w:pPr>
      <w:suppressAutoHyphens/>
      <w:spacing w:before="240" w:after="160"/>
    </w:pPr>
    <w:rPr>
      <w:b/>
      <w:iCs/>
      <w:color w:val="000000" w:themeColor="text1"/>
      <w:kern w:val="12"/>
      <w:sz w:val="20"/>
      <w:szCs w:val="18"/>
    </w:rPr>
  </w:style>
  <w:style w:type="paragraph" w:customStyle="1" w:styleId="Sourcenotes">
    <w:name w:val="Source notes"/>
    <w:basedOn w:val="Normal"/>
    <w:uiPriority w:val="15"/>
    <w:qFormat/>
    <w:rsid w:val="00DB65E1"/>
    <w:pPr>
      <w:suppressAutoHyphens/>
      <w:spacing w:before="120" w:after="80"/>
    </w:pPr>
    <w:rPr>
      <w:color w:val="000000" w:themeColor="text1"/>
      <w:kern w:val="12"/>
      <w:sz w:val="16"/>
      <w:szCs w:val="20"/>
      <w:lang w:val="x-none"/>
    </w:rPr>
  </w:style>
  <w:style w:type="paragraph" w:customStyle="1" w:styleId="ListLegal1">
    <w:name w:val="List Legal 1"/>
    <w:basedOn w:val="Normal"/>
    <w:uiPriority w:val="3"/>
    <w:qFormat/>
    <w:rsid w:val="00DB65E1"/>
    <w:pPr>
      <w:numPr>
        <w:numId w:val="23"/>
      </w:numPr>
      <w:suppressAutoHyphens/>
      <w:spacing w:before="80" w:after="80"/>
    </w:pPr>
    <w:rPr>
      <w:color w:val="000000" w:themeColor="text1"/>
      <w:kern w:val="12"/>
      <w:sz w:val="20"/>
      <w:szCs w:val="20"/>
      <w:lang w:val="x-none"/>
    </w:rPr>
  </w:style>
  <w:style w:type="paragraph" w:customStyle="1" w:styleId="ListLegal2">
    <w:name w:val="List Legal 2"/>
    <w:basedOn w:val="ListLegal1"/>
    <w:uiPriority w:val="3"/>
    <w:rsid w:val="00DB65E1"/>
    <w:pPr>
      <w:numPr>
        <w:ilvl w:val="1"/>
      </w:numPr>
    </w:pPr>
  </w:style>
  <w:style w:type="paragraph" w:customStyle="1" w:styleId="ListLegal3">
    <w:name w:val="List Legal 3"/>
    <w:basedOn w:val="ListLegal2"/>
    <w:uiPriority w:val="3"/>
    <w:rsid w:val="00DB65E1"/>
    <w:pPr>
      <w:numPr>
        <w:ilvl w:val="2"/>
      </w:numPr>
    </w:pPr>
  </w:style>
  <w:style w:type="numbering" w:customStyle="1" w:styleId="ListLegal">
    <w:name w:val="List Legal"/>
    <w:uiPriority w:val="99"/>
    <w:rsid w:val="00DB65E1"/>
    <w:pPr>
      <w:numPr>
        <w:numId w:val="23"/>
      </w:numPr>
    </w:pPr>
  </w:style>
  <w:style w:type="paragraph" w:customStyle="1" w:styleId="Normaldisclaimerpage">
    <w:name w:val="Normal—disclaimer page"/>
    <w:basedOn w:val="Normal"/>
    <w:qFormat/>
    <w:rsid w:val="00FF013D"/>
    <w:pPr>
      <w:spacing w:after="120"/>
    </w:pPr>
    <w:rPr>
      <w:rFonts w:ascii="Segoe UI" w:hAnsi="Segoe UI"/>
      <w:sz w:val="20"/>
      <w:szCs w:val="20"/>
    </w:rPr>
  </w:style>
  <w:style w:type="table" w:customStyle="1" w:styleId="DefaultTable1">
    <w:name w:val="Default Table 1"/>
    <w:basedOn w:val="TableNormal"/>
    <w:uiPriority w:val="99"/>
    <w:rsid w:val="00526074"/>
    <w:pPr>
      <w:spacing w:before="80" w:after="80" w:line="240" w:lineRule="auto"/>
    </w:pPr>
    <w:rPr>
      <w:color w:val="000000" w:themeColor="text1"/>
      <w:sz w:val="20"/>
      <w:szCs w:val="20"/>
    </w:rPr>
    <w:tblPr>
      <w:tblStyleRowBandSize w:val="1"/>
      <w:tblStyleColBandSize w:val="1"/>
      <w:tblBorders>
        <w:top w:val="single" w:sz="4" w:space="0" w:color="0D6635" w:themeColor="accent2"/>
        <w:bottom w:val="single" w:sz="4" w:space="0" w:color="0D6635" w:themeColor="accent2"/>
        <w:insideH w:val="single" w:sz="4" w:space="0" w:color="0D6635" w:themeColor="accent2"/>
      </w:tblBorders>
    </w:tblPr>
    <w:tblStylePr w:type="firstRow">
      <w:rPr>
        <w:b/>
        <w:color w:val="FFFFFF" w:themeColor="background1"/>
      </w:rPr>
      <w:tblPr/>
      <w:trPr>
        <w:tblHeader/>
      </w:trPr>
      <w:tcPr>
        <w:tcBorders>
          <w:top w:val="nil"/>
          <w:bottom w:val="nil"/>
        </w:tcBorders>
        <w:shd w:val="clear" w:color="auto" w:fill="155589" w:themeFill="accent1"/>
      </w:tcPr>
    </w:tblStylePr>
    <w:tblStylePr w:type="lastRow">
      <w:rPr>
        <w:b/>
      </w:rPr>
      <w:tblPr/>
      <w:tcPr>
        <w:shd w:val="clear" w:color="auto" w:fill="E9EAF5"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numbered">
    <w:name w:val="Source notes numbered"/>
    <w:basedOn w:val="Sourcenotes"/>
    <w:uiPriority w:val="15"/>
    <w:qFormat/>
    <w:rsid w:val="00526074"/>
    <w:pPr>
      <w:spacing w:before="80"/>
    </w:pPr>
  </w:style>
  <w:style w:type="character" w:styleId="Strong">
    <w:name w:val="Strong"/>
    <w:basedOn w:val="DefaultParagraphFont"/>
    <w:uiPriority w:val="22"/>
    <w:qFormat/>
    <w:rsid w:val="00964A30"/>
    <w:rPr>
      <w:b/>
      <w:bCs/>
    </w:rPr>
  </w:style>
  <w:style w:type="character" w:styleId="UnresolvedMention">
    <w:name w:val="Unresolved Mention"/>
    <w:basedOn w:val="DefaultParagraphFont"/>
    <w:uiPriority w:val="99"/>
    <w:semiHidden/>
    <w:unhideWhenUsed/>
    <w:rsid w:val="00CA3E54"/>
    <w:rPr>
      <w:color w:val="605E5C"/>
      <w:shd w:val="clear" w:color="auto" w:fill="E1DFDD"/>
    </w:rPr>
  </w:style>
  <w:style w:type="character" w:customStyle="1" w:styleId="Style6">
    <w:name w:val="Style6"/>
    <w:basedOn w:val="DefaultParagraphFont"/>
    <w:uiPriority w:val="1"/>
    <w:rsid w:val="008510C4"/>
    <w:rPr>
      <w:rFonts w:ascii="Times New Roman" w:hAnsi="Times New Roman"/>
      <w:sz w:val="22"/>
    </w:rPr>
  </w:style>
  <w:style w:type="paragraph" w:customStyle="1" w:styleId="acthead5">
    <w:name w:val="acthead5"/>
    <w:basedOn w:val="Normal"/>
    <w:rsid w:val="00AF550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AF5508"/>
  </w:style>
  <w:style w:type="paragraph" w:customStyle="1" w:styleId="subsection">
    <w:name w:val="subsection"/>
    <w:basedOn w:val="Normal"/>
    <w:rsid w:val="00AF550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AF550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AF550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text">
    <w:name w:val="notetext"/>
    <w:basedOn w:val="Normal"/>
    <w:rsid w:val="00AF550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AF5508"/>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128">
      <w:bodyDiv w:val="1"/>
      <w:marLeft w:val="0"/>
      <w:marRight w:val="0"/>
      <w:marTop w:val="0"/>
      <w:marBottom w:val="0"/>
      <w:divBdr>
        <w:top w:val="none" w:sz="0" w:space="0" w:color="auto"/>
        <w:left w:val="none" w:sz="0" w:space="0" w:color="auto"/>
        <w:bottom w:val="none" w:sz="0" w:space="0" w:color="auto"/>
        <w:right w:val="none" w:sz="0" w:space="0" w:color="auto"/>
      </w:divBdr>
    </w:div>
    <w:div w:id="10495655">
      <w:bodyDiv w:val="1"/>
      <w:marLeft w:val="0"/>
      <w:marRight w:val="0"/>
      <w:marTop w:val="0"/>
      <w:marBottom w:val="0"/>
      <w:divBdr>
        <w:top w:val="none" w:sz="0" w:space="0" w:color="auto"/>
        <w:left w:val="none" w:sz="0" w:space="0" w:color="auto"/>
        <w:bottom w:val="none" w:sz="0" w:space="0" w:color="auto"/>
        <w:right w:val="none" w:sz="0" w:space="0" w:color="auto"/>
      </w:divBdr>
    </w:div>
    <w:div w:id="34937441">
      <w:bodyDiv w:val="1"/>
      <w:marLeft w:val="0"/>
      <w:marRight w:val="0"/>
      <w:marTop w:val="0"/>
      <w:marBottom w:val="0"/>
      <w:divBdr>
        <w:top w:val="none" w:sz="0" w:space="0" w:color="auto"/>
        <w:left w:val="none" w:sz="0" w:space="0" w:color="auto"/>
        <w:bottom w:val="none" w:sz="0" w:space="0" w:color="auto"/>
        <w:right w:val="none" w:sz="0" w:space="0" w:color="auto"/>
      </w:divBdr>
    </w:div>
    <w:div w:id="215312917">
      <w:bodyDiv w:val="1"/>
      <w:marLeft w:val="0"/>
      <w:marRight w:val="0"/>
      <w:marTop w:val="0"/>
      <w:marBottom w:val="0"/>
      <w:divBdr>
        <w:top w:val="none" w:sz="0" w:space="0" w:color="auto"/>
        <w:left w:val="none" w:sz="0" w:space="0" w:color="auto"/>
        <w:bottom w:val="none" w:sz="0" w:space="0" w:color="auto"/>
        <w:right w:val="none" w:sz="0" w:space="0" w:color="auto"/>
      </w:divBdr>
    </w:div>
    <w:div w:id="217985032">
      <w:bodyDiv w:val="1"/>
      <w:marLeft w:val="0"/>
      <w:marRight w:val="0"/>
      <w:marTop w:val="0"/>
      <w:marBottom w:val="0"/>
      <w:divBdr>
        <w:top w:val="none" w:sz="0" w:space="0" w:color="auto"/>
        <w:left w:val="none" w:sz="0" w:space="0" w:color="auto"/>
        <w:bottom w:val="none" w:sz="0" w:space="0" w:color="auto"/>
        <w:right w:val="none" w:sz="0" w:space="0" w:color="auto"/>
      </w:divBdr>
    </w:div>
    <w:div w:id="221604391">
      <w:bodyDiv w:val="1"/>
      <w:marLeft w:val="0"/>
      <w:marRight w:val="0"/>
      <w:marTop w:val="0"/>
      <w:marBottom w:val="0"/>
      <w:divBdr>
        <w:top w:val="none" w:sz="0" w:space="0" w:color="auto"/>
        <w:left w:val="none" w:sz="0" w:space="0" w:color="auto"/>
        <w:bottom w:val="none" w:sz="0" w:space="0" w:color="auto"/>
        <w:right w:val="none" w:sz="0" w:space="0" w:color="auto"/>
      </w:divBdr>
    </w:div>
    <w:div w:id="240221928">
      <w:bodyDiv w:val="1"/>
      <w:marLeft w:val="0"/>
      <w:marRight w:val="0"/>
      <w:marTop w:val="0"/>
      <w:marBottom w:val="0"/>
      <w:divBdr>
        <w:top w:val="none" w:sz="0" w:space="0" w:color="auto"/>
        <w:left w:val="none" w:sz="0" w:space="0" w:color="auto"/>
        <w:bottom w:val="none" w:sz="0" w:space="0" w:color="auto"/>
        <w:right w:val="none" w:sz="0" w:space="0" w:color="auto"/>
      </w:divBdr>
    </w:div>
    <w:div w:id="245000030">
      <w:bodyDiv w:val="1"/>
      <w:marLeft w:val="0"/>
      <w:marRight w:val="0"/>
      <w:marTop w:val="0"/>
      <w:marBottom w:val="0"/>
      <w:divBdr>
        <w:top w:val="none" w:sz="0" w:space="0" w:color="auto"/>
        <w:left w:val="none" w:sz="0" w:space="0" w:color="auto"/>
        <w:bottom w:val="none" w:sz="0" w:space="0" w:color="auto"/>
        <w:right w:val="none" w:sz="0" w:space="0" w:color="auto"/>
      </w:divBdr>
      <w:divsChild>
        <w:div w:id="506479701">
          <w:marLeft w:val="0"/>
          <w:marRight w:val="0"/>
          <w:marTop w:val="0"/>
          <w:marBottom w:val="0"/>
          <w:divBdr>
            <w:top w:val="none" w:sz="0" w:space="0" w:color="auto"/>
            <w:left w:val="none" w:sz="0" w:space="0" w:color="auto"/>
            <w:bottom w:val="none" w:sz="0" w:space="0" w:color="auto"/>
            <w:right w:val="none" w:sz="0" w:space="0" w:color="auto"/>
          </w:divBdr>
          <w:divsChild>
            <w:div w:id="222106466">
              <w:marLeft w:val="0"/>
              <w:marRight w:val="0"/>
              <w:marTop w:val="0"/>
              <w:marBottom w:val="0"/>
              <w:divBdr>
                <w:top w:val="none" w:sz="0" w:space="0" w:color="auto"/>
                <w:left w:val="none" w:sz="0" w:space="0" w:color="auto"/>
                <w:bottom w:val="none" w:sz="0" w:space="0" w:color="auto"/>
                <w:right w:val="none" w:sz="0" w:space="0" w:color="auto"/>
              </w:divBdr>
              <w:divsChild>
                <w:div w:id="1272663826">
                  <w:marLeft w:val="0"/>
                  <w:marRight w:val="0"/>
                  <w:marTop w:val="0"/>
                  <w:marBottom w:val="0"/>
                  <w:divBdr>
                    <w:top w:val="none" w:sz="0" w:space="0" w:color="auto"/>
                    <w:left w:val="none" w:sz="0" w:space="0" w:color="auto"/>
                    <w:bottom w:val="none" w:sz="0" w:space="0" w:color="auto"/>
                    <w:right w:val="none" w:sz="0" w:space="0" w:color="auto"/>
                  </w:divBdr>
                  <w:divsChild>
                    <w:div w:id="522864507">
                      <w:marLeft w:val="0"/>
                      <w:marRight w:val="0"/>
                      <w:marTop w:val="0"/>
                      <w:marBottom w:val="0"/>
                      <w:divBdr>
                        <w:top w:val="none" w:sz="0" w:space="0" w:color="auto"/>
                        <w:left w:val="none" w:sz="0" w:space="0" w:color="auto"/>
                        <w:bottom w:val="none" w:sz="0" w:space="0" w:color="auto"/>
                        <w:right w:val="none" w:sz="0" w:space="0" w:color="auto"/>
                      </w:divBdr>
                      <w:divsChild>
                        <w:div w:id="1263951559">
                          <w:marLeft w:val="0"/>
                          <w:marRight w:val="0"/>
                          <w:marTop w:val="0"/>
                          <w:marBottom w:val="0"/>
                          <w:divBdr>
                            <w:top w:val="none" w:sz="0" w:space="0" w:color="auto"/>
                            <w:left w:val="none" w:sz="0" w:space="0" w:color="auto"/>
                            <w:bottom w:val="none" w:sz="0" w:space="0" w:color="auto"/>
                            <w:right w:val="none" w:sz="0" w:space="0" w:color="auto"/>
                          </w:divBdr>
                          <w:divsChild>
                            <w:div w:id="16320307">
                              <w:marLeft w:val="0"/>
                              <w:marRight w:val="0"/>
                              <w:marTop w:val="0"/>
                              <w:marBottom w:val="240"/>
                              <w:divBdr>
                                <w:top w:val="none" w:sz="0" w:space="0" w:color="auto"/>
                                <w:left w:val="none" w:sz="0" w:space="0" w:color="auto"/>
                                <w:bottom w:val="none" w:sz="0" w:space="0" w:color="auto"/>
                                <w:right w:val="none" w:sz="0" w:space="0" w:color="auto"/>
                              </w:divBdr>
                              <w:divsChild>
                                <w:div w:id="17621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08341">
      <w:bodyDiv w:val="1"/>
      <w:marLeft w:val="0"/>
      <w:marRight w:val="0"/>
      <w:marTop w:val="0"/>
      <w:marBottom w:val="0"/>
      <w:divBdr>
        <w:top w:val="none" w:sz="0" w:space="0" w:color="auto"/>
        <w:left w:val="none" w:sz="0" w:space="0" w:color="auto"/>
        <w:bottom w:val="none" w:sz="0" w:space="0" w:color="auto"/>
        <w:right w:val="none" w:sz="0" w:space="0" w:color="auto"/>
      </w:divBdr>
    </w:div>
    <w:div w:id="358166820">
      <w:bodyDiv w:val="1"/>
      <w:marLeft w:val="0"/>
      <w:marRight w:val="0"/>
      <w:marTop w:val="0"/>
      <w:marBottom w:val="0"/>
      <w:divBdr>
        <w:top w:val="none" w:sz="0" w:space="0" w:color="auto"/>
        <w:left w:val="none" w:sz="0" w:space="0" w:color="auto"/>
        <w:bottom w:val="none" w:sz="0" w:space="0" w:color="auto"/>
        <w:right w:val="none" w:sz="0" w:space="0" w:color="auto"/>
      </w:divBdr>
    </w:div>
    <w:div w:id="427124246">
      <w:bodyDiv w:val="1"/>
      <w:marLeft w:val="0"/>
      <w:marRight w:val="0"/>
      <w:marTop w:val="0"/>
      <w:marBottom w:val="0"/>
      <w:divBdr>
        <w:top w:val="none" w:sz="0" w:space="0" w:color="auto"/>
        <w:left w:val="none" w:sz="0" w:space="0" w:color="auto"/>
        <w:bottom w:val="none" w:sz="0" w:space="0" w:color="auto"/>
        <w:right w:val="none" w:sz="0" w:space="0" w:color="auto"/>
      </w:divBdr>
    </w:div>
    <w:div w:id="491071539">
      <w:bodyDiv w:val="1"/>
      <w:marLeft w:val="0"/>
      <w:marRight w:val="0"/>
      <w:marTop w:val="0"/>
      <w:marBottom w:val="0"/>
      <w:divBdr>
        <w:top w:val="none" w:sz="0" w:space="0" w:color="auto"/>
        <w:left w:val="none" w:sz="0" w:space="0" w:color="auto"/>
        <w:bottom w:val="none" w:sz="0" w:space="0" w:color="auto"/>
        <w:right w:val="none" w:sz="0" w:space="0" w:color="auto"/>
      </w:divBdr>
    </w:div>
    <w:div w:id="585381352">
      <w:bodyDiv w:val="1"/>
      <w:marLeft w:val="0"/>
      <w:marRight w:val="0"/>
      <w:marTop w:val="0"/>
      <w:marBottom w:val="0"/>
      <w:divBdr>
        <w:top w:val="none" w:sz="0" w:space="0" w:color="auto"/>
        <w:left w:val="none" w:sz="0" w:space="0" w:color="auto"/>
        <w:bottom w:val="none" w:sz="0" w:space="0" w:color="auto"/>
        <w:right w:val="none" w:sz="0" w:space="0" w:color="auto"/>
      </w:divBdr>
    </w:div>
    <w:div w:id="626350766">
      <w:bodyDiv w:val="1"/>
      <w:marLeft w:val="0"/>
      <w:marRight w:val="0"/>
      <w:marTop w:val="0"/>
      <w:marBottom w:val="0"/>
      <w:divBdr>
        <w:top w:val="none" w:sz="0" w:space="0" w:color="auto"/>
        <w:left w:val="none" w:sz="0" w:space="0" w:color="auto"/>
        <w:bottom w:val="none" w:sz="0" w:space="0" w:color="auto"/>
        <w:right w:val="none" w:sz="0" w:space="0" w:color="auto"/>
      </w:divBdr>
    </w:div>
    <w:div w:id="667099553">
      <w:bodyDiv w:val="1"/>
      <w:marLeft w:val="0"/>
      <w:marRight w:val="0"/>
      <w:marTop w:val="0"/>
      <w:marBottom w:val="0"/>
      <w:divBdr>
        <w:top w:val="none" w:sz="0" w:space="0" w:color="auto"/>
        <w:left w:val="none" w:sz="0" w:space="0" w:color="auto"/>
        <w:bottom w:val="none" w:sz="0" w:space="0" w:color="auto"/>
        <w:right w:val="none" w:sz="0" w:space="0" w:color="auto"/>
      </w:divBdr>
    </w:div>
    <w:div w:id="734280258">
      <w:bodyDiv w:val="1"/>
      <w:marLeft w:val="0"/>
      <w:marRight w:val="0"/>
      <w:marTop w:val="0"/>
      <w:marBottom w:val="0"/>
      <w:divBdr>
        <w:top w:val="none" w:sz="0" w:space="0" w:color="auto"/>
        <w:left w:val="none" w:sz="0" w:space="0" w:color="auto"/>
        <w:bottom w:val="none" w:sz="0" w:space="0" w:color="auto"/>
        <w:right w:val="none" w:sz="0" w:space="0" w:color="auto"/>
      </w:divBdr>
    </w:div>
    <w:div w:id="860438233">
      <w:bodyDiv w:val="1"/>
      <w:marLeft w:val="0"/>
      <w:marRight w:val="0"/>
      <w:marTop w:val="0"/>
      <w:marBottom w:val="0"/>
      <w:divBdr>
        <w:top w:val="none" w:sz="0" w:space="0" w:color="auto"/>
        <w:left w:val="none" w:sz="0" w:space="0" w:color="auto"/>
        <w:bottom w:val="none" w:sz="0" w:space="0" w:color="auto"/>
        <w:right w:val="none" w:sz="0" w:space="0" w:color="auto"/>
      </w:divBdr>
    </w:div>
    <w:div w:id="909854269">
      <w:bodyDiv w:val="1"/>
      <w:marLeft w:val="0"/>
      <w:marRight w:val="0"/>
      <w:marTop w:val="0"/>
      <w:marBottom w:val="0"/>
      <w:divBdr>
        <w:top w:val="none" w:sz="0" w:space="0" w:color="auto"/>
        <w:left w:val="none" w:sz="0" w:space="0" w:color="auto"/>
        <w:bottom w:val="none" w:sz="0" w:space="0" w:color="auto"/>
        <w:right w:val="none" w:sz="0" w:space="0" w:color="auto"/>
      </w:divBdr>
    </w:div>
    <w:div w:id="917521562">
      <w:bodyDiv w:val="1"/>
      <w:marLeft w:val="0"/>
      <w:marRight w:val="0"/>
      <w:marTop w:val="0"/>
      <w:marBottom w:val="0"/>
      <w:divBdr>
        <w:top w:val="none" w:sz="0" w:space="0" w:color="auto"/>
        <w:left w:val="none" w:sz="0" w:space="0" w:color="auto"/>
        <w:bottom w:val="none" w:sz="0" w:space="0" w:color="auto"/>
        <w:right w:val="none" w:sz="0" w:space="0" w:color="auto"/>
      </w:divBdr>
    </w:div>
    <w:div w:id="928276477">
      <w:bodyDiv w:val="1"/>
      <w:marLeft w:val="0"/>
      <w:marRight w:val="0"/>
      <w:marTop w:val="0"/>
      <w:marBottom w:val="0"/>
      <w:divBdr>
        <w:top w:val="none" w:sz="0" w:space="0" w:color="auto"/>
        <w:left w:val="none" w:sz="0" w:space="0" w:color="auto"/>
        <w:bottom w:val="none" w:sz="0" w:space="0" w:color="auto"/>
        <w:right w:val="none" w:sz="0" w:space="0" w:color="auto"/>
      </w:divBdr>
    </w:div>
    <w:div w:id="933051842">
      <w:bodyDiv w:val="1"/>
      <w:marLeft w:val="0"/>
      <w:marRight w:val="0"/>
      <w:marTop w:val="0"/>
      <w:marBottom w:val="0"/>
      <w:divBdr>
        <w:top w:val="none" w:sz="0" w:space="0" w:color="auto"/>
        <w:left w:val="none" w:sz="0" w:space="0" w:color="auto"/>
        <w:bottom w:val="none" w:sz="0" w:space="0" w:color="auto"/>
        <w:right w:val="none" w:sz="0" w:space="0" w:color="auto"/>
      </w:divBdr>
    </w:div>
    <w:div w:id="935527434">
      <w:bodyDiv w:val="1"/>
      <w:marLeft w:val="0"/>
      <w:marRight w:val="0"/>
      <w:marTop w:val="0"/>
      <w:marBottom w:val="0"/>
      <w:divBdr>
        <w:top w:val="none" w:sz="0" w:space="0" w:color="auto"/>
        <w:left w:val="none" w:sz="0" w:space="0" w:color="auto"/>
        <w:bottom w:val="none" w:sz="0" w:space="0" w:color="auto"/>
        <w:right w:val="none" w:sz="0" w:space="0" w:color="auto"/>
      </w:divBdr>
      <w:divsChild>
        <w:div w:id="215357677">
          <w:marLeft w:val="446"/>
          <w:marRight w:val="0"/>
          <w:marTop w:val="0"/>
          <w:marBottom w:val="0"/>
          <w:divBdr>
            <w:top w:val="none" w:sz="0" w:space="0" w:color="auto"/>
            <w:left w:val="none" w:sz="0" w:space="0" w:color="auto"/>
            <w:bottom w:val="none" w:sz="0" w:space="0" w:color="auto"/>
            <w:right w:val="none" w:sz="0" w:space="0" w:color="auto"/>
          </w:divBdr>
        </w:div>
        <w:div w:id="1162356813">
          <w:marLeft w:val="446"/>
          <w:marRight w:val="0"/>
          <w:marTop w:val="0"/>
          <w:marBottom w:val="0"/>
          <w:divBdr>
            <w:top w:val="none" w:sz="0" w:space="0" w:color="auto"/>
            <w:left w:val="none" w:sz="0" w:space="0" w:color="auto"/>
            <w:bottom w:val="none" w:sz="0" w:space="0" w:color="auto"/>
            <w:right w:val="none" w:sz="0" w:space="0" w:color="auto"/>
          </w:divBdr>
        </w:div>
      </w:divsChild>
    </w:div>
    <w:div w:id="996610823">
      <w:bodyDiv w:val="1"/>
      <w:marLeft w:val="0"/>
      <w:marRight w:val="0"/>
      <w:marTop w:val="0"/>
      <w:marBottom w:val="0"/>
      <w:divBdr>
        <w:top w:val="none" w:sz="0" w:space="0" w:color="auto"/>
        <w:left w:val="none" w:sz="0" w:space="0" w:color="auto"/>
        <w:bottom w:val="none" w:sz="0" w:space="0" w:color="auto"/>
        <w:right w:val="none" w:sz="0" w:space="0" w:color="auto"/>
      </w:divBdr>
    </w:div>
    <w:div w:id="1009673875">
      <w:bodyDiv w:val="1"/>
      <w:marLeft w:val="0"/>
      <w:marRight w:val="0"/>
      <w:marTop w:val="0"/>
      <w:marBottom w:val="0"/>
      <w:divBdr>
        <w:top w:val="none" w:sz="0" w:space="0" w:color="auto"/>
        <w:left w:val="none" w:sz="0" w:space="0" w:color="auto"/>
        <w:bottom w:val="none" w:sz="0" w:space="0" w:color="auto"/>
        <w:right w:val="none" w:sz="0" w:space="0" w:color="auto"/>
      </w:divBdr>
      <w:divsChild>
        <w:div w:id="1098871691">
          <w:marLeft w:val="0"/>
          <w:marRight w:val="0"/>
          <w:marTop w:val="0"/>
          <w:marBottom w:val="0"/>
          <w:divBdr>
            <w:top w:val="none" w:sz="0" w:space="0" w:color="auto"/>
            <w:left w:val="none" w:sz="0" w:space="0" w:color="auto"/>
            <w:bottom w:val="none" w:sz="0" w:space="0" w:color="auto"/>
            <w:right w:val="none" w:sz="0" w:space="0" w:color="auto"/>
          </w:divBdr>
          <w:divsChild>
            <w:div w:id="1003895290">
              <w:marLeft w:val="0"/>
              <w:marRight w:val="0"/>
              <w:marTop w:val="0"/>
              <w:marBottom w:val="0"/>
              <w:divBdr>
                <w:top w:val="none" w:sz="0" w:space="0" w:color="auto"/>
                <w:left w:val="none" w:sz="0" w:space="0" w:color="auto"/>
                <w:bottom w:val="none" w:sz="0" w:space="0" w:color="auto"/>
                <w:right w:val="none" w:sz="0" w:space="0" w:color="auto"/>
              </w:divBdr>
              <w:divsChild>
                <w:div w:id="308286410">
                  <w:marLeft w:val="0"/>
                  <w:marRight w:val="0"/>
                  <w:marTop w:val="0"/>
                  <w:marBottom w:val="0"/>
                  <w:divBdr>
                    <w:top w:val="none" w:sz="0" w:space="0" w:color="auto"/>
                    <w:left w:val="none" w:sz="0" w:space="0" w:color="auto"/>
                    <w:bottom w:val="none" w:sz="0" w:space="0" w:color="auto"/>
                    <w:right w:val="none" w:sz="0" w:space="0" w:color="auto"/>
                  </w:divBdr>
                  <w:divsChild>
                    <w:div w:id="2043506146">
                      <w:marLeft w:val="0"/>
                      <w:marRight w:val="0"/>
                      <w:marTop w:val="0"/>
                      <w:marBottom w:val="0"/>
                      <w:divBdr>
                        <w:top w:val="none" w:sz="0" w:space="0" w:color="auto"/>
                        <w:left w:val="none" w:sz="0" w:space="0" w:color="auto"/>
                        <w:bottom w:val="none" w:sz="0" w:space="0" w:color="auto"/>
                        <w:right w:val="none" w:sz="0" w:space="0" w:color="auto"/>
                      </w:divBdr>
                      <w:divsChild>
                        <w:div w:id="777674371">
                          <w:marLeft w:val="0"/>
                          <w:marRight w:val="0"/>
                          <w:marTop w:val="0"/>
                          <w:marBottom w:val="0"/>
                          <w:divBdr>
                            <w:top w:val="none" w:sz="0" w:space="0" w:color="auto"/>
                            <w:left w:val="none" w:sz="0" w:space="0" w:color="auto"/>
                            <w:bottom w:val="none" w:sz="0" w:space="0" w:color="auto"/>
                            <w:right w:val="none" w:sz="0" w:space="0" w:color="auto"/>
                          </w:divBdr>
                          <w:divsChild>
                            <w:div w:id="1182936672">
                              <w:marLeft w:val="0"/>
                              <w:marRight w:val="0"/>
                              <w:marTop w:val="0"/>
                              <w:marBottom w:val="240"/>
                              <w:divBdr>
                                <w:top w:val="none" w:sz="0" w:space="0" w:color="auto"/>
                                <w:left w:val="none" w:sz="0" w:space="0" w:color="auto"/>
                                <w:bottom w:val="none" w:sz="0" w:space="0" w:color="auto"/>
                                <w:right w:val="none" w:sz="0" w:space="0" w:color="auto"/>
                              </w:divBdr>
                              <w:divsChild>
                                <w:div w:id="19832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509322">
      <w:bodyDiv w:val="1"/>
      <w:marLeft w:val="0"/>
      <w:marRight w:val="0"/>
      <w:marTop w:val="0"/>
      <w:marBottom w:val="0"/>
      <w:divBdr>
        <w:top w:val="none" w:sz="0" w:space="0" w:color="auto"/>
        <w:left w:val="none" w:sz="0" w:space="0" w:color="auto"/>
        <w:bottom w:val="none" w:sz="0" w:space="0" w:color="auto"/>
        <w:right w:val="none" w:sz="0" w:space="0" w:color="auto"/>
      </w:divBdr>
    </w:div>
    <w:div w:id="1115633110">
      <w:bodyDiv w:val="1"/>
      <w:marLeft w:val="0"/>
      <w:marRight w:val="0"/>
      <w:marTop w:val="0"/>
      <w:marBottom w:val="0"/>
      <w:divBdr>
        <w:top w:val="none" w:sz="0" w:space="0" w:color="auto"/>
        <w:left w:val="none" w:sz="0" w:space="0" w:color="auto"/>
        <w:bottom w:val="none" w:sz="0" w:space="0" w:color="auto"/>
        <w:right w:val="none" w:sz="0" w:space="0" w:color="auto"/>
      </w:divBdr>
    </w:div>
    <w:div w:id="1126317497">
      <w:bodyDiv w:val="1"/>
      <w:marLeft w:val="0"/>
      <w:marRight w:val="0"/>
      <w:marTop w:val="0"/>
      <w:marBottom w:val="0"/>
      <w:divBdr>
        <w:top w:val="none" w:sz="0" w:space="0" w:color="auto"/>
        <w:left w:val="none" w:sz="0" w:space="0" w:color="auto"/>
        <w:bottom w:val="none" w:sz="0" w:space="0" w:color="auto"/>
        <w:right w:val="none" w:sz="0" w:space="0" w:color="auto"/>
      </w:divBdr>
    </w:div>
    <w:div w:id="1164710763">
      <w:bodyDiv w:val="1"/>
      <w:marLeft w:val="0"/>
      <w:marRight w:val="0"/>
      <w:marTop w:val="0"/>
      <w:marBottom w:val="0"/>
      <w:divBdr>
        <w:top w:val="none" w:sz="0" w:space="0" w:color="auto"/>
        <w:left w:val="none" w:sz="0" w:space="0" w:color="auto"/>
        <w:bottom w:val="none" w:sz="0" w:space="0" w:color="auto"/>
        <w:right w:val="none" w:sz="0" w:space="0" w:color="auto"/>
      </w:divBdr>
    </w:div>
    <w:div w:id="1198666573">
      <w:bodyDiv w:val="1"/>
      <w:marLeft w:val="0"/>
      <w:marRight w:val="0"/>
      <w:marTop w:val="0"/>
      <w:marBottom w:val="0"/>
      <w:divBdr>
        <w:top w:val="none" w:sz="0" w:space="0" w:color="auto"/>
        <w:left w:val="none" w:sz="0" w:space="0" w:color="auto"/>
        <w:bottom w:val="none" w:sz="0" w:space="0" w:color="auto"/>
        <w:right w:val="none" w:sz="0" w:space="0" w:color="auto"/>
      </w:divBdr>
    </w:div>
    <w:div w:id="1201279315">
      <w:bodyDiv w:val="1"/>
      <w:marLeft w:val="0"/>
      <w:marRight w:val="0"/>
      <w:marTop w:val="0"/>
      <w:marBottom w:val="0"/>
      <w:divBdr>
        <w:top w:val="none" w:sz="0" w:space="0" w:color="auto"/>
        <w:left w:val="none" w:sz="0" w:space="0" w:color="auto"/>
        <w:bottom w:val="none" w:sz="0" w:space="0" w:color="auto"/>
        <w:right w:val="none" w:sz="0" w:space="0" w:color="auto"/>
      </w:divBdr>
    </w:div>
    <w:div w:id="1254439614">
      <w:bodyDiv w:val="1"/>
      <w:marLeft w:val="0"/>
      <w:marRight w:val="0"/>
      <w:marTop w:val="0"/>
      <w:marBottom w:val="0"/>
      <w:divBdr>
        <w:top w:val="none" w:sz="0" w:space="0" w:color="auto"/>
        <w:left w:val="none" w:sz="0" w:space="0" w:color="auto"/>
        <w:bottom w:val="none" w:sz="0" w:space="0" w:color="auto"/>
        <w:right w:val="none" w:sz="0" w:space="0" w:color="auto"/>
      </w:divBdr>
    </w:div>
    <w:div w:id="1383020411">
      <w:bodyDiv w:val="1"/>
      <w:marLeft w:val="0"/>
      <w:marRight w:val="0"/>
      <w:marTop w:val="0"/>
      <w:marBottom w:val="0"/>
      <w:divBdr>
        <w:top w:val="none" w:sz="0" w:space="0" w:color="auto"/>
        <w:left w:val="none" w:sz="0" w:space="0" w:color="auto"/>
        <w:bottom w:val="none" w:sz="0" w:space="0" w:color="auto"/>
        <w:right w:val="none" w:sz="0" w:space="0" w:color="auto"/>
      </w:divBdr>
    </w:div>
    <w:div w:id="1383942937">
      <w:bodyDiv w:val="1"/>
      <w:marLeft w:val="0"/>
      <w:marRight w:val="0"/>
      <w:marTop w:val="0"/>
      <w:marBottom w:val="0"/>
      <w:divBdr>
        <w:top w:val="none" w:sz="0" w:space="0" w:color="auto"/>
        <w:left w:val="none" w:sz="0" w:space="0" w:color="auto"/>
        <w:bottom w:val="none" w:sz="0" w:space="0" w:color="auto"/>
        <w:right w:val="none" w:sz="0" w:space="0" w:color="auto"/>
      </w:divBdr>
      <w:divsChild>
        <w:div w:id="655453380">
          <w:marLeft w:val="0"/>
          <w:marRight w:val="0"/>
          <w:marTop w:val="120"/>
          <w:marBottom w:val="0"/>
          <w:divBdr>
            <w:top w:val="none" w:sz="0" w:space="0" w:color="auto"/>
            <w:left w:val="none" w:sz="0" w:space="0" w:color="auto"/>
            <w:bottom w:val="none" w:sz="0" w:space="0" w:color="auto"/>
            <w:right w:val="none" w:sz="0" w:space="0" w:color="auto"/>
          </w:divBdr>
        </w:div>
      </w:divsChild>
    </w:div>
    <w:div w:id="1396199819">
      <w:bodyDiv w:val="1"/>
      <w:marLeft w:val="0"/>
      <w:marRight w:val="0"/>
      <w:marTop w:val="0"/>
      <w:marBottom w:val="0"/>
      <w:divBdr>
        <w:top w:val="none" w:sz="0" w:space="0" w:color="auto"/>
        <w:left w:val="none" w:sz="0" w:space="0" w:color="auto"/>
        <w:bottom w:val="none" w:sz="0" w:space="0" w:color="auto"/>
        <w:right w:val="none" w:sz="0" w:space="0" w:color="auto"/>
      </w:divBdr>
    </w:div>
    <w:div w:id="1396784387">
      <w:bodyDiv w:val="1"/>
      <w:marLeft w:val="0"/>
      <w:marRight w:val="0"/>
      <w:marTop w:val="0"/>
      <w:marBottom w:val="0"/>
      <w:divBdr>
        <w:top w:val="none" w:sz="0" w:space="0" w:color="auto"/>
        <w:left w:val="none" w:sz="0" w:space="0" w:color="auto"/>
        <w:bottom w:val="none" w:sz="0" w:space="0" w:color="auto"/>
        <w:right w:val="none" w:sz="0" w:space="0" w:color="auto"/>
      </w:divBdr>
      <w:divsChild>
        <w:div w:id="1369455188">
          <w:marLeft w:val="0"/>
          <w:marRight w:val="0"/>
          <w:marTop w:val="0"/>
          <w:marBottom w:val="0"/>
          <w:divBdr>
            <w:top w:val="none" w:sz="0" w:space="0" w:color="auto"/>
            <w:left w:val="none" w:sz="0" w:space="0" w:color="auto"/>
            <w:bottom w:val="none" w:sz="0" w:space="0" w:color="auto"/>
            <w:right w:val="none" w:sz="0" w:space="0" w:color="auto"/>
          </w:divBdr>
          <w:divsChild>
            <w:div w:id="1942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0776">
      <w:bodyDiv w:val="1"/>
      <w:marLeft w:val="0"/>
      <w:marRight w:val="0"/>
      <w:marTop w:val="0"/>
      <w:marBottom w:val="0"/>
      <w:divBdr>
        <w:top w:val="none" w:sz="0" w:space="0" w:color="auto"/>
        <w:left w:val="none" w:sz="0" w:space="0" w:color="auto"/>
        <w:bottom w:val="none" w:sz="0" w:space="0" w:color="auto"/>
        <w:right w:val="none" w:sz="0" w:space="0" w:color="auto"/>
      </w:divBdr>
    </w:div>
    <w:div w:id="1500317322">
      <w:bodyDiv w:val="1"/>
      <w:marLeft w:val="0"/>
      <w:marRight w:val="0"/>
      <w:marTop w:val="0"/>
      <w:marBottom w:val="0"/>
      <w:divBdr>
        <w:top w:val="none" w:sz="0" w:space="0" w:color="auto"/>
        <w:left w:val="none" w:sz="0" w:space="0" w:color="auto"/>
        <w:bottom w:val="none" w:sz="0" w:space="0" w:color="auto"/>
        <w:right w:val="none" w:sz="0" w:space="0" w:color="auto"/>
      </w:divBdr>
    </w:div>
    <w:div w:id="1525434310">
      <w:bodyDiv w:val="1"/>
      <w:marLeft w:val="0"/>
      <w:marRight w:val="0"/>
      <w:marTop w:val="0"/>
      <w:marBottom w:val="0"/>
      <w:divBdr>
        <w:top w:val="none" w:sz="0" w:space="0" w:color="auto"/>
        <w:left w:val="none" w:sz="0" w:space="0" w:color="auto"/>
        <w:bottom w:val="none" w:sz="0" w:space="0" w:color="auto"/>
        <w:right w:val="none" w:sz="0" w:space="0" w:color="auto"/>
      </w:divBdr>
    </w:div>
    <w:div w:id="1555189780">
      <w:bodyDiv w:val="1"/>
      <w:marLeft w:val="0"/>
      <w:marRight w:val="0"/>
      <w:marTop w:val="0"/>
      <w:marBottom w:val="0"/>
      <w:divBdr>
        <w:top w:val="none" w:sz="0" w:space="0" w:color="auto"/>
        <w:left w:val="none" w:sz="0" w:space="0" w:color="auto"/>
        <w:bottom w:val="none" w:sz="0" w:space="0" w:color="auto"/>
        <w:right w:val="none" w:sz="0" w:space="0" w:color="auto"/>
      </w:divBdr>
    </w:div>
    <w:div w:id="1585920299">
      <w:bodyDiv w:val="1"/>
      <w:marLeft w:val="0"/>
      <w:marRight w:val="0"/>
      <w:marTop w:val="0"/>
      <w:marBottom w:val="0"/>
      <w:divBdr>
        <w:top w:val="none" w:sz="0" w:space="0" w:color="auto"/>
        <w:left w:val="none" w:sz="0" w:space="0" w:color="auto"/>
        <w:bottom w:val="none" w:sz="0" w:space="0" w:color="auto"/>
        <w:right w:val="none" w:sz="0" w:space="0" w:color="auto"/>
      </w:divBdr>
    </w:div>
    <w:div w:id="1605571585">
      <w:bodyDiv w:val="1"/>
      <w:marLeft w:val="0"/>
      <w:marRight w:val="0"/>
      <w:marTop w:val="0"/>
      <w:marBottom w:val="0"/>
      <w:divBdr>
        <w:top w:val="none" w:sz="0" w:space="0" w:color="auto"/>
        <w:left w:val="none" w:sz="0" w:space="0" w:color="auto"/>
        <w:bottom w:val="none" w:sz="0" w:space="0" w:color="auto"/>
        <w:right w:val="none" w:sz="0" w:space="0" w:color="auto"/>
      </w:divBdr>
      <w:divsChild>
        <w:div w:id="1302809975">
          <w:marLeft w:val="547"/>
          <w:marRight w:val="0"/>
          <w:marTop w:val="0"/>
          <w:marBottom w:val="0"/>
          <w:divBdr>
            <w:top w:val="none" w:sz="0" w:space="0" w:color="auto"/>
            <w:left w:val="none" w:sz="0" w:space="0" w:color="auto"/>
            <w:bottom w:val="none" w:sz="0" w:space="0" w:color="auto"/>
            <w:right w:val="none" w:sz="0" w:space="0" w:color="auto"/>
          </w:divBdr>
        </w:div>
        <w:div w:id="1613123810">
          <w:marLeft w:val="547"/>
          <w:marRight w:val="0"/>
          <w:marTop w:val="0"/>
          <w:marBottom w:val="0"/>
          <w:divBdr>
            <w:top w:val="none" w:sz="0" w:space="0" w:color="auto"/>
            <w:left w:val="none" w:sz="0" w:space="0" w:color="auto"/>
            <w:bottom w:val="none" w:sz="0" w:space="0" w:color="auto"/>
            <w:right w:val="none" w:sz="0" w:space="0" w:color="auto"/>
          </w:divBdr>
        </w:div>
        <w:div w:id="975527812">
          <w:marLeft w:val="547"/>
          <w:marRight w:val="0"/>
          <w:marTop w:val="0"/>
          <w:marBottom w:val="0"/>
          <w:divBdr>
            <w:top w:val="none" w:sz="0" w:space="0" w:color="auto"/>
            <w:left w:val="none" w:sz="0" w:space="0" w:color="auto"/>
            <w:bottom w:val="none" w:sz="0" w:space="0" w:color="auto"/>
            <w:right w:val="none" w:sz="0" w:space="0" w:color="auto"/>
          </w:divBdr>
        </w:div>
        <w:div w:id="1836875494">
          <w:marLeft w:val="547"/>
          <w:marRight w:val="0"/>
          <w:marTop w:val="0"/>
          <w:marBottom w:val="0"/>
          <w:divBdr>
            <w:top w:val="none" w:sz="0" w:space="0" w:color="auto"/>
            <w:left w:val="none" w:sz="0" w:space="0" w:color="auto"/>
            <w:bottom w:val="none" w:sz="0" w:space="0" w:color="auto"/>
            <w:right w:val="none" w:sz="0" w:space="0" w:color="auto"/>
          </w:divBdr>
        </w:div>
      </w:divsChild>
    </w:div>
    <w:div w:id="1640650461">
      <w:bodyDiv w:val="1"/>
      <w:marLeft w:val="0"/>
      <w:marRight w:val="0"/>
      <w:marTop w:val="0"/>
      <w:marBottom w:val="0"/>
      <w:divBdr>
        <w:top w:val="none" w:sz="0" w:space="0" w:color="auto"/>
        <w:left w:val="none" w:sz="0" w:space="0" w:color="auto"/>
        <w:bottom w:val="none" w:sz="0" w:space="0" w:color="auto"/>
        <w:right w:val="none" w:sz="0" w:space="0" w:color="auto"/>
      </w:divBdr>
    </w:div>
    <w:div w:id="1666202017">
      <w:bodyDiv w:val="1"/>
      <w:marLeft w:val="0"/>
      <w:marRight w:val="0"/>
      <w:marTop w:val="0"/>
      <w:marBottom w:val="0"/>
      <w:divBdr>
        <w:top w:val="none" w:sz="0" w:space="0" w:color="auto"/>
        <w:left w:val="none" w:sz="0" w:space="0" w:color="auto"/>
        <w:bottom w:val="none" w:sz="0" w:space="0" w:color="auto"/>
        <w:right w:val="none" w:sz="0" w:space="0" w:color="auto"/>
      </w:divBdr>
    </w:div>
    <w:div w:id="1671323089">
      <w:bodyDiv w:val="1"/>
      <w:marLeft w:val="0"/>
      <w:marRight w:val="0"/>
      <w:marTop w:val="0"/>
      <w:marBottom w:val="0"/>
      <w:divBdr>
        <w:top w:val="none" w:sz="0" w:space="0" w:color="auto"/>
        <w:left w:val="none" w:sz="0" w:space="0" w:color="auto"/>
        <w:bottom w:val="none" w:sz="0" w:space="0" w:color="auto"/>
        <w:right w:val="none" w:sz="0" w:space="0" w:color="auto"/>
      </w:divBdr>
    </w:div>
    <w:div w:id="1685550529">
      <w:bodyDiv w:val="1"/>
      <w:marLeft w:val="0"/>
      <w:marRight w:val="0"/>
      <w:marTop w:val="0"/>
      <w:marBottom w:val="0"/>
      <w:divBdr>
        <w:top w:val="none" w:sz="0" w:space="0" w:color="auto"/>
        <w:left w:val="none" w:sz="0" w:space="0" w:color="auto"/>
        <w:bottom w:val="none" w:sz="0" w:space="0" w:color="auto"/>
        <w:right w:val="none" w:sz="0" w:space="0" w:color="auto"/>
      </w:divBdr>
      <w:divsChild>
        <w:div w:id="1604652933">
          <w:marLeft w:val="547"/>
          <w:marRight w:val="0"/>
          <w:marTop w:val="0"/>
          <w:marBottom w:val="0"/>
          <w:divBdr>
            <w:top w:val="none" w:sz="0" w:space="0" w:color="auto"/>
            <w:left w:val="none" w:sz="0" w:space="0" w:color="auto"/>
            <w:bottom w:val="none" w:sz="0" w:space="0" w:color="auto"/>
            <w:right w:val="none" w:sz="0" w:space="0" w:color="auto"/>
          </w:divBdr>
        </w:div>
      </w:divsChild>
    </w:div>
    <w:div w:id="1689603402">
      <w:bodyDiv w:val="1"/>
      <w:marLeft w:val="0"/>
      <w:marRight w:val="0"/>
      <w:marTop w:val="0"/>
      <w:marBottom w:val="0"/>
      <w:divBdr>
        <w:top w:val="none" w:sz="0" w:space="0" w:color="auto"/>
        <w:left w:val="none" w:sz="0" w:space="0" w:color="auto"/>
        <w:bottom w:val="none" w:sz="0" w:space="0" w:color="auto"/>
        <w:right w:val="none" w:sz="0" w:space="0" w:color="auto"/>
      </w:divBdr>
    </w:div>
    <w:div w:id="1732390743">
      <w:bodyDiv w:val="1"/>
      <w:marLeft w:val="0"/>
      <w:marRight w:val="0"/>
      <w:marTop w:val="0"/>
      <w:marBottom w:val="0"/>
      <w:divBdr>
        <w:top w:val="none" w:sz="0" w:space="0" w:color="auto"/>
        <w:left w:val="none" w:sz="0" w:space="0" w:color="auto"/>
        <w:bottom w:val="none" w:sz="0" w:space="0" w:color="auto"/>
        <w:right w:val="none" w:sz="0" w:space="0" w:color="auto"/>
      </w:divBdr>
    </w:div>
    <w:div w:id="1770389581">
      <w:bodyDiv w:val="1"/>
      <w:marLeft w:val="0"/>
      <w:marRight w:val="0"/>
      <w:marTop w:val="0"/>
      <w:marBottom w:val="0"/>
      <w:divBdr>
        <w:top w:val="none" w:sz="0" w:space="0" w:color="auto"/>
        <w:left w:val="none" w:sz="0" w:space="0" w:color="auto"/>
        <w:bottom w:val="none" w:sz="0" w:space="0" w:color="auto"/>
        <w:right w:val="none" w:sz="0" w:space="0" w:color="auto"/>
      </w:divBdr>
    </w:div>
    <w:div w:id="1920409092">
      <w:bodyDiv w:val="1"/>
      <w:marLeft w:val="0"/>
      <w:marRight w:val="0"/>
      <w:marTop w:val="0"/>
      <w:marBottom w:val="0"/>
      <w:divBdr>
        <w:top w:val="none" w:sz="0" w:space="0" w:color="auto"/>
        <w:left w:val="none" w:sz="0" w:space="0" w:color="auto"/>
        <w:bottom w:val="none" w:sz="0" w:space="0" w:color="auto"/>
        <w:right w:val="none" w:sz="0" w:space="0" w:color="auto"/>
      </w:divBdr>
    </w:div>
    <w:div w:id="1938555264">
      <w:bodyDiv w:val="1"/>
      <w:marLeft w:val="0"/>
      <w:marRight w:val="0"/>
      <w:marTop w:val="0"/>
      <w:marBottom w:val="0"/>
      <w:divBdr>
        <w:top w:val="none" w:sz="0" w:space="0" w:color="auto"/>
        <w:left w:val="none" w:sz="0" w:space="0" w:color="auto"/>
        <w:bottom w:val="none" w:sz="0" w:space="0" w:color="auto"/>
        <w:right w:val="none" w:sz="0" w:space="0" w:color="auto"/>
      </w:divBdr>
    </w:div>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 w:id="2037851530">
      <w:bodyDiv w:val="1"/>
      <w:marLeft w:val="0"/>
      <w:marRight w:val="0"/>
      <w:marTop w:val="0"/>
      <w:marBottom w:val="0"/>
      <w:divBdr>
        <w:top w:val="none" w:sz="0" w:space="0" w:color="auto"/>
        <w:left w:val="none" w:sz="0" w:space="0" w:color="auto"/>
        <w:bottom w:val="none" w:sz="0" w:space="0" w:color="auto"/>
        <w:right w:val="none" w:sz="0" w:space="0" w:color="auto"/>
      </w:divBdr>
    </w:div>
    <w:div w:id="2057004450">
      <w:bodyDiv w:val="1"/>
      <w:marLeft w:val="0"/>
      <w:marRight w:val="0"/>
      <w:marTop w:val="0"/>
      <w:marBottom w:val="0"/>
      <w:divBdr>
        <w:top w:val="none" w:sz="0" w:space="0" w:color="auto"/>
        <w:left w:val="none" w:sz="0" w:space="0" w:color="auto"/>
        <w:bottom w:val="none" w:sz="0" w:space="0" w:color="auto"/>
        <w:right w:val="none" w:sz="0" w:space="0" w:color="auto"/>
      </w:divBdr>
    </w:div>
    <w:div w:id="20990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3.xml"/><Relationship Id="rId32" Type="http://schemas.microsoft.com/office/2007/relationships/diagramDrawing" Target="diagrams/drawing4.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frastructure.gov.au/infrastructure-transport-vehicles/transport-strategy-policy/office-future-transport-technology/connected-automated-vehicles" TargetMode="External"/><Relationship Id="rId3" Type="http://schemas.openxmlformats.org/officeDocument/2006/relationships/hyperlink" Target="https://www.marketwatch.com/press-release/asia-pacific-connected-vehicle-market-size-2023-demands-status-strategies-and-key-dynamics-forecast-to-2030-2023-01-30?mod=search_headline" TargetMode="External"/><Relationship Id="rId7" Type="http://schemas.openxmlformats.org/officeDocument/2006/relationships/hyperlink" Target="https://www.researchgate.net/figure/A-typical-telematics-architecture-in-a-connected-vehicle-Source-Lawson-2015_fig1_336407692" TargetMode="External"/><Relationship Id="rId2" Type="http://schemas.openxmlformats.org/officeDocument/2006/relationships/hyperlink" Target="https://www.marketwatch.com/press-release/connected-vehicle-market-trends-2023-size-equity-competitive-landscape-key-factors-regional-segments-and-forecast-to-2030-2023-01-30?mod=search_headline" TargetMode="External"/><Relationship Id="rId1" Type="http://schemas.openxmlformats.org/officeDocument/2006/relationships/hyperlink" Target="https://www.infrastructure.gov.au/infrastructure-transport-vehicles/transport-strategy-policy/office-future-transport-technology/connected-automated-vehicles" TargetMode="External"/><Relationship Id="rId6" Type="http://schemas.openxmlformats.org/officeDocument/2006/relationships/hyperlink" Target="https://en.wikipedia.org/wiki/Connected_car" TargetMode="External"/><Relationship Id="rId11" Type="http://schemas.openxmlformats.org/officeDocument/2006/relationships/hyperlink" Target="https://www.qld.gov.au/transport/projects/cavi/connected-vehicles" TargetMode="External"/><Relationship Id="rId5" Type="http://schemas.openxmlformats.org/officeDocument/2006/relationships/hyperlink" Target="https://www.infrastructure.gov.au/infrastructure-transport-vehicles/transport-strategy-policy/office-future-transport-technology/connected-automated-vehicles" TargetMode="External"/><Relationship Id="rId10" Type="http://schemas.openxmlformats.org/officeDocument/2006/relationships/hyperlink" Target="https://austroads.com.au/publications/connected-and-automated-vehicles/ap-r654-21" TargetMode="External"/><Relationship Id="rId4" Type="http://schemas.openxmlformats.org/officeDocument/2006/relationships/hyperlink" Target="https://www.austrade.gov.au/future-transport/connected-automated-vehicles/" TargetMode="External"/><Relationship Id="rId9" Type="http://schemas.openxmlformats.org/officeDocument/2006/relationships/hyperlink" Target="https://austroads.com.au/publications/connected-and-automated-vehicles/ap-r654-2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5E6CAB-3899-41AA-A360-1E7B8116F43C}" type="doc">
      <dgm:prSet loTypeId="urn:microsoft.com/office/officeart/2005/8/layout/rings+Icon" loCatId="officeonline" qsTypeId="urn:microsoft.com/office/officeart/2005/8/quickstyle/simple1" qsCatId="simple" csTypeId="urn:microsoft.com/office/officeart/2005/8/colors/accent1_2" csCatId="accent1" phldr="1"/>
      <dgm:spPr/>
    </dgm:pt>
    <dgm:pt modelId="{8ECBD5D3-75E7-4834-950E-EE4B3326EFDB}">
      <dgm:prSet phldrT="[Text]"/>
      <dgm:spPr>
        <a:solidFill>
          <a:srgbClr val="FF0000">
            <a:alpha val="49804"/>
          </a:srgbClr>
        </a:solidFill>
      </dgm:spPr>
      <dgm:t>
        <a:bodyPr/>
        <a:lstStyle/>
        <a:p>
          <a:r>
            <a:rPr lang="en-AU" b="1"/>
            <a:t>Competiton</a:t>
          </a:r>
          <a:r>
            <a:rPr lang="en-AU"/>
            <a:t> </a:t>
          </a:r>
        </a:p>
      </dgm:t>
    </dgm:pt>
    <dgm:pt modelId="{2FA264E8-A8BB-4420-9BC1-C92131D2B29F}" type="parTrans" cxnId="{1E53D685-151C-4C61-A716-BC8E855BA3ED}">
      <dgm:prSet/>
      <dgm:spPr/>
      <dgm:t>
        <a:bodyPr/>
        <a:lstStyle/>
        <a:p>
          <a:endParaRPr lang="en-AU"/>
        </a:p>
      </dgm:t>
    </dgm:pt>
    <dgm:pt modelId="{D8AD8862-1E84-4F42-9068-391EBEF6CC7F}" type="sibTrans" cxnId="{1E53D685-151C-4C61-A716-BC8E855BA3ED}">
      <dgm:prSet/>
      <dgm:spPr/>
      <dgm:t>
        <a:bodyPr/>
        <a:lstStyle/>
        <a:p>
          <a:endParaRPr lang="en-AU"/>
        </a:p>
      </dgm:t>
    </dgm:pt>
    <dgm:pt modelId="{2F63DF4B-BB96-431C-B20A-305AA7080D91}" type="pres">
      <dgm:prSet presAssocID="{4A5E6CAB-3899-41AA-A360-1E7B8116F43C}" presName="Name0" presStyleCnt="0">
        <dgm:presLayoutVars>
          <dgm:chMax val="7"/>
          <dgm:dir/>
          <dgm:resizeHandles val="exact"/>
        </dgm:presLayoutVars>
      </dgm:prSet>
      <dgm:spPr/>
    </dgm:pt>
    <dgm:pt modelId="{B4A8017D-7CF6-4EFA-B311-B27FEE2445C2}" type="pres">
      <dgm:prSet presAssocID="{4A5E6CAB-3899-41AA-A360-1E7B8116F43C}" presName="ellipse1" presStyleLbl="vennNode1" presStyleIdx="0" presStyleCnt="1">
        <dgm:presLayoutVars>
          <dgm:bulletEnabled val="1"/>
        </dgm:presLayoutVars>
      </dgm:prSet>
      <dgm:spPr/>
    </dgm:pt>
  </dgm:ptLst>
  <dgm:cxnLst>
    <dgm:cxn modelId="{79FF4E57-B848-4759-A566-8CABE4F33C48}" type="presOf" srcId="{8ECBD5D3-75E7-4834-950E-EE4B3326EFDB}" destId="{B4A8017D-7CF6-4EFA-B311-B27FEE2445C2}" srcOrd="0" destOrd="0" presId="urn:microsoft.com/office/officeart/2005/8/layout/rings+Icon"/>
    <dgm:cxn modelId="{1E53D685-151C-4C61-A716-BC8E855BA3ED}" srcId="{4A5E6CAB-3899-41AA-A360-1E7B8116F43C}" destId="{8ECBD5D3-75E7-4834-950E-EE4B3326EFDB}" srcOrd="0" destOrd="0" parTransId="{2FA264E8-A8BB-4420-9BC1-C92131D2B29F}" sibTransId="{D8AD8862-1E84-4F42-9068-391EBEF6CC7F}"/>
    <dgm:cxn modelId="{7B9775A6-443C-49B9-9FEB-A7112B03C24D}" type="presOf" srcId="{4A5E6CAB-3899-41AA-A360-1E7B8116F43C}" destId="{2F63DF4B-BB96-431C-B20A-305AA7080D91}" srcOrd="0" destOrd="0" presId="urn:microsoft.com/office/officeart/2005/8/layout/rings+Icon"/>
    <dgm:cxn modelId="{03FFD7A1-BCDE-440E-A852-D8ECF01498AD}" type="presParOf" srcId="{2F63DF4B-BB96-431C-B20A-305AA7080D91}" destId="{B4A8017D-7CF6-4EFA-B311-B27FEE2445C2}" srcOrd="0" destOrd="0" presId="urn:microsoft.com/office/officeart/2005/8/layout/rings+Icon"/>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4A5E6CAB-3899-41AA-A360-1E7B8116F43C}" type="doc">
      <dgm:prSet loTypeId="urn:microsoft.com/office/officeart/2005/8/layout/rings+Icon" loCatId="officeonline" qsTypeId="urn:microsoft.com/office/officeart/2005/8/quickstyle/simple1" qsCatId="simple" csTypeId="urn:microsoft.com/office/officeart/2005/8/colors/accent1_2" csCatId="accent1" phldr="1"/>
      <dgm:spPr/>
    </dgm:pt>
    <dgm:pt modelId="{8ECBD5D3-75E7-4834-950E-EE4B3326EFDB}">
      <dgm:prSet phldrT="[Text]" custT="1"/>
      <dgm:spPr>
        <a:solidFill>
          <a:srgbClr val="FFC000">
            <a:alpha val="49804"/>
          </a:srgbClr>
        </a:solidFill>
      </dgm:spPr>
      <dgm:t>
        <a:bodyPr/>
        <a:lstStyle/>
        <a:p>
          <a:r>
            <a:rPr lang="en-AU" sz="1200" b="1"/>
            <a:t>Consumer</a:t>
          </a:r>
        </a:p>
      </dgm:t>
    </dgm:pt>
    <dgm:pt modelId="{2FA264E8-A8BB-4420-9BC1-C92131D2B29F}" type="parTrans" cxnId="{1E53D685-151C-4C61-A716-BC8E855BA3ED}">
      <dgm:prSet/>
      <dgm:spPr/>
      <dgm:t>
        <a:bodyPr/>
        <a:lstStyle/>
        <a:p>
          <a:endParaRPr lang="en-AU"/>
        </a:p>
      </dgm:t>
    </dgm:pt>
    <dgm:pt modelId="{D8AD8862-1E84-4F42-9068-391EBEF6CC7F}" type="sibTrans" cxnId="{1E53D685-151C-4C61-A716-BC8E855BA3ED}">
      <dgm:prSet/>
      <dgm:spPr/>
      <dgm:t>
        <a:bodyPr/>
        <a:lstStyle/>
        <a:p>
          <a:endParaRPr lang="en-AU"/>
        </a:p>
      </dgm:t>
    </dgm:pt>
    <dgm:pt modelId="{2F63DF4B-BB96-431C-B20A-305AA7080D91}" type="pres">
      <dgm:prSet presAssocID="{4A5E6CAB-3899-41AA-A360-1E7B8116F43C}" presName="Name0" presStyleCnt="0">
        <dgm:presLayoutVars>
          <dgm:chMax val="7"/>
          <dgm:dir/>
          <dgm:resizeHandles val="exact"/>
        </dgm:presLayoutVars>
      </dgm:prSet>
      <dgm:spPr/>
    </dgm:pt>
    <dgm:pt modelId="{B4A8017D-7CF6-4EFA-B311-B27FEE2445C2}" type="pres">
      <dgm:prSet presAssocID="{4A5E6CAB-3899-41AA-A360-1E7B8116F43C}" presName="ellipse1" presStyleLbl="vennNode1" presStyleIdx="0" presStyleCnt="1">
        <dgm:presLayoutVars>
          <dgm:bulletEnabled val="1"/>
        </dgm:presLayoutVars>
      </dgm:prSet>
      <dgm:spPr/>
    </dgm:pt>
  </dgm:ptLst>
  <dgm:cxnLst>
    <dgm:cxn modelId="{79FF4E57-B848-4759-A566-8CABE4F33C48}" type="presOf" srcId="{8ECBD5D3-75E7-4834-950E-EE4B3326EFDB}" destId="{B4A8017D-7CF6-4EFA-B311-B27FEE2445C2}" srcOrd="0" destOrd="0" presId="urn:microsoft.com/office/officeart/2005/8/layout/rings+Icon"/>
    <dgm:cxn modelId="{1E53D685-151C-4C61-A716-BC8E855BA3ED}" srcId="{4A5E6CAB-3899-41AA-A360-1E7B8116F43C}" destId="{8ECBD5D3-75E7-4834-950E-EE4B3326EFDB}" srcOrd="0" destOrd="0" parTransId="{2FA264E8-A8BB-4420-9BC1-C92131D2B29F}" sibTransId="{D8AD8862-1E84-4F42-9068-391EBEF6CC7F}"/>
    <dgm:cxn modelId="{7B9775A6-443C-49B9-9FEB-A7112B03C24D}" type="presOf" srcId="{4A5E6CAB-3899-41AA-A360-1E7B8116F43C}" destId="{2F63DF4B-BB96-431C-B20A-305AA7080D91}" srcOrd="0" destOrd="0" presId="urn:microsoft.com/office/officeart/2005/8/layout/rings+Icon"/>
    <dgm:cxn modelId="{03FFD7A1-BCDE-440E-A852-D8ECF01498AD}" type="presParOf" srcId="{2F63DF4B-BB96-431C-B20A-305AA7080D91}" destId="{B4A8017D-7CF6-4EFA-B311-B27FEE2445C2}" srcOrd="0" destOrd="0" presId="urn:microsoft.com/office/officeart/2005/8/layout/rings+Icon"/>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A5E6CAB-3899-41AA-A360-1E7B8116F43C}" type="doc">
      <dgm:prSet loTypeId="urn:microsoft.com/office/officeart/2005/8/layout/rings+Icon" loCatId="officeonline" qsTypeId="urn:microsoft.com/office/officeart/2005/8/quickstyle/simple1" qsCatId="simple" csTypeId="urn:microsoft.com/office/officeart/2005/8/colors/accent1_2" csCatId="accent1" phldr="1"/>
      <dgm:spPr/>
    </dgm:pt>
    <dgm:pt modelId="{8ECBD5D3-75E7-4834-950E-EE4B3326EFDB}">
      <dgm:prSet phldrT="[Text]" custT="1"/>
      <dgm:spPr>
        <a:solidFill>
          <a:srgbClr val="92D050">
            <a:alpha val="50000"/>
          </a:srgbClr>
        </a:solidFill>
      </dgm:spPr>
      <dgm:t>
        <a:bodyPr/>
        <a:lstStyle/>
        <a:p>
          <a:r>
            <a:rPr lang="en-AU" sz="1200" b="1"/>
            <a:t>National Interest</a:t>
          </a:r>
        </a:p>
      </dgm:t>
    </dgm:pt>
    <dgm:pt modelId="{2FA264E8-A8BB-4420-9BC1-C92131D2B29F}" type="parTrans" cxnId="{1E53D685-151C-4C61-A716-BC8E855BA3ED}">
      <dgm:prSet/>
      <dgm:spPr/>
      <dgm:t>
        <a:bodyPr/>
        <a:lstStyle/>
        <a:p>
          <a:endParaRPr lang="en-AU"/>
        </a:p>
      </dgm:t>
    </dgm:pt>
    <dgm:pt modelId="{D8AD8862-1E84-4F42-9068-391EBEF6CC7F}" type="sibTrans" cxnId="{1E53D685-151C-4C61-A716-BC8E855BA3ED}">
      <dgm:prSet/>
      <dgm:spPr/>
      <dgm:t>
        <a:bodyPr/>
        <a:lstStyle/>
        <a:p>
          <a:endParaRPr lang="en-AU"/>
        </a:p>
      </dgm:t>
    </dgm:pt>
    <dgm:pt modelId="{2F63DF4B-BB96-431C-B20A-305AA7080D91}" type="pres">
      <dgm:prSet presAssocID="{4A5E6CAB-3899-41AA-A360-1E7B8116F43C}" presName="Name0" presStyleCnt="0">
        <dgm:presLayoutVars>
          <dgm:chMax val="7"/>
          <dgm:dir/>
          <dgm:resizeHandles val="exact"/>
        </dgm:presLayoutVars>
      </dgm:prSet>
      <dgm:spPr/>
    </dgm:pt>
    <dgm:pt modelId="{B4A8017D-7CF6-4EFA-B311-B27FEE2445C2}" type="pres">
      <dgm:prSet presAssocID="{4A5E6CAB-3899-41AA-A360-1E7B8116F43C}" presName="ellipse1" presStyleLbl="vennNode1" presStyleIdx="0" presStyleCnt="1">
        <dgm:presLayoutVars>
          <dgm:bulletEnabled val="1"/>
        </dgm:presLayoutVars>
      </dgm:prSet>
      <dgm:spPr/>
    </dgm:pt>
  </dgm:ptLst>
  <dgm:cxnLst>
    <dgm:cxn modelId="{79FF4E57-B848-4759-A566-8CABE4F33C48}" type="presOf" srcId="{8ECBD5D3-75E7-4834-950E-EE4B3326EFDB}" destId="{B4A8017D-7CF6-4EFA-B311-B27FEE2445C2}" srcOrd="0" destOrd="0" presId="urn:microsoft.com/office/officeart/2005/8/layout/rings+Icon"/>
    <dgm:cxn modelId="{1E53D685-151C-4C61-A716-BC8E855BA3ED}" srcId="{4A5E6CAB-3899-41AA-A360-1E7B8116F43C}" destId="{8ECBD5D3-75E7-4834-950E-EE4B3326EFDB}" srcOrd="0" destOrd="0" parTransId="{2FA264E8-A8BB-4420-9BC1-C92131D2B29F}" sibTransId="{D8AD8862-1E84-4F42-9068-391EBEF6CC7F}"/>
    <dgm:cxn modelId="{7B9775A6-443C-49B9-9FEB-A7112B03C24D}" type="presOf" srcId="{4A5E6CAB-3899-41AA-A360-1E7B8116F43C}" destId="{2F63DF4B-BB96-431C-B20A-305AA7080D91}" srcOrd="0" destOrd="0" presId="urn:microsoft.com/office/officeart/2005/8/layout/rings+Icon"/>
    <dgm:cxn modelId="{03FFD7A1-BCDE-440E-A852-D8ECF01498AD}" type="presParOf" srcId="{2F63DF4B-BB96-431C-B20A-305AA7080D91}" destId="{B4A8017D-7CF6-4EFA-B311-B27FEE2445C2}" srcOrd="0" destOrd="0" presId="urn:microsoft.com/office/officeart/2005/8/layout/rings+Icon"/>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A5E6CAB-3899-41AA-A360-1E7B8116F43C}" type="doc">
      <dgm:prSet loTypeId="urn:microsoft.com/office/officeart/2005/8/layout/rings+Icon" loCatId="officeonline" qsTypeId="urn:microsoft.com/office/officeart/2005/8/quickstyle/simple1" qsCatId="simple" csTypeId="urn:microsoft.com/office/officeart/2005/8/colors/accent1_2" csCatId="accent1" phldr="1"/>
      <dgm:spPr/>
    </dgm:pt>
    <dgm:pt modelId="{8ECBD5D3-75E7-4834-950E-EE4B3326EFDB}">
      <dgm:prSet phldrT="[Text]" custT="1"/>
      <dgm:spPr>
        <a:solidFill>
          <a:srgbClr val="0070C0">
            <a:alpha val="50000"/>
          </a:srgbClr>
        </a:solidFill>
      </dgm:spPr>
      <dgm:t>
        <a:bodyPr/>
        <a:lstStyle/>
        <a:p>
          <a:pPr algn="ctr"/>
          <a:r>
            <a:rPr lang="en-AU" sz="1200" b="1"/>
            <a:t>Universal Services</a:t>
          </a:r>
        </a:p>
      </dgm:t>
    </dgm:pt>
    <dgm:pt modelId="{2FA264E8-A8BB-4420-9BC1-C92131D2B29F}" type="parTrans" cxnId="{1E53D685-151C-4C61-A716-BC8E855BA3ED}">
      <dgm:prSet/>
      <dgm:spPr/>
      <dgm:t>
        <a:bodyPr/>
        <a:lstStyle/>
        <a:p>
          <a:pPr algn="ctr"/>
          <a:endParaRPr lang="en-AU"/>
        </a:p>
      </dgm:t>
    </dgm:pt>
    <dgm:pt modelId="{D8AD8862-1E84-4F42-9068-391EBEF6CC7F}" type="sibTrans" cxnId="{1E53D685-151C-4C61-A716-BC8E855BA3ED}">
      <dgm:prSet/>
      <dgm:spPr/>
      <dgm:t>
        <a:bodyPr/>
        <a:lstStyle/>
        <a:p>
          <a:pPr algn="ctr"/>
          <a:endParaRPr lang="en-AU"/>
        </a:p>
      </dgm:t>
    </dgm:pt>
    <dgm:pt modelId="{2F63DF4B-BB96-431C-B20A-305AA7080D91}" type="pres">
      <dgm:prSet presAssocID="{4A5E6CAB-3899-41AA-A360-1E7B8116F43C}" presName="Name0" presStyleCnt="0">
        <dgm:presLayoutVars>
          <dgm:chMax val="7"/>
          <dgm:dir/>
          <dgm:resizeHandles val="exact"/>
        </dgm:presLayoutVars>
      </dgm:prSet>
      <dgm:spPr/>
    </dgm:pt>
    <dgm:pt modelId="{B4A8017D-7CF6-4EFA-B311-B27FEE2445C2}" type="pres">
      <dgm:prSet presAssocID="{4A5E6CAB-3899-41AA-A360-1E7B8116F43C}" presName="ellipse1" presStyleLbl="vennNode1" presStyleIdx="0" presStyleCnt="1">
        <dgm:presLayoutVars>
          <dgm:bulletEnabled val="1"/>
        </dgm:presLayoutVars>
      </dgm:prSet>
      <dgm:spPr/>
    </dgm:pt>
  </dgm:ptLst>
  <dgm:cxnLst>
    <dgm:cxn modelId="{79FF4E57-B848-4759-A566-8CABE4F33C48}" type="presOf" srcId="{8ECBD5D3-75E7-4834-950E-EE4B3326EFDB}" destId="{B4A8017D-7CF6-4EFA-B311-B27FEE2445C2}" srcOrd="0" destOrd="0" presId="urn:microsoft.com/office/officeart/2005/8/layout/rings+Icon"/>
    <dgm:cxn modelId="{1E53D685-151C-4C61-A716-BC8E855BA3ED}" srcId="{4A5E6CAB-3899-41AA-A360-1E7B8116F43C}" destId="{8ECBD5D3-75E7-4834-950E-EE4B3326EFDB}" srcOrd="0" destOrd="0" parTransId="{2FA264E8-A8BB-4420-9BC1-C92131D2B29F}" sibTransId="{D8AD8862-1E84-4F42-9068-391EBEF6CC7F}"/>
    <dgm:cxn modelId="{7B9775A6-443C-49B9-9FEB-A7112B03C24D}" type="presOf" srcId="{4A5E6CAB-3899-41AA-A360-1E7B8116F43C}" destId="{2F63DF4B-BB96-431C-B20A-305AA7080D91}" srcOrd="0" destOrd="0" presId="urn:microsoft.com/office/officeart/2005/8/layout/rings+Icon"/>
    <dgm:cxn modelId="{03FFD7A1-BCDE-440E-A852-D8ECF01498AD}" type="presParOf" srcId="{2F63DF4B-BB96-431C-B20A-305AA7080D91}" destId="{B4A8017D-7CF6-4EFA-B311-B27FEE2445C2}" srcOrd="0" destOrd="0" presId="urn:microsoft.com/office/officeart/2005/8/layout/rings+Icon"/>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8017D-7CF6-4EFA-B311-B27FEE2445C2}">
      <dsp:nvSpPr>
        <dsp:cNvPr id="0" name=""/>
        <dsp:cNvSpPr/>
      </dsp:nvSpPr>
      <dsp:spPr>
        <a:xfrm>
          <a:off x="44449" y="0"/>
          <a:ext cx="1111250" cy="1111250"/>
        </a:xfrm>
        <a:prstGeom prst="ellipse">
          <a:avLst/>
        </a:prstGeom>
        <a:solidFill>
          <a:srgbClr val="FF0000">
            <a:alpha val="4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t>Competiton</a:t>
          </a:r>
          <a:r>
            <a:rPr lang="en-AU" sz="1100" kern="1200"/>
            <a:t> </a:t>
          </a:r>
        </a:p>
      </dsp:txBody>
      <dsp:txXfrm>
        <a:off x="207188" y="162739"/>
        <a:ext cx="785772" cy="7857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8017D-7CF6-4EFA-B311-B27FEE2445C2}">
      <dsp:nvSpPr>
        <dsp:cNvPr id="0" name=""/>
        <dsp:cNvSpPr/>
      </dsp:nvSpPr>
      <dsp:spPr>
        <a:xfrm>
          <a:off x="9525" y="0"/>
          <a:ext cx="1104900" cy="1104900"/>
        </a:xfrm>
        <a:prstGeom prst="ellipse">
          <a:avLst/>
        </a:prstGeom>
        <a:solidFill>
          <a:srgbClr val="FFC000">
            <a:alpha val="49804"/>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Consumer</a:t>
          </a:r>
        </a:p>
      </dsp:txBody>
      <dsp:txXfrm>
        <a:off x="171334" y="161809"/>
        <a:ext cx="781282" cy="7812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8017D-7CF6-4EFA-B311-B27FEE2445C2}">
      <dsp:nvSpPr>
        <dsp:cNvPr id="0" name=""/>
        <dsp:cNvSpPr/>
      </dsp:nvSpPr>
      <dsp:spPr>
        <a:xfrm>
          <a:off x="0" y="6350"/>
          <a:ext cx="1123950" cy="1123950"/>
        </a:xfrm>
        <a:prstGeom prst="ellipse">
          <a:avLst/>
        </a:prstGeom>
        <a:solidFill>
          <a:srgbClr val="92D05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National Interest</a:t>
          </a:r>
        </a:p>
      </dsp:txBody>
      <dsp:txXfrm>
        <a:off x="164599" y="170949"/>
        <a:ext cx="794752" cy="7947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A8017D-7CF6-4EFA-B311-B27FEE2445C2}">
      <dsp:nvSpPr>
        <dsp:cNvPr id="0" name=""/>
        <dsp:cNvSpPr/>
      </dsp:nvSpPr>
      <dsp:spPr>
        <a:xfrm>
          <a:off x="0" y="12700"/>
          <a:ext cx="1117600" cy="1117600"/>
        </a:xfrm>
        <a:prstGeom prst="ellipse">
          <a:avLst/>
        </a:prstGeom>
        <a:solidFill>
          <a:srgbClr val="0070C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t>Universal Services</a:t>
          </a:r>
        </a:p>
      </dsp:txBody>
      <dsp:txXfrm>
        <a:off x="163669" y="176369"/>
        <a:ext cx="790262" cy="790262"/>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3.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4.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E93833CD1CA45BE3DFFA35A944F99" ma:contentTypeVersion="6" ma:contentTypeDescription="Create a new document." ma:contentTypeScope="" ma:versionID="105baae861f58bd182fefedccfe6c7b2">
  <xsd:schema xmlns:xsd="http://www.w3.org/2001/XMLSchema" xmlns:xs="http://www.w3.org/2001/XMLSchema" xmlns:p="http://schemas.microsoft.com/office/2006/metadata/properties" xmlns:ns2="8edbed0b-2877-49f3-930b-fc0a6904f77f" targetNamespace="http://schemas.microsoft.com/office/2006/metadata/properties" ma:root="true" ma:fieldsID="641f5e12032215146ba440f8ab4cc599" ns2:_="">
    <xsd:import namespace="8edbed0b-2877-49f3-930b-fc0a6904f77f"/>
    <xsd:element name="properties">
      <xsd:complexType>
        <xsd:sequence>
          <xsd:element name="documentManagement">
            <xsd:complexType>
              <xsd:all>
                <xsd:element ref="ns2:RecordNumber" minOccurs="0"/>
                <xsd:element ref="ns2:p917205f29a64146ba095bf805d4d963" minOccurs="0"/>
                <xsd:element ref="ns2:TaxCatchAll" minOccurs="0"/>
                <xsd:element ref="ns2:TaxCatchAllLabel" minOccurs="0"/>
                <xsd:element ref="ns2:laddead11fdf4b07a0e81f2ed0bf26e5"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bed0b-2877-49f3-930b-fc0a6904f77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p917205f29a64146ba095bf805d4d963" ma:index="9" ma:taxonomy="true" ma:internalName="p917205f29a64146ba095bf805d4d963" ma:taxonomyFieldName="Security_x0020_Classification" ma:displayName="Security Classification" ma:readOnly="false" ma:default="1;#OFFICIAL|66ee57a8-59d0-46bc-a5fc-78440ee0cf81" ma:fieldId="{9917205f-29a6-4146-ba09-5bf805d4d963}"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8a1811e-a8b5-4f93-a6f8-72ba9752dd95}" ma:internalName="TaxCatchAll" ma:showField="CatchAllData" ma:web="8edbed0b-2877-49f3-930b-fc0a6904f77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8a1811e-a8b5-4f93-a6f8-72ba9752dd95}" ma:internalName="TaxCatchAllLabel" ma:readOnly="true" ma:showField="CatchAllDataLabel" ma:web="8edbed0b-2877-49f3-930b-fc0a6904f77f">
      <xsd:complexType>
        <xsd:complexContent>
          <xsd:extension base="dms:MultiChoiceLookup">
            <xsd:sequence>
              <xsd:element name="Value" type="dms:Lookup" maxOccurs="unbounded" minOccurs="0" nillable="true"/>
            </xsd:sequence>
          </xsd:extension>
        </xsd:complexContent>
      </xsd:complexType>
    </xsd:element>
    <xsd:element name="laddead11fdf4b07a0e81f2ed0bf26e5" ma:index="13" nillable="true" ma:taxonomy="true" ma:internalName="laddead11fdf4b07a0e81f2ed0bf26e5" ma:taxonomyFieldName="Information_x0020_Management_x0020_Marker" ma:displayName="Information Management Marker" ma:default="" ma:fieldId="{5addead1-1fdf-4b07-a0e8-1f2ed0bf26e5}"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FF09-55D4-4537-B091-B0F96964C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bed0b-2877-49f3-930b-fc0a6904f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0B2AE-806B-44AE-BD42-E70A2C632357}">
  <ds:schemaRefs>
    <ds:schemaRef ds:uri="http://schemas.microsoft.com/sharepoint/v3/contenttype/forms"/>
  </ds:schemaRefs>
</ds:datastoreItem>
</file>

<file path=customXml/itemProps3.xml><?xml version="1.0" encoding="utf-8"?>
<ds:datastoreItem xmlns:ds="http://schemas.openxmlformats.org/officeDocument/2006/customXml" ds:itemID="{7F727D74-1CA9-4E52-A8B0-07134B857E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1D17CA-33FF-4EF5-9BA6-5C4D0E33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5052</Words>
  <Characters>28800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33785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Martin, Calum</dc:creator>
  <cp:keywords/>
  <dc:description/>
  <cp:lastModifiedBy>Dawson, Stephen</cp:lastModifiedBy>
  <cp:revision>4</cp:revision>
  <cp:lastPrinted>2023-10-23T22:58:00Z</cp:lastPrinted>
  <dcterms:created xsi:type="dcterms:W3CDTF">2023-10-18T00:40:00Z</dcterms:created>
  <dcterms:modified xsi:type="dcterms:W3CDTF">2023-10-23T22:58:00Z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0x0101004ABE93833CD1CA45BE3DFFA35A944F99</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InitiatingEntity">
    <vt:lpwstr>1;#Department of Finance|fd660e8f-8f31-49bd-92a3-d31d4da31afe</vt:lpwstr>
  </property>
  <property fmtid="{D5CDD505-2E9C-101B-9397-08002B2CF9AE}" pid="6" name="Function and Activity">
    <vt:lpwstr/>
  </property>
  <property fmtid="{D5CDD505-2E9C-101B-9397-08002B2CF9AE}" pid="7" name="OrgUnit">
    <vt:lpwstr>15;#NBN Shareholder|d7f368d7-1eee-4c44-98cd-e7bc2596bf31</vt:lpwstr>
  </property>
  <property fmtid="{D5CDD505-2E9C-101B-9397-08002B2CF9AE}" pid="8" name="_dlc_DocIdItemGuid">
    <vt:lpwstr>8e978b95-c60b-49ce-a4d0-7920ec91410b</vt:lpwstr>
  </property>
  <property fmtid="{D5CDD505-2E9C-101B-9397-08002B2CF9AE}" pid="9" name="TrimRevisionNumber">
    <vt:i4>38</vt:i4>
  </property>
</Properties>
</file>