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D608F" w14:textId="77777777" w:rsidR="008456D5" w:rsidRDefault="00845C59" w:rsidP="00BA24FB">
      <w:pPr>
        <w:spacing w:before="360"/>
        <w:ind w:left="-1247"/>
      </w:pPr>
      <w:r>
        <w:rPr>
          <w:noProof/>
          <w:lang w:eastAsia="en-AU"/>
        </w:rPr>
        <mc:AlternateContent>
          <mc:Choice Requires="wps">
            <w:drawing>
              <wp:anchor distT="0" distB="0" distL="114300" distR="114300" simplePos="0" relativeHeight="251659264" behindDoc="0" locked="1" layoutInCell="1" allowOverlap="1" wp14:anchorId="325E1A1D" wp14:editId="7027CB4D">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p w14:paraId="112BC974" w14:textId="0BF14ECE" w:rsidR="00C506CE" w:rsidRDefault="00C506CE" w:rsidP="00023511">
                            <w:pPr>
                              <w:pStyle w:val="SecurityMarker"/>
                              <w:jc w:val="left"/>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E1A1D" id="_x0000_t202" coordsize="21600,21600" o:spt="202" path="m,l,21600r21600,l21600,xe">
                <v:stroke joinstyle="miter"/>
                <v:path gradientshapeok="t" o:connecttype="rect"/>
              </v:shapetype>
              <v:shape id="Text Box 22" o:spid="_x0000_s1026" type="#_x0000_t202" style="position:absolute;left:0;text-align:left;margin-left:0;margin-top:0;width:841.85pt;height:56.65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p w14:paraId="112BC974" w14:textId="0BF14ECE" w:rsidR="00C506CE" w:rsidRDefault="00C506CE" w:rsidP="00023511">
                      <w:pPr>
                        <w:pStyle w:val="SecurityMarker"/>
                        <w:jc w:val="left"/>
                      </w:pPr>
                    </w:p>
                  </w:txbxContent>
                </v:textbox>
                <w10:wrap anchorx="page" anchory="page"/>
                <w10:anchorlock/>
              </v:shape>
            </w:pict>
          </mc:Fallback>
        </mc:AlternateContent>
      </w:r>
      <w:r w:rsidR="00546218">
        <w:rPr>
          <w:noProof/>
          <w:lang w:eastAsia="en-AU"/>
        </w:rPr>
        <w:drawing>
          <wp:anchor distT="0" distB="0" distL="114300" distR="114300" simplePos="0" relativeHeight="251658240" behindDoc="0" locked="1" layoutInCell="1" allowOverlap="1" wp14:anchorId="624D8D47" wp14:editId="7682C5B8">
            <wp:simplePos x="0" y="0"/>
            <wp:positionH relativeFrom="page">
              <wp:align>center</wp:align>
            </wp:positionH>
            <wp:positionV relativeFrom="page">
              <wp:align>bottom</wp:align>
            </wp:positionV>
            <wp:extent cx="11694240" cy="3931200"/>
            <wp:effectExtent l="0" t="0" r="2540" b="0"/>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Pr>
          <w:noProof/>
          <w:lang w:eastAsia="en-AU"/>
        </w:rPr>
        <w:drawing>
          <wp:inline distT="0" distB="0" distL="0" distR="0" wp14:anchorId="15D00D24" wp14:editId="7BE7D8BF">
            <wp:extent cx="3644426" cy="73152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8580" cy="732354"/>
                    </a:xfrm>
                    <a:prstGeom prst="rect">
                      <a:avLst/>
                    </a:prstGeom>
                  </pic:spPr>
                </pic:pic>
              </a:graphicData>
            </a:graphic>
          </wp:inline>
        </w:drawing>
      </w:r>
    </w:p>
    <w:p w14:paraId="57DC24CE" w14:textId="3DD6C9B6" w:rsidR="003261CF" w:rsidRDefault="00045769" w:rsidP="003261CF">
      <w:pPr>
        <w:pStyle w:val="AreaHeading"/>
        <w:spacing w:before="960" w:after="120"/>
      </w:pPr>
      <w:r>
        <w:t>Road and Vehicle Safety Division / Vehicle Safety Operations Branch</w:t>
      </w:r>
    </w:p>
    <w:sdt>
      <w:sdtPr>
        <w:alias w:val="Title"/>
        <w:tag w:val=""/>
        <w:id w:val="975726233"/>
        <w:placeholder>
          <w:docPart w:val="5ED836FD2A054C8981B5C31B946321D0"/>
        </w:placeholder>
        <w:dataBinding w:prefixMappings="xmlns:ns0='http://purl.org/dc/elements/1.1/' xmlns:ns1='http://schemas.openxmlformats.org/package/2006/metadata/core-properties' " w:xpath="/ns1:coreProperties[1]/ns0:title[1]" w:storeItemID="{6C3C8BC8-F283-45AE-878A-BAB7291924A1}"/>
        <w:text/>
      </w:sdtPr>
      <w:sdtEndPr/>
      <w:sdtContent>
        <w:p w14:paraId="337CDF7C" w14:textId="01DB1A09" w:rsidR="00787A68" w:rsidRDefault="007B441C" w:rsidP="003261CF">
          <w:pPr>
            <w:pStyle w:val="Title"/>
            <w:spacing w:before="600"/>
          </w:pPr>
          <w:r>
            <w:t>Compliance and Enforcement Strategy 2023-26</w:t>
          </w:r>
        </w:p>
      </w:sdtContent>
    </w:sdt>
    <w:p w14:paraId="58965A0F" w14:textId="7E8E05AE" w:rsidR="00DE4FE2" w:rsidRPr="00023511" w:rsidRDefault="00F3659C" w:rsidP="00DE4FE2">
      <w:pPr>
        <w:pStyle w:val="Subtitle"/>
        <w:rPr>
          <w:i/>
          <w:sz w:val="36"/>
          <w:szCs w:val="36"/>
        </w:rPr>
      </w:pPr>
      <w:r w:rsidRPr="00023511">
        <w:rPr>
          <w:sz w:val="36"/>
          <w:szCs w:val="36"/>
        </w:rPr>
        <w:t xml:space="preserve">Regulating under the </w:t>
      </w:r>
      <w:r w:rsidRPr="00023511">
        <w:rPr>
          <w:i/>
          <w:sz w:val="36"/>
          <w:szCs w:val="36"/>
        </w:rPr>
        <w:t>Road Vehicle Standards Act 2018</w:t>
      </w:r>
    </w:p>
    <w:sdt>
      <w:sdtPr>
        <w:alias w:val="Publish Date"/>
        <w:tag w:val=""/>
        <w:id w:val="452527336"/>
        <w:placeholder>
          <w:docPart w:val="25A1A73F7E7A491CBE36D05A55871700"/>
        </w:placeholder>
        <w:dataBinding w:prefixMappings="xmlns:ns0='http://schemas.microsoft.com/office/2006/coverPageProps' " w:xpath="/ns0:CoverPageProperties[1]/ns0:PublishDate[1]" w:storeItemID="{55AF091B-3C7A-41E3-B477-F2FDAA23CFDA}"/>
        <w:date w:fullDate="2023-07-01T00:00:00Z">
          <w:dateFormat w:val="MMMM yyyy"/>
          <w:lid w:val="en-AU"/>
          <w:storeMappedDataAs w:val="dateTime"/>
          <w:calendar w:val="gregorian"/>
        </w:date>
      </w:sdtPr>
      <w:sdtEndPr/>
      <w:sdtContent>
        <w:p w14:paraId="1B09CC44" w14:textId="34849D9F" w:rsidR="00DE4FE2" w:rsidRDefault="00C33F19" w:rsidP="00DE4FE2">
          <w:pPr>
            <w:pStyle w:val="CoverDate"/>
          </w:pPr>
          <w:r>
            <w:t>July 2023</w:t>
          </w:r>
        </w:p>
      </w:sdtContent>
    </w:sdt>
    <w:p w14:paraId="61EE05DF" w14:textId="27A2DF1E" w:rsidR="00DE4FE2" w:rsidRDefault="00DE4FE2" w:rsidP="0022611D">
      <w:pPr>
        <w:pStyle w:val="CoverPhoto"/>
      </w:pPr>
    </w:p>
    <w:p w14:paraId="03642C8F" w14:textId="77777777" w:rsidR="00DE4FE2" w:rsidRDefault="00DE4FE2"/>
    <w:p w14:paraId="5ABC0340" w14:textId="77777777" w:rsidR="00DE4FE2" w:rsidRDefault="00DE4FE2">
      <w:pPr>
        <w:sectPr w:rsidR="00DE4FE2" w:rsidSect="00BA24FB">
          <w:headerReference w:type="even" r:id="rId11"/>
          <w:headerReference w:type="default" r:id="rId12"/>
          <w:footerReference w:type="even" r:id="rId13"/>
          <w:footerReference w:type="default" r:id="rId14"/>
          <w:pgSz w:w="11906" w:h="16838" w:code="9"/>
          <w:pgMar w:top="340" w:right="1021" w:bottom="1021" w:left="2268" w:header="0" w:footer="397" w:gutter="0"/>
          <w:cols w:space="708"/>
          <w:titlePg/>
          <w:docGrid w:linePitch="360"/>
        </w:sectPr>
      </w:pPr>
    </w:p>
    <w:p w14:paraId="09F56AA4" w14:textId="77777777" w:rsidR="00955128" w:rsidRDefault="00955128" w:rsidP="00C83B88">
      <w:pPr>
        <w:pStyle w:val="NoSpacing"/>
        <w:spacing w:before="120"/>
      </w:pPr>
    </w:p>
    <w:p w14:paraId="52BEF2D7" w14:textId="77777777" w:rsidR="00955128" w:rsidRDefault="00955128" w:rsidP="00C83B88">
      <w:pPr>
        <w:pStyle w:val="NoSpacing"/>
        <w:spacing w:before="120"/>
      </w:pPr>
    </w:p>
    <w:p w14:paraId="79D58A69" w14:textId="56CAEB3B" w:rsidR="000E5674" w:rsidRPr="000E5674" w:rsidRDefault="000E5674" w:rsidP="00C83B88">
      <w:pPr>
        <w:pStyle w:val="NoSpacing"/>
        <w:spacing w:before="120"/>
      </w:pPr>
      <w:r w:rsidRPr="000E5674">
        <w:t>© Commonwealth of Australia 20</w:t>
      </w:r>
      <w:r w:rsidRPr="00EE2A4A">
        <w:t>2</w:t>
      </w:r>
      <w:r w:rsidR="00EE2A4A" w:rsidRPr="00EE2A4A">
        <w:t>3</w:t>
      </w:r>
    </w:p>
    <w:p w14:paraId="7AA5349D" w14:textId="5C0A2353" w:rsidR="000E5674" w:rsidRPr="000E5674" w:rsidRDefault="00B212A8" w:rsidP="00C83B88">
      <w:pPr>
        <w:pStyle w:val="NoSpacing"/>
        <w:spacing w:before="120"/>
      </w:pPr>
      <w:r w:rsidRPr="00C506CE">
        <w:t>June</w:t>
      </w:r>
      <w:r w:rsidRPr="000E5674">
        <w:t xml:space="preserve"> </w:t>
      </w:r>
      <w:r w:rsidR="000E5674" w:rsidRPr="000E5674">
        <w:t>20</w:t>
      </w:r>
      <w:r w:rsidR="000E5674" w:rsidRPr="00EE2A4A">
        <w:t>2</w:t>
      </w:r>
      <w:r w:rsidR="00045769" w:rsidRPr="00EE2A4A">
        <w:t>3</w:t>
      </w:r>
    </w:p>
    <w:p w14:paraId="2EE07235" w14:textId="77777777" w:rsidR="003503D5" w:rsidRPr="000E5674" w:rsidRDefault="003503D5" w:rsidP="003503D5">
      <w:pPr>
        <w:pStyle w:val="ImprintHeading"/>
        <w:spacing w:before="120" w:after="80"/>
      </w:pPr>
      <w:r w:rsidRPr="000E5674">
        <w:t>Ownership of intellectual property rights in this publication</w:t>
      </w:r>
    </w:p>
    <w:p w14:paraId="738A28CD" w14:textId="77777777" w:rsidR="003503D5" w:rsidRPr="000E5674" w:rsidRDefault="003503D5" w:rsidP="003503D5">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164C409A" w14:textId="77777777" w:rsidR="003503D5" w:rsidRPr="000E5674" w:rsidRDefault="003503D5" w:rsidP="003503D5">
      <w:pPr>
        <w:pStyle w:val="ImprintHeading"/>
        <w:spacing w:before="120" w:after="80"/>
      </w:pPr>
      <w:r w:rsidRPr="000E5674">
        <w:t>Disclaimer</w:t>
      </w:r>
    </w:p>
    <w:p w14:paraId="06571ECD" w14:textId="77777777" w:rsidR="003503D5" w:rsidRPr="000E5674" w:rsidRDefault="003503D5" w:rsidP="003503D5">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745638E" w14:textId="77777777" w:rsidR="003503D5" w:rsidRDefault="003503D5" w:rsidP="003503D5">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1C092A8F" w14:textId="77777777" w:rsidR="003503D5" w:rsidRPr="000E5674" w:rsidRDefault="003503D5" w:rsidP="003503D5">
      <w:pPr>
        <w:pStyle w:val="ImprintHeading"/>
        <w:spacing w:before="120" w:after="80"/>
      </w:pPr>
      <w:r w:rsidRPr="000E5674">
        <w:t>Use of the Coat of Arms</w:t>
      </w:r>
    </w:p>
    <w:p w14:paraId="26B27FF9" w14:textId="77777777" w:rsidR="003503D5" w:rsidRPr="000E5674" w:rsidRDefault="003503D5" w:rsidP="003503D5">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5" w:tooltip="Department of Prime Minister and Cabinet website" w:history="1">
        <w:r w:rsidRPr="0063722A">
          <w:rPr>
            <w:rStyle w:val="Hyperlink"/>
            <w:lang w:val="x-none"/>
          </w:rPr>
          <w:t>http://www.pmc.gov.au</w:t>
        </w:r>
      </w:hyperlink>
      <w:r w:rsidRPr="000E5674">
        <w:rPr>
          <w:lang w:val="x-none"/>
        </w:rPr>
        <w:t>.</w:t>
      </w:r>
    </w:p>
    <w:p w14:paraId="3778DD46" w14:textId="77777777" w:rsidR="00F33EF2" w:rsidRDefault="00F33EF2" w:rsidP="00F33EF2">
      <w:pPr>
        <w:pStyle w:val="ImprintHeading"/>
        <w:spacing w:before="120" w:after="80"/>
      </w:pPr>
      <w:r>
        <w:t>Contact us</w:t>
      </w:r>
    </w:p>
    <w:p w14:paraId="32CDA045" w14:textId="77777777" w:rsidR="00F33EF2" w:rsidRDefault="00F33EF2" w:rsidP="00F33EF2">
      <w:pPr>
        <w:spacing w:before="120"/>
        <w:rPr>
          <w:lang w:val="x-none"/>
        </w:rPr>
      </w:pPr>
      <w:r>
        <w:rPr>
          <w:lang w:val="x-none"/>
        </w:rPr>
        <w:t xml:space="preserve">This publication is available in </w:t>
      </w:r>
      <w:r w:rsidRPr="009D3EC3">
        <w:rPr>
          <w:i/>
          <w:lang w:val="x-none"/>
        </w:rPr>
        <w:t>hard copy</w:t>
      </w:r>
      <w:r w:rsidRPr="009D3EC3">
        <w:rPr>
          <w:i/>
          <w:lang w:val="en-US"/>
        </w:rPr>
        <w:t>/</w:t>
      </w:r>
      <w:r w:rsidRPr="009D3EC3">
        <w:rPr>
          <w:i/>
          <w:lang w:val="x-none"/>
        </w:rPr>
        <w:t>PDF format</w:t>
      </w:r>
      <w:r w:rsidRPr="009D3EC3">
        <w:rPr>
          <w:i/>
          <w:lang w:val="en-US"/>
        </w:rPr>
        <w:t>/Word format/other format</w:t>
      </w:r>
      <w:r w:rsidRPr="009D3EC3">
        <w:rPr>
          <w:lang w:val="x-none"/>
        </w:rPr>
        <w:t>.</w:t>
      </w:r>
      <w:r>
        <w:rPr>
          <w:lang w:val="x-none"/>
        </w:rPr>
        <w:t xml:space="preserve">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158A48BE" w14:textId="1B6F8A02" w:rsidR="00F33EF2" w:rsidRPr="00023511" w:rsidRDefault="00045769" w:rsidP="00F33EF2">
      <w:pPr>
        <w:spacing w:before="120"/>
        <w:rPr>
          <w:i/>
          <w:kern w:val="12"/>
        </w:rPr>
      </w:pPr>
      <w:r w:rsidRPr="00023511">
        <w:rPr>
          <w:kern w:val="12"/>
        </w:rPr>
        <w:t>Vehicle Safety Operations</w:t>
      </w:r>
      <w:r w:rsidR="00C506CE">
        <w:rPr>
          <w:kern w:val="12"/>
        </w:rPr>
        <w:t>,</w:t>
      </w:r>
      <w:r w:rsidRPr="00023511">
        <w:rPr>
          <w:kern w:val="12"/>
        </w:rPr>
        <w:t xml:space="preserve"> Compliance and Enforcement Section</w:t>
      </w:r>
    </w:p>
    <w:p w14:paraId="7515540C" w14:textId="42A6ED1F" w:rsidR="00F33EF2" w:rsidRDefault="00F33EF2" w:rsidP="00F33EF2">
      <w:pPr>
        <w:spacing w:before="120"/>
        <w:rPr>
          <w:lang w:val="en-US"/>
        </w:rPr>
      </w:pPr>
      <w:r>
        <w:rPr>
          <w:lang w:val="x-none"/>
        </w:rPr>
        <w:t xml:space="preserve">Email: </w:t>
      </w:r>
      <w:hyperlink r:id="rId16" w:history="1">
        <w:r w:rsidR="00045769" w:rsidRPr="00FF43F2">
          <w:rPr>
            <w:rStyle w:val="Hyperlink"/>
            <w:lang w:val="en-US"/>
          </w:rPr>
          <w:t>vehiclecompliance@infrastructure.gov.au</w:t>
        </w:r>
      </w:hyperlink>
      <w:r w:rsidR="00045769">
        <w:rPr>
          <w:lang w:val="en-US"/>
        </w:rPr>
        <w:t xml:space="preserve"> </w:t>
      </w:r>
    </w:p>
    <w:p w14:paraId="4E4644F2" w14:textId="67DCD1E9" w:rsidR="00F33EF2" w:rsidRDefault="00F33EF2" w:rsidP="00F33EF2">
      <w:pPr>
        <w:spacing w:before="120"/>
        <w:rPr>
          <w:rStyle w:val="Hyperlink"/>
          <w:kern w:val="12"/>
        </w:rPr>
      </w:pPr>
      <w:r>
        <w:rPr>
          <w:lang w:val="x-none"/>
        </w:rPr>
        <w:t>Website:</w:t>
      </w:r>
      <w:r>
        <w:rPr>
          <w:lang w:val="en-US"/>
        </w:rPr>
        <w:t xml:space="preserve"> </w:t>
      </w:r>
      <w:r w:rsidR="00045769" w:rsidRPr="00045769">
        <w:t xml:space="preserve"> </w:t>
      </w:r>
      <w:hyperlink r:id="rId17" w:history="1">
        <w:r w:rsidR="00045769" w:rsidRPr="00023511">
          <w:rPr>
            <w:rStyle w:val="Hyperlink"/>
            <w:kern w:val="12"/>
          </w:rPr>
          <w:t>https://www.infrastructure.gov.au/infrastructure-transport-vehicles/vehicles/compliance-enforcement</w:t>
        </w:r>
      </w:hyperlink>
    </w:p>
    <w:p w14:paraId="1F20D8F4" w14:textId="67230290" w:rsidR="00901943" w:rsidRDefault="00901943" w:rsidP="00DD34AF">
      <w:pPr>
        <w:pStyle w:val="ImprintHeading"/>
        <w:spacing w:before="120" w:after="80"/>
        <w:rPr>
          <w:lang w:val="en-US"/>
        </w:rPr>
      </w:pPr>
    </w:p>
    <w:p w14:paraId="45264D9E" w14:textId="77777777" w:rsidR="00BA2CDB" w:rsidRDefault="00BA2CDB" w:rsidP="00DD34AF">
      <w:pPr>
        <w:pStyle w:val="ImprintHeading"/>
        <w:spacing w:before="120" w:after="80"/>
        <w:rPr>
          <w:lang w:val="en-US"/>
        </w:rPr>
      </w:pPr>
    </w:p>
    <w:p w14:paraId="4580B246" w14:textId="1D4C9C9C" w:rsidR="00DD34AF" w:rsidRPr="00BA2CDB" w:rsidRDefault="00DD34AF" w:rsidP="00DD34AF">
      <w:pPr>
        <w:pStyle w:val="ImprintHeading"/>
        <w:spacing w:before="120" w:after="80"/>
        <w:rPr>
          <w:lang w:val="en-US"/>
        </w:rPr>
      </w:pPr>
      <w:r w:rsidRPr="00BA2CDB">
        <w:rPr>
          <w:lang w:val="en-US"/>
        </w:rPr>
        <w:t>Version control</w:t>
      </w:r>
    </w:p>
    <w:tbl>
      <w:tblPr>
        <w:tblStyle w:val="DefaultTable1"/>
        <w:tblW w:w="0" w:type="auto"/>
        <w:tblLook w:val="0420" w:firstRow="1" w:lastRow="0" w:firstColumn="0" w:lastColumn="0" w:noHBand="0" w:noVBand="1"/>
      </w:tblPr>
      <w:tblGrid>
        <w:gridCol w:w="900"/>
        <w:gridCol w:w="1382"/>
        <w:gridCol w:w="4111"/>
        <w:gridCol w:w="3402"/>
      </w:tblGrid>
      <w:tr w:rsidR="00DD34AF" w:rsidRPr="00BA2CDB" w14:paraId="126272F4" w14:textId="77777777" w:rsidTr="00C506CE">
        <w:trPr>
          <w:cnfStyle w:val="100000000000" w:firstRow="1" w:lastRow="0" w:firstColumn="0" w:lastColumn="0" w:oddVBand="0" w:evenVBand="0" w:oddHBand="0" w:evenHBand="0" w:firstRowFirstColumn="0" w:firstRowLastColumn="0" w:lastRowFirstColumn="0" w:lastRowLastColumn="0"/>
        </w:trPr>
        <w:tc>
          <w:tcPr>
            <w:tcW w:w="0" w:type="auto"/>
          </w:tcPr>
          <w:p w14:paraId="76AB7624" w14:textId="1F58477E" w:rsidR="00DD34AF" w:rsidRPr="00BA2CDB" w:rsidRDefault="00DD34AF" w:rsidP="00F33EF2">
            <w:pPr>
              <w:spacing w:before="120"/>
              <w:rPr>
                <w:kern w:val="12"/>
              </w:rPr>
            </w:pPr>
            <w:r w:rsidRPr="00BA2CDB">
              <w:rPr>
                <w:kern w:val="12"/>
              </w:rPr>
              <w:t>Version</w:t>
            </w:r>
          </w:p>
        </w:tc>
        <w:tc>
          <w:tcPr>
            <w:tcW w:w="1382" w:type="dxa"/>
          </w:tcPr>
          <w:p w14:paraId="2AE0290F" w14:textId="269DE81C" w:rsidR="00DD34AF" w:rsidRPr="00BA2CDB" w:rsidRDefault="00DD34AF" w:rsidP="00F33EF2">
            <w:pPr>
              <w:spacing w:before="120"/>
              <w:rPr>
                <w:kern w:val="12"/>
              </w:rPr>
            </w:pPr>
            <w:r w:rsidRPr="00BA2CDB">
              <w:rPr>
                <w:kern w:val="12"/>
              </w:rPr>
              <w:t>Date</w:t>
            </w:r>
          </w:p>
        </w:tc>
        <w:tc>
          <w:tcPr>
            <w:tcW w:w="4111" w:type="dxa"/>
          </w:tcPr>
          <w:p w14:paraId="7493E02A" w14:textId="3607C1ED" w:rsidR="00DD34AF" w:rsidRPr="00BA2CDB" w:rsidRDefault="00DD34AF" w:rsidP="00F33EF2">
            <w:pPr>
              <w:spacing w:before="120"/>
              <w:rPr>
                <w:kern w:val="12"/>
              </w:rPr>
            </w:pPr>
            <w:r w:rsidRPr="00BA2CDB">
              <w:rPr>
                <w:kern w:val="12"/>
              </w:rPr>
              <w:t>Ap</w:t>
            </w:r>
            <w:r w:rsidR="00BC2862" w:rsidRPr="00BA2CDB">
              <w:rPr>
                <w:kern w:val="12"/>
              </w:rPr>
              <w:t>proved by</w:t>
            </w:r>
          </w:p>
        </w:tc>
        <w:tc>
          <w:tcPr>
            <w:tcW w:w="3402" w:type="dxa"/>
          </w:tcPr>
          <w:p w14:paraId="680BA28B" w14:textId="2481FCA5" w:rsidR="00DD34AF" w:rsidRPr="00BA2CDB" w:rsidRDefault="00DD34AF" w:rsidP="00F33EF2">
            <w:pPr>
              <w:spacing w:before="120"/>
              <w:rPr>
                <w:kern w:val="12"/>
              </w:rPr>
            </w:pPr>
            <w:r w:rsidRPr="00BA2CDB">
              <w:rPr>
                <w:kern w:val="12"/>
              </w:rPr>
              <w:t>Notes</w:t>
            </w:r>
          </w:p>
        </w:tc>
      </w:tr>
      <w:tr w:rsidR="00DD34AF" w:rsidRPr="00DD34AF" w14:paraId="408E15D8" w14:textId="77777777" w:rsidTr="00C506CE">
        <w:tc>
          <w:tcPr>
            <w:tcW w:w="0" w:type="auto"/>
          </w:tcPr>
          <w:p w14:paraId="4229D96D" w14:textId="02419172" w:rsidR="00DD34AF" w:rsidRPr="00BA2CDB" w:rsidRDefault="00DD34AF" w:rsidP="00F33EF2">
            <w:pPr>
              <w:spacing w:before="120"/>
              <w:rPr>
                <w:kern w:val="12"/>
              </w:rPr>
            </w:pPr>
            <w:r w:rsidRPr="00BA2CDB">
              <w:rPr>
                <w:kern w:val="12"/>
              </w:rPr>
              <w:t>1</w:t>
            </w:r>
            <w:r w:rsidR="00C05A5F">
              <w:rPr>
                <w:kern w:val="12"/>
              </w:rPr>
              <w:t>.0</w:t>
            </w:r>
          </w:p>
        </w:tc>
        <w:tc>
          <w:tcPr>
            <w:tcW w:w="1382" w:type="dxa"/>
          </w:tcPr>
          <w:p w14:paraId="5A8705EF" w14:textId="1F63DFE4" w:rsidR="00DD34AF" w:rsidRPr="00BA2CDB" w:rsidRDefault="00460E9B" w:rsidP="00F33EF2">
            <w:pPr>
              <w:spacing w:before="120"/>
              <w:rPr>
                <w:kern w:val="12"/>
              </w:rPr>
            </w:pPr>
            <w:r>
              <w:rPr>
                <w:kern w:val="12"/>
              </w:rPr>
              <w:t>25</w:t>
            </w:r>
            <w:r w:rsidR="00574742" w:rsidRPr="00BA2CDB">
              <w:rPr>
                <w:kern w:val="12"/>
              </w:rPr>
              <w:t xml:space="preserve"> July 2023</w:t>
            </w:r>
          </w:p>
        </w:tc>
        <w:tc>
          <w:tcPr>
            <w:tcW w:w="4111" w:type="dxa"/>
          </w:tcPr>
          <w:p w14:paraId="08FB8BC7" w14:textId="08C2757C" w:rsidR="00DD34AF" w:rsidRPr="00BA2CDB" w:rsidRDefault="00BA2CDB" w:rsidP="00F33EF2">
            <w:pPr>
              <w:spacing w:before="120"/>
              <w:rPr>
                <w:kern w:val="12"/>
              </w:rPr>
            </w:pPr>
            <w:r>
              <w:rPr>
                <w:kern w:val="12"/>
              </w:rPr>
              <w:t>Amanda Milczarek</w:t>
            </w:r>
            <w:r w:rsidR="00574742" w:rsidRPr="00BA2CDB">
              <w:rPr>
                <w:kern w:val="12"/>
              </w:rPr>
              <w:t xml:space="preserve">, </w:t>
            </w:r>
            <w:r>
              <w:rPr>
                <w:kern w:val="12"/>
              </w:rPr>
              <w:t xml:space="preserve">A/g </w:t>
            </w:r>
            <w:r w:rsidR="00574742" w:rsidRPr="00BA2CDB">
              <w:rPr>
                <w:kern w:val="12"/>
              </w:rPr>
              <w:t>Assistant Secretary</w:t>
            </w:r>
            <w:r>
              <w:rPr>
                <w:kern w:val="12"/>
              </w:rPr>
              <w:t>,</w:t>
            </w:r>
            <w:r w:rsidR="00574742" w:rsidRPr="00BA2CDB">
              <w:rPr>
                <w:kern w:val="12"/>
              </w:rPr>
              <w:t xml:space="preserve"> Vehicle Safety Operations</w:t>
            </w:r>
          </w:p>
        </w:tc>
        <w:tc>
          <w:tcPr>
            <w:tcW w:w="3402" w:type="dxa"/>
          </w:tcPr>
          <w:p w14:paraId="352DFEA0" w14:textId="1E205946" w:rsidR="00DD34AF" w:rsidRPr="00C506CE" w:rsidRDefault="00BA2CDB" w:rsidP="00F33EF2">
            <w:pPr>
              <w:spacing w:before="120"/>
              <w:rPr>
                <w:kern w:val="12"/>
              </w:rPr>
            </w:pPr>
            <w:r>
              <w:rPr>
                <w:kern w:val="12"/>
              </w:rPr>
              <w:t>Approved</w:t>
            </w:r>
          </w:p>
        </w:tc>
      </w:tr>
    </w:tbl>
    <w:p w14:paraId="1D6DCDF5" w14:textId="77777777" w:rsidR="00DD34AF" w:rsidRPr="00045769" w:rsidRDefault="00DD34AF" w:rsidP="00F33EF2">
      <w:pPr>
        <w:spacing w:before="120"/>
        <w:rPr>
          <w:kern w:val="12"/>
          <w:highlight w:val="yellow"/>
        </w:rPr>
      </w:pPr>
    </w:p>
    <w:p w14:paraId="78CFEA07" w14:textId="77777777" w:rsidR="00546218" w:rsidRDefault="00546218" w:rsidP="00C83B88">
      <w:pPr>
        <w:suppressAutoHyphens w:val="0"/>
        <w:spacing w:before="120"/>
      </w:pPr>
      <w:r>
        <w:br w:type="page"/>
      </w:r>
    </w:p>
    <w:p w14:paraId="5B5200E2" w14:textId="4DC3D9E8" w:rsidR="00DE4FE2" w:rsidRDefault="002B7197" w:rsidP="00CF6CFD">
      <w:pPr>
        <w:pStyle w:val="TOCHeading"/>
      </w:pPr>
      <w:r>
        <w:t>Table of C</w:t>
      </w:r>
      <w:r w:rsidR="00DE4FE2">
        <w:t>ontents</w:t>
      </w:r>
    </w:p>
    <w:p w14:paraId="1136E3E6" w14:textId="37B73DF5" w:rsidR="002A2787"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41176164" w:history="1">
        <w:r w:rsidR="002A2787" w:rsidRPr="00657356">
          <w:rPr>
            <w:rStyle w:val="Hyperlink"/>
            <w:noProof/>
          </w:rPr>
          <w:t>Introduction</w:t>
        </w:r>
        <w:r w:rsidR="002A2787">
          <w:rPr>
            <w:noProof/>
            <w:webHidden/>
          </w:rPr>
          <w:tab/>
        </w:r>
        <w:r w:rsidR="002A2787">
          <w:rPr>
            <w:noProof/>
            <w:webHidden/>
          </w:rPr>
          <w:fldChar w:fldCharType="begin"/>
        </w:r>
        <w:r w:rsidR="002A2787">
          <w:rPr>
            <w:noProof/>
            <w:webHidden/>
          </w:rPr>
          <w:instrText xml:space="preserve"> PAGEREF _Toc141176164 \h </w:instrText>
        </w:r>
        <w:r w:rsidR="002A2787">
          <w:rPr>
            <w:noProof/>
            <w:webHidden/>
          </w:rPr>
        </w:r>
        <w:r w:rsidR="002A2787">
          <w:rPr>
            <w:noProof/>
            <w:webHidden/>
          </w:rPr>
          <w:fldChar w:fldCharType="separate"/>
        </w:r>
        <w:r w:rsidR="002A2787">
          <w:rPr>
            <w:noProof/>
            <w:webHidden/>
          </w:rPr>
          <w:t>4</w:t>
        </w:r>
        <w:r w:rsidR="002A2787">
          <w:rPr>
            <w:noProof/>
            <w:webHidden/>
          </w:rPr>
          <w:fldChar w:fldCharType="end"/>
        </w:r>
      </w:hyperlink>
    </w:p>
    <w:p w14:paraId="01D1AF4C" w14:textId="679660B8" w:rsidR="002A2787" w:rsidRDefault="002A2787">
      <w:pPr>
        <w:pStyle w:val="TOC1"/>
        <w:rPr>
          <w:rFonts w:eastAsiaTheme="minorEastAsia"/>
          <w:b w:val="0"/>
          <w:noProof/>
          <w:color w:val="auto"/>
          <w:sz w:val="22"/>
          <w:u w:val="none"/>
          <w:lang w:eastAsia="en-AU"/>
        </w:rPr>
      </w:pPr>
      <w:hyperlink w:anchor="_Toc141176165" w:history="1">
        <w:r w:rsidRPr="00657356">
          <w:rPr>
            <w:rStyle w:val="Hyperlink"/>
            <w:noProof/>
          </w:rPr>
          <w:t>Our approach to compliance and enforcement</w:t>
        </w:r>
        <w:r>
          <w:rPr>
            <w:noProof/>
            <w:webHidden/>
          </w:rPr>
          <w:tab/>
        </w:r>
        <w:r>
          <w:rPr>
            <w:noProof/>
            <w:webHidden/>
          </w:rPr>
          <w:fldChar w:fldCharType="begin"/>
        </w:r>
        <w:r>
          <w:rPr>
            <w:noProof/>
            <w:webHidden/>
          </w:rPr>
          <w:instrText xml:space="preserve"> PAGEREF _Toc141176165 \h </w:instrText>
        </w:r>
        <w:r>
          <w:rPr>
            <w:noProof/>
            <w:webHidden/>
          </w:rPr>
        </w:r>
        <w:r>
          <w:rPr>
            <w:noProof/>
            <w:webHidden/>
          </w:rPr>
          <w:fldChar w:fldCharType="separate"/>
        </w:r>
        <w:r>
          <w:rPr>
            <w:noProof/>
            <w:webHidden/>
          </w:rPr>
          <w:t>4</w:t>
        </w:r>
        <w:r>
          <w:rPr>
            <w:noProof/>
            <w:webHidden/>
          </w:rPr>
          <w:fldChar w:fldCharType="end"/>
        </w:r>
      </w:hyperlink>
    </w:p>
    <w:p w14:paraId="643EA7AF" w14:textId="1F41AE08" w:rsidR="002A2787" w:rsidRDefault="002A2787">
      <w:pPr>
        <w:pStyle w:val="TOC2"/>
        <w:rPr>
          <w:rFonts w:eastAsiaTheme="minorEastAsia"/>
          <w:noProof/>
          <w:color w:val="auto"/>
          <w:lang w:eastAsia="en-AU"/>
        </w:rPr>
      </w:pPr>
      <w:hyperlink w:anchor="_Toc141176166" w:history="1">
        <w:r w:rsidRPr="00657356">
          <w:rPr>
            <w:rStyle w:val="Hyperlink"/>
            <w:noProof/>
          </w:rPr>
          <w:t>Our principles</w:t>
        </w:r>
        <w:r>
          <w:rPr>
            <w:noProof/>
            <w:webHidden/>
          </w:rPr>
          <w:tab/>
        </w:r>
        <w:r>
          <w:rPr>
            <w:noProof/>
            <w:webHidden/>
          </w:rPr>
          <w:fldChar w:fldCharType="begin"/>
        </w:r>
        <w:r>
          <w:rPr>
            <w:noProof/>
            <w:webHidden/>
          </w:rPr>
          <w:instrText xml:space="preserve"> PAGEREF _Toc141176166 \h </w:instrText>
        </w:r>
        <w:r>
          <w:rPr>
            <w:noProof/>
            <w:webHidden/>
          </w:rPr>
        </w:r>
        <w:r>
          <w:rPr>
            <w:noProof/>
            <w:webHidden/>
          </w:rPr>
          <w:fldChar w:fldCharType="separate"/>
        </w:r>
        <w:r>
          <w:rPr>
            <w:noProof/>
            <w:webHidden/>
          </w:rPr>
          <w:t>5</w:t>
        </w:r>
        <w:r>
          <w:rPr>
            <w:noProof/>
            <w:webHidden/>
          </w:rPr>
          <w:fldChar w:fldCharType="end"/>
        </w:r>
      </w:hyperlink>
    </w:p>
    <w:p w14:paraId="52B3E3CE" w14:textId="226F9CAB" w:rsidR="002A2787" w:rsidRDefault="002A2787">
      <w:pPr>
        <w:pStyle w:val="TOC2"/>
        <w:rPr>
          <w:rFonts w:eastAsiaTheme="minorEastAsia"/>
          <w:noProof/>
          <w:color w:val="auto"/>
          <w:lang w:eastAsia="en-AU"/>
        </w:rPr>
      </w:pPr>
      <w:hyperlink w:anchor="_Toc141176167" w:history="1">
        <w:r w:rsidRPr="00657356">
          <w:rPr>
            <w:rStyle w:val="Hyperlink"/>
            <w:noProof/>
          </w:rPr>
          <w:t>Our compliance approach and model</w:t>
        </w:r>
        <w:r>
          <w:rPr>
            <w:noProof/>
            <w:webHidden/>
          </w:rPr>
          <w:tab/>
        </w:r>
        <w:r>
          <w:rPr>
            <w:noProof/>
            <w:webHidden/>
          </w:rPr>
          <w:fldChar w:fldCharType="begin"/>
        </w:r>
        <w:r>
          <w:rPr>
            <w:noProof/>
            <w:webHidden/>
          </w:rPr>
          <w:instrText xml:space="preserve"> PAGEREF _Toc141176167 \h </w:instrText>
        </w:r>
        <w:r>
          <w:rPr>
            <w:noProof/>
            <w:webHidden/>
          </w:rPr>
        </w:r>
        <w:r>
          <w:rPr>
            <w:noProof/>
            <w:webHidden/>
          </w:rPr>
          <w:fldChar w:fldCharType="separate"/>
        </w:r>
        <w:r>
          <w:rPr>
            <w:noProof/>
            <w:webHidden/>
          </w:rPr>
          <w:t>5</w:t>
        </w:r>
        <w:r>
          <w:rPr>
            <w:noProof/>
            <w:webHidden/>
          </w:rPr>
          <w:fldChar w:fldCharType="end"/>
        </w:r>
      </w:hyperlink>
    </w:p>
    <w:p w14:paraId="5A3730A6" w14:textId="5E6425F1" w:rsidR="002A2787" w:rsidRDefault="002A2787">
      <w:pPr>
        <w:pStyle w:val="TOC2"/>
        <w:rPr>
          <w:rFonts w:eastAsiaTheme="minorEastAsia"/>
          <w:noProof/>
          <w:color w:val="auto"/>
          <w:lang w:eastAsia="en-AU"/>
        </w:rPr>
      </w:pPr>
      <w:hyperlink w:anchor="_Toc141176168" w:history="1">
        <w:r w:rsidRPr="00657356">
          <w:rPr>
            <w:rStyle w:val="Hyperlink"/>
            <w:noProof/>
          </w:rPr>
          <w:t>Previous compliance and enforcement strategies</w:t>
        </w:r>
        <w:r>
          <w:rPr>
            <w:noProof/>
            <w:webHidden/>
          </w:rPr>
          <w:tab/>
        </w:r>
        <w:r>
          <w:rPr>
            <w:noProof/>
            <w:webHidden/>
          </w:rPr>
          <w:fldChar w:fldCharType="begin"/>
        </w:r>
        <w:r>
          <w:rPr>
            <w:noProof/>
            <w:webHidden/>
          </w:rPr>
          <w:instrText xml:space="preserve"> PAGEREF _Toc141176168 \h </w:instrText>
        </w:r>
        <w:r>
          <w:rPr>
            <w:noProof/>
            <w:webHidden/>
          </w:rPr>
        </w:r>
        <w:r>
          <w:rPr>
            <w:noProof/>
            <w:webHidden/>
          </w:rPr>
          <w:fldChar w:fldCharType="separate"/>
        </w:r>
        <w:r>
          <w:rPr>
            <w:noProof/>
            <w:webHidden/>
          </w:rPr>
          <w:t>6</w:t>
        </w:r>
        <w:r>
          <w:rPr>
            <w:noProof/>
            <w:webHidden/>
          </w:rPr>
          <w:fldChar w:fldCharType="end"/>
        </w:r>
      </w:hyperlink>
    </w:p>
    <w:p w14:paraId="12522FD7" w14:textId="4DCFB3E3" w:rsidR="002A2787" w:rsidRDefault="002A2787">
      <w:pPr>
        <w:pStyle w:val="TOC2"/>
        <w:rPr>
          <w:rFonts w:eastAsiaTheme="minorEastAsia"/>
          <w:noProof/>
          <w:color w:val="auto"/>
          <w:lang w:eastAsia="en-AU"/>
        </w:rPr>
      </w:pPr>
      <w:hyperlink w:anchor="_Toc141176169" w:history="1">
        <w:r w:rsidRPr="00657356">
          <w:rPr>
            <w:rStyle w:val="Hyperlink"/>
            <w:noProof/>
          </w:rPr>
          <w:t>Our operating environment</w:t>
        </w:r>
        <w:r>
          <w:rPr>
            <w:noProof/>
            <w:webHidden/>
          </w:rPr>
          <w:tab/>
        </w:r>
        <w:r>
          <w:rPr>
            <w:noProof/>
            <w:webHidden/>
          </w:rPr>
          <w:fldChar w:fldCharType="begin"/>
        </w:r>
        <w:r>
          <w:rPr>
            <w:noProof/>
            <w:webHidden/>
          </w:rPr>
          <w:instrText xml:space="preserve"> PAGEREF _Toc141176169 \h </w:instrText>
        </w:r>
        <w:r>
          <w:rPr>
            <w:noProof/>
            <w:webHidden/>
          </w:rPr>
        </w:r>
        <w:r>
          <w:rPr>
            <w:noProof/>
            <w:webHidden/>
          </w:rPr>
          <w:fldChar w:fldCharType="separate"/>
        </w:r>
        <w:r>
          <w:rPr>
            <w:noProof/>
            <w:webHidden/>
          </w:rPr>
          <w:t>7</w:t>
        </w:r>
        <w:r>
          <w:rPr>
            <w:noProof/>
            <w:webHidden/>
          </w:rPr>
          <w:fldChar w:fldCharType="end"/>
        </w:r>
      </w:hyperlink>
    </w:p>
    <w:p w14:paraId="76021548" w14:textId="35807D8D" w:rsidR="002A2787" w:rsidRDefault="002A2787">
      <w:pPr>
        <w:pStyle w:val="TOC3"/>
        <w:tabs>
          <w:tab w:val="right" w:pos="9854"/>
        </w:tabs>
        <w:rPr>
          <w:rFonts w:eastAsiaTheme="minorEastAsia"/>
          <w:noProof/>
          <w:color w:val="auto"/>
          <w:lang w:eastAsia="en-AU"/>
        </w:rPr>
      </w:pPr>
      <w:hyperlink w:anchor="_Toc141176170" w:history="1">
        <w:r w:rsidRPr="00657356">
          <w:rPr>
            <w:rStyle w:val="Hyperlink"/>
            <w:noProof/>
            <w:lang w:val="en-US"/>
          </w:rPr>
          <w:t>New RVS legislation</w:t>
        </w:r>
        <w:r>
          <w:rPr>
            <w:noProof/>
            <w:webHidden/>
          </w:rPr>
          <w:tab/>
        </w:r>
        <w:r>
          <w:rPr>
            <w:noProof/>
            <w:webHidden/>
          </w:rPr>
          <w:fldChar w:fldCharType="begin"/>
        </w:r>
        <w:r>
          <w:rPr>
            <w:noProof/>
            <w:webHidden/>
          </w:rPr>
          <w:instrText xml:space="preserve"> PAGEREF _Toc141176170 \h </w:instrText>
        </w:r>
        <w:r>
          <w:rPr>
            <w:noProof/>
            <w:webHidden/>
          </w:rPr>
        </w:r>
        <w:r>
          <w:rPr>
            <w:noProof/>
            <w:webHidden/>
          </w:rPr>
          <w:fldChar w:fldCharType="separate"/>
        </w:r>
        <w:r>
          <w:rPr>
            <w:noProof/>
            <w:webHidden/>
          </w:rPr>
          <w:t>7</w:t>
        </w:r>
        <w:r>
          <w:rPr>
            <w:noProof/>
            <w:webHidden/>
          </w:rPr>
          <w:fldChar w:fldCharType="end"/>
        </w:r>
      </w:hyperlink>
    </w:p>
    <w:p w14:paraId="48F7649D" w14:textId="75BB7341" w:rsidR="002A2787" w:rsidRDefault="002A2787">
      <w:pPr>
        <w:pStyle w:val="TOC3"/>
        <w:tabs>
          <w:tab w:val="right" w:pos="9854"/>
        </w:tabs>
        <w:rPr>
          <w:rFonts w:eastAsiaTheme="minorEastAsia"/>
          <w:noProof/>
          <w:color w:val="auto"/>
          <w:lang w:eastAsia="en-AU"/>
        </w:rPr>
      </w:pPr>
      <w:hyperlink w:anchor="_Toc141176171" w:history="1">
        <w:r w:rsidRPr="00657356">
          <w:rPr>
            <w:rStyle w:val="Hyperlink"/>
            <w:noProof/>
            <w:lang w:val="en-US"/>
          </w:rPr>
          <w:t>Industry intelligence</w:t>
        </w:r>
        <w:r>
          <w:rPr>
            <w:noProof/>
            <w:webHidden/>
          </w:rPr>
          <w:tab/>
        </w:r>
        <w:r>
          <w:rPr>
            <w:noProof/>
            <w:webHidden/>
          </w:rPr>
          <w:fldChar w:fldCharType="begin"/>
        </w:r>
        <w:r>
          <w:rPr>
            <w:noProof/>
            <w:webHidden/>
          </w:rPr>
          <w:instrText xml:space="preserve"> PAGEREF _Toc141176171 \h </w:instrText>
        </w:r>
        <w:r>
          <w:rPr>
            <w:noProof/>
            <w:webHidden/>
          </w:rPr>
        </w:r>
        <w:r>
          <w:rPr>
            <w:noProof/>
            <w:webHidden/>
          </w:rPr>
          <w:fldChar w:fldCharType="separate"/>
        </w:r>
        <w:r>
          <w:rPr>
            <w:noProof/>
            <w:webHidden/>
          </w:rPr>
          <w:t>7</w:t>
        </w:r>
        <w:r>
          <w:rPr>
            <w:noProof/>
            <w:webHidden/>
          </w:rPr>
          <w:fldChar w:fldCharType="end"/>
        </w:r>
      </w:hyperlink>
    </w:p>
    <w:p w14:paraId="55DBC5CF" w14:textId="149F2FC2" w:rsidR="002A2787" w:rsidRDefault="002A2787">
      <w:pPr>
        <w:pStyle w:val="TOC3"/>
        <w:tabs>
          <w:tab w:val="right" w:pos="9854"/>
        </w:tabs>
        <w:rPr>
          <w:rFonts w:eastAsiaTheme="minorEastAsia"/>
          <w:noProof/>
          <w:color w:val="auto"/>
          <w:lang w:eastAsia="en-AU"/>
        </w:rPr>
      </w:pPr>
      <w:hyperlink w:anchor="_Toc141176172" w:history="1">
        <w:r w:rsidRPr="00657356">
          <w:rPr>
            <w:rStyle w:val="Hyperlink"/>
            <w:noProof/>
            <w:lang w:val="en-US"/>
          </w:rPr>
          <w:t>Reports of alleged non-compliance</w:t>
        </w:r>
        <w:r>
          <w:rPr>
            <w:noProof/>
            <w:webHidden/>
          </w:rPr>
          <w:tab/>
        </w:r>
        <w:r>
          <w:rPr>
            <w:noProof/>
            <w:webHidden/>
          </w:rPr>
          <w:fldChar w:fldCharType="begin"/>
        </w:r>
        <w:r>
          <w:rPr>
            <w:noProof/>
            <w:webHidden/>
          </w:rPr>
          <w:instrText xml:space="preserve"> PAGEREF _Toc141176172 \h </w:instrText>
        </w:r>
        <w:r>
          <w:rPr>
            <w:noProof/>
            <w:webHidden/>
          </w:rPr>
        </w:r>
        <w:r>
          <w:rPr>
            <w:noProof/>
            <w:webHidden/>
          </w:rPr>
          <w:fldChar w:fldCharType="separate"/>
        </w:r>
        <w:r>
          <w:rPr>
            <w:noProof/>
            <w:webHidden/>
          </w:rPr>
          <w:t>7</w:t>
        </w:r>
        <w:r>
          <w:rPr>
            <w:noProof/>
            <w:webHidden/>
          </w:rPr>
          <w:fldChar w:fldCharType="end"/>
        </w:r>
      </w:hyperlink>
    </w:p>
    <w:p w14:paraId="6B4069D1" w14:textId="19DC8F73" w:rsidR="002A2787" w:rsidRDefault="002A2787">
      <w:pPr>
        <w:pStyle w:val="TOC3"/>
        <w:tabs>
          <w:tab w:val="right" w:pos="9854"/>
        </w:tabs>
        <w:rPr>
          <w:rFonts w:eastAsiaTheme="minorEastAsia"/>
          <w:noProof/>
          <w:color w:val="auto"/>
          <w:lang w:eastAsia="en-AU"/>
        </w:rPr>
      </w:pPr>
      <w:hyperlink w:anchor="_Toc141176173" w:history="1">
        <w:r w:rsidRPr="00657356">
          <w:rPr>
            <w:rStyle w:val="Hyperlink"/>
            <w:noProof/>
            <w:lang w:val="en-US"/>
          </w:rPr>
          <w:t>The evolving automotive industry</w:t>
        </w:r>
        <w:r>
          <w:rPr>
            <w:noProof/>
            <w:webHidden/>
          </w:rPr>
          <w:tab/>
        </w:r>
        <w:r>
          <w:rPr>
            <w:noProof/>
            <w:webHidden/>
          </w:rPr>
          <w:fldChar w:fldCharType="begin"/>
        </w:r>
        <w:r>
          <w:rPr>
            <w:noProof/>
            <w:webHidden/>
          </w:rPr>
          <w:instrText xml:space="preserve"> PAGEREF _Toc141176173 \h </w:instrText>
        </w:r>
        <w:r>
          <w:rPr>
            <w:noProof/>
            <w:webHidden/>
          </w:rPr>
        </w:r>
        <w:r>
          <w:rPr>
            <w:noProof/>
            <w:webHidden/>
          </w:rPr>
          <w:fldChar w:fldCharType="separate"/>
        </w:r>
        <w:r>
          <w:rPr>
            <w:noProof/>
            <w:webHidden/>
          </w:rPr>
          <w:t>7</w:t>
        </w:r>
        <w:r>
          <w:rPr>
            <w:noProof/>
            <w:webHidden/>
          </w:rPr>
          <w:fldChar w:fldCharType="end"/>
        </w:r>
      </w:hyperlink>
    </w:p>
    <w:p w14:paraId="21286C0A" w14:textId="677986BE" w:rsidR="002A2787" w:rsidRDefault="002A2787">
      <w:pPr>
        <w:pStyle w:val="TOC1"/>
        <w:rPr>
          <w:rFonts w:eastAsiaTheme="minorEastAsia"/>
          <w:b w:val="0"/>
          <w:noProof/>
          <w:color w:val="auto"/>
          <w:sz w:val="22"/>
          <w:u w:val="none"/>
          <w:lang w:eastAsia="en-AU"/>
        </w:rPr>
      </w:pPr>
      <w:hyperlink w:anchor="_Toc141176174" w:history="1">
        <w:r w:rsidRPr="00657356">
          <w:rPr>
            <w:rStyle w:val="Hyperlink"/>
            <w:noProof/>
          </w:rPr>
          <w:t>Our priorities for 2023-26</w:t>
        </w:r>
        <w:r>
          <w:rPr>
            <w:noProof/>
            <w:webHidden/>
          </w:rPr>
          <w:tab/>
        </w:r>
        <w:r>
          <w:rPr>
            <w:noProof/>
            <w:webHidden/>
          </w:rPr>
          <w:fldChar w:fldCharType="begin"/>
        </w:r>
        <w:r>
          <w:rPr>
            <w:noProof/>
            <w:webHidden/>
          </w:rPr>
          <w:instrText xml:space="preserve"> PAGEREF _Toc141176174 \h </w:instrText>
        </w:r>
        <w:r>
          <w:rPr>
            <w:noProof/>
            <w:webHidden/>
          </w:rPr>
        </w:r>
        <w:r>
          <w:rPr>
            <w:noProof/>
            <w:webHidden/>
          </w:rPr>
          <w:fldChar w:fldCharType="separate"/>
        </w:r>
        <w:r>
          <w:rPr>
            <w:noProof/>
            <w:webHidden/>
          </w:rPr>
          <w:t>8</w:t>
        </w:r>
        <w:r>
          <w:rPr>
            <w:noProof/>
            <w:webHidden/>
          </w:rPr>
          <w:fldChar w:fldCharType="end"/>
        </w:r>
      </w:hyperlink>
    </w:p>
    <w:p w14:paraId="26C591E1" w14:textId="21776941" w:rsidR="002A2787" w:rsidRDefault="002A2787">
      <w:pPr>
        <w:pStyle w:val="TOC2"/>
        <w:rPr>
          <w:rFonts w:eastAsiaTheme="minorEastAsia"/>
          <w:noProof/>
          <w:color w:val="auto"/>
          <w:lang w:eastAsia="en-AU"/>
        </w:rPr>
      </w:pPr>
      <w:hyperlink w:anchor="_Toc141176175" w:history="1">
        <w:r w:rsidRPr="00657356">
          <w:rPr>
            <w:rStyle w:val="Hyperlink"/>
            <w:b/>
            <w:noProof/>
          </w:rPr>
          <w:t>Focus areas</w:t>
        </w:r>
        <w:r w:rsidRPr="00657356">
          <w:rPr>
            <w:rStyle w:val="Hyperlink"/>
            <w:noProof/>
          </w:rPr>
          <w:t xml:space="preserve"> for compliance and enforcement</w:t>
        </w:r>
        <w:r>
          <w:rPr>
            <w:noProof/>
            <w:webHidden/>
          </w:rPr>
          <w:tab/>
        </w:r>
        <w:r>
          <w:rPr>
            <w:noProof/>
            <w:webHidden/>
          </w:rPr>
          <w:fldChar w:fldCharType="begin"/>
        </w:r>
        <w:r>
          <w:rPr>
            <w:noProof/>
            <w:webHidden/>
          </w:rPr>
          <w:instrText xml:space="preserve"> PAGEREF _Toc141176175 \h </w:instrText>
        </w:r>
        <w:r>
          <w:rPr>
            <w:noProof/>
            <w:webHidden/>
          </w:rPr>
        </w:r>
        <w:r>
          <w:rPr>
            <w:noProof/>
            <w:webHidden/>
          </w:rPr>
          <w:fldChar w:fldCharType="separate"/>
        </w:r>
        <w:r>
          <w:rPr>
            <w:noProof/>
            <w:webHidden/>
          </w:rPr>
          <w:t>9</w:t>
        </w:r>
        <w:r>
          <w:rPr>
            <w:noProof/>
            <w:webHidden/>
          </w:rPr>
          <w:fldChar w:fldCharType="end"/>
        </w:r>
      </w:hyperlink>
    </w:p>
    <w:p w14:paraId="047A1AD7" w14:textId="56D6D810" w:rsidR="002A2787" w:rsidRDefault="002A2787">
      <w:pPr>
        <w:pStyle w:val="TOC3"/>
        <w:tabs>
          <w:tab w:val="right" w:pos="9854"/>
        </w:tabs>
        <w:rPr>
          <w:rFonts w:eastAsiaTheme="minorEastAsia"/>
          <w:noProof/>
          <w:color w:val="auto"/>
          <w:lang w:eastAsia="en-AU"/>
        </w:rPr>
      </w:pPr>
      <w:hyperlink w:anchor="_Toc141176176" w:history="1">
        <w:r w:rsidRPr="00657356">
          <w:rPr>
            <w:rStyle w:val="Hyperlink"/>
            <w:noProof/>
          </w:rPr>
          <w:t>Approval holders participating in the concessional RAV entry pathway</w:t>
        </w:r>
        <w:r>
          <w:rPr>
            <w:noProof/>
            <w:webHidden/>
          </w:rPr>
          <w:tab/>
        </w:r>
        <w:r>
          <w:rPr>
            <w:noProof/>
            <w:webHidden/>
          </w:rPr>
          <w:fldChar w:fldCharType="begin"/>
        </w:r>
        <w:r>
          <w:rPr>
            <w:noProof/>
            <w:webHidden/>
          </w:rPr>
          <w:instrText xml:space="preserve"> PAGEREF _Toc141176176 \h </w:instrText>
        </w:r>
        <w:r>
          <w:rPr>
            <w:noProof/>
            <w:webHidden/>
          </w:rPr>
        </w:r>
        <w:r>
          <w:rPr>
            <w:noProof/>
            <w:webHidden/>
          </w:rPr>
          <w:fldChar w:fldCharType="separate"/>
        </w:r>
        <w:r>
          <w:rPr>
            <w:noProof/>
            <w:webHidden/>
          </w:rPr>
          <w:t>9</w:t>
        </w:r>
        <w:r>
          <w:rPr>
            <w:noProof/>
            <w:webHidden/>
          </w:rPr>
          <w:fldChar w:fldCharType="end"/>
        </w:r>
      </w:hyperlink>
    </w:p>
    <w:p w14:paraId="5B646320" w14:textId="03B42F0B" w:rsidR="002A2787" w:rsidRDefault="002A2787">
      <w:pPr>
        <w:pStyle w:val="TOC3"/>
        <w:tabs>
          <w:tab w:val="right" w:pos="9854"/>
        </w:tabs>
        <w:rPr>
          <w:rFonts w:eastAsiaTheme="minorEastAsia"/>
          <w:noProof/>
          <w:color w:val="auto"/>
          <w:lang w:eastAsia="en-AU"/>
        </w:rPr>
      </w:pPr>
      <w:hyperlink w:anchor="_Toc141176177" w:history="1">
        <w:r w:rsidRPr="00657356">
          <w:rPr>
            <w:rStyle w:val="Hyperlink"/>
            <w:noProof/>
          </w:rPr>
          <w:t>Large or established vehicle manufacturers’ compliance with their VTA conditions</w:t>
        </w:r>
        <w:r>
          <w:rPr>
            <w:noProof/>
            <w:webHidden/>
          </w:rPr>
          <w:tab/>
        </w:r>
        <w:r>
          <w:rPr>
            <w:noProof/>
            <w:webHidden/>
          </w:rPr>
          <w:fldChar w:fldCharType="begin"/>
        </w:r>
        <w:r>
          <w:rPr>
            <w:noProof/>
            <w:webHidden/>
          </w:rPr>
          <w:instrText xml:space="preserve"> PAGEREF _Toc141176177 \h </w:instrText>
        </w:r>
        <w:r>
          <w:rPr>
            <w:noProof/>
            <w:webHidden/>
          </w:rPr>
        </w:r>
        <w:r>
          <w:rPr>
            <w:noProof/>
            <w:webHidden/>
          </w:rPr>
          <w:fldChar w:fldCharType="separate"/>
        </w:r>
        <w:r>
          <w:rPr>
            <w:noProof/>
            <w:webHidden/>
          </w:rPr>
          <w:t>11</w:t>
        </w:r>
        <w:r>
          <w:rPr>
            <w:noProof/>
            <w:webHidden/>
          </w:rPr>
          <w:fldChar w:fldCharType="end"/>
        </w:r>
      </w:hyperlink>
    </w:p>
    <w:p w14:paraId="353BA53B" w14:textId="24245C29" w:rsidR="002A2787" w:rsidRDefault="002A2787">
      <w:pPr>
        <w:pStyle w:val="TOC3"/>
        <w:tabs>
          <w:tab w:val="right" w:pos="9854"/>
        </w:tabs>
        <w:rPr>
          <w:rFonts w:eastAsiaTheme="minorEastAsia"/>
          <w:noProof/>
          <w:color w:val="auto"/>
          <w:lang w:eastAsia="en-AU"/>
        </w:rPr>
      </w:pPr>
      <w:hyperlink w:anchor="_Toc141176178" w:history="1">
        <w:r w:rsidRPr="00657356">
          <w:rPr>
            <w:rStyle w:val="Hyperlink"/>
            <w:noProof/>
            <w:lang w:val="en-US"/>
          </w:rPr>
          <w:t>Opted-in high ATM trailer VTAs</w:t>
        </w:r>
        <w:r>
          <w:rPr>
            <w:noProof/>
            <w:webHidden/>
          </w:rPr>
          <w:tab/>
        </w:r>
        <w:r>
          <w:rPr>
            <w:noProof/>
            <w:webHidden/>
          </w:rPr>
          <w:fldChar w:fldCharType="begin"/>
        </w:r>
        <w:r>
          <w:rPr>
            <w:noProof/>
            <w:webHidden/>
          </w:rPr>
          <w:instrText xml:space="preserve"> PAGEREF _Toc141176178 \h </w:instrText>
        </w:r>
        <w:r>
          <w:rPr>
            <w:noProof/>
            <w:webHidden/>
          </w:rPr>
        </w:r>
        <w:r>
          <w:rPr>
            <w:noProof/>
            <w:webHidden/>
          </w:rPr>
          <w:fldChar w:fldCharType="separate"/>
        </w:r>
        <w:r>
          <w:rPr>
            <w:noProof/>
            <w:webHidden/>
          </w:rPr>
          <w:t>12</w:t>
        </w:r>
        <w:r>
          <w:rPr>
            <w:noProof/>
            <w:webHidden/>
          </w:rPr>
          <w:fldChar w:fldCharType="end"/>
        </w:r>
      </w:hyperlink>
    </w:p>
    <w:p w14:paraId="4C3EA3C5" w14:textId="592A384C" w:rsidR="002A2787" w:rsidRDefault="002A2787">
      <w:pPr>
        <w:pStyle w:val="TOC3"/>
        <w:tabs>
          <w:tab w:val="right" w:pos="9854"/>
        </w:tabs>
        <w:rPr>
          <w:rFonts w:eastAsiaTheme="minorEastAsia"/>
          <w:noProof/>
          <w:color w:val="auto"/>
          <w:lang w:eastAsia="en-AU"/>
        </w:rPr>
      </w:pPr>
      <w:hyperlink w:anchor="_Toc141176179" w:history="1">
        <w:r w:rsidRPr="00657356">
          <w:rPr>
            <w:rStyle w:val="Hyperlink"/>
            <w:noProof/>
            <w:lang w:val="en-US"/>
          </w:rPr>
          <w:t>Entities that continue to operate without appropriate RVS approvals post 30 June 2023</w:t>
        </w:r>
        <w:r>
          <w:rPr>
            <w:noProof/>
            <w:webHidden/>
          </w:rPr>
          <w:tab/>
        </w:r>
        <w:r>
          <w:rPr>
            <w:noProof/>
            <w:webHidden/>
          </w:rPr>
          <w:fldChar w:fldCharType="begin"/>
        </w:r>
        <w:r>
          <w:rPr>
            <w:noProof/>
            <w:webHidden/>
          </w:rPr>
          <w:instrText xml:space="preserve"> PAGEREF _Toc141176179 \h </w:instrText>
        </w:r>
        <w:r>
          <w:rPr>
            <w:noProof/>
            <w:webHidden/>
          </w:rPr>
        </w:r>
        <w:r>
          <w:rPr>
            <w:noProof/>
            <w:webHidden/>
          </w:rPr>
          <w:fldChar w:fldCharType="separate"/>
        </w:r>
        <w:r>
          <w:rPr>
            <w:noProof/>
            <w:webHidden/>
          </w:rPr>
          <w:t>12</w:t>
        </w:r>
        <w:r>
          <w:rPr>
            <w:noProof/>
            <w:webHidden/>
          </w:rPr>
          <w:fldChar w:fldCharType="end"/>
        </w:r>
      </w:hyperlink>
    </w:p>
    <w:p w14:paraId="1A1DA685" w14:textId="4EB0C431" w:rsidR="002A2787" w:rsidRDefault="002A2787">
      <w:pPr>
        <w:pStyle w:val="TOC1"/>
        <w:rPr>
          <w:rFonts w:eastAsiaTheme="minorEastAsia"/>
          <w:b w:val="0"/>
          <w:noProof/>
          <w:color w:val="auto"/>
          <w:sz w:val="22"/>
          <w:u w:val="none"/>
          <w:lang w:eastAsia="en-AU"/>
        </w:rPr>
      </w:pPr>
      <w:hyperlink w:anchor="_Toc141176180" w:history="1">
        <w:r w:rsidRPr="00657356">
          <w:rPr>
            <w:rStyle w:val="Hyperlink"/>
            <w:noProof/>
          </w:rPr>
          <w:t>More information</w:t>
        </w:r>
        <w:r>
          <w:rPr>
            <w:noProof/>
            <w:webHidden/>
          </w:rPr>
          <w:tab/>
        </w:r>
        <w:r>
          <w:rPr>
            <w:noProof/>
            <w:webHidden/>
          </w:rPr>
          <w:fldChar w:fldCharType="begin"/>
        </w:r>
        <w:r>
          <w:rPr>
            <w:noProof/>
            <w:webHidden/>
          </w:rPr>
          <w:instrText xml:space="preserve"> PAGEREF _Toc141176180 \h </w:instrText>
        </w:r>
        <w:r>
          <w:rPr>
            <w:noProof/>
            <w:webHidden/>
          </w:rPr>
        </w:r>
        <w:r>
          <w:rPr>
            <w:noProof/>
            <w:webHidden/>
          </w:rPr>
          <w:fldChar w:fldCharType="separate"/>
        </w:r>
        <w:r>
          <w:rPr>
            <w:noProof/>
            <w:webHidden/>
          </w:rPr>
          <w:t>13</w:t>
        </w:r>
        <w:r>
          <w:rPr>
            <w:noProof/>
            <w:webHidden/>
          </w:rPr>
          <w:fldChar w:fldCharType="end"/>
        </w:r>
      </w:hyperlink>
    </w:p>
    <w:p w14:paraId="7E89E9A5" w14:textId="75952DE2" w:rsidR="002A2787" w:rsidRDefault="002A2787">
      <w:pPr>
        <w:pStyle w:val="TOC2"/>
        <w:rPr>
          <w:rFonts w:eastAsiaTheme="minorEastAsia"/>
          <w:noProof/>
          <w:color w:val="auto"/>
          <w:lang w:eastAsia="en-AU"/>
        </w:rPr>
      </w:pPr>
      <w:hyperlink w:anchor="_Toc141176181" w:history="1">
        <w:r w:rsidRPr="00657356">
          <w:rPr>
            <w:rStyle w:val="Hyperlink"/>
            <w:noProof/>
          </w:rPr>
          <w:t>Reporting suspected non-compliance to us</w:t>
        </w:r>
        <w:r>
          <w:rPr>
            <w:noProof/>
            <w:webHidden/>
          </w:rPr>
          <w:tab/>
        </w:r>
        <w:r>
          <w:rPr>
            <w:noProof/>
            <w:webHidden/>
          </w:rPr>
          <w:fldChar w:fldCharType="begin"/>
        </w:r>
        <w:r>
          <w:rPr>
            <w:noProof/>
            <w:webHidden/>
          </w:rPr>
          <w:instrText xml:space="preserve"> PAGEREF _Toc141176181 \h </w:instrText>
        </w:r>
        <w:r>
          <w:rPr>
            <w:noProof/>
            <w:webHidden/>
          </w:rPr>
        </w:r>
        <w:r>
          <w:rPr>
            <w:noProof/>
            <w:webHidden/>
          </w:rPr>
          <w:fldChar w:fldCharType="separate"/>
        </w:r>
        <w:r>
          <w:rPr>
            <w:noProof/>
            <w:webHidden/>
          </w:rPr>
          <w:t>13</w:t>
        </w:r>
        <w:r>
          <w:rPr>
            <w:noProof/>
            <w:webHidden/>
          </w:rPr>
          <w:fldChar w:fldCharType="end"/>
        </w:r>
      </w:hyperlink>
    </w:p>
    <w:p w14:paraId="0BD55B07" w14:textId="07A757EE" w:rsidR="002A2787" w:rsidRDefault="002A2787">
      <w:pPr>
        <w:pStyle w:val="TOC2"/>
        <w:rPr>
          <w:rFonts w:eastAsiaTheme="minorEastAsia"/>
          <w:noProof/>
          <w:color w:val="auto"/>
          <w:lang w:eastAsia="en-AU"/>
        </w:rPr>
      </w:pPr>
      <w:hyperlink w:anchor="_Toc141176182" w:history="1">
        <w:r w:rsidRPr="00657356">
          <w:rPr>
            <w:rStyle w:val="Hyperlink"/>
            <w:noProof/>
          </w:rPr>
          <w:t>Review and complaint mechanisms</w:t>
        </w:r>
        <w:r>
          <w:rPr>
            <w:noProof/>
            <w:webHidden/>
          </w:rPr>
          <w:tab/>
        </w:r>
        <w:r>
          <w:rPr>
            <w:noProof/>
            <w:webHidden/>
          </w:rPr>
          <w:fldChar w:fldCharType="begin"/>
        </w:r>
        <w:r>
          <w:rPr>
            <w:noProof/>
            <w:webHidden/>
          </w:rPr>
          <w:instrText xml:space="preserve"> PAGEREF _Toc141176182 \h </w:instrText>
        </w:r>
        <w:r>
          <w:rPr>
            <w:noProof/>
            <w:webHidden/>
          </w:rPr>
        </w:r>
        <w:r>
          <w:rPr>
            <w:noProof/>
            <w:webHidden/>
          </w:rPr>
          <w:fldChar w:fldCharType="separate"/>
        </w:r>
        <w:r>
          <w:rPr>
            <w:noProof/>
            <w:webHidden/>
          </w:rPr>
          <w:t>14</w:t>
        </w:r>
        <w:r>
          <w:rPr>
            <w:noProof/>
            <w:webHidden/>
          </w:rPr>
          <w:fldChar w:fldCharType="end"/>
        </w:r>
      </w:hyperlink>
    </w:p>
    <w:p w14:paraId="1311C73B" w14:textId="5D961B21" w:rsidR="002A2787" w:rsidRDefault="002A2787">
      <w:pPr>
        <w:pStyle w:val="TOC2"/>
        <w:rPr>
          <w:rFonts w:eastAsiaTheme="minorEastAsia"/>
          <w:noProof/>
          <w:color w:val="auto"/>
          <w:lang w:eastAsia="en-AU"/>
        </w:rPr>
      </w:pPr>
      <w:hyperlink w:anchor="_Toc141176183" w:history="1">
        <w:r w:rsidRPr="00657356">
          <w:rPr>
            <w:rStyle w:val="Hyperlink"/>
            <w:noProof/>
          </w:rPr>
          <w:t>Glossary</w:t>
        </w:r>
        <w:r>
          <w:rPr>
            <w:noProof/>
            <w:webHidden/>
          </w:rPr>
          <w:tab/>
        </w:r>
        <w:r>
          <w:rPr>
            <w:noProof/>
            <w:webHidden/>
          </w:rPr>
          <w:fldChar w:fldCharType="begin"/>
        </w:r>
        <w:r>
          <w:rPr>
            <w:noProof/>
            <w:webHidden/>
          </w:rPr>
          <w:instrText xml:space="preserve"> PAGEREF _Toc141176183 \h </w:instrText>
        </w:r>
        <w:r>
          <w:rPr>
            <w:noProof/>
            <w:webHidden/>
          </w:rPr>
        </w:r>
        <w:r>
          <w:rPr>
            <w:noProof/>
            <w:webHidden/>
          </w:rPr>
          <w:fldChar w:fldCharType="separate"/>
        </w:r>
        <w:r>
          <w:rPr>
            <w:noProof/>
            <w:webHidden/>
          </w:rPr>
          <w:t>14</w:t>
        </w:r>
        <w:r>
          <w:rPr>
            <w:noProof/>
            <w:webHidden/>
          </w:rPr>
          <w:fldChar w:fldCharType="end"/>
        </w:r>
      </w:hyperlink>
    </w:p>
    <w:p w14:paraId="1093EFB3" w14:textId="0A12E063" w:rsidR="00DE54AC" w:rsidRDefault="00A95970">
      <w:r>
        <w:fldChar w:fldCharType="end"/>
      </w:r>
    </w:p>
    <w:p w14:paraId="096E44D7" w14:textId="7331239D" w:rsidR="006E1ECA" w:rsidRDefault="006E1ECA" w:rsidP="006E1ECA">
      <w:pPr>
        <w:pStyle w:val="TOCHeading"/>
      </w:pPr>
      <w:r>
        <w:t xml:space="preserve">List of Figures </w:t>
      </w:r>
      <w:bookmarkStart w:id="0" w:name="_GoBack"/>
      <w:bookmarkEnd w:id="0"/>
    </w:p>
    <w:p w14:paraId="4FDE2D44" w14:textId="3752867E" w:rsidR="002A2787" w:rsidRDefault="006E1ECA">
      <w:pPr>
        <w:pStyle w:val="TableofFigures"/>
        <w:tabs>
          <w:tab w:val="right" w:pos="9854"/>
        </w:tabs>
        <w:rPr>
          <w:rFonts w:eastAsiaTheme="minorEastAsia"/>
          <w:noProof/>
          <w:color w:val="auto"/>
          <w:lang w:eastAsia="en-AU"/>
        </w:rPr>
      </w:pPr>
      <w:r>
        <w:fldChar w:fldCharType="begin"/>
      </w:r>
      <w:r>
        <w:instrText xml:space="preserve"> TOC \h \z \t "Caption" \c </w:instrText>
      </w:r>
      <w:r>
        <w:fldChar w:fldCharType="separate"/>
      </w:r>
      <w:hyperlink w:anchor="_Toc141176184" w:history="1">
        <w:r w:rsidR="002A2787" w:rsidRPr="00B362F2">
          <w:rPr>
            <w:rStyle w:val="Hyperlink"/>
            <w:noProof/>
            <w:lang w:val="en-US"/>
          </w:rPr>
          <w:t>Figure 1 – Vehicle Safety Operations compliance model</w:t>
        </w:r>
        <w:r w:rsidR="002A2787">
          <w:rPr>
            <w:noProof/>
            <w:webHidden/>
          </w:rPr>
          <w:tab/>
        </w:r>
        <w:r w:rsidR="002A2787">
          <w:rPr>
            <w:noProof/>
            <w:webHidden/>
          </w:rPr>
          <w:fldChar w:fldCharType="begin"/>
        </w:r>
        <w:r w:rsidR="002A2787">
          <w:rPr>
            <w:noProof/>
            <w:webHidden/>
          </w:rPr>
          <w:instrText xml:space="preserve"> PAGEREF _Toc141176184 \h </w:instrText>
        </w:r>
        <w:r w:rsidR="002A2787">
          <w:rPr>
            <w:noProof/>
            <w:webHidden/>
          </w:rPr>
        </w:r>
        <w:r w:rsidR="002A2787">
          <w:rPr>
            <w:noProof/>
            <w:webHidden/>
          </w:rPr>
          <w:fldChar w:fldCharType="separate"/>
        </w:r>
        <w:r w:rsidR="002A2787">
          <w:rPr>
            <w:noProof/>
            <w:webHidden/>
          </w:rPr>
          <w:t>6</w:t>
        </w:r>
        <w:r w:rsidR="002A2787">
          <w:rPr>
            <w:noProof/>
            <w:webHidden/>
          </w:rPr>
          <w:fldChar w:fldCharType="end"/>
        </w:r>
      </w:hyperlink>
    </w:p>
    <w:p w14:paraId="2FC0FA9B" w14:textId="6DC5947B" w:rsidR="005912BE" w:rsidRDefault="006E1ECA">
      <w:r>
        <w:fldChar w:fldCharType="end"/>
      </w:r>
    </w:p>
    <w:p w14:paraId="2E420D6C" w14:textId="21FDFEF4" w:rsidR="005912BE" w:rsidRDefault="005912BE">
      <w:pPr>
        <w:sectPr w:rsidR="005912BE" w:rsidSect="00BA24FB">
          <w:headerReference w:type="default" r:id="rId18"/>
          <w:footerReference w:type="default" r:id="rId19"/>
          <w:headerReference w:type="first" r:id="rId20"/>
          <w:footerReference w:type="first" r:id="rId21"/>
          <w:pgSz w:w="11906" w:h="16838" w:code="9"/>
          <w:pgMar w:top="1021" w:right="1021" w:bottom="1021" w:left="1021" w:header="340" w:footer="397" w:gutter="0"/>
          <w:cols w:space="708"/>
          <w:docGrid w:linePitch="360"/>
        </w:sectPr>
      </w:pPr>
    </w:p>
    <w:p w14:paraId="3709C140" w14:textId="3CA506AD" w:rsidR="00F3659C" w:rsidRPr="00C9157A" w:rsidRDefault="00F3659C" w:rsidP="00F3659C">
      <w:pPr>
        <w:pStyle w:val="Heading1"/>
      </w:pPr>
      <w:bookmarkStart w:id="1" w:name="_Toc496792932"/>
      <w:bookmarkStart w:id="2" w:name="_Toc57962898"/>
      <w:bookmarkStart w:id="3" w:name="_Toc67317799"/>
      <w:bookmarkStart w:id="4" w:name="_Toc75440290"/>
      <w:bookmarkStart w:id="5" w:name="_Toc141176164"/>
      <w:r w:rsidRPr="00C9157A">
        <w:t>Introduction</w:t>
      </w:r>
      <w:bookmarkEnd w:id="1"/>
      <w:bookmarkEnd w:id="2"/>
      <w:bookmarkEnd w:id="3"/>
      <w:bookmarkEnd w:id="4"/>
      <w:bookmarkEnd w:id="5"/>
    </w:p>
    <w:p w14:paraId="3681B77D" w14:textId="28E1227E" w:rsidR="006D124A" w:rsidRPr="006D124A" w:rsidRDefault="006D124A" w:rsidP="006D124A">
      <w:pPr>
        <w:rPr>
          <w:lang w:val="en-US"/>
        </w:rPr>
      </w:pPr>
      <w:bookmarkStart w:id="6" w:name="_Toc67318633"/>
      <w:bookmarkStart w:id="7" w:name="_Toc67319039"/>
      <w:bookmarkStart w:id="8" w:name="_Toc67319097"/>
      <w:bookmarkStart w:id="9" w:name="_Toc67385934"/>
      <w:bookmarkStart w:id="10" w:name="_Toc67907666"/>
      <w:bookmarkStart w:id="11" w:name="_Toc67318371"/>
      <w:r w:rsidRPr="006D124A">
        <w:rPr>
          <w:lang w:val="en-US"/>
        </w:rPr>
        <w:t xml:space="preserve">The </w:t>
      </w:r>
      <w:r w:rsidRPr="00901943">
        <w:rPr>
          <w:i/>
          <w:lang w:val="en-US"/>
        </w:rPr>
        <w:t>Road Vehicle Standards Act 2018</w:t>
      </w:r>
      <w:r w:rsidRPr="006D124A">
        <w:rPr>
          <w:lang w:val="en-US"/>
        </w:rPr>
        <w:t xml:space="preserve"> (RVSA) replaced the </w:t>
      </w:r>
      <w:r w:rsidRPr="00901943">
        <w:rPr>
          <w:i/>
          <w:lang w:val="en-US"/>
        </w:rPr>
        <w:t>Motor Vehicle Standards Act 1989</w:t>
      </w:r>
      <w:r w:rsidRPr="006D124A">
        <w:rPr>
          <w:lang w:val="en-US"/>
        </w:rPr>
        <w:t xml:space="preserve"> (MVSA) and commenced in full on 1</w:t>
      </w:r>
      <w:r>
        <w:rPr>
          <w:lang w:val="en-US"/>
        </w:rPr>
        <w:t> </w:t>
      </w:r>
      <w:r w:rsidRPr="006D124A">
        <w:rPr>
          <w:lang w:val="en-US"/>
        </w:rPr>
        <w:t>July</w:t>
      </w:r>
      <w:r>
        <w:rPr>
          <w:lang w:val="en-US"/>
        </w:rPr>
        <w:t> </w:t>
      </w:r>
      <w:r w:rsidRPr="006D124A">
        <w:rPr>
          <w:lang w:val="en-US"/>
        </w:rPr>
        <w:t xml:space="preserve">2021. On this date, a 2-year transitional period also began for certain segments of </w:t>
      </w:r>
      <w:r w:rsidR="00C506CE">
        <w:rPr>
          <w:lang w:val="en-US"/>
        </w:rPr>
        <w:t xml:space="preserve">the </w:t>
      </w:r>
      <w:r w:rsidRPr="006D124A">
        <w:rPr>
          <w:lang w:val="en-US"/>
        </w:rPr>
        <w:t xml:space="preserve">industry. </w:t>
      </w:r>
    </w:p>
    <w:p w14:paraId="36B76600" w14:textId="0886C174" w:rsidR="006D124A" w:rsidRDefault="006D124A" w:rsidP="006D124A">
      <w:pPr>
        <w:rPr>
          <w:lang w:val="en-US"/>
        </w:rPr>
      </w:pPr>
      <w:r w:rsidRPr="006D124A">
        <w:rPr>
          <w:lang w:val="en-US"/>
        </w:rPr>
        <w:t>From 1</w:t>
      </w:r>
      <w:r>
        <w:rPr>
          <w:lang w:val="en-US"/>
        </w:rPr>
        <w:t> </w:t>
      </w:r>
      <w:r w:rsidRPr="006D124A">
        <w:rPr>
          <w:lang w:val="en-US"/>
        </w:rPr>
        <w:t>July</w:t>
      </w:r>
      <w:r>
        <w:rPr>
          <w:lang w:val="en-US"/>
        </w:rPr>
        <w:t> </w:t>
      </w:r>
      <w:r w:rsidRPr="006D124A">
        <w:rPr>
          <w:lang w:val="en-US"/>
        </w:rPr>
        <w:t>2023, only the Road Vehicle Standards</w:t>
      </w:r>
      <w:r w:rsidR="00C506CE">
        <w:rPr>
          <w:lang w:val="en-US"/>
        </w:rPr>
        <w:t xml:space="preserve"> (RVS)</w:t>
      </w:r>
      <w:r w:rsidRPr="006D124A">
        <w:rPr>
          <w:lang w:val="en-US"/>
        </w:rPr>
        <w:t xml:space="preserve"> </w:t>
      </w:r>
      <w:r w:rsidR="00B938A3">
        <w:rPr>
          <w:lang w:val="en-US"/>
        </w:rPr>
        <w:t xml:space="preserve">legislation </w:t>
      </w:r>
      <w:r w:rsidR="00B938A3" w:rsidRPr="006D124A">
        <w:rPr>
          <w:lang w:val="en-US"/>
        </w:rPr>
        <w:t>governs</w:t>
      </w:r>
      <w:r w:rsidRPr="006D124A">
        <w:rPr>
          <w:lang w:val="en-US"/>
        </w:rPr>
        <w:t xml:space="preserve"> the design, manufacture, importation and first provision of all road vehicles in Australia, as well as certain road vehicle components.</w:t>
      </w:r>
    </w:p>
    <w:p w14:paraId="2EEC67FF" w14:textId="6934E836" w:rsidR="00F3659C" w:rsidRPr="00885089" w:rsidRDefault="00F3659C" w:rsidP="00F3659C">
      <w:pPr>
        <w:rPr>
          <w:lang w:val="en-US"/>
        </w:rPr>
      </w:pPr>
      <w:bookmarkStart w:id="12" w:name="_Toc67318372"/>
      <w:bookmarkStart w:id="13" w:name="_Toc67318634"/>
      <w:bookmarkStart w:id="14" w:name="_Toc67319040"/>
      <w:bookmarkStart w:id="15" w:name="_Toc67319098"/>
      <w:bookmarkStart w:id="16" w:name="_Toc67385935"/>
      <w:bookmarkStart w:id="17" w:name="_Toc67907667"/>
      <w:bookmarkEnd w:id="6"/>
      <w:bookmarkEnd w:id="7"/>
      <w:bookmarkEnd w:id="8"/>
      <w:bookmarkEnd w:id="9"/>
      <w:bookmarkEnd w:id="10"/>
      <w:bookmarkEnd w:id="11"/>
      <w:r w:rsidRPr="00885089">
        <w:rPr>
          <w:lang w:val="en-US"/>
        </w:rPr>
        <w:t>This strategy outlines how the Department of Infrastructure, Transport, Regional Development</w:t>
      </w:r>
      <w:r w:rsidR="00787A68">
        <w:rPr>
          <w:lang w:val="en-US"/>
        </w:rPr>
        <w:t>,</w:t>
      </w:r>
      <w:r w:rsidRPr="00885089">
        <w:rPr>
          <w:lang w:val="en-US"/>
        </w:rPr>
        <w:t xml:space="preserve"> Communications </w:t>
      </w:r>
      <w:r w:rsidR="00787A68">
        <w:rPr>
          <w:lang w:val="en-US"/>
        </w:rPr>
        <w:t xml:space="preserve">and the Arts </w:t>
      </w:r>
      <w:r w:rsidRPr="00885089">
        <w:rPr>
          <w:lang w:val="en-US"/>
        </w:rPr>
        <w:t xml:space="preserve">(the department), will conduct </w:t>
      </w:r>
      <w:r>
        <w:rPr>
          <w:lang w:val="en-US"/>
        </w:rPr>
        <w:t xml:space="preserve">its </w:t>
      </w:r>
      <w:r w:rsidRPr="00885089">
        <w:rPr>
          <w:lang w:val="en-US"/>
        </w:rPr>
        <w:t>compliance and enforcement</w:t>
      </w:r>
      <w:r w:rsidR="00200838">
        <w:rPr>
          <w:lang w:val="en-US"/>
        </w:rPr>
        <w:t xml:space="preserve"> </w:t>
      </w:r>
      <w:r w:rsidRPr="00885089">
        <w:rPr>
          <w:lang w:val="en-US"/>
        </w:rPr>
        <w:t>activities under the RVSA</w:t>
      </w:r>
      <w:r w:rsidR="00023511">
        <w:rPr>
          <w:lang w:val="en-US"/>
        </w:rPr>
        <w:t>. The strategy</w:t>
      </w:r>
      <w:bookmarkEnd w:id="12"/>
      <w:bookmarkEnd w:id="13"/>
      <w:bookmarkEnd w:id="14"/>
      <w:bookmarkEnd w:id="15"/>
      <w:bookmarkEnd w:id="16"/>
      <w:bookmarkEnd w:id="17"/>
      <w:r w:rsidRPr="00885089">
        <w:rPr>
          <w:lang w:val="en-US"/>
        </w:rPr>
        <w:t xml:space="preserve"> inform</w:t>
      </w:r>
      <w:r>
        <w:rPr>
          <w:lang w:val="en-US"/>
        </w:rPr>
        <w:t>s</w:t>
      </w:r>
      <w:r w:rsidRPr="00885089">
        <w:rPr>
          <w:lang w:val="en-US"/>
        </w:rPr>
        <w:t xml:space="preserve"> </w:t>
      </w:r>
      <w:r>
        <w:rPr>
          <w:lang w:val="en-US"/>
        </w:rPr>
        <w:t>the community, the automotive industry, r</w:t>
      </w:r>
      <w:r w:rsidRPr="00885089">
        <w:rPr>
          <w:lang w:val="en-US"/>
        </w:rPr>
        <w:t xml:space="preserve">egulated </w:t>
      </w:r>
      <w:r>
        <w:rPr>
          <w:lang w:val="en-US"/>
        </w:rPr>
        <w:t xml:space="preserve">entities </w:t>
      </w:r>
      <w:r w:rsidRPr="00885089">
        <w:rPr>
          <w:lang w:val="en-US"/>
        </w:rPr>
        <w:t xml:space="preserve">and </w:t>
      </w:r>
      <w:r>
        <w:rPr>
          <w:lang w:val="en-US"/>
        </w:rPr>
        <w:t>other regulatory agencies about</w:t>
      </w:r>
      <w:r w:rsidRPr="00885089">
        <w:rPr>
          <w:lang w:val="en-US"/>
        </w:rPr>
        <w:t xml:space="preserve"> our </w:t>
      </w:r>
      <w:r>
        <w:rPr>
          <w:lang w:val="en-US"/>
        </w:rPr>
        <w:t xml:space="preserve">compliance and enforcement priorities </w:t>
      </w:r>
      <w:r w:rsidR="006D431D">
        <w:rPr>
          <w:lang w:val="en-US"/>
        </w:rPr>
        <w:t xml:space="preserve">and focus areas </w:t>
      </w:r>
      <w:r>
        <w:rPr>
          <w:lang w:val="en-US"/>
        </w:rPr>
        <w:t>for the next t</w:t>
      </w:r>
      <w:r w:rsidR="007B441C">
        <w:rPr>
          <w:lang w:val="en-US"/>
        </w:rPr>
        <w:t>hree</w:t>
      </w:r>
      <w:r>
        <w:rPr>
          <w:lang w:val="en-US"/>
        </w:rPr>
        <w:t xml:space="preserve"> years.</w:t>
      </w:r>
    </w:p>
    <w:p w14:paraId="2750D31C" w14:textId="559E3B57" w:rsidR="006D431D" w:rsidRDefault="00F3659C" w:rsidP="00F3659C">
      <w:pPr>
        <w:rPr>
          <w:lang w:val="en-US"/>
        </w:rPr>
      </w:pPr>
      <w:r>
        <w:rPr>
          <w:lang w:val="en-US"/>
        </w:rPr>
        <w:t>Th</w:t>
      </w:r>
      <w:r w:rsidR="00200838">
        <w:rPr>
          <w:lang w:val="en-US"/>
        </w:rPr>
        <w:t>is</w:t>
      </w:r>
      <w:r>
        <w:rPr>
          <w:lang w:val="en-US"/>
        </w:rPr>
        <w:t xml:space="preserve"> strategy is </w:t>
      </w:r>
      <w:r w:rsidR="00200838">
        <w:rPr>
          <w:lang w:val="en-US"/>
        </w:rPr>
        <w:t xml:space="preserve">also </w:t>
      </w:r>
      <w:r>
        <w:rPr>
          <w:lang w:val="en-US"/>
        </w:rPr>
        <w:t xml:space="preserve">informed by </w:t>
      </w:r>
      <w:r w:rsidRPr="00023511">
        <w:rPr>
          <w:i/>
          <w:lang w:val="en-US"/>
        </w:rPr>
        <w:t>Our Compliance Approach and Model</w:t>
      </w:r>
      <w:r>
        <w:rPr>
          <w:lang w:val="en-US"/>
        </w:rPr>
        <w:t xml:space="preserve"> document and the previous </w:t>
      </w:r>
      <w:r w:rsidRPr="00023511">
        <w:rPr>
          <w:i/>
          <w:lang w:val="en-US"/>
        </w:rPr>
        <w:t>Compliance and Enforcement Strategy 20</w:t>
      </w:r>
      <w:r w:rsidR="00787A68" w:rsidRPr="00023511">
        <w:rPr>
          <w:i/>
          <w:lang w:val="en-US"/>
        </w:rPr>
        <w:t>2</w:t>
      </w:r>
      <w:r w:rsidRPr="00023511">
        <w:rPr>
          <w:i/>
          <w:lang w:val="en-US"/>
        </w:rPr>
        <w:t>1</w:t>
      </w:r>
      <w:r w:rsidR="00787A68" w:rsidRPr="00023511">
        <w:rPr>
          <w:i/>
          <w:lang w:val="en-US"/>
        </w:rPr>
        <w:t>-23</w:t>
      </w:r>
      <w:r>
        <w:rPr>
          <w:lang w:val="en-US"/>
        </w:rPr>
        <w:t xml:space="preserve">. </w:t>
      </w:r>
    </w:p>
    <w:p w14:paraId="3E5E6BBE" w14:textId="41247B5C" w:rsidR="00F3659C" w:rsidRDefault="00F3659C" w:rsidP="00F3659C">
      <w:pPr>
        <w:rPr>
          <w:color w:val="000000"/>
        </w:rPr>
      </w:pPr>
      <w:r>
        <w:rPr>
          <w:lang w:val="en-US"/>
        </w:rPr>
        <w:t>This strategy will</w:t>
      </w:r>
      <w:r w:rsidRPr="00885089">
        <w:rPr>
          <w:color w:val="000000"/>
        </w:rPr>
        <w:t xml:space="preserve"> be reviewed </w:t>
      </w:r>
      <w:r>
        <w:rPr>
          <w:color w:val="000000"/>
        </w:rPr>
        <w:t xml:space="preserve">as required </w:t>
      </w:r>
      <w:r w:rsidRPr="00885089">
        <w:rPr>
          <w:color w:val="000000"/>
        </w:rPr>
        <w:t xml:space="preserve">to ensure </w:t>
      </w:r>
      <w:r>
        <w:rPr>
          <w:color w:val="000000"/>
        </w:rPr>
        <w:t xml:space="preserve">that </w:t>
      </w:r>
      <w:r w:rsidRPr="00885089">
        <w:rPr>
          <w:color w:val="000000"/>
        </w:rPr>
        <w:t>it remains reflective of regulatory frameworks</w:t>
      </w:r>
      <w:r>
        <w:rPr>
          <w:color w:val="000000"/>
        </w:rPr>
        <w:t>,</w:t>
      </w:r>
      <w:r w:rsidRPr="00885089">
        <w:rPr>
          <w:color w:val="000000"/>
        </w:rPr>
        <w:t xml:space="preserve"> is responsive to </w:t>
      </w:r>
      <w:r>
        <w:rPr>
          <w:color w:val="000000"/>
        </w:rPr>
        <w:t>new issues and</w:t>
      </w:r>
      <w:r w:rsidRPr="00885089">
        <w:rPr>
          <w:color w:val="000000"/>
        </w:rPr>
        <w:t xml:space="preserve"> </w:t>
      </w:r>
      <w:r>
        <w:rPr>
          <w:color w:val="000000"/>
        </w:rPr>
        <w:t xml:space="preserve">any </w:t>
      </w:r>
      <w:r w:rsidR="00023511">
        <w:rPr>
          <w:color w:val="000000"/>
        </w:rPr>
        <w:t xml:space="preserve">significant </w:t>
      </w:r>
      <w:r w:rsidRPr="00885089">
        <w:rPr>
          <w:color w:val="000000"/>
        </w:rPr>
        <w:t xml:space="preserve">changes in </w:t>
      </w:r>
      <w:r w:rsidR="007B441C">
        <w:rPr>
          <w:color w:val="000000"/>
        </w:rPr>
        <w:t>our</w:t>
      </w:r>
      <w:r w:rsidRPr="00885089">
        <w:rPr>
          <w:color w:val="000000"/>
        </w:rPr>
        <w:t xml:space="preserve"> operating environment.</w:t>
      </w:r>
      <w:r>
        <w:rPr>
          <w:color w:val="000000"/>
        </w:rPr>
        <w:t xml:space="preserve"> The strategy will also be considered when preparing </w:t>
      </w:r>
      <w:r w:rsidR="00023511">
        <w:rPr>
          <w:color w:val="000000"/>
        </w:rPr>
        <w:t>future</w:t>
      </w:r>
      <w:r>
        <w:rPr>
          <w:color w:val="000000"/>
        </w:rPr>
        <w:t xml:space="preserve"> strateg</w:t>
      </w:r>
      <w:r w:rsidR="00023511">
        <w:rPr>
          <w:color w:val="000000"/>
        </w:rPr>
        <w:t>ies</w:t>
      </w:r>
      <w:r>
        <w:rPr>
          <w:color w:val="000000"/>
        </w:rPr>
        <w:t>.</w:t>
      </w:r>
    </w:p>
    <w:p w14:paraId="47582427" w14:textId="77777777" w:rsidR="00F3659C" w:rsidRPr="00C9157A" w:rsidRDefault="00F3659C" w:rsidP="00F3659C">
      <w:pPr>
        <w:pStyle w:val="Heading1"/>
      </w:pPr>
      <w:bookmarkStart w:id="18" w:name="_Toc67317806"/>
      <w:bookmarkStart w:id="19" w:name="_Toc75440291"/>
      <w:bookmarkStart w:id="20" w:name="_Toc141176165"/>
      <w:r w:rsidRPr="00C9157A">
        <w:t xml:space="preserve">Our approach to compliance </w:t>
      </w:r>
      <w:r>
        <w:t>and enforcement</w:t>
      </w:r>
      <w:bookmarkEnd w:id="18"/>
      <w:bookmarkEnd w:id="19"/>
      <w:bookmarkEnd w:id="20"/>
    </w:p>
    <w:p w14:paraId="1B6FB4A0" w14:textId="545D671F" w:rsidR="00F3659C" w:rsidRDefault="00EE16F5" w:rsidP="00F3659C">
      <w:pPr>
        <w:rPr>
          <w:lang w:val="en-US"/>
        </w:rPr>
      </w:pPr>
      <w:r>
        <w:rPr>
          <w:lang w:val="en-US"/>
        </w:rPr>
        <w:t xml:space="preserve">We </w:t>
      </w:r>
      <w:r w:rsidR="00F3659C" w:rsidRPr="00885089">
        <w:rPr>
          <w:lang w:val="en-US"/>
        </w:rPr>
        <w:t>take a</w:t>
      </w:r>
      <w:r w:rsidR="007016EF">
        <w:rPr>
          <w:lang w:val="en-US"/>
        </w:rPr>
        <w:t>n intelligence led,</w:t>
      </w:r>
      <w:r w:rsidR="00F3659C">
        <w:rPr>
          <w:lang w:val="en-US"/>
        </w:rPr>
        <w:t xml:space="preserve"> risk-based approach </w:t>
      </w:r>
      <w:r w:rsidR="00200838">
        <w:rPr>
          <w:lang w:val="en-US"/>
        </w:rPr>
        <w:t xml:space="preserve">when managing matters related to </w:t>
      </w:r>
      <w:r w:rsidR="00F3659C">
        <w:rPr>
          <w:lang w:val="en-US"/>
        </w:rPr>
        <w:t>compliance</w:t>
      </w:r>
      <w:r w:rsidR="00200838">
        <w:rPr>
          <w:lang w:val="en-US"/>
        </w:rPr>
        <w:t xml:space="preserve"> with RVS legislation</w:t>
      </w:r>
      <w:r w:rsidR="00F3659C">
        <w:rPr>
          <w:lang w:val="en-US"/>
        </w:rPr>
        <w:t xml:space="preserve">. This ensures that our compliance and enforcement activities are focused on regulated areas and regulated entities that pose the greatest risk without impeding </w:t>
      </w:r>
      <w:r w:rsidR="006530BF">
        <w:rPr>
          <w:lang w:val="en-US"/>
        </w:rPr>
        <w:t xml:space="preserve">a broadly compliant </w:t>
      </w:r>
      <w:r w:rsidR="00F3659C">
        <w:rPr>
          <w:lang w:val="en-US"/>
        </w:rPr>
        <w:t>industry</w:t>
      </w:r>
      <w:r w:rsidR="007B441C">
        <w:rPr>
          <w:lang w:val="en-US"/>
        </w:rPr>
        <w:t xml:space="preserve"> and the</w:t>
      </w:r>
      <w:r w:rsidR="00023511">
        <w:rPr>
          <w:lang w:val="en-US"/>
        </w:rPr>
        <w:t>i</w:t>
      </w:r>
      <w:r w:rsidR="007B441C">
        <w:rPr>
          <w:lang w:val="en-US"/>
        </w:rPr>
        <w:t>r</w:t>
      </w:r>
      <w:r w:rsidR="00F3659C">
        <w:rPr>
          <w:lang w:val="en-US"/>
        </w:rPr>
        <w:t xml:space="preserve"> ability to operate.</w:t>
      </w:r>
      <w:r w:rsidR="00F3659C" w:rsidRPr="00885089">
        <w:rPr>
          <w:lang w:val="en-US"/>
        </w:rPr>
        <w:t xml:space="preserve"> </w:t>
      </w:r>
    </w:p>
    <w:p w14:paraId="27712A67" w14:textId="77777777" w:rsidR="00F3659C" w:rsidRDefault="00F3659C" w:rsidP="00F3659C">
      <w:pPr>
        <w:rPr>
          <w:lang w:val="en-US"/>
        </w:rPr>
      </w:pPr>
      <w:r>
        <w:rPr>
          <w:lang w:val="en-US"/>
        </w:rPr>
        <w:t>Our approach is informed by:</w:t>
      </w:r>
    </w:p>
    <w:p w14:paraId="3B7487D0" w14:textId="79EE79D1" w:rsidR="00F3659C" w:rsidRPr="00C9157A" w:rsidRDefault="00200838" w:rsidP="00F3659C">
      <w:pPr>
        <w:pStyle w:val="Bullet1"/>
      </w:pPr>
      <w:r>
        <w:rPr>
          <w:lang w:val="en-US"/>
        </w:rPr>
        <w:t>our</w:t>
      </w:r>
      <w:r w:rsidR="00F3659C">
        <w:rPr>
          <w:lang w:val="en-US"/>
        </w:rPr>
        <w:t xml:space="preserve"> </w:t>
      </w:r>
      <w:r w:rsidR="00023511">
        <w:t>principles</w:t>
      </w:r>
      <w:r w:rsidR="00F3659C">
        <w:rPr>
          <w:lang w:val="en-US"/>
        </w:rPr>
        <w:t xml:space="preserve"> set out in this document</w:t>
      </w:r>
    </w:p>
    <w:p w14:paraId="008AFA9A" w14:textId="77777777" w:rsidR="00F3659C" w:rsidRPr="00C9157A" w:rsidRDefault="00F3659C" w:rsidP="00F3659C">
      <w:pPr>
        <w:pStyle w:val="Bullet1"/>
      </w:pPr>
      <w:r>
        <w:rPr>
          <w:lang w:val="en-US"/>
        </w:rPr>
        <w:t xml:space="preserve">our </w:t>
      </w:r>
      <w:r w:rsidRPr="00023511">
        <w:rPr>
          <w:i/>
          <w:lang w:val="en-US"/>
        </w:rPr>
        <w:t>Compliance Approach and Model</w:t>
      </w:r>
      <w:r>
        <w:rPr>
          <w:lang w:val="en-US"/>
        </w:rPr>
        <w:t xml:space="preserve"> document</w:t>
      </w:r>
    </w:p>
    <w:p w14:paraId="22E21377" w14:textId="5754C131" w:rsidR="007B441C" w:rsidRPr="00023511" w:rsidRDefault="007B441C" w:rsidP="00F3659C">
      <w:pPr>
        <w:pStyle w:val="Bullet1"/>
      </w:pPr>
      <w:r>
        <w:rPr>
          <w:lang w:val="en-US"/>
        </w:rPr>
        <w:t xml:space="preserve">previous </w:t>
      </w:r>
      <w:r w:rsidR="00023511">
        <w:rPr>
          <w:lang w:val="en-US"/>
        </w:rPr>
        <w:t>c</w:t>
      </w:r>
      <w:r>
        <w:rPr>
          <w:lang w:val="en-US"/>
        </w:rPr>
        <w:t xml:space="preserve">ompliance and </w:t>
      </w:r>
      <w:r w:rsidR="00023511">
        <w:rPr>
          <w:lang w:val="en-US"/>
        </w:rPr>
        <w:t>e</w:t>
      </w:r>
      <w:r>
        <w:rPr>
          <w:lang w:val="en-US"/>
        </w:rPr>
        <w:t xml:space="preserve">nforcement </w:t>
      </w:r>
      <w:r w:rsidR="00023511">
        <w:rPr>
          <w:lang w:val="en-US"/>
        </w:rPr>
        <w:t>s</w:t>
      </w:r>
      <w:r>
        <w:rPr>
          <w:lang w:val="en-US"/>
        </w:rPr>
        <w:t>trategies</w:t>
      </w:r>
    </w:p>
    <w:p w14:paraId="6EBC96B9" w14:textId="2965924C" w:rsidR="00F3659C" w:rsidRPr="00043EDA" w:rsidRDefault="007B441C" w:rsidP="00F3659C">
      <w:pPr>
        <w:pStyle w:val="Bullet1"/>
      </w:pPr>
      <w:r>
        <w:rPr>
          <w:lang w:val="en-US"/>
        </w:rPr>
        <w:t>our</w:t>
      </w:r>
      <w:r w:rsidR="00F3659C">
        <w:rPr>
          <w:lang w:val="en-US"/>
        </w:rPr>
        <w:t xml:space="preserve"> operating environment, including:</w:t>
      </w:r>
    </w:p>
    <w:p w14:paraId="53EF1A90" w14:textId="44CE3C8A" w:rsidR="00F3659C" w:rsidRPr="00043EDA" w:rsidRDefault="00F3659C" w:rsidP="00F3659C">
      <w:pPr>
        <w:pStyle w:val="Bullet2"/>
      </w:pPr>
      <w:bookmarkStart w:id="21" w:name="_Hlk132121016"/>
      <w:r>
        <w:rPr>
          <w:lang w:val="en-US"/>
        </w:rPr>
        <w:t>the RVS legislation</w:t>
      </w:r>
      <w:r w:rsidR="00023511">
        <w:rPr>
          <w:lang w:val="en-US"/>
        </w:rPr>
        <w:t>;</w:t>
      </w:r>
      <w:r>
        <w:rPr>
          <w:lang w:val="en-US"/>
        </w:rPr>
        <w:t xml:space="preserve"> </w:t>
      </w:r>
    </w:p>
    <w:p w14:paraId="3C30D0DF" w14:textId="7CB17214" w:rsidR="007B441C" w:rsidRPr="00023511" w:rsidRDefault="007B441C" w:rsidP="00F3659C">
      <w:pPr>
        <w:pStyle w:val="Bullet2"/>
      </w:pPr>
      <w:r>
        <w:rPr>
          <w:lang w:val="en-US"/>
        </w:rPr>
        <w:t>industry intelligence</w:t>
      </w:r>
      <w:r w:rsidR="00023511">
        <w:rPr>
          <w:lang w:val="en-US"/>
        </w:rPr>
        <w:t>;</w:t>
      </w:r>
    </w:p>
    <w:p w14:paraId="0C68989C" w14:textId="615BF465" w:rsidR="007B441C" w:rsidRPr="00023511" w:rsidRDefault="007B441C" w:rsidP="00F3659C">
      <w:pPr>
        <w:pStyle w:val="Bullet2"/>
      </w:pPr>
      <w:r>
        <w:rPr>
          <w:lang w:val="en-US"/>
        </w:rPr>
        <w:t>reports of alleged non-compliance</w:t>
      </w:r>
      <w:r w:rsidR="00023511">
        <w:rPr>
          <w:lang w:val="en-US"/>
        </w:rPr>
        <w:t>; and</w:t>
      </w:r>
      <w:r>
        <w:rPr>
          <w:lang w:val="en-US"/>
        </w:rPr>
        <w:t xml:space="preserve">  </w:t>
      </w:r>
    </w:p>
    <w:p w14:paraId="16DAE626" w14:textId="70433875" w:rsidR="00F3659C" w:rsidRPr="00B2146F" w:rsidRDefault="00F3659C" w:rsidP="00F3659C">
      <w:pPr>
        <w:pStyle w:val="Bullet2"/>
      </w:pPr>
      <w:r>
        <w:rPr>
          <w:lang w:val="en-US"/>
        </w:rPr>
        <w:t xml:space="preserve">the </w:t>
      </w:r>
      <w:r w:rsidR="007B441C">
        <w:rPr>
          <w:lang w:val="en-US"/>
        </w:rPr>
        <w:t xml:space="preserve">evolving </w:t>
      </w:r>
      <w:r>
        <w:rPr>
          <w:lang w:val="en-US"/>
        </w:rPr>
        <w:t>automotive industry</w:t>
      </w:r>
      <w:r w:rsidR="00023511">
        <w:rPr>
          <w:lang w:val="en-US"/>
        </w:rPr>
        <w:t xml:space="preserve"> </w:t>
      </w:r>
      <w:r>
        <w:rPr>
          <w:lang w:val="en-US"/>
        </w:rPr>
        <w:t>in Australia and globally</w:t>
      </w:r>
      <w:r w:rsidR="00023511">
        <w:rPr>
          <w:lang w:val="en-US"/>
        </w:rPr>
        <w:t>.</w:t>
      </w:r>
    </w:p>
    <w:bookmarkEnd w:id="21"/>
    <w:p w14:paraId="55456DBF" w14:textId="77777777" w:rsidR="00F3659C" w:rsidRDefault="00F3659C" w:rsidP="00F3659C">
      <w:pPr>
        <w:rPr>
          <w:lang w:val="en-US"/>
        </w:rPr>
      </w:pPr>
      <w:r w:rsidRPr="00885089">
        <w:rPr>
          <w:lang w:val="en-US"/>
        </w:rPr>
        <w:t>Under this approach, we aim to:</w:t>
      </w:r>
    </w:p>
    <w:p w14:paraId="63902495" w14:textId="069A42AD" w:rsidR="00F3659C" w:rsidRDefault="00F3659C" w:rsidP="00F3659C">
      <w:pPr>
        <w:pStyle w:val="Bullet1"/>
      </w:pPr>
      <w:r>
        <w:t>be agile and consistent</w:t>
      </w:r>
      <w:r w:rsidR="00023511">
        <w:rPr>
          <w:lang w:val="en-AU"/>
        </w:rPr>
        <w:t>;</w:t>
      </w:r>
    </w:p>
    <w:p w14:paraId="2BD84D0F" w14:textId="24F3D82F" w:rsidR="00F3659C" w:rsidRDefault="00F3659C" w:rsidP="00F3659C">
      <w:pPr>
        <w:pStyle w:val="Bullet1"/>
      </w:pPr>
      <w:r>
        <w:t>allocate our resources effectively and proportionately to high</w:t>
      </w:r>
      <w:r w:rsidR="00023511">
        <w:rPr>
          <w:lang w:val="en-AU"/>
        </w:rPr>
        <w:t>er</w:t>
      </w:r>
      <w:r>
        <w:rPr>
          <w:lang w:val="en-US"/>
        </w:rPr>
        <w:t>-</w:t>
      </w:r>
      <w:r>
        <w:t xml:space="preserve">risk </w:t>
      </w:r>
      <w:r w:rsidR="007B441C">
        <w:rPr>
          <w:lang w:val="en-AU"/>
        </w:rPr>
        <w:t>matters</w:t>
      </w:r>
      <w:r w:rsidR="00023511">
        <w:rPr>
          <w:lang w:val="en-AU"/>
        </w:rPr>
        <w:t>;</w:t>
      </w:r>
    </w:p>
    <w:p w14:paraId="241105A1" w14:textId="532AD8D7" w:rsidR="00F3659C" w:rsidRDefault="00F3659C" w:rsidP="00F3659C">
      <w:pPr>
        <w:pStyle w:val="Bullet1"/>
      </w:pPr>
      <w:r>
        <w:t xml:space="preserve">deliver </w:t>
      </w:r>
      <w:r w:rsidR="00200838">
        <w:rPr>
          <w:lang w:val="en-AU"/>
        </w:rPr>
        <w:t>appropriate</w:t>
      </w:r>
      <w:r>
        <w:t xml:space="preserve"> enforcement responses </w:t>
      </w:r>
      <w:r w:rsidR="00200838">
        <w:rPr>
          <w:lang w:val="en-AU"/>
        </w:rPr>
        <w:t>regarding</w:t>
      </w:r>
      <w:r>
        <w:t xml:space="preserve"> </w:t>
      </w:r>
      <w:r w:rsidR="00200838">
        <w:rPr>
          <w:lang w:val="en-AU"/>
        </w:rPr>
        <w:t xml:space="preserve">confirmed </w:t>
      </w:r>
      <w:r>
        <w:t>non-compliance</w:t>
      </w:r>
      <w:r w:rsidR="007B441C">
        <w:rPr>
          <w:lang w:val="en-AU"/>
        </w:rPr>
        <w:t>;</w:t>
      </w:r>
      <w:r>
        <w:t xml:space="preserve"> and</w:t>
      </w:r>
    </w:p>
    <w:p w14:paraId="3C11A869" w14:textId="3EDA79E7" w:rsidR="00F3659C" w:rsidRDefault="00F3659C" w:rsidP="00F3659C">
      <w:pPr>
        <w:pStyle w:val="Bullet1"/>
        <w:rPr>
          <w:lang w:val="en-US"/>
        </w:rPr>
      </w:pPr>
      <w:r>
        <w:t xml:space="preserve">be adaptive to new </w:t>
      </w:r>
      <w:r w:rsidR="00023511">
        <w:rPr>
          <w:lang w:val="en-AU"/>
        </w:rPr>
        <w:t>and /</w:t>
      </w:r>
      <w:r>
        <w:t>or evolving risks</w:t>
      </w:r>
      <w:r>
        <w:rPr>
          <w:lang w:val="en-US"/>
        </w:rPr>
        <w:t>.</w:t>
      </w:r>
    </w:p>
    <w:p w14:paraId="0C76A375" w14:textId="77777777" w:rsidR="00F3659C" w:rsidRPr="00696FFC" w:rsidRDefault="00F3659C" w:rsidP="00F3659C">
      <w:pPr>
        <w:pStyle w:val="Heading2"/>
      </w:pPr>
      <w:bookmarkStart w:id="22" w:name="_Toc75440292"/>
      <w:bookmarkStart w:id="23" w:name="_Toc67317800"/>
      <w:bookmarkStart w:id="24" w:name="_Toc141176166"/>
      <w:r w:rsidRPr="00696FFC">
        <w:t>Our principles</w:t>
      </w:r>
      <w:bookmarkEnd w:id="22"/>
      <w:bookmarkEnd w:id="24"/>
    </w:p>
    <w:p w14:paraId="3E6974C7" w14:textId="77FAA4EC" w:rsidR="00F3659C" w:rsidRDefault="00F3659C" w:rsidP="00F3659C">
      <w:pPr>
        <w:rPr>
          <w:lang w:val="en-US"/>
        </w:rPr>
      </w:pPr>
      <w:r w:rsidRPr="00885089">
        <w:rPr>
          <w:lang w:val="en-US"/>
        </w:rPr>
        <w:t>The following principles</w:t>
      </w:r>
      <w:r w:rsidR="00C37419">
        <w:rPr>
          <w:lang w:val="en-US"/>
        </w:rPr>
        <w:t xml:space="preserve"> are largely unchanged from </w:t>
      </w:r>
      <w:r w:rsidR="00A83CD5">
        <w:rPr>
          <w:lang w:val="en-US"/>
        </w:rPr>
        <w:t>the</w:t>
      </w:r>
      <w:r w:rsidR="00C37419">
        <w:rPr>
          <w:lang w:val="en-US"/>
        </w:rPr>
        <w:t xml:space="preserve"> previous </w:t>
      </w:r>
      <w:r w:rsidR="00B10E79">
        <w:rPr>
          <w:lang w:val="en-US"/>
        </w:rPr>
        <w:t xml:space="preserve">2021-23 </w:t>
      </w:r>
      <w:r w:rsidR="00C37419">
        <w:rPr>
          <w:lang w:val="en-US"/>
        </w:rPr>
        <w:t>strategy and continue</w:t>
      </w:r>
      <w:r w:rsidR="006D124A">
        <w:rPr>
          <w:lang w:val="en-US"/>
        </w:rPr>
        <w:t>s</w:t>
      </w:r>
      <w:r w:rsidR="00C37419">
        <w:rPr>
          <w:lang w:val="en-US"/>
        </w:rPr>
        <w:t xml:space="preserve"> to </w:t>
      </w:r>
      <w:r>
        <w:rPr>
          <w:lang w:val="en-US"/>
        </w:rPr>
        <w:t>inform</w:t>
      </w:r>
      <w:r w:rsidRPr="00885089">
        <w:rPr>
          <w:lang w:val="en-US"/>
        </w:rPr>
        <w:t xml:space="preserve"> </w:t>
      </w:r>
      <w:r>
        <w:rPr>
          <w:lang w:val="en-US"/>
        </w:rPr>
        <w:t xml:space="preserve">our </w:t>
      </w:r>
      <w:r w:rsidRPr="00885089">
        <w:rPr>
          <w:lang w:val="en-US"/>
        </w:rPr>
        <w:t>compliance and enforcement activities:</w:t>
      </w:r>
    </w:p>
    <w:p w14:paraId="6EB1D5C0" w14:textId="010AEBB5" w:rsidR="00F3659C" w:rsidRPr="0072324A" w:rsidRDefault="00F3659C" w:rsidP="00F3659C">
      <w:pPr>
        <w:pStyle w:val="Bullet1"/>
      </w:pPr>
      <w:r w:rsidRPr="00696FFC">
        <w:rPr>
          <w:b/>
        </w:rPr>
        <w:t>Voluntary compliance</w:t>
      </w:r>
      <w:r>
        <w:rPr>
          <w:lang w:val="en-US"/>
        </w:rPr>
        <w:t xml:space="preserve"> – we</w:t>
      </w:r>
      <w:r w:rsidRPr="0072324A">
        <w:t xml:space="preserve"> will promote and encourage voluntary compliance </w:t>
      </w:r>
      <w:r w:rsidR="00C37419">
        <w:rPr>
          <w:lang w:val="en-US"/>
        </w:rPr>
        <w:t>with the RVS</w:t>
      </w:r>
      <w:r w:rsidR="00200838">
        <w:rPr>
          <w:lang w:val="en-US"/>
        </w:rPr>
        <w:t xml:space="preserve"> legislation</w:t>
      </w:r>
      <w:r w:rsidRPr="0072324A">
        <w:t xml:space="preserve"> through communication and education.</w:t>
      </w:r>
    </w:p>
    <w:p w14:paraId="37621053" w14:textId="15926E84" w:rsidR="00F3659C" w:rsidRPr="0072324A" w:rsidRDefault="00F3659C" w:rsidP="00F3659C">
      <w:pPr>
        <w:pStyle w:val="Bullet1"/>
      </w:pPr>
      <w:r w:rsidRPr="00696FFC">
        <w:rPr>
          <w:b/>
        </w:rPr>
        <w:t>Risk-base</w:t>
      </w:r>
      <w:r w:rsidRPr="00696FFC">
        <w:rPr>
          <w:b/>
          <w:lang w:val="en-US"/>
        </w:rPr>
        <w:t>d</w:t>
      </w:r>
      <w:r>
        <w:rPr>
          <w:lang w:val="en-US"/>
        </w:rPr>
        <w:t xml:space="preserve"> – our </w:t>
      </w:r>
      <w:r w:rsidRPr="0072324A">
        <w:t>compliance activities</w:t>
      </w:r>
      <w:r w:rsidR="00C37419">
        <w:rPr>
          <w:lang w:val="en-AU"/>
        </w:rPr>
        <w:t xml:space="preserve"> </w:t>
      </w:r>
      <w:r w:rsidR="006D124A">
        <w:rPr>
          <w:lang w:val="en-AU"/>
        </w:rPr>
        <w:t>will be</w:t>
      </w:r>
      <w:r w:rsidR="006D124A" w:rsidRPr="0072324A">
        <w:t xml:space="preserve"> </w:t>
      </w:r>
      <w:r w:rsidRPr="0072324A">
        <w:t>risk-based ensur</w:t>
      </w:r>
      <w:r w:rsidR="00C37419">
        <w:rPr>
          <w:lang w:val="en-AU"/>
        </w:rPr>
        <w:t>ing</w:t>
      </w:r>
      <w:r w:rsidRPr="0072324A">
        <w:t xml:space="preserve"> </w:t>
      </w:r>
      <w:r w:rsidR="00A83CD5">
        <w:rPr>
          <w:lang w:val="en-AU"/>
        </w:rPr>
        <w:t xml:space="preserve">our </w:t>
      </w:r>
      <w:r w:rsidRPr="0072324A">
        <w:t>resources are effectively allocated</w:t>
      </w:r>
      <w:r w:rsidR="00C37419">
        <w:rPr>
          <w:lang w:val="en-AU"/>
        </w:rPr>
        <w:t xml:space="preserve"> and </w:t>
      </w:r>
      <w:r w:rsidR="00A83CD5">
        <w:rPr>
          <w:lang w:val="en-AU"/>
        </w:rPr>
        <w:t xml:space="preserve">our </w:t>
      </w:r>
      <w:r w:rsidR="00C37419">
        <w:rPr>
          <w:lang w:val="en-AU"/>
        </w:rPr>
        <w:t>regulatory efforts</w:t>
      </w:r>
      <w:r>
        <w:rPr>
          <w:lang w:val="en-US"/>
        </w:rPr>
        <w:t xml:space="preserve"> </w:t>
      </w:r>
      <w:r w:rsidRPr="0072324A">
        <w:t>address the most serious and systemic risks.</w:t>
      </w:r>
    </w:p>
    <w:p w14:paraId="48191772" w14:textId="2AFC9714" w:rsidR="00F3659C" w:rsidRPr="0072324A" w:rsidRDefault="00F3659C" w:rsidP="00F3659C">
      <w:pPr>
        <w:pStyle w:val="Bullet1"/>
      </w:pPr>
      <w:r w:rsidRPr="00696FFC">
        <w:rPr>
          <w:b/>
        </w:rPr>
        <w:t>Intelligence-led and evidence-based</w:t>
      </w:r>
      <w:r>
        <w:rPr>
          <w:lang w:val="en-US"/>
        </w:rPr>
        <w:t xml:space="preserve"> – we </w:t>
      </w:r>
      <w:r w:rsidRPr="0072324A">
        <w:t xml:space="preserve">will utilise intelligence, data and trend analysis to inform our </w:t>
      </w:r>
      <w:r w:rsidR="00B10E79">
        <w:rPr>
          <w:lang w:val="en-AU"/>
        </w:rPr>
        <w:t xml:space="preserve">proactive </w:t>
      </w:r>
      <w:r w:rsidRPr="0072324A">
        <w:t>compliance and enforcement activities</w:t>
      </w:r>
      <w:r w:rsidR="00C37419">
        <w:rPr>
          <w:lang w:val="en-AU"/>
        </w:rPr>
        <w:t xml:space="preserve"> including our </w:t>
      </w:r>
      <w:r w:rsidR="00B10E79">
        <w:rPr>
          <w:lang w:val="en-AU"/>
        </w:rPr>
        <w:t xml:space="preserve">strategic </w:t>
      </w:r>
      <w:r w:rsidR="00C37419">
        <w:rPr>
          <w:lang w:val="en-AU"/>
        </w:rPr>
        <w:t>focus areas</w:t>
      </w:r>
      <w:r w:rsidRPr="0072324A">
        <w:t>.</w:t>
      </w:r>
    </w:p>
    <w:p w14:paraId="05A53B59" w14:textId="436377C8" w:rsidR="00F3659C" w:rsidRPr="0072324A" w:rsidRDefault="00F3659C" w:rsidP="00F3659C">
      <w:pPr>
        <w:pStyle w:val="Bullet1"/>
      </w:pPr>
      <w:r w:rsidRPr="00696FFC">
        <w:rPr>
          <w:b/>
        </w:rPr>
        <w:t>Proportionate</w:t>
      </w:r>
      <w:r>
        <w:rPr>
          <w:lang w:val="en-US"/>
        </w:rPr>
        <w:t xml:space="preserve"> – </w:t>
      </w:r>
      <w:r w:rsidRPr="0072324A">
        <w:t>our</w:t>
      </w:r>
      <w:r>
        <w:rPr>
          <w:lang w:val="en-US"/>
        </w:rPr>
        <w:t xml:space="preserve"> </w:t>
      </w:r>
      <w:r w:rsidRPr="0072324A">
        <w:t xml:space="preserve">compliance activities and enforcement responses will be proportionate to the compliance risks </w:t>
      </w:r>
      <w:r>
        <w:rPr>
          <w:lang w:val="en-US"/>
        </w:rPr>
        <w:t>we are managing</w:t>
      </w:r>
      <w:r w:rsidR="00C37419">
        <w:rPr>
          <w:lang w:val="en-US"/>
        </w:rPr>
        <w:t xml:space="preserve"> and resolving</w:t>
      </w:r>
      <w:r w:rsidRPr="0072324A">
        <w:t>.</w:t>
      </w:r>
    </w:p>
    <w:p w14:paraId="2EE26B06" w14:textId="678D8005" w:rsidR="00F3659C" w:rsidRPr="0072324A" w:rsidRDefault="00F3659C" w:rsidP="00F3659C">
      <w:pPr>
        <w:pStyle w:val="Bullet1"/>
      </w:pPr>
      <w:r w:rsidRPr="00696FFC">
        <w:rPr>
          <w:b/>
        </w:rPr>
        <w:t>Consistent</w:t>
      </w:r>
      <w:r>
        <w:rPr>
          <w:lang w:val="en-US"/>
        </w:rPr>
        <w:t xml:space="preserve"> – </w:t>
      </w:r>
      <w:r w:rsidRPr="0072324A">
        <w:t xml:space="preserve">our compliance </w:t>
      </w:r>
      <w:r>
        <w:rPr>
          <w:lang w:val="en-US"/>
        </w:rPr>
        <w:t xml:space="preserve">and enforcement </w:t>
      </w:r>
      <w:r w:rsidRPr="0072324A">
        <w:t>activities will be consistent and in accordance with documented procedures.</w:t>
      </w:r>
    </w:p>
    <w:p w14:paraId="3F3086AB" w14:textId="6F5580AA" w:rsidR="00F3659C" w:rsidRPr="0072324A" w:rsidRDefault="00F3659C" w:rsidP="00F3659C">
      <w:pPr>
        <w:pStyle w:val="Bullet1"/>
      </w:pPr>
      <w:r w:rsidRPr="00696FFC">
        <w:rPr>
          <w:b/>
        </w:rPr>
        <w:t>Outcomes focused</w:t>
      </w:r>
      <w:r>
        <w:rPr>
          <w:lang w:val="en-US"/>
        </w:rPr>
        <w:t xml:space="preserve"> – </w:t>
      </w:r>
      <w:r w:rsidRPr="0072324A">
        <w:t xml:space="preserve">our compliance and enforcement activities will be outcomes focused, prioritising </w:t>
      </w:r>
      <w:r w:rsidR="00F10733">
        <w:rPr>
          <w:lang w:val="en-AU"/>
        </w:rPr>
        <w:t xml:space="preserve">our </w:t>
      </w:r>
      <w:r w:rsidRPr="0072324A">
        <w:t>resources to the greatest risks and with a view to improving overall compliance</w:t>
      </w:r>
      <w:r w:rsidR="00C37419">
        <w:rPr>
          <w:lang w:val="en-AU"/>
        </w:rPr>
        <w:t xml:space="preserve"> in the regulated industry</w:t>
      </w:r>
      <w:r w:rsidRPr="0072324A">
        <w:t>.</w:t>
      </w:r>
    </w:p>
    <w:p w14:paraId="43AB1E85" w14:textId="3A68C810" w:rsidR="00F3659C" w:rsidRPr="0072324A" w:rsidRDefault="00F3659C" w:rsidP="00F3659C">
      <w:pPr>
        <w:pStyle w:val="Bullet1"/>
      </w:pPr>
      <w:r w:rsidRPr="00696FFC">
        <w:rPr>
          <w:b/>
        </w:rPr>
        <w:t>Fair and transparent</w:t>
      </w:r>
      <w:r>
        <w:rPr>
          <w:lang w:val="en-US"/>
        </w:rPr>
        <w:t xml:space="preserve"> – we </w:t>
      </w:r>
      <w:r w:rsidRPr="0072324A">
        <w:t>will be fair, open and transparent in relation to our decision</w:t>
      </w:r>
      <w:r>
        <w:rPr>
          <w:lang w:val="en-US"/>
        </w:rPr>
        <w:t>-making</w:t>
      </w:r>
      <w:r w:rsidRPr="0072324A">
        <w:t xml:space="preserve"> and </w:t>
      </w:r>
      <w:r>
        <w:rPr>
          <w:lang w:val="en-US"/>
        </w:rPr>
        <w:t xml:space="preserve">our </w:t>
      </w:r>
      <w:r w:rsidRPr="0072324A">
        <w:t xml:space="preserve">compliance </w:t>
      </w:r>
      <w:r>
        <w:rPr>
          <w:lang w:val="en-US"/>
        </w:rPr>
        <w:t xml:space="preserve">and enforcement </w:t>
      </w:r>
      <w:r w:rsidRPr="0072324A">
        <w:t>activities</w:t>
      </w:r>
      <w:r>
        <w:rPr>
          <w:lang w:val="en-US"/>
        </w:rPr>
        <w:t>,</w:t>
      </w:r>
      <w:r w:rsidRPr="0072324A">
        <w:t xml:space="preserve"> and </w:t>
      </w:r>
      <w:r>
        <w:rPr>
          <w:lang w:val="en-US"/>
        </w:rPr>
        <w:t xml:space="preserve">we </w:t>
      </w:r>
      <w:r w:rsidRPr="0072324A">
        <w:t xml:space="preserve">will communicate with regulated entities </w:t>
      </w:r>
      <w:r w:rsidR="00C37419">
        <w:rPr>
          <w:lang w:val="en-AU"/>
        </w:rPr>
        <w:t>clearly and effectively</w:t>
      </w:r>
      <w:r w:rsidRPr="0072324A">
        <w:t>.</w:t>
      </w:r>
    </w:p>
    <w:p w14:paraId="16BEAA56" w14:textId="71B76E00" w:rsidR="00F3659C" w:rsidRPr="0072324A" w:rsidRDefault="00F3659C" w:rsidP="00F3659C">
      <w:pPr>
        <w:pStyle w:val="Bullet1"/>
      </w:pPr>
      <w:r w:rsidRPr="00696FFC">
        <w:rPr>
          <w:b/>
        </w:rPr>
        <w:t>Responsive</w:t>
      </w:r>
      <w:r w:rsidR="00C37419">
        <w:rPr>
          <w:b/>
          <w:lang w:val="en-AU"/>
        </w:rPr>
        <w:t>,</w:t>
      </w:r>
      <w:r w:rsidRPr="00696FFC">
        <w:rPr>
          <w:b/>
        </w:rPr>
        <w:t xml:space="preserve"> agile and efficient</w:t>
      </w:r>
      <w:r>
        <w:rPr>
          <w:lang w:val="en-US"/>
        </w:rPr>
        <w:t xml:space="preserve"> – we</w:t>
      </w:r>
      <w:r w:rsidRPr="0072324A">
        <w:t xml:space="preserve"> will be responsive to </w:t>
      </w:r>
      <w:r w:rsidR="00F10733">
        <w:rPr>
          <w:lang w:val="en-AU"/>
        </w:rPr>
        <w:t xml:space="preserve">allegations of </w:t>
      </w:r>
      <w:r w:rsidR="00C37419">
        <w:rPr>
          <w:lang w:val="en-AU"/>
        </w:rPr>
        <w:t xml:space="preserve">non-compliance, </w:t>
      </w:r>
      <w:r w:rsidRPr="0072324A">
        <w:t xml:space="preserve">new </w:t>
      </w:r>
      <w:r w:rsidR="00C37419">
        <w:rPr>
          <w:lang w:val="en-AU"/>
        </w:rPr>
        <w:t>information</w:t>
      </w:r>
      <w:r w:rsidRPr="0072324A">
        <w:t xml:space="preserve">, environmental trends </w:t>
      </w:r>
      <w:r w:rsidR="00C37419">
        <w:rPr>
          <w:lang w:val="en-AU"/>
        </w:rPr>
        <w:t xml:space="preserve">and relevant industry </w:t>
      </w:r>
      <w:r w:rsidRPr="0072324A">
        <w:t>data</w:t>
      </w:r>
      <w:r w:rsidR="00C37419">
        <w:rPr>
          <w:lang w:val="en-AU"/>
        </w:rPr>
        <w:t>.</w:t>
      </w:r>
      <w:r w:rsidRPr="0072324A">
        <w:t xml:space="preserve"> Our compliance activities will be streamlined and coordinated to reduce unnecessary imposts on both regulated entities and the department.</w:t>
      </w:r>
    </w:p>
    <w:p w14:paraId="2B996CCD" w14:textId="45B260EC" w:rsidR="00F3659C" w:rsidRPr="00885089" w:rsidRDefault="00F3659C" w:rsidP="00F3659C">
      <w:pPr>
        <w:pStyle w:val="Bullet1"/>
      </w:pPr>
      <w:r w:rsidRPr="00696FFC">
        <w:rPr>
          <w:b/>
        </w:rPr>
        <w:t>Professional</w:t>
      </w:r>
      <w:r>
        <w:rPr>
          <w:lang w:val="en-US"/>
        </w:rPr>
        <w:t xml:space="preserve"> – our</w:t>
      </w:r>
      <w:r w:rsidRPr="0072324A">
        <w:t xml:space="preserve"> staff will be respectful</w:t>
      </w:r>
      <w:r w:rsidR="00C37419">
        <w:rPr>
          <w:lang w:val="en-AU"/>
        </w:rPr>
        <w:t xml:space="preserve"> and courteous</w:t>
      </w:r>
      <w:r w:rsidRPr="0072324A">
        <w:t xml:space="preserve"> when providing information and interacting with </w:t>
      </w:r>
      <w:r w:rsidR="00F10733">
        <w:rPr>
          <w:lang w:val="en-AU"/>
        </w:rPr>
        <w:t>regulated entities and the public</w:t>
      </w:r>
      <w:r w:rsidRPr="0072324A">
        <w:t>.</w:t>
      </w:r>
    </w:p>
    <w:p w14:paraId="37EFB9DB" w14:textId="77777777" w:rsidR="00F3659C" w:rsidRPr="00DD00A9" w:rsidRDefault="00F3659C" w:rsidP="00F3659C">
      <w:pPr>
        <w:pStyle w:val="Heading2"/>
      </w:pPr>
      <w:bookmarkStart w:id="25" w:name="_Toc75440293"/>
      <w:bookmarkStart w:id="26" w:name="_Toc141176167"/>
      <w:r w:rsidRPr="00DD00A9">
        <w:t xml:space="preserve">Our compliance </w:t>
      </w:r>
      <w:r>
        <w:t xml:space="preserve">approach and </w:t>
      </w:r>
      <w:r w:rsidRPr="00DD00A9">
        <w:t>model</w:t>
      </w:r>
      <w:bookmarkEnd w:id="25"/>
      <w:bookmarkEnd w:id="26"/>
    </w:p>
    <w:p w14:paraId="02B9E80B" w14:textId="085911BE" w:rsidR="00F3659C" w:rsidRDefault="00F3659C" w:rsidP="00F3659C">
      <w:pPr>
        <w:rPr>
          <w:lang w:val="en-US"/>
        </w:rPr>
      </w:pPr>
      <w:r>
        <w:rPr>
          <w:lang w:val="en-US"/>
        </w:rPr>
        <w:t xml:space="preserve">We </w:t>
      </w:r>
      <w:r w:rsidR="00C37419">
        <w:rPr>
          <w:lang w:val="en-US"/>
        </w:rPr>
        <w:t xml:space="preserve">acknowledge </w:t>
      </w:r>
      <w:r w:rsidRPr="00B271E6">
        <w:rPr>
          <w:lang w:val="en-US"/>
        </w:rPr>
        <w:t xml:space="preserve">there are varying degrees of non-compliant </w:t>
      </w:r>
      <w:r w:rsidR="00023511" w:rsidRPr="00B271E6">
        <w:rPr>
          <w:lang w:val="en-US"/>
        </w:rPr>
        <w:t>behavio</w:t>
      </w:r>
      <w:r w:rsidR="00B85DA2">
        <w:rPr>
          <w:lang w:val="en-US"/>
        </w:rPr>
        <w:t>u</w:t>
      </w:r>
      <w:r w:rsidR="00023511" w:rsidRPr="00B271E6">
        <w:rPr>
          <w:lang w:val="en-US"/>
        </w:rPr>
        <w:t>rs</w:t>
      </w:r>
      <w:r w:rsidR="00FE701B">
        <w:rPr>
          <w:lang w:val="en-US"/>
        </w:rPr>
        <w:t xml:space="preserve">. The type of non-compliant behaviour and overall attitude to regulatory obligations </w:t>
      </w:r>
      <w:r w:rsidR="00650744">
        <w:rPr>
          <w:lang w:val="en-US"/>
        </w:rPr>
        <w:t>can be</w:t>
      </w:r>
      <w:r w:rsidR="00FE701B">
        <w:rPr>
          <w:lang w:val="en-US"/>
        </w:rPr>
        <w:t xml:space="preserve"> a significant determinant regarding how the department responds to a particular non-compliance </w:t>
      </w:r>
      <w:r w:rsidR="00023511">
        <w:rPr>
          <w:lang w:val="en-US"/>
        </w:rPr>
        <w:t>matter.</w:t>
      </w:r>
      <w:r w:rsidRPr="00B271E6">
        <w:rPr>
          <w:lang w:val="en-US"/>
        </w:rPr>
        <w:t xml:space="preserve"> We use four main categories when considering and responding to non-compliance:</w:t>
      </w:r>
    </w:p>
    <w:p w14:paraId="3107AD89" w14:textId="77777777" w:rsidR="00F3659C" w:rsidRPr="00200838" w:rsidRDefault="00F3659C" w:rsidP="00F3659C">
      <w:pPr>
        <w:pStyle w:val="Bullet1"/>
        <w:rPr>
          <w:b/>
        </w:rPr>
      </w:pPr>
      <w:r w:rsidRPr="00200838">
        <w:rPr>
          <w:b/>
        </w:rPr>
        <w:t>voluntary compliance</w:t>
      </w:r>
    </w:p>
    <w:p w14:paraId="0E993BD0" w14:textId="77777777" w:rsidR="00F3659C" w:rsidRPr="00200838" w:rsidRDefault="00F3659C" w:rsidP="00F3659C">
      <w:pPr>
        <w:pStyle w:val="Bullet1"/>
        <w:rPr>
          <w:b/>
        </w:rPr>
      </w:pPr>
      <w:r w:rsidRPr="00200838">
        <w:rPr>
          <w:b/>
        </w:rPr>
        <w:t>assisted compliance</w:t>
      </w:r>
    </w:p>
    <w:p w14:paraId="27985948" w14:textId="77777777" w:rsidR="00F3659C" w:rsidRPr="00200838" w:rsidRDefault="00F3659C" w:rsidP="00F3659C">
      <w:pPr>
        <w:pStyle w:val="Bullet1"/>
        <w:rPr>
          <w:b/>
        </w:rPr>
      </w:pPr>
      <w:r w:rsidRPr="00200838">
        <w:rPr>
          <w:b/>
        </w:rPr>
        <w:t>directed compliance</w:t>
      </w:r>
    </w:p>
    <w:p w14:paraId="1AA5D3E9" w14:textId="77777777" w:rsidR="00F3659C" w:rsidRPr="00200838" w:rsidRDefault="00F3659C" w:rsidP="00F3659C">
      <w:pPr>
        <w:pStyle w:val="Bullet1"/>
        <w:rPr>
          <w:b/>
        </w:rPr>
      </w:pPr>
      <w:r w:rsidRPr="00200838">
        <w:rPr>
          <w:b/>
        </w:rPr>
        <w:t>enforced compliance</w:t>
      </w:r>
    </w:p>
    <w:p w14:paraId="66BF4053" w14:textId="2DA67853" w:rsidR="00F3659C" w:rsidRDefault="00F3659C" w:rsidP="00F3659C">
      <w:pPr>
        <w:rPr>
          <w:lang w:val="en-US"/>
        </w:rPr>
      </w:pPr>
      <w:r>
        <w:rPr>
          <w:lang w:val="en-US"/>
        </w:rPr>
        <w:t xml:space="preserve">This </w:t>
      </w:r>
      <w:r w:rsidR="00FE701B">
        <w:rPr>
          <w:lang w:val="en-US"/>
        </w:rPr>
        <w:t xml:space="preserve">escalating </w:t>
      </w:r>
      <w:r>
        <w:rPr>
          <w:lang w:val="en-US"/>
        </w:rPr>
        <w:t>approach</w:t>
      </w:r>
      <w:r w:rsidR="00FE701B">
        <w:rPr>
          <w:lang w:val="en-US"/>
        </w:rPr>
        <w:t xml:space="preserve"> to compliance </w:t>
      </w:r>
      <w:r w:rsidR="00F550A7">
        <w:rPr>
          <w:lang w:val="en-US"/>
        </w:rPr>
        <w:t xml:space="preserve">and </w:t>
      </w:r>
      <w:r w:rsidR="00FE701B">
        <w:rPr>
          <w:lang w:val="en-US"/>
        </w:rPr>
        <w:t>enforcement</w:t>
      </w:r>
      <w:r>
        <w:rPr>
          <w:lang w:val="en-US"/>
        </w:rPr>
        <w:t xml:space="preserve"> is </w:t>
      </w:r>
      <w:r w:rsidRPr="00B271E6">
        <w:rPr>
          <w:lang w:val="en-US"/>
        </w:rPr>
        <w:t>represented in the shape of a pyramid</w:t>
      </w:r>
      <w:r w:rsidR="00576AD7">
        <w:rPr>
          <w:lang w:val="en-US"/>
        </w:rPr>
        <w:t>,</w:t>
      </w:r>
      <w:r w:rsidR="00435A5A">
        <w:rPr>
          <w:lang w:val="en-US"/>
        </w:rPr>
        <w:t xml:space="preserve"> </w:t>
      </w:r>
      <w:r>
        <w:rPr>
          <w:lang w:val="en-US"/>
        </w:rPr>
        <w:t xml:space="preserve">see </w:t>
      </w:r>
      <w:r w:rsidRPr="00B271E6">
        <w:rPr>
          <w:lang w:val="en-US"/>
        </w:rPr>
        <w:t>Figure</w:t>
      </w:r>
      <w:r w:rsidR="005B3741">
        <w:rPr>
          <w:lang w:val="en-US"/>
        </w:rPr>
        <w:t> </w:t>
      </w:r>
      <w:r w:rsidRPr="00B271E6">
        <w:rPr>
          <w:lang w:val="en-US"/>
        </w:rPr>
        <w:t xml:space="preserve">1 – </w:t>
      </w:r>
      <w:r w:rsidRPr="00200838">
        <w:rPr>
          <w:lang w:val="en-US"/>
        </w:rPr>
        <w:t>V</w:t>
      </w:r>
      <w:r w:rsidR="00F659A6">
        <w:rPr>
          <w:lang w:val="en-US"/>
        </w:rPr>
        <w:t xml:space="preserve">ehicle </w:t>
      </w:r>
      <w:r w:rsidR="00EF72C5">
        <w:rPr>
          <w:lang w:val="en-US"/>
        </w:rPr>
        <w:t>S</w:t>
      </w:r>
      <w:r w:rsidR="00F659A6">
        <w:rPr>
          <w:lang w:val="en-US"/>
        </w:rPr>
        <w:t xml:space="preserve">afety </w:t>
      </w:r>
      <w:r w:rsidR="00EF72C5">
        <w:rPr>
          <w:lang w:val="en-US"/>
        </w:rPr>
        <w:t>O</w:t>
      </w:r>
      <w:r w:rsidR="00F659A6">
        <w:rPr>
          <w:lang w:val="en-US"/>
        </w:rPr>
        <w:t>perations</w:t>
      </w:r>
      <w:r w:rsidRPr="00200838">
        <w:rPr>
          <w:lang w:val="en-US"/>
        </w:rPr>
        <w:t xml:space="preserve"> compliance model</w:t>
      </w:r>
      <w:r w:rsidR="00C37419" w:rsidRPr="00200838">
        <w:rPr>
          <w:lang w:val="en-US"/>
        </w:rPr>
        <w:t>.</w:t>
      </w:r>
      <w:r w:rsidRPr="00B271E6">
        <w:rPr>
          <w:lang w:val="en-US"/>
        </w:rPr>
        <w:t xml:space="preserve"> </w:t>
      </w:r>
    </w:p>
    <w:p w14:paraId="139576C7" w14:textId="6662CEBC" w:rsidR="00583C3B" w:rsidRDefault="00BB6FB4" w:rsidP="00F3659C">
      <w:pPr>
        <w:rPr>
          <w:lang w:val="en-US"/>
        </w:rPr>
      </w:pPr>
      <w:r>
        <w:rPr>
          <w:lang w:val="en-US"/>
        </w:rPr>
        <w:t>Generally,</w:t>
      </w:r>
      <w:r w:rsidR="00583C3B">
        <w:rPr>
          <w:lang w:val="en-US"/>
        </w:rPr>
        <w:t xml:space="preserve"> the poorer the attitude towards </w:t>
      </w:r>
      <w:r w:rsidR="00147B9A">
        <w:rPr>
          <w:lang w:val="en-US"/>
        </w:rPr>
        <w:t>compliance</w:t>
      </w:r>
      <w:r w:rsidR="00583C3B">
        <w:rPr>
          <w:lang w:val="en-US"/>
        </w:rPr>
        <w:t xml:space="preserve"> the more likely we are to mo</w:t>
      </w:r>
      <w:r w:rsidR="007016EF">
        <w:rPr>
          <w:lang w:val="en-US"/>
        </w:rPr>
        <w:t>v</w:t>
      </w:r>
      <w:r w:rsidR="00583C3B">
        <w:rPr>
          <w:lang w:val="en-US"/>
        </w:rPr>
        <w:t xml:space="preserve">e up the pyramid and apply more severe enforcement responses. Each enforcement response is not limited to only being used within that enforcement category. There may be occasions where it is appropriate to apply </w:t>
      </w:r>
      <w:r>
        <w:rPr>
          <w:lang w:val="en-US"/>
        </w:rPr>
        <w:t>an enforcement</w:t>
      </w:r>
      <w:r w:rsidR="00583C3B">
        <w:rPr>
          <w:lang w:val="en-US"/>
        </w:rPr>
        <w:t xml:space="preserve"> response where the regulated entity has been cooperative and demonstrated a good attitude towards compliance.</w:t>
      </w:r>
    </w:p>
    <w:p w14:paraId="52139036" w14:textId="77A1E02E" w:rsidR="00F3659C" w:rsidRDefault="00532D69" w:rsidP="00F3659C">
      <w:pPr>
        <w:jc w:val="center"/>
      </w:pPr>
      <w:r w:rsidRPr="00532D69">
        <w:rPr>
          <w:noProof/>
        </w:rPr>
        <w:drawing>
          <wp:inline distT="0" distB="0" distL="0" distR="0" wp14:anchorId="3BAFF1F9" wp14:editId="7E954FF7">
            <wp:extent cx="6263640" cy="5270500"/>
            <wp:effectExtent l="0" t="0" r="3810" b="6350"/>
            <wp:docPr id="7" name="Picture 7" descr="The VSO compliant model pyramid start with voluntary compliance at the base, moving up through assisted compliance, directed compliance and enforced compliance at the point. Each type of compliance includes different tools to respond to any non-compliance.&#10;&#10;Voluntary - education, website content, factsheets, explanatory information, guidance.&#10;Assisted (in addition to voluntary) - advisory letter, inspections and monitoring, conditions.&#10;Directed (in addition to voluntary and assisted) - penalty infringement notice, enforceable undertaking, vary, suspend or revoke approvals.&#10;Enforced (in addition to voluntary, assisted and directed) - prosec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63640" cy="5270500"/>
                    </a:xfrm>
                    <a:prstGeom prst="rect">
                      <a:avLst/>
                    </a:prstGeom>
                  </pic:spPr>
                </pic:pic>
              </a:graphicData>
            </a:graphic>
          </wp:inline>
        </w:drawing>
      </w:r>
    </w:p>
    <w:p w14:paraId="53903C36" w14:textId="18223568" w:rsidR="00F3659C" w:rsidRDefault="00F3659C" w:rsidP="00023511">
      <w:pPr>
        <w:pStyle w:val="Caption"/>
        <w:jc w:val="center"/>
        <w:rPr>
          <w:lang w:val="en-US"/>
        </w:rPr>
      </w:pPr>
      <w:bookmarkStart w:id="27" w:name="_Toc141176184"/>
      <w:r>
        <w:rPr>
          <w:lang w:val="en-US"/>
        </w:rPr>
        <w:t>Figure 1 – V</w:t>
      </w:r>
      <w:r w:rsidR="00F659A6">
        <w:rPr>
          <w:lang w:val="en-US"/>
        </w:rPr>
        <w:t xml:space="preserve">ehicle </w:t>
      </w:r>
      <w:r w:rsidR="004A58EC">
        <w:rPr>
          <w:lang w:val="en-US"/>
        </w:rPr>
        <w:t>S</w:t>
      </w:r>
      <w:r w:rsidR="00F659A6">
        <w:rPr>
          <w:lang w:val="en-US"/>
        </w:rPr>
        <w:t xml:space="preserve">afety </w:t>
      </w:r>
      <w:r w:rsidR="004A58EC">
        <w:rPr>
          <w:lang w:val="en-US"/>
        </w:rPr>
        <w:t>O</w:t>
      </w:r>
      <w:r w:rsidR="00F659A6">
        <w:rPr>
          <w:lang w:val="en-US"/>
        </w:rPr>
        <w:t>perations</w:t>
      </w:r>
      <w:r w:rsidR="004A58EC">
        <w:rPr>
          <w:lang w:val="en-US"/>
        </w:rPr>
        <w:t xml:space="preserve"> </w:t>
      </w:r>
      <w:r>
        <w:rPr>
          <w:lang w:val="en-US"/>
        </w:rPr>
        <w:t>compliance model</w:t>
      </w:r>
      <w:bookmarkEnd w:id="27"/>
    </w:p>
    <w:p w14:paraId="32A1398A" w14:textId="016B969E" w:rsidR="007B441C" w:rsidRDefault="007B441C" w:rsidP="00F3659C">
      <w:pPr>
        <w:pStyle w:val="Heading2"/>
      </w:pPr>
      <w:bookmarkStart w:id="28" w:name="_Toc75440294"/>
      <w:bookmarkStart w:id="29" w:name="_Toc141176168"/>
      <w:r>
        <w:t xml:space="preserve">Previous </w:t>
      </w:r>
      <w:r w:rsidR="00A50944">
        <w:t>c</w:t>
      </w:r>
      <w:r>
        <w:t xml:space="preserve">ompliance and </w:t>
      </w:r>
      <w:r w:rsidR="00A50944">
        <w:t>e</w:t>
      </w:r>
      <w:r>
        <w:t xml:space="preserve">nforcement </w:t>
      </w:r>
      <w:r w:rsidR="00A50944">
        <w:t>s</w:t>
      </w:r>
      <w:r>
        <w:t>trategies</w:t>
      </w:r>
      <w:bookmarkEnd w:id="29"/>
    </w:p>
    <w:p w14:paraId="2D49F7C8" w14:textId="2EC64141" w:rsidR="006C66AF" w:rsidRDefault="00FE701B" w:rsidP="007B441C">
      <w:r>
        <w:t>At the commencement of the RVSA transition period</w:t>
      </w:r>
      <w:r w:rsidR="00361B7B">
        <w:t xml:space="preserve"> on</w:t>
      </w:r>
      <w:r>
        <w:t xml:space="preserve"> 1</w:t>
      </w:r>
      <w:r w:rsidR="000E09ED">
        <w:t> </w:t>
      </w:r>
      <w:r>
        <w:t>July</w:t>
      </w:r>
      <w:r w:rsidR="000E09ED">
        <w:t> </w:t>
      </w:r>
      <w:r>
        <w:t>202</w:t>
      </w:r>
      <w:r w:rsidR="00F550A7">
        <w:t>1</w:t>
      </w:r>
      <w:r w:rsidR="00F10733">
        <w:t>,</w:t>
      </w:r>
      <w:r>
        <w:t xml:space="preserve"> through to its conclusion </w:t>
      </w:r>
      <w:r w:rsidR="00361B7B">
        <w:t xml:space="preserve">on </w:t>
      </w:r>
      <w:r>
        <w:t>30</w:t>
      </w:r>
      <w:r w:rsidR="000E09ED">
        <w:t> </w:t>
      </w:r>
      <w:r>
        <w:t>June</w:t>
      </w:r>
      <w:r w:rsidR="000E09ED">
        <w:t> </w:t>
      </w:r>
      <w:r>
        <w:t xml:space="preserve">2023, </w:t>
      </w:r>
      <w:r w:rsidR="000E09ED">
        <w:t>we</w:t>
      </w:r>
      <w:r w:rsidR="000349B6">
        <w:t xml:space="preserve"> made</w:t>
      </w:r>
      <w:r w:rsidR="00F550A7">
        <w:t xml:space="preserve"> available</w:t>
      </w:r>
      <w:r w:rsidR="00435A5A">
        <w:t xml:space="preserve"> via the </w:t>
      </w:r>
      <w:r w:rsidR="000349B6">
        <w:t>department’s</w:t>
      </w:r>
      <w:r w:rsidR="00435A5A">
        <w:t xml:space="preserve"> website </w:t>
      </w:r>
      <w:r w:rsidR="000E09ED">
        <w:t>the</w:t>
      </w:r>
      <w:r>
        <w:t xml:space="preserve"> </w:t>
      </w:r>
      <w:r w:rsidRPr="00023511">
        <w:rPr>
          <w:i/>
        </w:rPr>
        <w:t>Compliance and Enforcement Strategy 2021- 23</w:t>
      </w:r>
      <w:r w:rsidR="00435A5A">
        <w:t>.</w:t>
      </w:r>
      <w:r>
        <w:t xml:space="preserve"> </w:t>
      </w:r>
    </w:p>
    <w:p w14:paraId="34CEBE25" w14:textId="5145C12B" w:rsidR="00F550A7" w:rsidRDefault="00FE701B">
      <w:r>
        <w:t xml:space="preserve">Our </w:t>
      </w:r>
      <w:r w:rsidR="006C66AF">
        <w:t xml:space="preserve">primary </w:t>
      </w:r>
      <w:r>
        <w:t>focus during th</w:t>
      </w:r>
      <w:r w:rsidR="00EF72C5">
        <w:t>e</w:t>
      </w:r>
      <w:r>
        <w:t xml:space="preserve"> transition</w:t>
      </w:r>
      <w:r w:rsidR="00F550A7">
        <w:t>al period</w:t>
      </w:r>
      <w:r>
        <w:t xml:space="preserve"> was to </w:t>
      </w:r>
      <w:r w:rsidR="006C66AF">
        <w:t xml:space="preserve">provide education </w:t>
      </w:r>
      <w:r>
        <w:t xml:space="preserve">when non-compliance was found and encourage </w:t>
      </w:r>
      <w:r w:rsidR="00EB760A">
        <w:t xml:space="preserve">non-compliant </w:t>
      </w:r>
      <w:r>
        <w:t>entit</w:t>
      </w:r>
      <w:r w:rsidR="000E09ED">
        <w:t>ies</w:t>
      </w:r>
      <w:r>
        <w:t xml:space="preserve"> to </w:t>
      </w:r>
      <w:r w:rsidR="00EF72C5">
        <w:t xml:space="preserve">rapidly </w:t>
      </w:r>
      <w:r>
        <w:t>return</w:t>
      </w:r>
      <w:r w:rsidR="00361B7B">
        <w:t xml:space="preserve"> </w:t>
      </w:r>
      <w:r>
        <w:t>to compliance</w:t>
      </w:r>
      <w:r w:rsidR="00F550A7">
        <w:t>,</w:t>
      </w:r>
      <w:r w:rsidR="006C66AF">
        <w:t xml:space="preserve"> or </w:t>
      </w:r>
      <w:r w:rsidR="00205B06">
        <w:t xml:space="preserve">encourage them to </w:t>
      </w:r>
      <w:r w:rsidR="006C66AF">
        <w:t xml:space="preserve">voluntarily consider whether they wished to continue holding </w:t>
      </w:r>
      <w:r w:rsidR="00361B7B">
        <w:t xml:space="preserve">the relevant </w:t>
      </w:r>
      <w:r w:rsidR="006C66AF">
        <w:t>RVS approval</w:t>
      </w:r>
      <w:r w:rsidR="00EB760A">
        <w:t>s</w:t>
      </w:r>
      <w:r w:rsidR="00F550A7">
        <w:t xml:space="preserve"> while</w:t>
      </w:r>
      <w:r w:rsidR="00F10733">
        <w:t xml:space="preserve"> knowingly </w:t>
      </w:r>
      <w:r w:rsidR="000E09ED">
        <w:t xml:space="preserve">being </w:t>
      </w:r>
      <w:r w:rsidR="00F550A7">
        <w:t>non-compliant</w:t>
      </w:r>
      <w:r>
        <w:t xml:space="preserve">. </w:t>
      </w:r>
    </w:p>
    <w:p w14:paraId="55049B27" w14:textId="567DA343" w:rsidR="00574CAB" w:rsidRDefault="00FE701B">
      <w:r>
        <w:t xml:space="preserve">This </w:t>
      </w:r>
      <w:r w:rsidR="00F10733">
        <w:t xml:space="preserve">predominantly educative </w:t>
      </w:r>
      <w:r>
        <w:t>approach</w:t>
      </w:r>
      <w:r w:rsidR="00574CAB">
        <w:t xml:space="preserve"> </w:t>
      </w:r>
      <w:r>
        <w:t xml:space="preserve">assisted industry </w:t>
      </w:r>
      <w:r w:rsidR="00F10733">
        <w:t>during</w:t>
      </w:r>
      <w:r>
        <w:t xml:space="preserve"> the transition</w:t>
      </w:r>
      <w:r w:rsidR="00F550A7">
        <w:t>al</w:t>
      </w:r>
      <w:r>
        <w:t xml:space="preserve"> period and provided </w:t>
      </w:r>
      <w:r w:rsidR="00F10733">
        <w:t>direct learning</w:t>
      </w:r>
      <w:r>
        <w:t xml:space="preserve"> </w:t>
      </w:r>
      <w:r w:rsidR="006C66AF">
        <w:t>opportunities</w:t>
      </w:r>
      <w:r>
        <w:t xml:space="preserve">. </w:t>
      </w:r>
    </w:p>
    <w:p w14:paraId="75F95653" w14:textId="5F36DA14" w:rsidR="00574CAB" w:rsidRDefault="00574CAB">
      <w:r>
        <w:t>During this period</w:t>
      </w:r>
      <w:r w:rsidR="000E09ED">
        <w:t>,</w:t>
      </w:r>
      <w:r>
        <w:t xml:space="preserve"> </w:t>
      </w:r>
      <w:r w:rsidR="00104E40">
        <w:t xml:space="preserve">we </w:t>
      </w:r>
      <w:r w:rsidR="00FE701B">
        <w:t xml:space="preserve">learnt a </w:t>
      </w:r>
      <w:r w:rsidR="000E09ED">
        <w:t>lot</w:t>
      </w:r>
      <w:r w:rsidR="00FE701B">
        <w:t xml:space="preserve"> about particular industry </w:t>
      </w:r>
      <w:r w:rsidR="006C66AF">
        <w:t>segments and the way they operate.</w:t>
      </w:r>
      <w:r w:rsidR="00FE701B">
        <w:t xml:space="preserve"> </w:t>
      </w:r>
      <w:r w:rsidR="00E71F8C">
        <w:t>These</w:t>
      </w:r>
      <w:r w:rsidR="00FE701B">
        <w:t xml:space="preserve"> learnings have helped inform </w:t>
      </w:r>
      <w:r w:rsidR="00E71F8C">
        <w:t xml:space="preserve">and improve </w:t>
      </w:r>
      <w:r w:rsidR="00FE701B">
        <w:t xml:space="preserve">our </w:t>
      </w:r>
      <w:r w:rsidR="006C66AF">
        <w:t>approach to compliance and enforcement</w:t>
      </w:r>
      <w:r w:rsidR="00F550A7">
        <w:t xml:space="preserve"> under the RVS</w:t>
      </w:r>
      <w:r w:rsidR="00361B7B">
        <w:t xml:space="preserve"> legislation</w:t>
      </w:r>
      <w:r w:rsidR="00E71F8C">
        <w:t>, while assisting</w:t>
      </w:r>
      <w:r w:rsidR="006C66AF">
        <w:t xml:space="preserve"> </w:t>
      </w:r>
      <w:r w:rsidR="00F550A7">
        <w:t>in</w:t>
      </w:r>
      <w:r w:rsidR="006C66AF">
        <w:t xml:space="preserve"> identifying areas</w:t>
      </w:r>
      <w:r w:rsidR="00F550A7">
        <w:t xml:space="preserve"> of the </w:t>
      </w:r>
      <w:r>
        <w:t xml:space="preserve">road vehicle </w:t>
      </w:r>
      <w:r w:rsidR="00F550A7">
        <w:t>industry</w:t>
      </w:r>
      <w:r w:rsidR="006C66AF">
        <w:t xml:space="preserve"> that </w:t>
      </w:r>
      <w:r w:rsidR="00435A5A">
        <w:t xml:space="preserve">may </w:t>
      </w:r>
      <w:r w:rsidR="006C66AF">
        <w:t xml:space="preserve">benefit from increased regulatory </w:t>
      </w:r>
      <w:r w:rsidR="00435A5A">
        <w:t>oversight</w:t>
      </w:r>
      <w:r w:rsidR="00F550A7">
        <w:t>.</w:t>
      </w:r>
    </w:p>
    <w:p w14:paraId="5F62C03A" w14:textId="0CA0F6E1" w:rsidR="00F3659C" w:rsidRPr="00F60EEA" w:rsidRDefault="00F3659C" w:rsidP="00F3659C">
      <w:pPr>
        <w:pStyle w:val="Heading2"/>
      </w:pPr>
      <w:bookmarkStart w:id="30" w:name="_Toc141176169"/>
      <w:r w:rsidRPr="00F60EEA">
        <w:t>Our operating environment</w:t>
      </w:r>
      <w:bookmarkEnd w:id="28"/>
      <w:bookmarkEnd w:id="30"/>
    </w:p>
    <w:p w14:paraId="643BB446" w14:textId="4B112020" w:rsidR="00574CAB" w:rsidRDefault="00574CAB" w:rsidP="00574CAB">
      <w:pPr>
        <w:pStyle w:val="Heading3"/>
        <w:rPr>
          <w:lang w:val="en-US"/>
        </w:rPr>
      </w:pPr>
      <w:bookmarkStart w:id="31" w:name="_Toc141176170"/>
      <w:r>
        <w:rPr>
          <w:lang w:val="en-US"/>
        </w:rPr>
        <w:t>New RVS legislation</w:t>
      </w:r>
      <w:bookmarkEnd w:id="31"/>
    </w:p>
    <w:p w14:paraId="79AADB26" w14:textId="230E7211" w:rsidR="00814BB7" w:rsidRDefault="00814BB7" w:rsidP="00574CAB">
      <w:pPr>
        <w:pStyle w:val="Bullet2"/>
        <w:numPr>
          <w:ilvl w:val="0"/>
          <w:numId w:val="0"/>
        </w:numPr>
        <w:rPr>
          <w:lang w:val="en-US"/>
        </w:rPr>
      </w:pPr>
      <w:r>
        <w:rPr>
          <w:lang w:val="en-US"/>
        </w:rPr>
        <w:t>Everyone</w:t>
      </w:r>
      <w:r w:rsidR="00F550A7">
        <w:rPr>
          <w:lang w:val="en-US"/>
        </w:rPr>
        <w:t xml:space="preserve"> in</w:t>
      </w:r>
      <w:r w:rsidR="00BD6083">
        <w:rPr>
          <w:lang w:val="en-US"/>
        </w:rPr>
        <w:t>volved in</w:t>
      </w:r>
      <w:r w:rsidR="00F550A7">
        <w:rPr>
          <w:lang w:val="en-US"/>
        </w:rPr>
        <w:t xml:space="preserve"> the</w:t>
      </w:r>
      <w:r w:rsidR="009342B7">
        <w:rPr>
          <w:lang w:val="en-US"/>
        </w:rPr>
        <w:t xml:space="preserve"> design, manufacture, importation a</w:t>
      </w:r>
      <w:r w:rsidR="00E71F8C">
        <w:rPr>
          <w:lang w:val="en-US"/>
        </w:rPr>
        <w:t>n</w:t>
      </w:r>
      <w:r w:rsidR="009342B7">
        <w:rPr>
          <w:lang w:val="en-US"/>
        </w:rPr>
        <w:t>d first provision of</w:t>
      </w:r>
      <w:r w:rsidR="00F550A7">
        <w:rPr>
          <w:lang w:val="en-US"/>
        </w:rPr>
        <w:t xml:space="preserve"> road vehicle</w:t>
      </w:r>
      <w:r w:rsidR="009342B7">
        <w:rPr>
          <w:lang w:val="en-US"/>
        </w:rPr>
        <w:t>s</w:t>
      </w:r>
      <w:r w:rsidR="00F550A7">
        <w:rPr>
          <w:lang w:val="en-US"/>
        </w:rPr>
        <w:t xml:space="preserve"> in Australia are </w:t>
      </w:r>
      <w:r w:rsidR="00574CAB">
        <w:rPr>
          <w:lang w:val="en-US"/>
        </w:rPr>
        <w:t xml:space="preserve">now </w:t>
      </w:r>
      <w:r w:rsidR="00F550A7">
        <w:rPr>
          <w:lang w:val="en-US"/>
        </w:rPr>
        <w:t>subject to the</w:t>
      </w:r>
      <w:r w:rsidR="006C66AF">
        <w:rPr>
          <w:lang w:val="en-US"/>
        </w:rPr>
        <w:t xml:space="preserve"> </w:t>
      </w:r>
      <w:r w:rsidR="00896CB9">
        <w:rPr>
          <w:lang w:val="en-US"/>
        </w:rPr>
        <w:t xml:space="preserve">requirements of the </w:t>
      </w:r>
      <w:r w:rsidR="006C66AF">
        <w:rPr>
          <w:lang w:val="en-US"/>
        </w:rPr>
        <w:t>RVS legislation</w:t>
      </w:r>
      <w:r w:rsidR="00F550A7">
        <w:rPr>
          <w:lang w:val="en-US"/>
        </w:rPr>
        <w:t xml:space="preserve">. </w:t>
      </w:r>
    </w:p>
    <w:p w14:paraId="31BC31E8" w14:textId="22FCDE9F" w:rsidR="00814BB7" w:rsidRDefault="00814BB7" w:rsidP="00814BB7">
      <w:pPr>
        <w:rPr>
          <w:lang w:val="en-US"/>
        </w:rPr>
      </w:pPr>
      <w:r>
        <w:rPr>
          <w:lang w:val="en-US"/>
        </w:rPr>
        <w:t xml:space="preserve">Awareness and education activities were undertaken </w:t>
      </w:r>
      <w:r w:rsidR="00E46F27">
        <w:rPr>
          <w:lang w:val="en-US"/>
        </w:rPr>
        <w:t xml:space="preserve">before </w:t>
      </w:r>
      <w:r>
        <w:rPr>
          <w:lang w:val="en-US"/>
        </w:rPr>
        <w:t>and during the transitional period. The department’s aim was to ensure there was broad awareness of RVS regulatory obligations before 30 June 2023</w:t>
      </w:r>
      <w:r w:rsidR="006E4936">
        <w:rPr>
          <w:lang w:val="en-US"/>
        </w:rPr>
        <w:t>,</w:t>
      </w:r>
      <w:r>
        <w:rPr>
          <w:lang w:val="en-US"/>
        </w:rPr>
        <w:t xml:space="preserve"> and to assist regulated entities to make a smooth transition. </w:t>
      </w:r>
    </w:p>
    <w:p w14:paraId="4942D089" w14:textId="0272659E" w:rsidR="009342B7" w:rsidRDefault="00814BB7" w:rsidP="00574CAB">
      <w:pPr>
        <w:pStyle w:val="Bullet2"/>
        <w:numPr>
          <w:ilvl w:val="0"/>
          <w:numId w:val="0"/>
        </w:numPr>
        <w:rPr>
          <w:lang w:val="en-US"/>
        </w:rPr>
      </w:pPr>
      <w:r>
        <w:rPr>
          <w:lang w:val="en-US"/>
        </w:rPr>
        <w:t>T</w:t>
      </w:r>
      <w:r w:rsidR="009342B7">
        <w:rPr>
          <w:lang w:val="en-US"/>
        </w:rPr>
        <w:t xml:space="preserve">he department engaged </w:t>
      </w:r>
      <w:r w:rsidR="007016EF">
        <w:rPr>
          <w:lang w:val="en-US"/>
        </w:rPr>
        <w:t>regularly</w:t>
      </w:r>
      <w:r>
        <w:rPr>
          <w:lang w:val="en-US"/>
        </w:rPr>
        <w:t xml:space="preserve"> </w:t>
      </w:r>
      <w:r w:rsidR="009342B7">
        <w:rPr>
          <w:lang w:val="en-US"/>
        </w:rPr>
        <w:t xml:space="preserve">with industry </w:t>
      </w:r>
      <w:r>
        <w:rPr>
          <w:lang w:val="en-US"/>
        </w:rPr>
        <w:t xml:space="preserve">which </w:t>
      </w:r>
      <w:r w:rsidR="009342B7">
        <w:rPr>
          <w:lang w:val="en-US"/>
        </w:rPr>
        <w:t>included:</w:t>
      </w:r>
    </w:p>
    <w:p w14:paraId="152CC4A3" w14:textId="64ADC0D0" w:rsidR="009342B7" w:rsidRPr="00C066D4" w:rsidRDefault="00E71F8C" w:rsidP="009342B7">
      <w:pPr>
        <w:pStyle w:val="Bullet1"/>
      </w:pPr>
      <w:r>
        <w:rPr>
          <w:lang w:val="en-US"/>
        </w:rPr>
        <w:t xml:space="preserve">providing detailed </w:t>
      </w:r>
      <w:r w:rsidR="009342B7">
        <w:rPr>
          <w:lang w:val="en-US"/>
        </w:rPr>
        <w:t xml:space="preserve">guidance material on the </w:t>
      </w:r>
      <w:r w:rsidR="00D26D17">
        <w:rPr>
          <w:lang w:val="en-US"/>
        </w:rPr>
        <w:t xml:space="preserve">department’s </w:t>
      </w:r>
      <w:r w:rsidR="009342B7">
        <w:rPr>
          <w:lang w:val="en-US"/>
        </w:rPr>
        <w:t>website</w:t>
      </w:r>
      <w:r w:rsidR="00361B7B">
        <w:rPr>
          <w:lang w:val="en-US"/>
        </w:rPr>
        <w:t>;</w:t>
      </w:r>
    </w:p>
    <w:p w14:paraId="148F3AC7" w14:textId="213E625C" w:rsidR="009342B7" w:rsidRPr="00C066D4" w:rsidRDefault="00C040C5" w:rsidP="009342B7">
      <w:pPr>
        <w:pStyle w:val="Bullet1"/>
      </w:pPr>
      <w:r>
        <w:rPr>
          <w:lang w:val="en-US"/>
        </w:rPr>
        <w:t xml:space="preserve">hosting </w:t>
      </w:r>
      <w:r w:rsidR="009342B7">
        <w:rPr>
          <w:lang w:val="en-US"/>
        </w:rPr>
        <w:t xml:space="preserve">general and topic specific </w:t>
      </w:r>
      <w:r w:rsidR="00E71F8C">
        <w:rPr>
          <w:lang w:val="en-US"/>
        </w:rPr>
        <w:t xml:space="preserve">regular </w:t>
      </w:r>
      <w:r w:rsidR="009342B7">
        <w:rPr>
          <w:lang w:val="en-US"/>
        </w:rPr>
        <w:t>industry webinars</w:t>
      </w:r>
      <w:r w:rsidR="00361B7B">
        <w:rPr>
          <w:lang w:val="en-US"/>
        </w:rPr>
        <w:t>;</w:t>
      </w:r>
    </w:p>
    <w:p w14:paraId="6556C1EA" w14:textId="5A27BACC" w:rsidR="009342B7" w:rsidRPr="00C066D4" w:rsidRDefault="00E71F8C" w:rsidP="009342B7">
      <w:pPr>
        <w:pStyle w:val="Bullet1"/>
      </w:pPr>
      <w:r>
        <w:rPr>
          <w:lang w:val="en-US"/>
        </w:rPr>
        <w:t xml:space="preserve">providing </w:t>
      </w:r>
      <w:r w:rsidR="00C040C5">
        <w:rPr>
          <w:lang w:val="en-US"/>
        </w:rPr>
        <w:t xml:space="preserve">information via </w:t>
      </w:r>
      <w:r>
        <w:rPr>
          <w:lang w:val="en-US"/>
        </w:rPr>
        <w:t xml:space="preserve">regular </w:t>
      </w:r>
      <w:r w:rsidR="00C040C5">
        <w:rPr>
          <w:lang w:val="en-US"/>
        </w:rPr>
        <w:t>newsletters;</w:t>
      </w:r>
    </w:p>
    <w:p w14:paraId="413EC00B" w14:textId="77777777" w:rsidR="00C040C5" w:rsidRPr="009F39C9" w:rsidRDefault="00C040C5" w:rsidP="00C040C5">
      <w:pPr>
        <w:pStyle w:val="Bullet1"/>
      </w:pPr>
      <w:r>
        <w:t>producing and sharing RVS topic specific videos;</w:t>
      </w:r>
    </w:p>
    <w:p w14:paraId="1F5A350D" w14:textId="77777777" w:rsidR="00C040C5" w:rsidRDefault="00C040C5" w:rsidP="00C040C5">
      <w:pPr>
        <w:pStyle w:val="Bullet1"/>
      </w:pPr>
      <w:r>
        <w:t>producing and sharing instructional videos on how to use ROVER (the IT system that manages all approvals and activities under the RVS legislation);</w:t>
      </w:r>
    </w:p>
    <w:p w14:paraId="62B1F00A" w14:textId="77777777" w:rsidR="00C040C5" w:rsidRPr="009F39C9" w:rsidRDefault="00C040C5" w:rsidP="00C040C5">
      <w:pPr>
        <w:pStyle w:val="Bullet1"/>
      </w:pPr>
      <w:r>
        <w:t>sending emails on processes and systems, including tips and helpful resources;</w:t>
      </w:r>
    </w:p>
    <w:p w14:paraId="5F5291F0" w14:textId="77777777" w:rsidR="00C040C5" w:rsidRPr="00177FC2" w:rsidRDefault="00C040C5" w:rsidP="00C040C5">
      <w:pPr>
        <w:pStyle w:val="Bullet1"/>
      </w:pPr>
      <w:r>
        <w:t>posting important dates and information via social media;</w:t>
      </w:r>
    </w:p>
    <w:p w14:paraId="7DB58A03" w14:textId="77777777" w:rsidR="00C040C5" w:rsidRPr="009F39C9" w:rsidRDefault="00C040C5" w:rsidP="00C040C5">
      <w:pPr>
        <w:pStyle w:val="Bullet1"/>
      </w:pPr>
      <w:r>
        <w:t xml:space="preserve">attending meetings with industry peak bodies and other representative bodies; </w:t>
      </w:r>
    </w:p>
    <w:p w14:paraId="387C8F86" w14:textId="525E89CC" w:rsidR="00C040C5" w:rsidRDefault="00C040C5" w:rsidP="00C040C5">
      <w:pPr>
        <w:pStyle w:val="Bullet1"/>
      </w:pPr>
      <w:r>
        <w:t>attending</w:t>
      </w:r>
      <w:r>
        <w:rPr>
          <w:lang w:val="en-US"/>
        </w:rPr>
        <w:t xml:space="preserve"> and presenting at</w:t>
      </w:r>
      <w:r>
        <w:t xml:space="preserve"> industry events; and</w:t>
      </w:r>
    </w:p>
    <w:p w14:paraId="5A6EC9E2" w14:textId="43DDAF34" w:rsidR="00DF6C58" w:rsidRPr="009342B7" w:rsidRDefault="00435A5A" w:rsidP="00C066D4">
      <w:pPr>
        <w:pStyle w:val="Bullet1"/>
      </w:pPr>
      <w:r>
        <w:rPr>
          <w:lang w:val="en-US"/>
        </w:rPr>
        <w:t>t</w:t>
      </w:r>
      <w:r w:rsidR="00DF6C58">
        <w:rPr>
          <w:lang w:val="en-US"/>
        </w:rPr>
        <w:t xml:space="preserve">argeted education </w:t>
      </w:r>
      <w:r w:rsidR="00C040C5">
        <w:rPr>
          <w:lang w:val="en-US"/>
        </w:rPr>
        <w:t xml:space="preserve">activities for some </w:t>
      </w:r>
      <w:r w:rsidR="00DF6C58">
        <w:rPr>
          <w:lang w:val="en-US"/>
        </w:rPr>
        <w:t>industry cohorts</w:t>
      </w:r>
      <w:r w:rsidR="00C040C5">
        <w:rPr>
          <w:lang w:val="en-US"/>
        </w:rPr>
        <w:t>,</w:t>
      </w:r>
      <w:r w:rsidR="00DF6C58">
        <w:rPr>
          <w:lang w:val="en-US"/>
        </w:rPr>
        <w:t xml:space="preserve"> single companies or </w:t>
      </w:r>
      <w:r w:rsidR="0035556B">
        <w:rPr>
          <w:lang w:val="en-US"/>
        </w:rPr>
        <w:t>individuals</w:t>
      </w:r>
      <w:r w:rsidR="00DF6C58">
        <w:rPr>
          <w:lang w:val="en-US"/>
        </w:rPr>
        <w:t xml:space="preserve"> </w:t>
      </w:r>
      <w:r w:rsidR="0035556B">
        <w:rPr>
          <w:lang w:val="en-US"/>
        </w:rPr>
        <w:t>where</w:t>
      </w:r>
      <w:r w:rsidR="00DF6C58">
        <w:rPr>
          <w:lang w:val="en-US"/>
        </w:rPr>
        <w:t xml:space="preserve"> specific compliance concerns </w:t>
      </w:r>
      <w:r w:rsidR="00C040C5">
        <w:rPr>
          <w:lang w:val="en-US"/>
        </w:rPr>
        <w:t xml:space="preserve">were </w:t>
      </w:r>
      <w:r w:rsidR="00DF6C58">
        <w:rPr>
          <w:lang w:val="en-US"/>
        </w:rPr>
        <w:t>identified</w:t>
      </w:r>
      <w:r w:rsidR="00361B7B">
        <w:rPr>
          <w:lang w:val="en-US"/>
        </w:rPr>
        <w:t>.</w:t>
      </w:r>
    </w:p>
    <w:p w14:paraId="32239931" w14:textId="183EEFED" w:rsidR="00DF6C58" w:rsidRPr="00CB17D4" w:rsidRDefault="000756D3" w:rsidP="006C66AF">
      <w:pPr>
        <w:rPr>
          <w:lang w:val="en-US"/>
        </w:rPr>
      </w:pPr>
      <w:r>
        <w:rPr>
          <w:lang w:val="en-US"/>
        </w:rPr>
        <w:t>As the</w:t>
      </w:r>
      <w:r w:rsidR="00DF6C58" w:rsidRPr="00CB17D4">
        <w:rPr>
          <w:lang w:val="en-US"/>
        </w:rPr>
        <w:t xml:space="preserve"> transition</w:t>
      </w:r>
      <w:r w:rsidR="0035556B">
        <w:rPr>
          <w:lang w:val="en-US"/>
        </w:rPr>
        <w:t xml:space="preserve"> period </w:t>
      </w:r>
      <w:r>
        <w:rPr>
          <w:lang w:val="en-US"/>
        </w:rPr>
        <w:t>has ended,</w:t>
      </w:r>
      <w:r w:rsidR="000C76AC" w:rsidRPr="00CB17D4">
        <w:rPr>
          <w:lang w:val="en-US"/>
        </w:rPr>
        <w:t xml:space="preserve"> </w:t>
      </w:r>
      <w:r w:rsidR="00DF6C58" w:rsidRPr="00CB17D4">
        <w:rPr>
          <w:lang w:val="en-US"/>
        </w:rPr>
        <w:t>it is</w:t>
      </w:r>
      <w:r w:rsidR="000C76AC">
        <w:rPr>
          <w:lang w:val="en-US"/>
        </w:rPr>
        <w:t xml:space="preserve"> the department’s</w:t>
      </w:r>
      <w:r w:rsidR="00DF6C58" w:rsidRPr="00CB17D4">
        <w:rPr>
          <w:lang w:val="en-US"/>
        </w:rPr>
        <w:t xml:space="preserve"> expect</w:t>
      </w:r>
      <w:r w:rsidR="000C76AC">
        <w:rPr>
          <w:lang w:val="en-US"/>
        </w:rPr>
        <w:t>ation</w:t>
      </w:r>
      <w:r w:rsidR="00DF6C58" w:rsidRPr="00CB17D4">
        <w:rPr>
          <w:lang w:val="en-US"/>
        </w:rPr>
        <w:t xml:space="preserve"> that those </w:t>
      </w:r>
      <w:r w:rsidR="0035556B">
        <w:rPr>
          <w:lang w:val="en-US"/>
        </w:rPr>
        <w:t xml:space="preserve">who are </w:t>
      </w:r>
      <w:r w:rsidR="00DF6C58" w:rsidRPr="00CB17D4">
        <w:rPr>
          <w:lang w:val="en-US"/>
        </w:rPr>
        <w:t xml:space="preserve">regulated by the </w:t>
      </w:r>
      <w:r w:rsidR="0035556B">
        <w:rPr>
          <w:lang w:val="en-US"/>
        </w:rPr>
        <w:t>RVS</w:t>
      </w:r>
      <w:r w:rsidR="00DF6C58" w:rsidRPr="00CB17D4">
        <w:rPr>
          <w:lang w:val="en-US"/>
        </w:rPr>
        <w:t xml:space="preserve"> legislation will comply with </w:t>
      </w:r>
      <w:r w:rsidR="0035556B">
        <w:rPr>
          <w:lang w:val="en-US"/>
        </w:rPr>
        <w:t xml:space="preserve">all </w:t>
      </w:r>
      <w:r w:rsidR="00DF6C58" w:rsidRPr="00CB17D4">
        <w:rPr>
          <w:lang w:val="en-US"/>
        </w:rPr>
        <w:t xml:space="preserve">approval </w:t>
      </w:r>
      <w:r w:rsidR="0035556B">
        <w:rPr>
          <w:lang w:val="en-US"/>
        </w:rPr>
        <w:t xml:space="preserve">conditions </w:t>
      </w:r>
      <w:r w:rsidR="00DF6C58" w:rsidRPr="00CB17D4">
        <w:rPr>
          <w:lang w:val="en-US"/>
        </w:rPr>
        <w:t xml:space="preserve">and </w:t>
      </w:r>
      <w:r>
        <w:rPr>
          <w:lang w:val="en-US"/>
        </w:rPr>
        <w:t xml:space="preserve">will </w:t>
      </w:r>
      <w:r w:rsidR="00DF6C58" w:rsidRPr="00CB17D4">
        <w:rPr>
          <w:lang w:val="en-US"/>
        </w:rPr>
        <w:t>operat</w:t>
      </w:r>
      <w:r>
        <w:rPr>
          <w:lang w:val="en-US"/>
        </w:rPr>
        <w:t>e</w:t>
      </w:r>
      <w:r w:rsidR="00DF6C58" w:rsidRPr="00CB17D4">
        <w:rPr>
          <w:lang w:val="en-US"/>
        </w:rPr>
        <w:t xml:space="preserve"> lawfully under </w:t>
      </w:r>
      <w:r w:rsidR="00361B7B">
        <w:rPr>
          <w:lang w:val="en-US"/>
        </w:rPr>
        <w:t xml:space="preserve">the new </w:t>
      </w:r>
      <w:r>
        <w:rPr>
          <w:lang w:val="en-US"/>
        </w:rPr>
        <w:t xml:space="preserve">legislative </w:t>
      </w:r>
      <w:r w:rsidR="002847B4">
        <w:rPr>
          <w:lang w:val="en-US"/>
        </w:rPr>
        <w:t>framework</w:t>
      </w:r>
      <w:r w:rsidR="00DF6C58" w:rsidRPr="00CB17D4">
        <w:rPr>
          <w:lang w:val="en-US"/>
        </w:rPr>
        <w:t>.</w:t>
      </w:r>
    </w:p>
    <w:p w14:paraId="3912F957" w14:textId="296CC9D8" w:rsidR="006C66AF" w:rsidRDefault="00015468" w:rsidP="00574CAB">
      <w:pPr>
        <w:pStyle w:val="Heading3"/>
        <w:rPr>
          <w:lang w:val="en-US"/>
        </w:rPr>
      </w:pPr>
      <w:bookmarkStart w:id="32" w:name="_Toc141176171"/>
      <w:r>
        <w:rPr>
          <w:lang w:val="en-US"/>
        </w:rPr>
        <w:t>Industry intelligence</w:t>
      </w:r>
      <w:bookmarkEnd w:id="32"/>
    </w:p>
    <w:p w14:paraId="59AD5754" w14:textId="391053FF" w:rsidR="000D7BE7" w:rsidRDefault="00D01559" w:rsidP="00F3659C">
      <w:pPr>
        <w:keepNext/>
        <w:rPr>
          <w:lang w:val="en-US"/>
        </w:rPr>
      </w:pPr>
      <w:r>
        <w:rPr>
          <w:lang w:val="en-US"/>
        </w:rPr>
        <w:t>We</w:t>
      </w:r>
      <w:r w:rsidR="00896CB9">
        <w:rPr>
          <w:lang w:val="en-US"/>
        </w:rPr>
        <w:t xml:space="preserve"> </w:t>
      </w:r>
      <w:r w:rsidR="00C2073F">
        <w:rPr>
          <w:lang w:val="en-US"/>
        </w:rPr>
        <w:t>receive</w:t>
      </w:r>
      <w:r w:rsidR="00896CB9">
        <w:rPr>
          <w:lang w:val="en-US"/>
        </w:rPr>
        <w:t xml:space="preserve"> </w:t>
      </w:r>
      <w:r w:rsidR="000D7BE7">
        <w:rPr>
          <w:lang w:val="en-US"/>
        </w:rPr>
        <w:t xml:space="preserve">information from </w:t>
      </w:r>
      <w:r w:rsidR="00E46F27">
        <w:rPr>
          <w:lang w:val="en-US"/>
        </w:rPr>
        <w:t>multiple sources,</w:t>
      </w:r>
      <w:r w:rsidR="000D7BE7">
        <w:rPr>
          <w:lang w:val="en-US"/>
        </w:rPr>
        <w:t xml:space="preserve"> </w:t>
      </w:r>
      <w:r w:rsidR="003775C6">
        <w:rPr>
          <w:lang w:val="en-US"/>
        </w:rPr>
        <w:t xml:space="preserve">passively </w:t>
      </w:r>
      <w:r w:rsidR="00C2073F">
        <w:rPr>
          <w:lang w:val="en-US"/>
        </w:rPr>
        <w:t xml:space="preserve">and </w:t>
      </w:r>
      <w:r w:rsidR="003775C6">
        <w:rPr>
          <w:lang w:val="en-US"/>
        </w:rPr>
        <w:t>proactively</w:t>
      </w:r>
      <w:r w:rsidR="00896CB9">
        <w:rPr>
          <w:lang w:val="en-US"/>
        </w:rPr>
        <w:t xml:space="preserve">. For </w:t>
      </w:r>
      <w:r w:rsidR="003775C6">
        <w:rPr>
          <w:lang w:val="en-US"/>
        </w:rPr>
        <w:t>example,</w:t>
      </w:r>
      <w:r w:rsidR="00896CB9">
        <w:rPr>
          <w:lang w:val="en-US"/>
        </w:rPr>
        <w:t xml:space="preserve"> passive </w:t>
      </w:r>
      <w:r w:rsidR="003775C6">
        <w:rPr>
          <w:lang w:val="en-US"/>
        </w:rPr>
        <w:t>intelligence</w:t>
      </w:r>
      <w:r w:rsidR="000D7BE7">
        <w:rPr>
          <w:lang w:val="en-US"/>
        </w:rPr>
        <w:t xml:space="preserve"> information</w:t>
      </w:r>
      <w:r w:rsidR="00896CB9">
        <w:rPr>
          <w:lang w:val="en-US"/>
        </w:rPr>
        <w:t xml:space="preserve"> include</w:t>
      </w:r>
      <w:r w:rsidR="00C2073F">
        <w:rPr>
          <w:lang w:val="en-US"/>
        </w:rPr>
        <w:t>s</w:t>
      </w:r>
      <w:r w:rsidR="00896CB9">
        <w:rPr>
          <w:lang w:val="en-US"/>
        </w:rPr>
        <w:t xml:space="preserve"> tip </w:t>
      </w:r>
      <w:r w:rsidR="00B10E79">
        <w:rPr>
          <w:lang w:val="en-US"/>
        </w:rPr>
        <w:t>offs</w:t>
      </w:r>
      <w:r w:rsidR="003775C6">
        <w:rPr>
          <w:lang w:val="en-US"/>
        </w:rPr>
        <w:t xml:space="preserve"> from the public </w:t>
      </w:r>
      <w:r w:rsidR="0035556B">
        <w:rPr>
          <w:lang w:val="en-US"/>
        </w:rPr>
        <w:t>(</w:t>
      </w:r>
      <w:r w:rsidR="003775C6">
        <w:rPr>
          <w:lang w:val="en-US"/>
        </w:rPr>
        <w:t>or the industry</w:t>
      </w:r>
      <w:r w:rsidR="0035556B">
        <w:rPr>
          <w:lang w:val="en-US"/>
        </w:rPr>
        <w:t>)</w:t>
      </w:r>
      <w:r w:rsidR="00C2073F">
        <w:rPr>
          <w:lang w:val="en-US"/>
        </w:rPr>
        <w:t>,</w:t>
      </w:r>
      <w:r w:rsidR="00896CB9">
        <w:rPr>
          <w:lang w:val="en-US"/>
        </w:rPr>
        <w:t xml:space="preserve"> </w:t>
      </w:r>
      <w:r w:rsidR="00361B7B">
        <w:rPr>
          <w:lang w:val="en-US"/>
        </w:rPr>
        <w:t xml:space="preserve">RVS </w:t>
      </w:r>
      <w:r w:rsidR="00896CB9">
        <w:rPr>
          <w:lang w:val="en-US"/>
        </w:rPr>
        <w:t xml:space="preserve">application issues and </w:t>
      </w:r>
      <w:r w:rsidR="003775C6">
        <w:rPr>
          <w:lang w:val="en-US"/>
        </w:rPr>
        <w:t xml:space="preserve">meetings with </w:t>
      </w:r>
      <w:r w:rsidR="00C2073F">
        <w:rPr>
          <w:lang w:val="en-US"/>
        </w:rPr>
        <w:t xml:space="preserve">various </w:t>
      </w:r>
      <w:r w:rsidR="003775C6">
        <w:rPr>
          <w:lang w:val="en-US"/>
        </w:rPr>
        <w:t>stakeholders.</w:t>
      </w:r>
      <w:r w:rsidR="00896CB9">
        <w:rPr>
          <w:lang w:val="en-US"/>
        </w:rPr>
        <w:t xml:space="preserve"> </w:t>
      </w:r>
      <w:r w:rsidR="000D7BE7">
        <w:rPr>
          <w:lang w:val="en-US"/>
        </w:rPr>
        <w:t>Proactive</w:t>
      </w:r>
      <w:r w:rsidR="00896CB9">
        <w:rPr>
          <w:lang w:val="en-US"/>
        </w:rPr>
        <w:t xml:space="preserve"> intelligence </w:t>
      </w:r>
      <w:r w:rsidR="000D7BE7">
        <w:rPr>
          <w:lang w:val="en-US"/>
        </w:rPr>
        <w:t xml:space="preserve">information includes information obtained from </w:t>
      </w:r>
      <w:r w:rsidR="003775C6">
        <w:rPr>
          <w:lang w:val="en-US"/>
        </w:rPr>
        <w:t xml:space="preserve">ROVER </w:t>
      </w:r>
      <w:r w:rsidR="000D7BE7">
        <w:rPr>
          <w:lang w:val="en-US"/>
        </w:rPr>
        <w:t xml:space="preserve">data </w:t>
      </w:r>
      <w:r w:rsidR="003775C6">
        <w:rPr>
          <w:lang w:val="en-US"/>
        </w:rPr>
        <w:t xml:space="preserve">interrogation, </w:t>
      </w:r>
      <w:r w:rsidR="00361B7B">
        <w:rPr>
          <w:lang w:val="en-US"/>
        </w:rPr>
        <w:t xml:space="preserve">the results of targeted </w:t>
      </w:r>
      <w:r w:rsidR="003775C6">
        <w:rPr>
          <w:lang w:val="en-US"/>
        </w:rPr>
        <w:t xml:space="preserve">compliance monitoring and </w:t>
      </w:r>
      <w:r w:rsidR="000D7BE7">
        <w:rPr>
          <w:lang w:val="en-US"/>
        </w:rPr>
        <w:t xml:space="preserve">from targeted </w:t>
      </w:r>
      <w:r w:rsidR="003775C6">
        <w:rPr>
          <w:lang w:val="en-US"/>
        </w:rPr>
        <w:t>intelligence product</w:t>
      </w:r>
      <w:r w:rsidR="0035556B">
        <w:rPr>
          <w:lang w:val="en-US"/>
        </w:rPr>
        <w:t>s</w:t>
      </w:r>
      <w:r w:rsidR="003775C6">
        <w:rPr>
          <w:lang w:val="en-US"/>
        </w:rPr>
        <w:t xml:space="preserve">. </w:t>
      </w:r>
    </w:p>
    <w:p w14:paraId="6B9F7E08" w14:textId="43B61B06" w:rsidR="00015468" w:rsidRDefault="00223D44" w:rsidP="00F3659C">
      <w:pPr>
        <w:keepNext/>
        <w:rPr>
          <w:lang w:val="en-US"/>
        </w:rPr>
      </w:pPr>
      <w:r>
        <w:rPr>
          <w:lang w:val="en-US"/>
        </w:rPr>
        <w:t>T</w:t>
      </w:r>
      <w:r w:rsidR="000D7BE7">
        <w:rPr>
          <w:lang w:val="en-US"/>
        </w:rPr>
        <w:t>hese</w:t>
      </w:r>
      <w:r w:rsidR="003775C6">
        <w:rPr>
          <w:lang w:val="en-US"/>
        </w:rPr>
        <w:t xml:space="preserve"> </w:t>
      </w:r>
      <w:r w:rsidR="0035556B">
        <w:rPr>
          <w:lang w:val="en-US"/>
        </w:rPr>
        <w:t xml:space="preserve">information </w:t>
      </w:r>
      <w:r w:rsidR="000D7BE7">
        <w:rPr>
          <w:lang w:val="en-US"/>
        </w:rPr>
        <w:t xml:space="preserve">channels </w:t>
      </w:r>
      <w:r w:rsidR="0035556B">
        <w:rPr>
          <w:lang w:val="en-US"/>
        </w:rPr>
        <w:t xml:space="preserve">help us </w:t>
      </w:r>
      <w:r w:rsidR="003775C6">
        <w:rPr>
          <w:lang w:val="en-US"/>
        </w:rPr>
        <w:t xml:space="preserve">focus on </w:t>
      </w:r>
      <w:r w:rsidR="0035556B">
        <w:rPr>
          <w:lang w:val="en-US"/>
        </w:rPr>
        <w:t xml:space="preserve">those </w:t>
      </w:r>
      <w:r w:rsidR="003775C6">
        <w:rPr>
          <w:lang w:val="en-US"/>
        </w:rPr>
        <w:t xml:space="preserve">areas in the </w:t>
      </w:r>
      <w:r w:rsidR="000D7BE7">
        <w:rPr>
          <w:lang w:val="en-US"/>
        </w:rPr>
        <w:t xml:space="preserve">road vehicle </w:t>
      </w:r>
      <w:r w:rsidR="003775C6">
        <w:rPr>
          <w:lang w:val="en-US"/>
        </w:rPr>
        <w:t xml:space="preserve">industry that </w:t>
      </w:r>
      <w:r w:rsidR="0035556B">
        <w:rPr>
          <w:lang w:val="en-US"/>
        </w:rPr>
        <w:t xml:space="preserve">may </w:t>
      </w:r>
      <w:r w:rsidR="003775C6">
        <w:rPr>
          <w:lang w:val="en-US"/>
        </w:rPr>
        <w:t xml:space="preserve">pose </w:t>
      </w:r>
      <w:r w:rsidR="0035556B">
        <w:rPr>
          <w:lang w:val="en-US"/>
        </w:rPr>
        <w:t>a</w:t>
      </w:r>
      <w:r w:rsidR="003775C6">
        <w:rPr>
          <w:lang w:val="en-US"/>
        </w:rPr>
        <w:t xml:space="preserve"> </w:t>
      </w:r>
      <w:r w:rsidR="0055537D">
        <w:rPr>
          <w:lang w:val="en-US"/>
        </w:rPr>
        <w:t xml:space="preserve">current or emerging </w:t>
      </w:r>
      <w:r w:rsidR="000D7BE7">
        <w:rPr>
          <w:lang w:val="en-US"/>
        </w:rPr>
        <w:t xml:space="preserve">compliance </w:t>
      </w:r>
      <w:r w:rsidR="003775C6">
        <w:rPr>
          <w:lang w:val="en-US"/>
        </w:rPr>
        <w:t xml:space="preserve">risk. </w:t>
      </w:r>
    </w:p>
    <w:p w14:paraId="5505EE5F" w14:textId="0B8BF7BB" w:rsidR="006C66AF" w:rsidRDefault="00015468" w:rsidP="00574CAB">
      <w:pPr>
        <w:pStyle w:val="Heading3"/>
        <w:rPr>
          <w:lang w:val="en-US"/>
        </w:rPr>
      </w:pPr>
      <w:bookmarkStart w:id="33" w:name="_Toc141176172"/>
      <w:r>
        <w:rPr>
          <w:lang w:val="en-US"/>
        </w:rPr>
        <w:t>Reports of alleged non-compliance</w:t>
      </w:r>
      <w:bookmarkEnd w:id="33"/>
      <w:r>
        <w:rPr>
          <w:lang w:val="en-US"/>
        </w:rPr>
        <w:t xml:space="preserve"> </w:t>
      </w:r>
    </w:p>
    <w:p w14:paraId="13AB8652" w14:textId="15C3520D" w:rsidR="00015468" w:rsidRDefault="00504BB1" w:rsidP="00F3659C">
      <w:pPr>
        <w:keepNext/>
        <w:rPr>
          <w:lang w:val="en-US"/>
        </w:rPr>
      </w:pPr>
      <w:r>
        <w:rPr>
          <w:lang w:val="en-US"/>
        </w:rPr>
        <w:t xml:space="preserve">Reports of alleged non-compliance </w:t>
      </w:r>
      <w:r w:rsidR="003775C6">
        <w:rPr>
          <w:lang w:val="en-US"/>
        </w:rPr>
        <w:t xml:space="preserve">are </w:t>
      </w:r>
      <w:r w:rsidR="000D7BE7">
        <w:rPr>
          <w:lang w:val="en-US"/>
        </w:rPr>
        <w:t>usually</w:t>
      </w:r>
      <w:r w:rsidR="000B3ED9">
        <w:rPr>
          <w:lang w:val="en-US"/>
        </w:rPr>
        <w:t xml:space="preserve"> unsolicited </w:t>
      </w:r>
      <w:r w:rsidR="00CC53EE">
        <w:rPr>
          <w:lang w:val="en-US"/>
        </w:rPr>
        <w:t xml:space="preserve">and </w:t>
      </w:r>
      <w:r w:rsidR="000B3ED9">
        <w:rPr>
          <w:lang w:val="en-US"/>
        </w:rPr>
        <w:t xml:space="preserve">received by the </w:t>
      </w:r>
      <w:r w:rsidR="00FE3B94">
        <w:rPr>
          <w:lang w:val="en-US"/>
        </w:rPr>
        <w:t>department via ROVER</w:t>
      </w:r>
      <w:r w:rsidR="000B3ED9">
        <w:rPr>
          <w:lang w:val="en-US"/>
        </w:rPr>
        <w:t xml:space="preserve">. </w:t>
      </w:r>
      <w:r w:rsidR="00104E40">
        <w:rPr>
          <w:lang w:val="en-US"/>
        </w:rPr>
        <w:t>T</w:t>
      </w:r>
      <w:r>
        <w:rPr>
          <w:lang w:val="en-US"/>
        </w:rPr>
        <w:t>hese</w:t>
      </w:r>
      <w:r w:rsidR="000B3ED9">
        <w:rPr>
          <w:lang w:val="en-US"/>
        </w:rPr>
        <w:t xml:space="preserve"> reports </w:t>
      </w:r>
      <w:r w:rsidR="00104E40">
        <w:rPr>
          <w:lang w:val="en-US"/>
        </w:rPr>
        <w:t xml:space="preserve">are considered and progressed </w:t>
      </w:r>
      <w:r w:rsidR="000B3ED9">
        <w:rPr>
          <w:lang w:val="en-US"/>
        </w:rPr>
        <w:t xml:space="preserve">to </w:t>
      </w:r>
      <w:r w:rsidR="00104E40">
        <w:rPr>
          <w:lang w:val="en-US"/>
        </w:rPr>
        <w:t xml:space="preserve">a </w:t>
      </w:r>
      <w:r w:rsidR="000B3ED9">
        <w:rPr>
          <w:lang w:val="en-US"/>
        </w:rPr>
        <w:t xml:space="preserve">conclusion with all details </w:t>
      </w:r>
      <w:r>
        <w:rPr>
          <w:lang w:val="en-US"/>
        </w:rPr>
        <w:t xml:space="preserve">regarding the reports </w:t>
      </w:r>
      <w:r w:rsidR="000B3ED9">
        <w:rPr>
          <w:lang w:val="en-US"/>
        </w:rPr>
        <w:t xml:space="preserve">recorded in </w:t>
      </w:r>
      <w:r w:rsidR="000D7BE7">
        <w:rPr>
          <w:lang w:val="en-US"/>
        </w:rPr>
        <w:t xml:space="preserve">the </w:t>
      </w:r>
      <w:r w:rsidR="000B3ED9">
        <w:rPr>
          <w:lang w:val="en-US"/>
        </w:rPr>
        <w:t>department system</w:t>
      </w:r>
      <w:r>
        <w:rPr>
          <w:lang w:val="en-US"/>
        </w:rPr>
        <w:t>s</w:t>
      </w:r>
      <w:r w:rsidR="000B3ED9">
        <w:rPr>
          <w:lang w:val="en-US"/>
        </w:rPr>
        <w:t>. The</w:t>
      </w:r>
      <w:r w:rsidR="00104E40">
        <w:rPr>
          <w:lang w:val="en-US"/>
        </w:rPr>
        <w:t xml:space="preserve">y </w:t>
      </w:r>
      <w:r w:rsidR="000B3ED9">
        <w:rPr>
          <w:lang w:val="en-US"/>
        </w:rPr>
        <w:t>are a valuable intelligence tool</w:t>
      </w:r>
      <w:r w:rsidR="000D7BE7">
        <w:rPr>
          <w:lang w:val="en-US"/>
        </w:rPr>
        <w:t xml:space="preserve"> (i.e. </w:t>
      </w:r>
      <w:r w:rsidR="00FE3B94">
        <w:rPr>
          <w:lang w:val="en-US"/>
        </w:rPr>
        <w:t xml:space="preserve">a </w:t>
      </w:r>
      <w:r w:rsidR="000D7BE7">
        <w:rPr>
          <w:lang w:val="en-US"/>
        </w:rPr>
        <w:t>channel)</w:t>
      </w:r>
      <w:r w:rsidR="000B3ED9">
        <w:rPr>
          <w:lang w:val="en-US"/>
        </w:rPr>
        <w:t xml:space="preserve"> </w:t>
      </w:r>
      <w:r w:rsidR="00CC53EE">
        <w:rPr>
          <w:lang w:val="en-US"/>
        </w:rPr>
        <w:t>that</w:t>
      </w:r>
      <w:r w:rsidR="000D7BE7">
        <w:rPr>
          <w:lang w:val="en-US"/>
        </w:rPr>
        <w:t xml:space="preserve"> help</w:t>
      </w:r>
      <w:r w:rsidR="00CC53EE">
        <w:rPr>
          <w:lang w:val="en-US"/>
        </w:rPr>
        <w:t>s</w:t>
      </w:r>
      <w:r w:rsidR="000D7BE7">
        <w:rPr>
          <w:lang w:val="en-US"/>
        </w:rPr>
        <w:t xml:space="preserve"> </w:t>
      </w:r>
      <w:r w:rsidR="000B3ED9">
        <w:rPr>
          <w:lang w:val="en-US"/>
        </w:rPr>
        <w:t xml:space="preserve">identify </w:t>
      </w:r>
      <w:r w:rsidR="000D7BE7">
        <w:rPr>
          <w:lang w:val="en-US"/>
        </w:rPr>
        <w:t xml:space="preserve">underlying issues or </w:t>
      </w:r>
      <w:r w:rsidR="000B3ED9">
        <w:rPr>
          <w:lang w:val="en-US"/>
        </w:rPr>
        <w:t>emerging trends regard</w:t>
      </w:r>
      <w:r>
        <w:rPr>
          <w:lang w:val="en-US"/>
        </w:rPr>
        <w:t>ing</w:t>
      </w:r>
      <w:r w:rsidR="000B3ED9">
        <w:rPr>
          <w:lang w:val="en-US"/>
        </w:rPr>
        <w:t xml:space="preserve"> industry compliance</w:t>
      </w:r>
      <w:r>
        <w:rPr>
          <w:lang w:val="en-US"/>
        </w:rPr>
        <w:t xml:space="preserve"> with the RVS legislation</w:t>
      </w:r>
      <w:r w:rsidR="000B3ED9">
        <w:rPr>
          <w:lang w:val="en-US"/>
        </w:rPr>
        <w:t>.</w:t>
      </w:r>
    </w:p>
    <w:p w14:paraId="650F784A" w14:textId="20416738" w:rsidR="00015468" w:rsidRDefault="00015468" w:rsidP="00574CAB">
      <w:pPr>
        <w:pStyle w:val="Heading3"/>
        <w:rPr>
          <w:lang w:val="en-US"/>
        </w:rPr>
      </w:pPr>
      <w:bookmarkStart w:id="34" w:name="_Toc141176173"/>
      <w:r>
        <w:rPr>
          <w:lang w:val="en-US"/>
        </w:rPr>
        <w:t>The evolving automotive industry</w:t>
      </w:r>
      <w:bookmarkEnd w:id="34"/>
    </w:p>
    <w:p w14:paraId="1BE55BD3" w14:textId="46C0F067" w:rsidR="00BD6083" w:rsidRDefault="00F3659C" w:rsidP="00F3659C">
      <w:pPr>
        <w:rPr>
          <w:lang w:val="en-US"/>
        </w:rPr>
      </w:pPr>
      <w:r>
        <w:rPr>
          <w:lang w:val="en-US"/>
        </w:rPr>
        <w:t xml:space="preserve">In Australia local manufacturing of </w:t>
      </w:r>
      <w:r w:rsidR="00015468">
        <w:rPr>
          <w:lang w:val="en-US"/>
        </w:rPr>
        <w:t>passenger vehicles (</w:t>
      </w:r>
      <w:r w:rsidR="001618A7">
        <w:rPr>
          <w:lang w:val="en-US"/>
        </w:rPr>
        <w:t>i.e.</w:t>
      </w:r>
      <w:r w:rsidR="00015468">
        <w:rPr>
          <w:lang w:val="en-US"/>
        </w:rPr>
        <w:t xml:space="preserve"> </w:t>
      </w:r>
      <w:r>
        <w:rPr>
          <w:lang w:val="en-US"/>
        </w:rPr>
        <w:t>cars</w:t>
      </w:r>
      <w:r w:rsidR="00015468">
        <w:rPr>
          <w:lang w:val="en-US"/>
        </w:rPr>
        <w:t>)</w:t>
      </w:r>
      <w:r>
        <w:rPr>
          <w:lang w:val="en-US"/>
        </w:rPr>
        <w:t xml:space="preserve"> </w:t>
      </w:r>
      <w:r w:rsidRPr="00885089">
        <w:rPr>
          <w:lang w:val="en-US"/>
        </w:rPr>
        <w:t>ceased in 2017</w:t>
      </w:r>
      <w:r>
        <w:rPr>
          <w:lang w:val="en-US"/>
        </w:rPr>
        <w:t xml:space="preserve"> and since then all new cars have been imported from overseas. </w:t>
      </w:r>
      <w:r w:rsidR="003F3195">
        <w:rPr>
          <w:lang w:val="en-US"/>
        </w:rPr>
        <w:t>T</w:t>
      </w:r>
      <w:r>
        <w:rPr>
          <w:lang w:val="en-US"/>
        </w:rPr>
        <w:t>he</w:t>
      </w:r>
      <w:r w:rsidR="00AA7F50">
        <w:rPr>
          <w:lang w:val="en-US"/>
        </w:rPr>
        <w:t xml:space="preserve"> majority of </w:t>
      </w:r>
      <w:r w:rsidR="00FE3B94">
        <w:rPr>
          <w:lang w:val="en-US"/>
        </w:rPr>
        <w:t xml:space="preserve">road </w:t>
      </w:r>
      <w:r>
        <w:rPr>
          <w:lang w:val="en-US"/>
        </w:rPr>
        <w:t xml:space="preserve">vehicles </w:t>
      </w:r>
      <w:r w:rsidR="00AA7F50">
        <w:rPr>
          <w:lang w:val="en-US"/>
        </w:rPr>
        <w:t xml:space="preserve">still </w:t>
      </w:r>
      <w:r>
        <w:rPr>
          <w:lang w:val="en-US"/>
        </w:rPr>
        <w:t>manufactured in Australia</w:t>
      </w:r>
      <w:r w:rsidR="00AA7F50">
        <w:rPr>
          <w:lang w:val="en-US"/>
        </w:rPr>
        <w:t xml:space="preserve"> are </w:t>
      </w:r>
      <w:r>
        <w:rPr>
          <w:lang w:val="en-US"/>
        </w:rPr>
        <w:t>trailers although many new trailers are also imported.</w:t>
      </w:r>
      <w:r w:rsidR="00015468">
        <w:rPr>
          <w:lang w:val="en-US"/>
        </w:rPr>
        <w:t xml:space="preserve"> There is also a significant domestic industry in </w:t>
      </w:r>
      <w:r w:rsidR="005D3464">
        <w:rPr>
          <w:lang w:val="en-US"/>
        </w:rPr>
        <w:t>heavy vehicles, both manufactur</w:t>
      </w:r>
      <w:r w:rsidR="00BD6083">
        <w:rPr>
          <w:lang w:val="en-US"/>
        </w:rPr>
        <w:t>ing</w:t>
      </w:r>
      <w:r w:rsidR="005D3464">
        <w:rPr>
          <w:lang w:val="en-US"/>
        </w:rPr>
        <w:t xml:space="preserve"> of entire vehicles, or </w:t>
      </w:r>
      <w:r w:rsidR="00015468">
        <w:rPr>
          <w:lang w:val="en-US"/>
        </w:rPr>
        <w:t xml:space="preserve">building </w:t>
      </w:r>
      <w:r w:rsidR="00BD6083">
        <w:rPr>
          <w:lang w:val="en-US"/>
        </w:rPr>
        <w:t xml:space="preserve">vehicle </w:t>
      </w:r>
      <w:r w:rsidR="00015468">
        <w:rPr>
          <w:lang w:val="en-US"/>
        </w:rPr>
        <w:t xml:space="preserve">bodies </w:t>
      </w:r>
      <w:r w:rsidR="005D3464">
        <w:rPr>
          <w:lang w:val="en-US"/>
        </w:rPr>
        <w:t xml:space="preserve">on imported base vehicles (such as building bus bodies </w:t>
      </w:r>
      <w:r w:rsidR="00015468">
        <w:rPr>
          <w:lang w:val="en-US"/>
        </w:rPr>
        <w:t xml:space="preserve">for </w:t>
      </w:r>
      <w:r w:rsidR="00633649">
        <w:rPr>
          <w:lang w:val="en-US"/>
        </w:rPr>
        <w:t xml:space="preserve">Australian </w:t>
      </w:r>
      <w:r w:rsidR="00015468">
        <w:rPr>
          <w:lang w:val="en-US"/>
        </w:rPr>
        <w:t>passenger buses</w:t>
      </w:r>
      <w:r w:rsidR="005D3464">
        <w:rPr>
          <w:lang w:val="en-US"/>
        </w:rPr>
        <w:t>)</w:t>
      </w:r>
      <w:r w:rsidR="00015468">
        <w:rPr>
          <w:lang w:val="en-US"/>
        </w:rPr>
        <w:t xml:space="preserve">. </w:t>
      </w:r>
    </w:p>
    <w:p w14:paraId="49871A3C" w14:textId="218668C0" w:rsidR="00015468" w:rsidRDefault="00015468" w:rsidP="00F3659C">
      <w:pPr>
        <w:rPr>
          <w:lang w:val="en-US"/>
        </w:rPr>
      </w:pPr>
      <w:r>
        <w:rPr>
          <w:lang w:val="en-US"/>
        </w:rPr>
        <w:t xml:space="preserve">All </w:t>
      </w:r>
      <w:r w:rsidR="00FE3B94">
        <w:rPr>
          <w:lang w:val="en-US"/>
        </w:rPr>
        <w:t xml:space="preserve">relevant road </w:t>
      </w:r>
      <w:r>
        <w:rPr>
          <w:lang w:val="en-US"/>
        </w:rPr>
        <w:t>vehicles</w:t>
      </w:r>
      <w:r w:rsidR="00FE3B94">
        <w:rPr>
          <w:lang w:val="en-US"/>
        </w:rPr>
        <w:t>,</w:t>
      </w:r>
      <w:r>
        <w:rPr>
          <w:lang w:val="en-US"/>
        </w:rPr>
        <w:t xml:space="preserve"> </w:t>
      </w:r>
      <w:r w:rsidR="000B3ED9">
        <w:rPr>
          <w:lang w:val="en-US"/>
        </w:rPr>
        <w:t xml:space="preserve">whether </w:t>
      </w:r>
      <w:r w:rsidR="00B10E79">
        <w:rPr>
          <w:lang w:val="en-US"/>
        </w:rPr>
        <w:t>manufactured in</w:t>
      </w:r>
      <w:r w:rsidR="000B3ED9">
        <w:rPr>
          <w:lang w:val="en-US"/>
        </w:rPr>
        <w:t xml:space="preserve"> Australia or </w:t>
      </w:r>
      <w:r w:rsidR="00AA7F50">
        <w:rPr>
          <w:lang w:val="en-US"/>
        </w:rPr>
        <w:t>overseas</w:t>
      </w:r>
      <w:r w:rsidR="00FE3B94">
        <w:rPr>
          <w:lang w:val="en-US"/>
        </w:rPr>
        <w:t>,</w:t>
      </w:r>
      <w:r>
        <w:rPr>
          <w:lang w:val="en-US"/>
        </w:rPr>
        <w:t xml:space="preserve"> are </w:t>
      </w:r>
      <w:r w:rsidR="00361B7B">
        <w:rPr>
          <w:lang w:val="en-US"/>
        </w:rPr>
        <w:t xml:space="preserve">now </w:t>
      </w:r>
      <w:r>
        <w:rPr>
          <w:lang w:val="en-US"/>
        </w:rPr>
        <w:t>subject to the regulatory requirements of the RVS</w:t>
      </w:r>
      <w:r w:rsidR="003F3195">
        <w:rPr>
          <w:lang w:val="en-US"/>
        </w:rPr>
        <w:t xml:space="preserve"> legislation</w:t>
      </w:r>
      <w:r>
        <w:rPr>
          <w:lang w:val="en-US"/>
        </w:rPr>
        <w:t xml:space="preserve">. </w:t>
      </w:r>
      <w:r w:rsidR="00F3659C">
        <w:rPr>
          <w:lang w:val="en-US"/>
        </w:rPr>
        <w:t xml:space="preserve"> </w:t>
      </w:r>
    </w:p>
    <w:p w14:paraId="7494EE63" w14:textId="35500B41" w:rsidR="00F3659C" w:rsidRPr="00885089" w:rsidRDefault="00F3659C" w:rsidP="00F3659C">
      <w:pPr>
        <w:rPr>
          <w:lang w:val="en-US"/>
        </w:rPr>
      </w:pPr>
      <w:r w:rsidRPr="00885089">
        <w:rPr>
          <w:lang w:val="en-US"/>
        </w:rPr>
        <w:t xml:space="preserve">As </w:t>
      </w:r>
      <w:r w:rsidR="00015468">
        <w:rPr>
          <w:lang w:val="en-US"/>
        </w:rPr>
        <w:t xml:space="preserve">the Commonwealth road vehicle </w:t>
      </w:r>
      <w:r w:rsidRPr="00885089">
        <w:rPr>
          <w:lang w:val="en-US"/>
        </w:rPr>
        <w:t xml:space="preserve">regulator, we are asked to consider </w:t>
      </w:r>
      <w:r>
        <w:rPr>
          <w:lang w:val="en-US"/>
        </w:rPr>
        <w:t xml:space="preserve">applications for </w:t>
      </w:r>
      <w:r w:rsidR="00FE3B94">
        <w:rPr>
          <w:lang w:val="en-US"/>
        </w:rPr>
        <w:t xml:space="preserve">relevant </w:t>
      </w:r>
      <w:r w:rsidR="003F3195">
        <w:rPr>
          <w:lang w:val="en-US"/>
        </w:rPr>
        <w:t xml:space="preserve">road </w:t>
      </w:r>
      <w:r w:rsidRPr="00885089">
        <w:rPr>
          <w:lang w:val="en-US"/>
        </w:rPr>
        <w:t>vehicles</w:t>
      </w:r>
      <w:r>
        <w:rPr>
          <w:lang w:val="en-US"/>
        </w:rPr>
        <w:t xml:space="preserve"> including those</w:t>
      </w:r>
      <w:r w:rsidRPr="00885089">
        <w:rPr>
          <w:lang w:val="en-US"/>
        </w:rPr>
        <w:t xml:space="preserve"> </w:t>
      </w:r>
      <w:r>
        <w:rPr>
          <w:lang w:val="en-US"/>
        </w:rPr>
        <w:t>manufactured</w:t>
      </w:r>
      <w:r w:rsidR="00F92B7A">
        <w:rPr>
          <w:lang w:val="en-US"/>
        </w:rPr>
        <w:t xml:space="preserve"> or supplied</w:t>
      </w:r>
      <w:r>
        <w:rPr>
          <w:lang w:val="en-US"/>
        </w:rPr>
        <w:t xml:space="preserve"> through novel processes </w:t>
      </w:r>
      <w:r w:rsidR="00F92B7A">
        <w:rPr>
          <w:lang w:val="en-US"/>
        </w:rPr>
        <w:t xml:space="preserve">that differ from established industry norms </w:t>
      </w:r>
      <w:r>
        <w:rPr>
          <w:lang w:val="en-US"/>
        </w:rPr>
        <w:t xml:space="preserve">and those that </w:t>
      </w:r>
      <w:r w:rsidRPr="00885089">
        <w:rPr>
          <w:lang w:val="en-US"/>
        </w:rPr>
        <w:t xml:space="preserve">incorporate new and </w:t>
      </w:r>
      <w:r>
        <w:rPr>
          <w:lang w:val="en-US"/>
        </w:rPr>
        <w:t>emerging</w:t>
      </w:r>
      <w:r w:rsidRPr="00885089">
        <w:rPr>
          <w:lang w:val="en-US"/>
        </w:rPr>
        <w:t xml:space="preserve"> technologies</w:t>
      </w:r>
      <w:r>
        <w:rPr>
          <w:lang w:val="en-US"/>
        </w:rPr>
        <w:t xml:space="preserve">. </w:t>
      </w:r>
      <w:r w:rsidR="00FE3B94">
        <w:rPr>
          <w:lang w:val="en-US"/>
        </w:rPr>
        <w:t>The department is</w:t>
      </w:r>
      <w:r w:rsidR="00015468">
        <w:rPr>
          <w:lang w:val="en-US"/>
        </w:rPr>
        <w:t xml:space="preserve"> receiving </w:t>
      </w:r>
      <w:r w:rsidR="00104E40">
        <w:rPr>
          <w:lang w:val="en-US"/>
        </w:rPr>
        <w:t>an increasing number of</w:t>
      </w:r>
      <w:r w:rsidR="00015468">
        <w:rPr>
          <w:lang w:val="en-US"/>
        </w:rPr>
        <w:t xml:space="preserve"> </w:t>
      </w:r>
      <w:r>
        <w:rPr>
          <w:lang w:val="en-US"/>
        </w:rPr>
        <w:t xml:space="preserve">applications for </w:t>
      </w:r>
      <w:r w:rsidRPr="00885089">
        <w:rPr>
          <w:lang w:val="en-US"/>
        </w:rPr>
        <w:t>electric vehicles</w:t>
      </w:r>
      <w:r w:rsidR="00B10E79" w:rsidRPr="00885089">
        <w:rPr>
          <w:lang w:val="en-US"/>
        </w:rPr>
        <w:t xml:space="preserve"> and</w:t>
      </w:r>
      <w:r w:rsidRPr="00885089">
        <w:rPr>
          <w:lang w:val="en-US"/>
        </w:rPr>
        <w:t xml:space="preserve"> a host of other </w:t>
      </w:r>
      <w:r w:rsidR="00633649">
        <w:rPr>
          <w:lang w:val="en-US"/>
        </w:rPr>
        <w:t xml:space="preserve">road vehicle </w:t>
      </w:r>
      <w:r w:rsidRPr="00885089">
        <w:rPr>
          <w:lang w:val="en-US"/>
        </w:rPr>
        <w:t>innovations.</w:t>
      </w:r>
    </w:p>
    <w:p w14:paraId="108A2EE0" w14:textId="46D0BB37" w:rsidR="00F3659C" w:rsidRDefault="00F3659C" w:rsidP="00F3659C">
      <w:pPr>
        <w:rPr>
          <w:lang w:val="en-US"/>
        </w:rPr>
      </w:pPr>
      <w:r w:rsidRPr="00885089">
        <w:rPr>
          <w:lang w:val="en-US"/>
        </w:rPr>
        <w:t>These</w:t>
      </w:r>
      <w:r w:rsidR="00015468">
        <w:rPr>
          <w:lang w:val="en-US"/>
        </w:rPr>
        <w:t xml:space="preserve"> exciting developments in the </w:t>
      </w:r>
      <w:r w:rsidR="009B63D8">
        <w:rPr>
          <w:lang w:val="en-US"/>
        </w:rPr>
        <w:t xml:space="preserve">road vehicle </w:t>
      </w:r>
      <w:r w:rsidR="00015468">
        <w:rPr>
          <w:lang w:val="en-US"/>
        </w:rPr>
        <w:t>industry both domestically and globally</w:t>
      </w:r>
      <w:r w:rsidR="00886A73">
        <w:rPr>
          <w:lang w:val="en-US"/>
        </w:rPr>
        <w:t>,</w:t>
      </w:r>
      <w:r w:rsidR="00015468">
        <w:rPr>
          <w:lang w:val="en-US"/>
        </w:rPr>
        <w:t xml:space="preserve"> will continue and our role as a regulator will</w:t>
      </w:r>
      <w:r w:rsidR="009B63D8">
        <w:rPr>
          <w:lang w:val="en-US"/>
        </w:rPr>
        <w:t xml:space="preserve"> also</w:t>
      </w:r>
      <w:r w:rsidR="00015468">
        <w:rPr>
          <w:lang w:val="en-US"/>
        </w:rPr>
        <w:t xml:space="preserve"> evolve and change. O</w:t>
      </w:r>
      <w:r w:rsidRPr="00885089">
        <w:rPr>
          <w:lang w:val="en-US"/>
        </w:rPr>
        <w:t xml:space="preserve">ur regulatory approach to administering </w:t>
      </w:r>
      <w:r w:rsidR="00BD6083">
        <w:rPr>
          <w:lang w:val="en-US"/>
        </w:rPr>
        <w:t>RVS</w:t>
      </w:r>
      <w:r w:rsidRPr="00885089">
        <w:rPr>
          <w:lang w:val="en-US"/>
        </w:rPr>
        <w:t xml:space="preserve"> legislation and regulatory compliance must </w:t>
      </w:r>
      <w:r w:rsidR="0055537D">
        <w:rPr>
          <w:lang w:val="en-US"/>
        </w:rPr>
        <w:t xml:space="preserve">therefore </w:t>
      </w:r>
      <w:r w:rsidRPr="00885089">
        <w:rPr>
          <w:lang w:val="en-US"/>
        </w:rPr>
        <w:t>be</w:t>
      </w:r>
      <w:r w:rsidRPr="00885089">
        <w:t xml:space="preserve"> </w:t>
      </w:r>
      <w:r w:rsidRPr="00885089">
        <w:rPr>
          <w:lang w:val="en-US"/>
        </w:rPr>
        <w:t>agile</w:t>
      </w:r>
      <w:r>
        <w:rPr>
          <w:lang w:val="en-US"/>
        </w:rPr>
        <w:t xml:space="preserve"> and focused</w:t>
      </w:r>
      <w:r w:rsidRPr="00885089">
        <w:rPr>
          <w:lang w:val="en-US"/>
        </w:rPr>
        <w:t>.</w:t>
      </w:r>
      <w:r>
        <w:rPr>
          <w:lang w:val="en-US"/>
        </w:rPr>
        <w:t xml:space="preserve"> </w:t>
      </w:r>
      <w:r w:rsidR="00015468">
        <w:rPr>
          <w:lang w:val="en-US"/>
        </w:rPr>
        <w:t>W</w:t>
      </w:r>
      <w:r w:rsidR="00015468" w:rsidRPr="00885089">
        <w:rPr>
          <w:lang w:val="en-US"/>
        </w:rPr>
        <w:t xml:space="preserve">e </w:t>
      </w:r>
      <w:r w:rsidR="00015468">
        <w:rPr>
          <w:lang w:val="en-US"/>
        </w:rPr>
        <w:t xml:space="preserve">will </w:t>
      </w:r>
      <w:r w:rsidR="0055537D">
        <w:rPr>
          <w:lang w:val="en-US"/>
        </w:rPr>
        <w:t xml:space="preserve">continue to </w:t>
      </w:r>
      <w:r>
        <w:rPr>
          <w:lang w:val="en-US"/>
        </w:rPr>
        <w:t xml:space="preserve">monitor the </w:t>
      </w:r>
      <w:r w:rsidR="0055537D">
        <w:rPr>
          <w:lang w:val="en-US"/>
        </w:rPr>
        <w:t xml:space="preserve">broader </w:t>
      </w:r>
      <w:r>
        <w:rPr>
          <w:lang w:val="en-US"/>
        </w:rPr>
        <w:t xml:space="preserve">automotive environment </w:t>
      </w:r>
      <w:r w:rsidRPr="00885089">
        <w:rPr>
          <w:lang w:val="en-US"/>
        </w:rPr>
        <w:t>to ensure our efforts are</w:t>
      </w:r>
      <w:r>
        <w:rPr>
          <w:lang w:val="en-US"/>
        </w:rPr>
        <w:t xml:space="preserve"> concentrated</w:t>
      </w:r>
      <w:r w:rsidRPr="00885089">
        <w:rPr>
          <w:lang w:val="en-US"/>
        </w:rPr>
        <w:t xml:space="preserve"> on the right activities to effectively deliver </w:t>
      </w:r>
      <w:r>
        <w:rPr>
          <w:lang w:val="en-US"/>
        </w:rPr>
        <w:t xml:space="preserve">the best </w:t>
      </w:r>
      <w:r w:rsidRPr="00885089">
        <w:rPr>
          <w:lang w:val="en-US"/>
        </w:rPr>
        <w:t>regulatory outcomes</w:t>
      </w:r>
      <w:r w:rsidR="00FE3B94">
        <w:rPr>
          <w:lang w:val="en-US"/>
        </w:rPr>
        <w:t xml:space="preserve"> for the Australian public</w:t>
      </w:r>
      <w:r>
        <w:rPr>
          <w:lang w:val="en-US"/>
        </w:rPr>
        <w:t>,</w:t>
      </w:r>
      <w:r w:rsidRPr="00885089">
        <w:rPr>
          <w:lang w:val="en-US"/>
        </w:rPr>
        <w:t xml:space="preserve"> and that </w:t>
      </w:r>
      <w:r>
        <w:rPr>
          <w:lang w:val="en-US"/>
        </w:rPr>
        <w:t>best p</w:t>
      </w:r>
      <w:r w:rsidRPr="00885089">
        <w:rPr>
          <w:lang w:val="en-US"/>
        </w:rPr>
        <w:t xml:space="preserve">ractice </w:t>
      </w:r>
      <w:r w:rsidR="00015468">
        <w:rPr>
          <w:lang w:val="en-US"/>
        </w:rPr>
        <w:t xml:space="preserve">compliance and enforcement </w:t>
      </w:r>
      <w:r>
        <w:rPr>
          <w:lang w:val="en-US"/>
        </w:rPr>
        <w:t xml:space="preserve">principles are continuously </w:t>
      </w:r>
      <w:r w:rsidRPr="00885089">
        <w:rPr>
          <w:lang w:val="en-US"/>
        </w:rPr>
        <w:t xml:space="preserve">incorporated into our </w:t>
      </w:r>
      <w:r>
        <w:rPr>
          <w:lang w:val="en-US"/>
        </w:rPr>
        <w:t>everyday regulatory work</w:t>
      </w:r>
      <w:r w:rsidRPr="00885089">
        <w:rPr>
          <w:lang w:val="en-US"/>
        </w:rPr>
        <w:t xml:space="preserve">. </w:t>
      </w:r>
    </w:p>
    <w:p w14:paraId="7644D128" w14:textId="3C8FCB38" w:rsidR="00F3659C" w:rsidRPr="00F60EEA" w:rsidRDefault="00F3659C" w:rsidP="00F3659C">
      <w:pPr>
        <w:pStyle w:val="Heading1"/>
      </w:pPr>
      <w:bookmarkStart w:id="35" w:name="_Toc75440295"/>
      <w:bookmarkStart w:id="36" w:name="_Toc141176174"/>
      <w:r w:rsidRPr="00F60EEA">
        <w:t>Our priorities for 202</w:t>
      </w:r>
      <w:r w:rsidR="00B4061A">
        <w:t>3</w:t>
      </w:r>
      <w:r w:rsidRPr="00F60EEA">
        <w:t>-2</w:t>
      </w:r>
      <w:r w:rsidR="006F2B08">
        <w:t>6</w:t>
      </w:r>
      <w:bookmarkEnd w:id="35"/>
      <w:bookmarkEnd w:id="36"/>
    </w:p>
    <w:p w14:paraId="11F01A10" w14:textId="5F6A1AB0" w:rsidR="00FE3B94" w:rsidRDefault="00FE3B94" w:rsidP="00F3659C">
      <w:r>
        <w:t>W</w:t>
      </w:r>
      <w:r w:rsidR="00F3659C">
        <w:t xml:space="preserve">e will </w:t>
      </w:r>
      <w:r w:rsidR="006F2B08">
        <w:t xml:space="preserve">continue </w:t>
      </w:r>
      <w:r w:rsidR="006F2B08" w:rsidRPr="002C03BB">
        <w:t>educat</w:t>
      </w:r>
      <w:r w:rsidR="00EA6A75">
        <w:t>e</w:t>
      </w:r>
      <w:r w:rsidR="006F2B08" w:rsidRPr="002C03BB">
        <w:t xml:space="preserve"> and engage</w:t>
      </w:r>
      <w:r w:rsidR="00EA6A75">
        <w:t xml:space="preserve"> with industry. This will encourage</w:t>
      </w:r>
      <w:r w:rsidR="006F2B08">
        <w:t xml:space="preserve"> </w:t>
      </w:r>
      <w:r w:rsidR="003F3195">
        <w:t xml:space="preserve">voluntary </w:t>
      </w:r>
      <w:r w:rsidR="006F2B08">
        <w:t>compliance with the RVS legislation</w:t>
      </w:r>
      <w:r w:rsidR="00504BB1">
        <w:t>.</w:t>
      </w:r>
      <w:r w:rsidR="006F2B08">
        <w:t xml:space="preserve"> </w:t>
      </w:r>
      <w:r w:rsidR="0055537D">
        <w:t>H</w:t>
      </w:r>
      <w:r w:rsidR="003902C2">
        <w:t>owever, t</w:t>
      </w:r>
      <w:r w:rsidR="00504BB1">
        <w:t>he</w:t>
      </w:r>
      <w:r w:rsidR="006F2B08">
        <w:t xml:space="preserve"> level of </w:t>
      </w:r>
      <w:r w:rsidR="00504BB1">
        <w:t xml:space="preserve">direct </w:t>
      </w:r>
      <w:r w:rsidR="006F2B08">
        <w:t xml:space="preserve">education </w:t>
      </w:r>
      <w:r w:rsidR="00504BB1">
        <w:t xml:space="preserve">provided </w:t>
      </w:r>
      <w:r w:rsidR="006F2B08">
        <w:t xml:space="preserve">will be reduced as it is considered the </w:t>
      </w:r>
      <w:r w:rsidR="00504BB1">
        <w:t xml:space="preserve">road vehicle </w:t>
      </w:r>
      <w:r w:rsidR="006F2B08">
        <w:t xml:space="preserve">industry has </w:t>
      </w:r>
      <w:r w:rsidR="00B10E79">
        <w:t>had reasonable</w:t>
      </w:r>
      <w:r w:rsidR="009B63D8">
        <w:t xml:space="preserve"> </w:t>
      </w:r>
      <w:r w:rsidR="006F2B08">
        <w:t xml:space="preserve">time to </w:t>
      </w:r>
      <w:r w:rsidR="00104E40">
        <w:t>understand</w:t>
      </w:r>
      <w:r w:rsidR="00504BB1">
        <w:t xml:space="preserve"> </w:t>
      </w:r>
      <w:r w:rsidR="006F2B08">
        <w:t xml:space="preserve">the new regulatory </w:t>
      </w:r>
      <w:r>
        <w:t>requirements</w:t>
      </w:r>
      <w:r w:rsidR="00504BB1">
        <w:t xml:space="preserve"> under the RVS</w:t>
      </w:r>
      <w:r>
        <w:t xml:space="preserve"> legislation.</w:t>
      </w:r>
      <w:r w:rsidR="006F2B08">
        <w:t xml:space="preserve"> </w:t>
      </w:r>
      <w:r w:rsidR="00F659A6">
        <w:t>O</w:t>
      </w:r>
      <w:r w:rsidR="006F2B08">
        <w:t xml:space="preserve">ur </w:t>
      </w:r>
      <w:r w:rsidR="00F3659C">
        <w:t>focus</w:t>
      </w:r>
      <w:r w:rsidR="006F2B08">
        <w:t xml:space="preserve"> </w:t>
      </w:r>
      <w:r w:rsidR="003F3195">
        <w:t xml:space="preserve">will be </w:t>
      </w:r>
      <w:r w:rsidR="006F2B08">
        <w:t xml:space="preserve">shifting to more assisted, directed and enforced compliance. </w:t>
      </w:r>
    </w:p>
    <w:p w14:paraId="4918D987" w14:textId="048EAFD4" w:rsidR="00F3659C" w:rsidRDefault="00504BB1" w:rsidP="00F3659C">
      <w:r>
        <w:t xml:space="preserve">Our </w:t>
      </w:r>
      <w:r w:rsidR="00361B7B">
        <w:t xml:space="preserve">continuing </w:t>
      </w:r>
      <w:r w:rsidR="00F3659C">
        <w:t>education and engagement</w:t>
      </w:r>
      <w:r>
        <w:t xml:space="preserve"> efforts will </w:t>
      </w:r>
      <w:r w:rsidR="003902C2">
        <w:t xml:space="preserve">aim to </w:t>
      </w:r>
      <w:r w:rsidR="00F3659C">
        <w:t>rais</w:t>
      </w:r>
      <w:r w:rsidR="003902C2">
        <w:t>e</w:t>
      </w:r>
      <w:r w:rsidR="006D4708">
        <w:t xml:space="preserve"> </w:t>
      </w:r>
      <w:r w:rsidR="00F3659C">
        <w:t xml:space="preserve">understanding and </w:t>
      </w:r>
      <w:r w:rsidR="00F3659C" w:rsidRPr="007B58B8">
        <w:t>awareness</w:t>
      </w:r>
      <w:r w:rsidR="00F3659C">
        <w:t xml:space="preserve"> </w:t>
      </w:r>
      <w:r w:rsidR="000349B6">
        <w:t>of regulatory</w:t>
      </w:r>
      <w:r w:rsidR="006D4708">
        <w:t xml:space="preserve"> </w:t>
      </w:r>
      <w:r w:rsidR="00F3659C">
        <w:t>obligations</w:t>
      </w:r>
      <w:r w:rsidR="003902C2">
        <w:t xml:space="preserve"> and</w:t>
      </w:r>
      <w:r w:rsidR="00F3659C">
        <w:t xml:space="preserve"> </w:t>
      </w:r>
      <w:r w:rsidR="006F2B08">
        <w:t>will encourage voluntary compliance</w:t>
      </w:r>
      <w:r w:rsidR="00FE3B94">
        <w:t>,</w:t>
      </w:r>
      <w:r w:rsidR="006F2B08">
        <w:t xml:space="preserve"> but </w:t>
      </w:r>
      <w:r w:rsidR="00FE3B94">
        <w:t xml:space="preserve">this will occur </w:t>
      </w:r>
      <w:r w:rsidR="006F2B08">
        <w:t xml:space="preserve">to a lesser extent </w:t>
      </w:r>
      <w:r w:rsidR="00FE3B94">
        <w:t>when compared to our work</w:t>
      </w:r>
      <w:r w:rsidR="003902C2">
        <w:t xml:space="preserve"> under </w:t>
      </w:r>
      <w:r w:rsidR="003F3195">
        <w:t xml:space="preserve">the </w:t>
      </w:r>
      <w:r w:rsidR="00FE3B94">
        <w:t xml:space="preserve">previous </w:t>
      </w:r>
      <w:r w:rsidR="0055537D">
        <w:t>2021-23</w:t>
      </w:r>
      <w:r w:rsidR="003F3195">
        <w:t xml:space="preserve"> </w:t>
      </w:r>
      <w:r w:rsidR="003902C2">
        <w:t>strategy.</w:t>
      </w:r>
    </w:p>
    <w:p w14:paraId="3656B205" w14:textId="1441497B" w:rsidR="003902C2" w:rsidRPr="007B58B8" w:rsidRDefault="003F3195" w:rsidP="00F3659C">
      <w:r>
        <w:t xml:space="preserve">We </w:t>
      </w:r>
      <w:r w:rsidR="00F3659C" w:rsidRPr="007B58B8">
        <w:t xml:space="preserve">will </w:t>
      </w:r>
      <w:r w:rsidR="00FE3B94">
        <w:t xml:space="preserve">also </w:t>
      </w:r>
      <w:r w:rsidR="006F2B08">
        <w:t xml:space="preserve">continue to </w:t>
      </w:r>
      <w:r w:rsidR="00F3659C" w:rsidRPr="007B58B8">
        <w:t>provide</w:t>
      </w:r>
      <w:r w:rsidR="006F2B08">
        <w:t xml:space="preserve"> general and targeted </w:t>
      </w:r>
      <w:r w:rsidR="00F3659C" w:rsidRPr="007B58B8">
        <w:t xml:space="preserve">information </w:t>
      </w:r>
      <w:r w:rsidR="00F3659C">
        <w:t xml:space="preserve">on </w:t>
      </w:r>
      <w:r w:rsidR="006F2B08">
        <w:t>the department</w:t>
      </w:r>
      <w:r w:rsidR="007118D0">
        <w:t>’</w:t>
      </w:r>
      <w:r w:rsidR="006F2B08">
        <w:t xml:space="preserve">s </w:t>
      </w:r>
      <w:r w:rsidR="00F3659C" w:rsidRPr="007B58B8">
        <w:t>website</w:t>
      </w:r>
      <w:r w:rsidR="00F3659C">
        <w:t xml:space="preserve"> that will assist </w:t>
      </w:r>
      <w:r w:rsidR="006F2B08">
        <w:t>in</w:t>
      </w:r>
      <w:r w:rsidR="003902C2">
        <w:t>dustry in</w:t>
      </w:r>
      <w:r w:rsidR="006F2B08">
        <w:t xml:space="preserve"> </w:t>
      </w:r>
      <w:r w:rsidR="00F3659C">
        <w:t>understanding our compliance and enforcement approach</w:t>
      </w:r>
      <w:r w:rsidR="00F3659C" w:rsidRPr="007B58B8">
        <w:t xml:space="preserve">. </w:t>
      </w:r>
      <w:r>
        <w:t>This</w:t>
      </w:r>
      <w:r w:rsidR="003902C2">
        <w:t xml:space="preserve"> i</w:t>
      </w:r>
      <w:r w:rsidR="00F3659C">
        <w:t xml:space="preserve">nformation </w:t>
      </w:r>
      <w:r w:rsidR="00F3659C" w:rsidRPr="007B58B8">
        <w:t>will include</w:t>
      </w:r>
      <w:r w:rsidR="006F2B08">
        <w:t xml:space="preserve"> </w:t>
      </w:r>
      <w:r w:rsidR="00EA6A75">
        <w:t>guidance on</w:t>
      </w:r>
      <w:r w:rsidR="00BD6083">
        <w:t xml:space="preserve"> </w:t>
      </w:r>
      <w:r w:rsidR="006F2B08">
        <w:t>(in addition to what is already available)</w:t>
      </w:r>
      <w:r w:rsidR="00F3659C" w:rsidRPr="007B58B8">
        <w:t>:</w:t>
      </w:r>
    </w:p>
    <w:p w14:paraId="14BE481D" w14:textId="70FBFBFB" w:rsidR="006F2B08" w:rsidRDefault="00FE3B94" w:rsidP="006F2B08">
      <w:pPr>
        <w:pStyle w:val="Bullet1"/>
        <w:rPr>
          <w:lang w:val="en-US"/>
        </w:rPr>
      </w:pPr>
      <w:r>
        <w:rPr>
          <w:lang w:val="en-US"/>
        </w:rPr>
        <w:t>i</w:t>
      </w:r>
      <w:r w:rsidR="006F2B08">
        <w:rPr>
          <w:lang w:val="en-US"/>
        </w:rPr>
        <w:t>nfringement notices</w:t>
      </w:r>
      <w:r w:rsidR="003902C2">
        <w:rPr>
          <w:lang w:val="en-US"/>
        </w:rPr>
        <w:t>;</w:t>
      </w:r>
    </w:p>
    <w:p w14:paraId="5642B937" w14:textId="7E47F982" w:rsidR="006F2B08" w:rsidRDefault="006F2B08" w:rsidP="006F2B08">
      <w:pPr>
        <w:pStyle w:val="Bullet1"/>
        <w:rPr>
          <w:lang w:val="en-US"/>
        </w:rPr>
      </w:pPr>
      <w:r>
        <w:rPr>
          <w:lang w:val="en-US"/>
        </w:rPr>
        <w:t>enforceable undertakings</w:t>
      </w:r>
      <w:r w:rsidR="003902C2">
        <w:rPr>
          <w:lang w:val="en-US"/>
        </w:rPr>
        <w:t>; and</w:t>
      </w:r>
    </w:p>
    <w:p w14:paraId="6C043B53" w14:textId="2A3BEAF6" w:rsidR="003902C2" w:rsidRPr="003902C2" w:rsidRDefault="009B63D8" w:rsidP="003902C2">
      <w:pPr>
        <w:pStyle w:val="Bullet1"/>
      </w:pPr>
      <w:r>
        <w:rPr>
          <w:lang w:val="en-US"/>
        </w:rPr>
        <w:t xml:space="preserve">voluntary </w:t>
      </w:r>
      <w:r w:rsidR="00EA6A75">
        <w:rPr>
          <w:lang w:val="en-US"/>
        </w:rPr>
        <w:t xml:space="preserve">or enforced </w:t>
      </w:r>
      <w:r>
        <w:rPr>
          <w:lang w:val="en-US"/>
        </w:rPr>
        <w:t>suspension and revocation of approvals</w:t>
      </w:r>
      <w:r w:rsidR="003902C2">
        <w:rPr>
          <w:lang w:val="en-US"/>
        </w:rPr>
        <w:t>.</w:t>
      </w:r>
    </w:p>
    <w:p w14:paraId="3F837324" w14:textId="3E363417" w:rsidR="00F3659C" w:rsidRDefault="00F3659C" w:rsidP="003902C2">
      <w:pPr>
        <w:pStyle w:val="Bullet1"/>
        <w:numPr>
          <w:ilvl w:val="0"/>
          <w:numId w:val="0"/>
        </w:numPr>
      </w:pPr>
      <w:r>
        <w:t xml:space="preserve">We will proactively monitor </w:t>
      </w:r>
      <w:r w:rsidR="003B0187">
        <w:rPr>
          <w:lang w:val="en-AU"/>
        </w:rPr>
        <w:t xml:space="preserve">industry </w:t>
      </w:r>
      <w:r>
        <w:t xml:space="preserve">compliance </w:t>
      </w:r>
      <w:r w:rsidR="003B0187">
        <w:rPr>
          <w:lang w:val="en-AU"/>
        </w:rPr>
        <w:t>in the identified</w:t>
      </w:r>
      <w:r>
        <w:t xml:space="preserve"> </w:t>
      </w:r>
      <w:r w:rsidR="000756D3" w:rsidRPr="000756D3">
        <w:rPr>
          <w:lang w:val="en-AU"/>
        </w:rPr>
        <w:t>f</w:t>
      </w:r>
      <w:r w:rsidR="003B0187" w:rsidRPr="000756D3">
        <w:rPr>
          <w:lang w:val="en-AU"/>
        </w:rPr>
        <w:t>ocus areas</w:t>
      </w:r>
      <w:r w:rsidR="0055537D">
        <w:rPr>
          <w:b/>
          <w:lang w:val="en-AU"/>
        </w:rPr>
        <w:t xml:space="preserve"> </w:t>
      </w:r>
      <w:r w:rsidR="0055537D" w:rsidRPr="00CB17D4">
        <w:rPr>
          <w:lang w:val="en-AU"/>
        </w:rPr>
        <w:t xml:space="preserve">(see </w:t>
      </w:r>
      <w:r w:rsidR="000756D3">
        <w:rPr>
          <w:lang w:val="en-AU"/>
        </w:rPr>
        <w:t>‘</w:t>
      </w:r>
      <w:r w:rsidR="00EA6A75" w:rsidRPr="000756D3">
        <w:rPr>
          <w:b/>
          <w:lang w:val="en-AU"/>
        </w:rPr>
        <w:t>Focus areas</w:t>
      </w:r>
      <w:r w:rsidR="00EA6A75">
        <w:rPr>
          <w:lang w:val="en-AU"/>
        </w:rPr>
        <w:t xml:space="preserve"> for compliance and enforcement</w:t>
      </w:r>
      <w:r w:rsidR="000756D3">
        <w:rPr>
          <w:lang w:val="en-AU"/>
        </w:rPr>
        <w:t>’</w:t>
      </w:r>
      <w:r w:rsidR="0055537D" w:rsidRPr="00CB17D4">
        <w:rPr>
          <w:lang w:val="en-AU"/>
        </w:rPr>
        <w:t>)</w:t>
      </w:r>
      <w:r w:rsidRPr="0055537D">
        <w:t>.</w:t>
      </w:r>
      <w:r>
        <w:t xml:space="preserve"> This will involve undertaking compliance </w:t>
      </w:r>
      <w:r w:rsidR="003B0187">
        <w:rPr>
          <w:lang w:val="en-AU"/>
        </w:rPr>
        <w:t>activities</w:t>
      </w:r>
      <w:r>
        <w:t xml:space="preserve"> that will assess levels of compliance </w:t>
      </w:r>
      <w:r w:rsidR="003B0187">
        <w:rPr>
          <w:lang w:val="en-AU"/>
        </w:rPr>
        <w:t xml:space="preserve">in the </w:t>
      </w:r>
      <w:r w:rsidR="00D24341">
        <w:rPr>
          <w:lang w:val="en-AU"/>
        </w:rPr>
        <w:t xml:space="preserve">particular </w:t>
      </w:r>
      <w:r w:rsidR="003B0187">
        <w:rPr>
          <w:lang w:val="en-AU"/>
        </w:rPr>
        <w:t xml:space="preserve">focus area, </w:t>
      </w:r>
      <w:r>
        <w:t xml:space="preserve">and </w:t>
      </w:r>
      <w:r w:rsidR="0055537D">
        <w:rPr>
          <w:lang w:val="en-AU"/>
        </w:rPr>
        <w:t>where required</w:t>
      </w:r>
      <w:r>
        <w:t xml:space="preserve"> encourage regulated entities to </w:t>
      </w:r>
      <w:r w:rsidR="00D24341">
        <w:rPr>
          <w:lang w:val="en-AU"/>
        </w:rPr>
        <w:t xml:space="preserve">rapidly </w:t>
      </w:r>
      <w:r>
        <w:t xml:space="preserve">return to compliance. </w:t>
      </w:r>
    </w:p>
    <w:p w14:paraId="30E50BFD" w14:textId="0AC0061A" w:rsidR="00F3659C" w:rsidRDefault="00F3659C" w:rsidP="00F3659C">
      <w:r>
        <w:t>We will also monitor industry compliance</w:t>
      </w:r>
      <w:r w:rsidR="00822E70">
        <w:t>,</w:t>
      </w:r>
      <w:r>
        <w:t xml:space="preserve"> </w:t>
      </w:r>
      <w:r w:rsidR="003B0187">
        <w:t xml:space="preserve">leveraging information obtained through targeted intelligence products. These intelligence products </w:t>
      </w:r>
      <w:r>
        <w:t xml:space="preserve">help identify potential areas of </w:t>
      </w:r>
      <w:r w:rsidR="003B0187">
        <w:t xml:space="preserve">compliance </w:t>
      </w:r>
      <w:r>
        <w:t>concern</w:t>
      </w:r>
      <w:r w:rsidR="003B0187">
        <w:t xml:space="preserve"> within the regulated industry. Additionally,</w:t>
      </w:r>
      <w:r>
        <w:t xml:space="preserve"> reports of </w:t>
      </w:r>
      <w:r w:rsidR="003B0187">
        <w:t xml:space="preserve">alleged </w:t>
      </w:r>
      <w:r>
        <w:t xml:space="preserve">non-compliance </w:t>
      </w:r>
      <w:r w:rsidR="003B0187">
        <w:t xml:space="preserve">will assist </w:t>
      </w:r>
      <w:r w:rsidR="0021708C">
        <w:t>in the</w:t>
      </w:r>
      <w:r w:rsidR="003B0187">
        <w:t xml:space="preserve"> </w:t>
      </w:r>
      <w:r w:rsidR="0021708C">
        <w:t>regulation of th</w:t>
      </w:r>
      <w:r w:rsidR="00F9580D">
        <w:t>e</w:t>
      </w:r>
      <w:r w:rsidR="0021708C">
        <w:t xml:space="preserve"> industry.</w:t>
      </w:r>
      <w:r>
        <w:t xml:space="preserve"> </w:t>
      </w:r>
    </w:p>
    <w:p w14:paraId="5E09AF91" w14:textId="775B6B28" w:rsidR="00F3659C" w:rsidRDefault="00F3659C" w:rsidP="00F3659C">
      <w:r>
        <w:t xml:space="preserve">We will continue to review and refine our compliance and enforcement approach under the </w:t>
      </w:r>
      <w:r w:rsidR="003B0187">
        <w:t>RVS</w:t>
      </w:r>
      <w:r>
        <w:t xml:space="preserve"> legislation, including implementing </w:t>
      </w:r>
      <w:r w:rsidR="003B0187">
        <w:t xml:space="preserve">various </w:t>
      </w:r>
      <w:r>
        <w:t xml:space="preserve">policies and procedures, and building our </w:t>
      </w:r>
      <w:r w:rsidR="00104E40">
        <w:t>compliance and enforcement</w:t>
      </w:r>
      <w:r w:rsidR="0021708C">
        <w:t xml:space="preserve"> </w:t>
      </w:r>
      <w:r w:rsidR="00582E3D">
        <w:t>capacity and capability</w:t>
      </w:r>
      <w:r w:rsidR="00104E40">
        <w:t xml:space="preserve"> </w:t>
      </w:r>
      <w:r>
        <w:t xml:space="preserve">through recruitment and </w:t>
      </w:r>
      <w:r w:rsidR="0021708C">
        <w:t xml:space="preserve">ongoing </w:t>
      </w:r>
      <w:r>
        <w:t xml:space="preserve">training. </w:t>
      </w:r>
    </w:p>
    <w:p w14:paraId="34A13288" w14:textId="3A04CE09" w:rsidR="00F3659C" w:rsidRPr="00C436D2" w:rsidRDefault="00F3659C" w:rsidP="00F3659C">
      <w:r>
        <w:t xml:space="preserve">We will </w:t>
      </w:r>
      <w:r w:rsidR="003D6A50">
        <w:t xml:space="preserve">also </w:t>
      </w:r>
      <w:r>
        <w:t xml:space="preserve">further develop our intelligence gathering and analysis capability. This capability will provide key </w:t>
      </w:r>
      <w:r w:rsidR="00D24341">
        <w:t xml:space="preserve">tactical </w:t>
      </w:r>
      <w:r>
        <w:t xml:space="preserve">information that will inform future compliance and enforcement strategies and </w:t>
      </w:r>
      <w:r w:rsidR="00D24341">
        <w:t xml:space="preserve">future </w:t>
      </w:r>
      <w:r>
        <w:t xml:space="preserve">targeted compliance and enforcement activities. </w:t>
      </w:r>
    </w:p>
    <w:p w14:paraId="271C519E" w14:textId="77777777" w:rsidR="00F3659C" w:rsidRPr="006C53B0" w:rsidRDefault="00F3659C" w:rsidP="00F3659C">
      <w:pPr>
        <w:pStyle w:val="Heading2"/>
      </w:pPr>
      <w:bookmarkStart w:id="37" w:name="_Toc75440296"/>
      <w:bookmarkStart w:id="38" w:name="_Toc141176175"/>
      <w:r w:rsidRPr="00CB17D4">
        <w:rPr>
          <w:b/>
        </w:rPr>
        <w:t>Focus areas</w:t>
      </w:r>
      <w:r w:rsidRPr="006C53B0">
        <w:t xml:space="preserve"> for compliance and enforcement</w:t>
      </w:r>
      <w:bookmarkEnd w:id="37"/>
      <w:bookmarkEnd w:id="38"/>
    </w:p>
    <w:p w14:paraId="0473D572" w14:textId="03B6D77C" w:rsidR="00F3659C" w:rsidRDefault="00F3659C" w:rsidP="00F3659C">
      <w:pPr>
        <w:rPr>
          <w:lang w:val="en-US"/>
        </w:rPr>
      </w:pPr>
      <w:r>
        <w:rPr>
          <w:lang w:val="en-US"/>
        </w:rPr>
        <w:t xml:space="preserve">We have identified </w:t>
      </w:r>
      <w:r w:rsidR="00EA6A75">
        <w:rPr>
          <w:lang w:val="en-US"/>
        </w:rPr>
        <w:t xml:space="preserve">4 </w:t>
      </w:r>
      <w:r w:rsidR="005C2F15">
        <w:rPr>
          <w:lang w:val="en-US"/>
        </w:rPr>
        <w:t>focus</w:t>
      </w:r>
      <w:r>
        <w:rPr>
          <w:lang w:val="en-US"/>
        </w:rPr>
        <w:t xml:space="preserve"> areas </w:t>
      </w:r>
      <w:r w:rsidR="00582E3D">
        <w:rPr>
          <w:lang w:val="en-US"/>
        </w:rPr>
        <w:t>to</w:t>
      </w:r>
      <w:r>
        <w:rPr>
          <w:lang w:val="en-US"/>
        </w:rPr>
        <w:t xml:space="preserve"> </w:t>
      </w:r>
      <w:r w:rsidR="005829AD">
        <w:rPr>
          <w:lang w:val="en-US"/>
        </w:rPr>
        <w:t xml:space="preserve">proactively </w:t>
      </w:r>
      <w:r w:rsidR="0055537D">
        <w:rPr>
          <w:lang w:val="en-US"/>
        </w:rPr>
        <w:t>work</w:t>
      </w:r>
      <w:r>
        <w:rPr>
          <w:lang w:val="en-US"/>
        </w:rPr>
        <w:t xml:space="preserve"> on</w:t>
      </w:r>
      <w:r w:rsidR="005829AD">
        <w:rPr>
          <w:lang w:val="en-US"/>
        </w:rPr>
        <w:t xml:space="preserve"> </w:t>
      </w:r>
      <w:r>
        <w:rPr>
          <w:lang w:val="en-US"/>
        </w:rPr>
        <w:t>over the next t</w:t>
      </w:r>
      <w:r w:rsidR="003B0187">
        <w:rPr>
          <w:lang w:val="en-US"/>
        </w:rPr>
        <w:t>hree</w:t>
      </w:r>
      <w:r>
        <w:rPr>
          <w:lang w:val="en-US"/>
        </w:rPr>
        <w:t xml:space="preserve"> years:</w:t>
      </w:r>
    </w:p>
    <w:p w14:paraId="18357071" w14:textId="3601197E" w:rsidR="00DF660C" w:rsidRPr="00CB17D4" w:rsidRDefault="00D24341" w:rsidP="00A02C05">
      <w:pPr>
        <w:pStyle w:val="Bullet1"/>
        <w:rPr>
          <w:b/>
        </w:rPr>
      </w:pPr>
      <w:r>
        <w:rPr>
          <w:b/>
          <w:lang w:val="en-AU"/>
        </w:rPr>
        <w:t>A</w:t>
      </w:r>
      <w:r w:rsidR="001F35E3" w:rsidRPr="00CB17D4">
        <w:rPr>
          <w:b/>
        </w:rPr>
        <w:t>pproval holders</w:t>
      </w:r>
      <w:r w:rsidR="00DF660C" w:rsidRPr="00CB17D4">
        <w:rPr>
          <w:b/>
        </w:rPr>
        <w:t xml:space="preserve"> </w:t>
      </w:r>
      <w:r>
        <w:rPr>
          <w:b/>
          <w:lang w:val="en-AU"/>
        </w:rPr>
        <w:t xml:space="preserve">participating </w:t>
      </w:r>
      <w:r w:rsidR="00DF660C" w:rsidRPr="00CB17D4">
        <w:rPr>
          <w:b/>
        </w:rPr>
        <w:t xml:space="preserve">in </w:t>
      </w:r>
      <w:r w:rsidR="001F35E3" w:rsidRPr="00CB17D4">
        <w:rPr>
          <w:b/>
        </w:rPr>
        <w:t xml:space="preserve">the </w:t>
      </w:r>
      <w:r w:rsidR="00DF660C" w:rsidRPr="00CB17D4">
        <w:rPr>
          <w:b/>
        </w:rPr>
        <w:t xml:space="preserve">concessional </w:t>
      </w:r>
      <w:r w:rsidR="000F2F86" w:rsidRPr="00CB17D4">
        <w:rPr>
          <w:b/>
        </w:rPr>
        <w:t>RAV entry</w:t>
      </w:r>
      <w:r w:rsidR="001F35E3" w:rsidRPr="00CB17D4">
        <w:rPr>
          <w:b/>
        </w:rPr>
        <w:t xml:space="preserve"> pathway</w:t>
      </w:r>
      <w:r w:rsidR="00DF660C" w:rsidRPr="00CB17D4">
        <w:rPr>
          <w:b/>
        </w:rPr>
        <w:t>:</w:t>
      </w:r>
    </w:p>
    <w:p w14:paraId="11C31EA5" w14:textId="77777777" w:rsidR="001F35E3" w:rsidRPr="00CB17D4" w:rsidRDefault="001F35E3" w:rsidP="00C066D4">
      <w:pPr>
        <w:pStyle w:val="Bullet2"/>
        <w:rPr>
          <w:b/>
          <w:i/>
        </w:rPr>
      </w:pPr>
      <w:r w:rsidRPr="00CB17D4">
        <w:rPr>
          <w:b/>
          <w:i/>
        </w:rPr>
        <w:t>Approved Model Reports</w:t>
      </w:r>
    </w:p>
    <w:p w14:paraId="4861B0D0" w14:textId="6A106201" w:rsidR="001F35E3" w:rsidRPr="00CB17D4" w:rsidRDefault="001F35E3" w:rsidP="00C066D4">
      <w:pPr>
        <w:pStyle w:val="Bullet2"/>
        <w:rPr>
          <w:b/>
          <w:i/>
        </w:rPr>
      </w:pPr>
      <w:r w:rsidRPr="00CB17D4">
        <w:rPr>
          <w:b/>
          <w:i/>
        </w:rPr>
        <w:t xml:space="preserve">Registered </w:t>
      </w:r>
      <w:r w:rsidR="0054651F">
        <w:rPr>
          <w:b/>
          <w:i/>
          <w:lang w:val="en-US"/>
        </w:rPr>
        <w:t>a</w:t>
      </w:r>
      <w:r w:rsidRPr="00CB17D4">
        <w:rPr>
          <w:b/>
          <w:i/>
        </w:rPr>
        <w:t xml:space="preserve">utomotive </w:t>
      </w:r>
      <w:r w:rsidR="0054651F">
        <w:rPr>
          <w:b/>
          <w:i/>
          <w:lang w:val="en-US"/>
        </w:rPr>
        <w:t>w</w:t>
      </w:r>
      <w:r w:rsidRPr="00CB17D4">
        <w:rPr>
          <w:b/>
          <w:i/>
        </w:rPr>
        <w:t>orkshops (RAWs)</w:t>
      </w:r>
    </w:p>
    <w:p w14:paraId="6AD02EFC" w14:textId="5EEF95EB" w:rsidR="00F3659C" w:rsidRPr="00CB17D4" w:rsidRDefault="00B4061A" w:rsidP="00C066D4">
      <w:pPr>
        <w:pStyle w:val="Bullet2"/>
        <w:rPr>
          <w:b/>
          <w:i/>
        </w:rPr>
      </w:pPr>
      <w:r w:rsidRPr="00CB17D4">
        <w:rPr>
          <w:b/>
          <w:i/>
        </w:rPr>
        <w:t>A</w:t>
      </w:r>
      <w:r w:rsidR="00706BCE" w:rsidRPr="00CB17D4">
        <w:rPr>
          <w:b/>
          <w:i/>
        </w:rPr>
        <w:t xml:space="preserve">uthorised </w:t>
      </w:r>
      <w:r w:rsidR="0054651F">
        <w:rPr>
          <w:b/>
          <w:i/>
          <w:lang w:val="en-US"/>
        </w:rPr>
        <w:t>v</w:t>
      </w:r>
      <w:r w:rsidR="00706BCE" w:rsidRPr="00CB17D4">
        <w:rPr>
          <w:b/>
          <w:i/>
        </w:rPr>
        <w:t xml:space="preserve">ehicle </w:t>
      </w:r>
      <w:r w:rsidR="0054651F">
        <w:rPr>
          <w:b/>
          <w:i/>
          <w:lang w:val="en-US"/>
        </w:rPr>
        <w:t>v</w:t>
      </w:r>
      <w:r w:rsidR="00706BCE" w:rsidRPr="00CB17D4">
        <w:rPr>
          <w:b/>
          <w:i/>
        </w:rPr>
        <w:t>erifier</w:t>
      </w:r>
      <w:r w:rsidRPr="00CB17D4">
        <w:rPr>
          <w:b/>
          <w:i/>
        </w:rPr>
        <w:t>s</w:t>
      </w:r>
      <w:r w:rsidR="00706BCE" w:rsidRPr="00CB17D4">
        <w:rPr>
          <w:b/>
          <w:i/>
        </w:rPr>
        <w:t xml:space="preserve"> (AVVs)</w:t>
      </w:r>
      <w:r w:rsidR="0055537D">
        <w:rPr>
          <w:b/>
          <w:i/>
          <w:lang w:val="en-AU"/>
        </w:rPr>
        <w:t>.</w:t>
      </w:r>
    </w:p>
    <w:p w14:paraId="35361B07" w14:textId="31BAC067" w:rsidR="00DF660C" w:rsidRDefault="00DF660C" w:rsidP="00A02C05">
      <w:pPr>
        <w:pStyle w:val="Bullet1"/>
        <w:rPr>
          <w:b/>
        </w:rPr>
      </w:pPr>
      <w:bookmarkStart w:id="39" w:name="_Hlk132710227"/>
      <w:r w:rsidRPr="00CB17D4">
        <w:rPr>
          <w:b/>
        </w:rPr>
        <w:t xml:space="preserve">Large or established vehicle manufacturers </w:t>
      </w:r>
      <w:r w:rsidR="0055537D">
        <w:rPr>
          <w:b/>
          <w:lang w:val="en-AU"/>
        </w:rPr>
        <w:t xml:space="preserve">and their </w:t>
      </w:r>
      <w:r w:rsidRPr="00CB17D4">
        <w:rPr>
          <w:b/>
        </w:rPr>
        <w:t>compliance with the</w:t>
      </w:r>
      <w:r w:rsidR="007C6C7E">
        <w:rPr>
          <w:b/>
          <w:lang w:val="en-AU"/>
        </w:rPr>
        <w:t>ir</w:t>
      </w:r>
      <w:r w:rsidR="0055537D">
        <w:rPr>
          <w:b/>
          <w:lang w:val="en-AU"/>
        </w:rPr>
        <w:t xml:space="preserve"> </w:t>
      </w:r>
      <w:r w:rsidRPr="00CB17D4">
        <w:rPr>
          <w:b/>
        </w:rPr>
        <w:t>vehicle type approval (VTA)</w:t>
      </w:r>
      <w:bookmarkEnd w:id="39"/>
      <w:r w:rsidR="007C6C7E">
        <w:rPr>
          <w:b/>
          <w:lang w:val="en-AU"/>
        </w:rPr>
        <w:t xml:space="preserve"> conditions</w:t>
      </w:r>
      <w:r w:rsidRPr="00CB17D4">
        <w:rPr>
          <w:b/>
        </w:rPr>
        <w:t xml:space="preserve">. </w:t>
      </w:r>
    </w:p>
    <w:p w14:paraId="6473F626" w14:textId="7F7F2A3D" w:rsidR="00AA1FC1" w:rsidRPr="00CB17D4" w:rsidRDefault="00AA1FC1" w:rsidP="00A02C05">
      <w:pPr>
        <w:pStyle w:val="Bullet1"/>
        <w:rPr>
          <w:b/>
        </w:rPr>
      </w:pPr>
      <w:r>
        <w:rPr>
          <w:b/>
          <w:lang w:val="en-US"/>
        </w:rPr>
        <w:t>Opt</w:t>
      </w:r>
      <w:r w:rsidR="000C0A47">
        <w:rPr>
          <w:b/>
          <w:lang w:val="en-US"/>
        </w:rPr>
        <w:t>ed</w:t>
      </w:r>
      <w:r>
        <w:rPr>
          <w:b/>
          <w:lang w:val="en-US"/>
        </w:rPr>
        <w:t>-in high ATM trailer vehicle type approvals.</w:t>
      </w:r>
    </w:p>
    <w:p w14:paraId="6202E59A" w14:textId="4F210D7A" w:rsidR="00F3659C" w:rsidRPr="00CB17D4" w:rsidRDefault="003B0187" w:rsidP="00A02C05">
      <w:pPr>
        <w:pStyle w:val="Bullet1"/>
        <w:rPr>
          <w:b/>
        </w:rPr>
      </w:pPr>
      <w:bookmarkStart w:id="40" w:name="_Hlk133940725"/>
      <w:r w:rsidRPr="00CB17D4">
        <w:rPr>
          <w:b/>
        </w:rPr>
        <w:t>E</w:t>
      </w:r>
      <w:r w:rsidR="00B10E79" w:rsidRPr="00CB17D4">
        <w:rPr>
          <w:b/>
        </w:rPr>
        <w:t>ntities</w:t>
      </w:r>
      <w:r w:rsidR="00B4061A" w:rsidRPr="00CB17D4">
        <w:rPr>
          <w:b/>
        </w:rPr>
        <w:t xml:space="preserve"> </w:t>
      </w:r>
      <w:r w:rsidR="0021708C">
        <w:rPr>
          <w:b/>
          <w:lang w:val="en-AU"/>
        </w:rPr>
        <w:t xml:space="preserve">that </w:t>
      </w:r>
      <w:r w:rsidR="00B4061A" w:rsidRPr="00CB17D4">
        <w:rPr>
          <w:b/>
        </w:rPr>
        <w:t>continue to operate without</w:t>
      </w:r>
      <w:r w:rsidR="0055537D">
        <w:rPr>
          <w:b/>
          <w:lang w:val="en-AU"/>
        </w:rPr>
        <w:t xml:space="preserve"> </w:t>
      </w:r>
      <w:r w:rsidR="00D24341">
        <w:rPr>
          <w:b/>
          <w:lang w:val="en-AU"/>
        </w:rPr>
        <w:t>appropriate</w:t>
      </w:r>
      <w:r w:rsidR="00B4061A" w:rsidRPr="00CB17D4">
        <w:rPr>
          <w:b/>
        </w:rPr>
        <w:t xml:space="preserve"> RVS </w:t>
      </w:r>
      <w:r w:rsidR="00B10E79" w:rsidRPr="00CB17D4">
        <w:rPr>
          <w:b/>
        </w:rPr>
        <w:t>approvals</w:t>
      </w:r>
      <w:r w:rsidR="00B4061A" w:rsidRPr="00CB17D4">
        <w:rPr>
          <w:b/>
        </w:rPr>
        <w:t xml:space="preserve"> </w:t>
      </w:r>
      <w:r w:rsidR="0021708C">
        <w:rPr>
          <w:b/>
          <w:lang w:val="en-AU"/>
        </w:rPr>
        <w:t>post</w:t>
      </w:r>
      <w:r w:rsidR="00B4061A" w:rsidRPr="00CB17D4">
        <w:rPr>
          <w:b/>
        </w:rPr>
        <w:t xml:space="preserve"> 30 June 2023</w:t>
      </w:r>
      <w:r w:rsidR="005C2F15" w:rsidRPr="00CB17D4">
        <w:rPr>
          <w:b/>
        </w:rPr>
        <w:t>.</w:t>
      </w:r>
    </w:p>
    <w:bookmarkEnd w:id="40"/>
    <w:p w14:paraId="242F3A96" w14:textId="3C24AD53" w:rsidR="00F3659C" w:rsidRDefault="00F3659C" w:rsidP="00F3659C">
      <w:pPr>
        <w:rPr>
          <w:lang w:val="en-US"/>
        </w:rPr>
      </w:pPr>
      <w:r>
        <w:rPr>
          <w:lang w:val="en-US"/>
        </w:rPr>
        <w:t xml:space="preserve">For each </w:t>
      </w:r>
      <w:r w:rsidR="004120CB">
        <w:rPr>
          <w:lang w:val="en-US"/>
        </w:rPr>
        <w:t xml:space="preserve">focus </w:t>
      </w:r>
      <w:r>
        <w:rPr>
          <w:lang w:val="en-US"/>
        </w:rPr>
        <w:t xml:space="preserve">area we will monitor </w:t>
      </w:r>
      <w:r w:rsidR="004120CB">
        <w:rPr>
          <w:lang w:val="en-US"/>
        </w:rPr>
        <w:t>a targeted entit</w:t>
      </w:r>
      <w:r w:rsidR="003D6A50">
        <w:rPr>
          <w:lang w:val="en-US"/>
        </w:rPr>
        <w:t>y’s</w:t>
      </w:r>
      <w:r w:rsidR="004120CB">
        <w:rPr>
          <w:lang w:val="en-US"/>
        </w:rPr>
        <w:t xml:space="preserve"> </w:t>
      </w:r>
      <w:r>
        <w:rPr>
          <w:lang w:val="en-US"/>
        </w:rPr>
        <w:t>compliance</w:t>
      </w:r>
      <w:r w:rsidR="0055537D">
        <w:rPr>
          <w:lang w:val="en-US"/>
        </w:rPr>
        <w:t xml:space="preserve"> with RVS legislation</w:t>
      </w:r>
      <w:r w:rsidR="005C2F15">
        <w:rPr>
          <w:lang w:val="en-US"/>
        </w:rPr>
        <w:t>,</w:t>
      </w:r>
      <w:r>
        <w:rPr>
          <w:lang w:val="en-US"/>
        </w:rPr>
        <w:t xml:space="preserve"> and as needed assist </w:t>
      </w:r>
      <w:r w:rsidR="004120CB">
        <w:rPr>
          <w:lang w:val="en-US"/>
        </w:rPr>
        <w:t>targeted</w:t>
      </w:r>
      <w:r>
        <w:rPr>
          <w:lang w:val="en-US"/>
        </w:rPr>
        <w:t xml:space="preserve"> entities to understand and comply with their </w:t>
      </w:r>
      <w:r w:rsidR="004120CB">
        <w:rPr>
          <w:lang w:val="en-US"/>
        </w:rPr>
        <w:t xml:space="preserve">regulatory </w:t>
      </w:r>
      <w:r>
        <w:rPr>
          <w:lang w:val="en-US"/>
        </w:rPr>
        <w:t xml:space="preserve">obligations. </w:t>
      </w:r>
    </w:p>
    <w:p w14:paraId="4B579970" w14:textId="069141CD" w:rsidR="00DF660C" w:rsidRPr="009514EE" w:rsidRDefault="00D24341" w:rsidP="009514EE">
      <w:pPr>
        <w:pStyle w:val="Heading3"/>
      </w:pPr>
      <w:bookmarkStart w:id="41" w:name="_Toc141176176"/>
      <w:r>
        <w:t>A</w:t>
      </w:r>
      <w:r w:rsidR="001F35E3" w:rsidRPr="009514EE">
        <w:t xml:space="preserve">pproval holders </w:t>
      </w:r>
      <w:r>
        <w:t xml:space="preserve">participating </w:t>
      </w:r>
      <w:r w:rsidR="00DF660C" w:rsidRPr="009514EE">
        <w:t xml:space="preserve">in </w:t>
      </w:r>
      <w:r w:rsidR="001F35E3" w:rsidRPr="009514EE">
        <w:t xml:space="preserve">the </w:t>
      </w:r>
      <w:r w:rsidR="00DF660C" w:rsidRPr="009514EE">
        <w:t xml:space="preserve">concessional </w:t>
      </w:r>
      <w:r w:rsidR="000F2F86" w:rsidRPr="009514EE">
        <w:t>RAV entry</w:t>
      </w:r>
      <w:r w:rsidR="001F35E3" w:rsidRPr="009514EE">
        <w:t xml:space="preserve"> pathway</w:t>
      </w:r>
      <w:bookmarkEnd w:id="41"/>
    </w:p>
    <w:p w14:paraId="6A47A29F" w14:textId="3098CA94" w:rsidR="002E739C" w:rsidRDefault="0000292D" w:rsidP="002E739C">
      <w:r>
        <w:t xml:space="preserve">Approved </w:t>
      </w:r>
      <w:r w:rsidRPr="0000292D">
        <w:t xml:space="preserve">Model Reports, </w:t>
      </w:r>
      <w:r w:rsidR="0054651F">
        <w:t>r</w:t>
      </w:r>
      <w:r w:rsidRPr="0000292D">
        <w:t xml:space="preserve">egistered </w:t>
      </w:r>
      <w:r w:rsidR="0054651F">
        <w:t>a</w:t>
      </w:r>
      <w:r w:rsidRPr="0000292D">
        <w:t xml:space="preserve">utomotive </w:t>
      </w:r>
      <w:r w:rsidR="0054651F">
        <w:t>w</w:t>
      </w:r>
      <w:r w:rsidRPr="0000292D">
        <w:t xml:space="preserve">orkshops (RAWs) and </w:t>
      </w:r>
      <w:r w:rsidR="0054651F">
        <w:t>a</w:t>
      </w:r>
      <w:r w:rsidRPr="0000292D">
        <w:t xml:space="preserve">uthorised </w:t>
      </w:r>
      <w:r w:rsidR="0054651F">
        <w:t>v</w:t>
      </w:r>
      <w:r w:rsidRPr="0000292D">
        <w:t xml:space="preserve">ehicle </w:t>
      </w:r>
      <w:r w:rsidR="0054651F">
        <w:t>v</w:t>
      </w:r>
      <w:r w:rsidRPr="0000292D">
        <w:t xml:space="preserve">erifiers (AVVs) provide a framework to allow for the concessional import, manufacture, or modification of certain road vehicles. This concessional framework involves multiple checks on a </w:t>
      </w:r>
      <w:r w:rsidR="00D24341">
        <w:t>‘</w:t>
      </w:r>
      <w:r w:rsidRPr="0000292D">
        <w:t>vehicle by vehicle</w:t>
      </w:r>
      <w:r w:rsidR="00D24341">
        <w:t>’</w:t>
      </w:r>
      <w:r w:rsidRPr="0000292D">
        <w:t xml:space="preserve"> basis before a vehicle can be added to the </w:t>
      </w:r>
      <w:r w:rsidRPr="002C03BB">
        <w:rPr>
          <w:i/>
        </w:rPr>
        <w:t>Register of Approved Vehicles</w:t>
      </w:r>
      <w:r w:rsidRPr="0000292D">
        <w:t xml:space="preserve"> (RAV) and provided in Australia. </w:t>
      </w:r>
    </w:p>
    <w:p w14:paraId="0E8DD036" w14:textId="24A0A8D5" w:rsidR="00E377CC" w:rsidRDefault="0054651F" w:rsidP="002C03BB">
      <w:pPr>
        <w:pStyle w:val="Bullet1"/>
      </w:pPr>
      <w:r>
        <w:rPr>
          <w:b/>
          <w:lang w:val="en-US"/>
        </w:rPr>
        <w:t xml:space="preserve">An </w:t>
      </w:r>
      <w:r w:rsidR="0035191F">
        <w:rPr>
          <w:b/>
          <w:lang w:val="en-AU"/>
        </w:rPr>
        <w:t>a</w:t>
      </w:r>
      <w:r w:rsidR="00E377CC" w:rsidRPr="002C03BB">
        <w:rPr>
          <w:b/>
        </w:rPr>
        <w:t xml:space="preserve">pproved </w:t>
      </w:r>
      <w:r w:rsidR="0000292D" w:rsidRPr="002C03BB">
        <w:rPr>
          <w:b/>
        </w:rPr>
        <w:t>M</w:t>
      </w:r>
      <w:r w:rsidR="00E377CC" w:rsidRPr="002C03BB">
        <w:rPr>
          <w:b/>
        </w:rPr>
        <w:t xml:space="preserve">odel </w:t>
      </w:r>
      <w:r w:rsidR="0000292D" w:rsidRPr="002C03BB">
        <w:rPr>
          <w:b/>
        </w:rPr>
        <w:t>R</w:t>
      </w:r>
      <w:r w:rsidR="00E377CC" w:rsidRPr="002C03BB">
        <w:rPr>
          <w:b/>
        </w:rPr>
        <w:t>eport</w:t>
      </w:r>
      <w:r w:rsidR="0000292D">
        <w:t xml:space="preserve"> </w:t>
      </w:r>
      <w:r>
        <w:rPr>
          <w:lang w:val="en-US"/>
        </w:rPr>
        <w:t>is a</w:t>
      </w:r>
      <w:r>
        <w:t xml:space="preserve"> </w:t>
      </w:r>
      <w:r w:rsidR="0000292D">
        <w:t>document approved by the department and provide</w:t>
      </w:r>
      <w:r>
        <w:rPr>
          <w:lang w:val="en-US"/>
        </w:rPr>
        <w:t>s</w:t>
      </w:r>
      <w:r w:rsidR="0000292D">
        <w:t xml:space="preserve"> instructions on how to manufacture or modify a relevant vehicle to comply with various requirements to ensure the vehicle is suitable for provision. </w:t>
      </w:r>
    </w:p>
    <w:p w14:paraId="3B7A8DC1" w14:textId="30B7E4A9" w:rsidR="0000292D" w:rsidRDefault="0000292D" w:rsidP="002C03BB">
      <w:pPr>
        <w:pStyle w:val="Bullet1"/>
      </w:pPr>
      <w:r w:rsidRPr="002C03BB">
        <w:rPr>
          <w:b/>
        </w:rPr>
        <w:t>A RAW</w:t>
      </w:r>
      <w:r>
        <w:t xml:space="preserve"> is a </w:t>
      </w:r>
      <w:r w:rsidR="00E377CC">
        <w:t>corporation</w:t>
      </w:r>
      <w:r>
        <w:t xml:space="preserve"> that has been approved by the department to manufacture or modify certain vehicles using an </w:t>
      </w:r>
      <w:r w:rsidR="001820E6">
        <w:rPr>
          <w:lang w:val="en-US"/>
        </w:rPr>
        <w:t>a</w:t>
      </w:r>
      <w:r>
        <w:t>pproved M</w:t>
      </w:r>
      <w:r w:rsidR="00E377CC">
        <w:t xml:space="preserve">odel </w:t>
      </w:r>
      <w:r>
        <w:t>R</w:t>
      </w:r>
      <w:r w:rsidR="00E377CC">
        <w:t>eport</w:t>
      </w:r>
      <w:r>
        <w:t>.</w:t>
      </w:r>
    </w:p>
    <w:p w14:paraId="704ABEBE" w14:textId="0EAB5EBF" w:rsidR="0000292D" w:rsidRDefault="0000292D" w:rsidP="002C03BB">
      <w:pPr>
        <w:pStyle w:val="Bullet1"/>
      </w:pPr>
      <w:r w:rsidRPr="002C03BB">
        <w:rPr>
          <w:b/>
        </w:rPr>
        <w:t>An AVV</w:t>
      </w:r>
      <w:r>
        <w:t xml:space="preserve"> is a </w:t>
      </w:r>
      <w:r w:rsidR="00E377CC">
        <w:t>corporation</w:t>
      </w:r>
      <w:r>
        <w:t xml:space="preserve"> that provides verification services </w:t>
      </w:r>
      <w:r w:rsidR="001820E6">
        <w:rPr>
          <w:lang w:val="en-US"/>
        </w:rPr>
        <w:t>for</w:t>
      </w:r>
      <w:r>
        <w:t xml:space="preserve"> vehicles that have been manufactured </w:t>
      </w:r>
      <w:r w:rsidR="001820E6">
        <w:rPr>
          <w:lang w:val="en-US"/>
        </w:rPr>
        <w:t>or</w:t>
      </w:r>
      <w:r>
        <w:t xml:space="preserve"> modified </w:t>
      </w:r>
      <w:r w:rsidR="001820E6">
        <w:rPr>
          <w:lang w:val="en-US"/>
        </w:rPr>
        <w:t xml:space="preserve">by a RAW </w:t>
      </w:r>
      <w:r>
        <w:t>in accordance with the approved M</w:t>
      </w:r>
      <w:r w:rsidR="00E377CC">
        <w:t xml:space="preserve">odel </w:t>
      </w:r>
      <w:r>
        <w:t>R</w:t>
      </w:r>
      <w:r w:rsidR="00E377CC">
        <w:t>eport</w:t>
      </w:r>
      <w:r w:rsidR="001820E6">
        <w:rPr>
          <w:lang w:val="en-US"/>
        </w:rPr>
        <w:t xml:space="preserve">. Vehicles that </w:t>
      </w:r>
      <w:r>
        <w:t>are suitable</w:t>
      </w:r>
      <w:r w:rsidR="001820E6">
        <w:rPr>
          <w:lang w:val="en-US"/>
        </w:rPr>
        <w:t xml:space="preserve"> are </w:t>
      </w:r>
      <w:r>
        <w:t xml:space="preserve">added to the RAV </w:t>
      </w:r>
      <w:r w:rsidR="001820E6">
        <w:rPr>
          <w:lang w:val="en-US"/>
        </w:rPr>
        <w:t>by the AVV</w:t>
      </w:r>
      <w:r>
        <w:t>.</w:t>
      </w:r>
    </w:p>
    <w:p w14:paraId="1CDD49EC" w14:textId="073C9B22" w:rsidR="00E377CC" w:rsidRDefault="00E377CC" w:rsidP="00E377CC">
      <w:r>
        <w:t xml:space="preserve">Together </w:t>
      </w:r>
      <w:r w:rsidR="001820E6">
        <w:t>a</w:t>
      </w:r>
      <w:r>
        <w:t>pproved Model Reports, RAWs and AVVs provide a new regulated pathway under the RVS legislation to allow for the provision of certain concessional vehicles in Australia. The regulation of all</w:t>
      </w:r>
      <w:r w:rsidR="0054651F">
        <w:t> </w:t>
      </w:r>
      <w:r>
        <w:t>3</w:t>
      </w:r>
      <w:r w:rsidR="000349B6">
        <w:t xml:space="preserve"> separately</w:t>
      </w:r>
      <w:r>
        <w:t xml:space="preserve"> provides increased regulatory certainty, when compared to the regulation pathways provided under the </w:t>
      </w:r>
      <w:r w:rsidR="0054651F">
        <w:t xml:space="preserve">previous </w:t>
      </w:r>
      <w:r>
        <w:t>M</w:t>
      </w:r>
      <w:r w:rsidR="0054651F">
        <w:t xml:space="preserve">otor </w:t>
      </w:r>
      <w:r w:rsidR="00BC2862">
        <w:t>Vehicle</w:t>
      </w:r>
      <w:r w:rsidR="0054651F">
        <w:t xml:space="preserve"> </w:t>
      </w:r>
      <w:r>
        <w:t>S</w:t>
      </w:r>
      <w:r w:rsidR="0054651F">
        <w:t>tandards legislation</w:t>
      </w:r>
      <w:r>
        <w:t>.</w:t>
      </w:r>
    </w:p>
    <w:p w14:paraId="501F08FB" w14:textId="5849C217" w:rsidR="00E377CC" w:rsidRDefault="00E377CC" w:rsidP="002C03BB">
      <w:r>
        <w:t xml:space="preserve">As this is a new regulatory pathway, involving </w:t>
      </w:r>
      <w:r w:rsidR="00A373E9">
        <w:t>the</w:t>
      </w:r>
      <w:r>
        <w:t xml:space="preserve"> interaction of multiple approval holders, it is </w:t>
      </w:r>
      <w:r w:rsidR="000349B6">
        <w:t>an</w:t>
      </w:r>
      <w:r>
        <w:t xml:space="preserve"> area of significant focus </w:t>
      </w:r>
      <w:r w:rsidR="0054651F">
        <w:t xml:space="preserve">in </w:t>
      </w:r>
      <w:r>
        <w:t xml:space="preserve">this strategy. In addition to focusing on each approval type </w:t>
      </w:r>
      <w:r w:rsidR="00A373E9">
        <w:t>separately</w:t>
      </w:r>
      <w:r>
        <w:t xml:space="preserve"> (see </w:t>
      </w:r>
      <w:r w:rsidR="0054651F">
        <w:t>Approved Model Reports, Registered automotive workshops, Authorised vehicle verifiers</w:t>
      </w:r>
      <w:r>
        <w:t>)</w:t>
      </w:r>
      <w:r w:rsidR="003D6A50">
        <w:t>,</w:t>
      </w:r>
      <w:r>
        <w:t xml:space="preserve"> we will also focus on </w:t>
      </w:r>
      <w:r w:rsidR="003D6A50">
        <w:t xml:space="preserve">developing </w:t>
      </w:r>
      <w:r w:rsidR="00A373E9">
        <w:rPr>
          <w:lang w:val="en-US"/>
        </w:rPr>
        <w:t>intelligence</w:t>
      </w:r>
      <w:r>
        <w:rPr>
          <w:lang w:val="en-US"/>
        </w:rPr>
        <w:t xml:space="preserve"> products and </w:t>
      </w:r>
      <w:r w:rsidR="0054651F">
        <w:rPr>
          <w:lang w:val="en-US"/>
        </w:rPr>
        <w:t xml:space="preserve">undertaking </w:t>
      </w:r>
      <w:r>
        <w:rPr>
          <w:lang w:val="en-US"/>
        </w:rPr>
        <w:t xml:space="preserve">targeted monitoring to identify any inappropriate or unacceptable connections between </w:t>
      </w:r>
      <w:r w:rsidR="001820E6">
        <w:rPr>
          <w:lang w:val="en-US"/>
        </w:rPr>
        <w:t>a</w:t>
      </w:r>
      <w:r>
        <w:rPr>
          <w:lang w:val="en-US"/>
        </w:rPr>
        <w:t>pproved Model Report authors, RAW</w:t>
      </w:r>
      <w:r w:rsidR="0054651F">
        <w:rPr>
          <w:lang w:val="en-US"/>
        </w:rPr>
        <w:t>s</w:t>
      </w:r>
      <w:r>
        <w:rPr>
          <w:lang w:val="en-US"/>
        </w:rPr>
        <w:t xml:space="preserve"> and AVVs. This may include, but is not limited to, collusion or other </w:t>
      </w:r>
      <w:r w:rsidR="003D6A50">
        <w:rPr>
          <w:lang w:val="en-US"/>
        </w:rPr>
        <w:t>behaviours that may</w:t>
      </w:r>
      <w:r>
        <w:rPr>
          <w:lang w:val="en-US"/>
        </w:rPr>
        <w:t xml:space="preserve"> undermine the intent of RVS legislation or when one </w:t>
      </w:r>
      <w:r w:rsidR="003D6A50">
        <w:rPr>
          <w:lang w:val="en-US"/>
        </w:rPr>
        <w:t>participant</w:t>
      </w:r>
      <w:r>
        <w:rPr>
          <w:lang w:val="en-US"/>
        </w:rPr>
        <w:t xml:space="preserve"> is </w:t>
      </w:r>
      <w:r w:rsidR="00EE16F5">
        <w:rPr>
          <w:lang w:val="en-US"/>
        </w:rPr>
        <w:t xml:space="preserve">assisting or facilitating </w:t>
      </w:r>
      <w:r>
        <w:rPr>
          <w:lang w:val="en-US"/>
        </w:rPr>
        <w:t xml:space="preserve">another </w:t>
      </w:r>
      <w:r w:rsidR="00F029CE">
        <w:rPr>
          <w:lang w:val="en-US"/>
        </w:rPr>
        <w:t>participant in the pathway</w:t>
      </w:r>
      <w:r>
        <w:rPr>
          <w:lang w:val="en-US"/>
        </w:rPr>
        <w:t xml:space="preserve"> to contravene their conditions of approval. </w:t>
      </w:r>
    </w:p>
    <w:p w14:paraId="6921680E" w14:textId="3EEECD52" w:rsidR="00DF660C" w:rsidRPr="00646AB6" w:rsidRDefault="00382D18" w:rsidP="00C066D4">
      <w:pPr>
        <w:pStyle w:val="Heading4"/>
      </w:pPr>
      <w:r>
        <w:t xml:space="preserve">Approved </w:t>
      </w:r>
      <w:r w:rsidR="00DF660C">
        <w:t>Model Report</w:t>
      </w:r>
      <w:r w:rsidR="00646AB6">
        <w:t>s</w:t>
      </w:r>
    </w:p>
    <w:p w14:paraId="4A863899" w14:textId="12CB3B65" w:rsidR="00646AB6" w:rsidRDefault="00884E29" w:rsidP="00C066D4">
      <w:pPr>
        <w:rPr>
          <w:lang w:val="en-US"/>
        </w:rPr>
      </w:pPr>
      <w:r>
        <w:rPr>
          <w:lang w:val="en-US"/>
        </w:rPr>
        <w:t xml:space="preserve">Approved </w:t>
      </w:r>
      <w:r w:rsidR="00CE048F" w:rsidRPr="00646AB6">
        <w:rPr>
          <w:lang w:val="en-US"/>
        </w:rPr>
        <w:t xml:space="preserve">Model Reports are a key support tool for entering road vehicles onto the RAV. Model Reports guide the modification, manufacture and verification of certain types of road vehicles so they may be entered onto the RAV. </w:t>
      </w:r>
      <w:r>
        <w:rPr>
          <w:lang w:val="en-US"/>
        </w:rPr>
        <w:t xml:space="preserve">Approved </w:t>
      </w:r>
      <w:r w:rsidR="00CE048F" w:rsidRPr="00646AB6">
        <w:rPr>
          <w:lang w:val="en-US"/>
        </w:rPr>
        <w:t xml:space="preserve">Model Reports set out how a road vehicle model, or one or more of its variants, </w:t>
      </w:r>
      <w:r w:rsidR="000D7EE4">
        <w:rPr>
          <w:lang w:val="en-US"/>
        </w:rPr>
        <w:t>must</w:t>
      </w:r>
      <w:r w:rsidR="000D7EE4" w:rsidRPr="00646AB6">
        <w:rPr>
          <w:lang w:val="en-US"/>
        </w:rPr>
        <w:t xml:space="preserve"> </w:t>
      </w:r>
      <w:r w:rsidR="00CE048F" w:rsidRPr="00646AB6">
        <w:rPr>
          <w:lang w:val="en-US"/>
        </w:rPr>
        <w:t xml:space="preserve">be manufactured or modified to meet applicable standards, including: </w:t>
      </w:r>
    </w:p>
    <w:p w14:paraId="5888D942" w14:textId="3F229BD6" w:rsidR="004F506A" w:rsidRDefault="00CF6F98" w:rsidP="00C066D4">
      <w:pPr>
        <w:pStyle w:val="Bullet1"/>
      </w:pPr>
      <w:r w:rsidRPr="004F506A">
        <w:t>national road vehicle standards</w:t>
      </w:r>
      <w:r>
        <w:rPr>
          <w:lang w:val="en-US"/>
        </w:rPr>
        <w:t>,</w:t>
      </w:r>
      <w:r w:rsidRPr="00CF6F98">
        <w:rPr>
          <w:lang w:val="en-US"/>
        </w:rPr>
        <w:t xml:space="preserve"> such as </w:t>
      </w:r>
      <w:r w:rsidR="00CE048F" w:rsidRPr="004F506A">
        <w:t>Australian Design Rules (ADRs)</w:t>
      </w:r>
      <w:r w:rsidR="003D6A50">
        <w:rPr>
          <w:lang w:val="en-AU"/>
        </w:rPr>
        <w:t>;</w:t>
      </w:r>
      <w:r w:rsidR="00CE048F" w:rsidRPr="004F506A">
        <w:t xml:space="preserve"> </w:t>
      </w:r>
    </w:p>
    <w:p w14:paraId="335032AA" w14:textId="48044FC2" w:rsidR="004F506A" w:rsidRDefault="00CE048F" w:rsidP="00C066D4">
      <w:pPr>
        <w:pStyle w:val="Bullet1"/>
      </w:pPr>
      <w:r w:rsidRPr="004F506A">
        <w:t xml:space="preserve">standards set out in the </w:t>
      </w:r>
      <w:r w:rsidRPr="004F506A">
        <w:rPr>
          <w:i/>
        </w:rPr>
        <w:t>Road Vehicle Standards (Model Reports) Determination 2021</w:t>
      </w:r>
      <w:r w:rsidR="003D6A50">
        <w:rPr>
          <w:i/>
          <w:lang w:val="en-AU"/>
        </w:rPr>
        <w:t>.</w:t>
      </w:r>
    </w:p>
    <w:p w14:paraId="40995BB1" w14:textId="0464360B" w:rsidR="00646AB6" w:rsidRDefault="00884E29" w:rsidP="00C066D4">
      <w:pPr>
        <w:rPr>
          <w:lang w:val="en-US"/>
        </w:rPr>
      </w:pPr>
      <w:r>
        <w:rPr>
          <w:lang w:val="en-US"/>
        </w:rPr>
        <w:t xml:space="preserve">Approved </w:t>
      </w:r>
      <w:r w:rsidR="00646AB6" w:rsidRPr="00646AB6">
        <w:rPr>
          <w:lang w:val="en-US"/>
        </w:rPr>
        <w:t xml:space="preserve">Model Reports are structured so entities that modify and manufacture </w:t>
      </w:r>
      <w:r w:rsidR="003D6A50">
        <w:rPr>
          <w:lang w:val="en-US"/>
        </w:rPr>
        <w:t xml:space="preserve">relevant </w:t>
      </w:r>
      <w:r w:rsidR="00646AB6" w:rsidRPr="00646AB6">
        <w:rPr>
          <w:lang w:val="en-US"/>
        </w:rPr>
        <w:t>road vehicles</w:t>
      </w:r>
      <w:r w:rsidR="003D6A50">
        <w:rPr>
          <w:lang w:val="en-US"/>
        </w:rPr>
        <w:t xml:space="preserve"> (i.e. RAWs),</w:t>
      </w:r>
      <w:r w:rsidR="00646AB6" w:rsidRPr="00646AB6">
        <w:rPr>
          <w:lang w:val="en-US"/>
        </w:rPr>
        <w:t xml:space="preserve"> work with the same information as </w:t>
      </w:r>
      <w:r w:rsidR="003D6A50">
        <w:rPr>
          <w:lang w:val="en-US"/>
        </w:rPr>
        <w:t xml:space="preserve">the </w:t>
      </w:r>
      <w:r w:rsidR="0033238B">
        <w:rPr>
          <w:lang w:val="en-US"/>
        </w:rPr>
        <w:t>AVV</w:t>
      </w:r>
      <w:r w:rsidR="00646AB6" w:rsidRPr="00646AB6">
        <w:rPr>
          <w:lang w:val="en-US"/>
        </w:rPr>
        <w:t xml:space="preserve">. </w:t>
      </w:r>
    </w:p>
    <w:p w14:paraId="27EB8142" w14:textId="20A7CE24" w:rsidR="00646AB6" w:rsidRDefault="00646AB6" w:rsidP="00C066D4">
      <w:pPr>
        <w:rPr>
          <w:lang w:val="en-US"/>
        </w:rPr>
      </w:pPr>
      <w:r w:rsidRPr="00646AB6">
        <w:rPr>
          <w:lang w:val="en-US"/>
        </w:rPr>
        <w:t xml:space="preserve">The </w:t>
      </w:r>
      <w:r w:rsidRPr="00C066D4">
        <w:rPr>
          <w:i/>
          <w:lang w:val="en-US"/>
        </w:rPr>
        <w:t>Road Vehicle Standards (Model Reports) Determination 2021</w:t>
      </w:r>
      <w:r w:rsidRPr="00646AB6">
        <w:rPr>
          <w:lang w:val="en-US"/>
        </w:rPr>
        <w:t xml:space="preserve"> provides that Model Reports must contain: </w:t>
      </w:r>
    </w:p>
    <w:p w14:paraId="4EF09267" w14:textId="77777777" w:rsidR="004F506A" w:rsidRDefault="00646AB6" w:rsidP="00C066D4">
      <w:pPr>
        <w:pStyle w:val="Bullet1"/>
      </w:pPr>
      <w:r w:rsidRPr="004F506A">
        <w:rPr>
          <w:b/>
        </w:rPr>
        <w:t>Vehicle Scope</w:t>
      </w:r>
      <w:r w:rsidRPr="004F506A">
        <w:t xml:space="preserve"> – identifies the road vehicle and variant(s) a Model Report covers. It must contain detailed information applying to the specific Model Report type. </w:t>
      </w:r>
    </w:p>
    <w:p w14:paraId="3D14F014" w14:textId="00ECC838" w:rsidR="004F506A" w:rsidRDefault="00646AB6" w:rsidP="00C066D4">
      <w:pPr>
        <w:pStyle w:val="Bullet1"/>
      </w:pPr>
      <w:r w:rsidRPr="004F506A">
        <w:rPr>
          <w:b/>
        </w:rPr>
        <w:t>Work Instructions</w:t>
      </w:r>
      <w:r w:rsidRPr="004F506A">
        <w:t xml:space="preserve"> – provide information and the detailed steps and checks a RAW or high ATM trailer </w:t>
      </w:r>
      <w:r w:rsidR="0054651F">
        <w:rPr>
          <w:lang w:val="en-US"/>
        </w:rPr>
        <w:t xml:space="preserve">(a trailer with an aggregate trailer mass of more than 4.5 tonnes) </w:t>
      </w:r>
      <w:r w:rsidRPr="004F506A">
        <w:t xml:space="preserve">manufacturer must undertake when manufacturing or modifying a road vehicle covered by the Model Report. The Work Instructions provide detailed and ordered instructions to ensure each road vehicle or variant manufactured or modified in accordance with the Model Report complies with the same applicable standards used to approve the Model Report. </w:t>
      </w:r>
    </w:p>
    <w:p w14:paraId="21B93DF1" w14:textId="4D0467F5" w:rsidR="00646AB6" w:rsidRPr="004F506A" w:rsidRDefault="00646AB6" w:rsidP="00C066D4">
      <w:pPr>
        <w:pStyle w:val="Bullet1"/>
      </w:pPr>
      <w:r w:rsidRPr="004F506A">
        <w:rPr>
          <w:b/>
        </w:rPr>
        <w:t>Verification Checklist (excluding Model Reports for high ATM trailers)</w:t>
      </w:r>
      <w:r w:rsidRPr="004F506A">
        <w:t xml:space="preserve"> – provides the detailed steps and order of checks an AVV must complete when inspecting and verifying a road vehicle manufactured or modified in accordance with a Model Report. An AVV will only enter a road vehicle’s details onto the RAV once it is verified using the </w:t>
      </w:r>
      <w:r w:rsidRPr="00A277D2">
        <w:rPr>
          <w:i/>
        </w:rPr>
        <w:t>Verification Checklist</w:t>
      </w:r>
      <w:r w:rsidRPr="004F506A">
        <w:t xml:space="preserve"> and a verification report is completed</w:t>
      </w:r>
      <w:r>
        <w:t>.</w:t>
      </w:r>
    </w:p>
    <w:p w14:paraId="5D149A1B" w14:textId="609BF020" w:rsidR="00646AB6" w:rsidRDefault="00884E29" w:rsidP="00CF6F98">
      <w:pPr>
        <w:rPr>
          <w:lang w:val="en-US"/>
        </w:rPr>
      </w:pPr>
      <w:r>
        <w:rPr>
          <w:lang w:val="en-US"/>
        </w:rPr>
        <w:t xml:space="preserve">Approved </w:t>
      </w:r>
      <w:r w:rsidR="00646AB6">
        <w:rPr>
          <w:lang w:val="en-US"/>
        </w:rPr>
        <w:t>Model Reports are a new an</w:t>
      </w:r>
      <w:r w:rsidR="00582E3D">
        <w:rPr>
          <w:lang w:val="en-US"/>
        </w:rPr>
        <w:t>d</w:t>
      </w:r>
      <w:r w:rsidR="00646AB6">
        <w:rPr>
          <w:lang w:val="en-US"/>
        </w:rPr>
        <w:t xml:space="preserve"> important regulatory </w:t>
      </w:r>
      <w:r w:rsidR="002E739C">
        <w:rPr>
          <w:lang w:val="en-US"/>
        </w:rPr>
        <w:t xml:space="preserve">tool </w:t>
      </w:r>
      <w:r w:rsidR="00646AB6">
        <w:rPr>
          <w:lang w:val="en-US"/>
        </w:rPr>
        <w:t xml:space="preserve">under the RVS legislation and </w:t>
      </w:r>
      <w:r w:rsidR="00E64CAC">
        <w:rPr>
          <w:lang w:val="en-US"/>
        </w:rPr>
        <w:t xml:space="preserve">amongst other things </w:t>
      </w:r>
      <w:r>
        <w:rPr>
          <w:lang w:val="en-US"/>
        </w:rPr>
        <w:t xml:space="preserve">are </w:t>
      </w:r>
      <w:r w:rsidR="00C32EA3">
        <w:rPr>
          <w:lang w:val="en-US"/>
        </w:rPr>
        <w:t>integral</w:t>
      </w:r>
      <w:r w:rsidR="00646AB6">
        <w:rPr>
          <w:lang w:val="en-US"/>
        </w:rPr>
        <w:t xml:space="preserve"> </w:t>
      </w:r>
      <w:r>
        <w:rPr>
          <w:lang w:val="en-US"/>
        </w:rPr>
        <w:t>for</w:t>
      </w:r>
      <w:r w:rsidR="002E739C">
        <w:rPr>
          <w:lang w:val="en-US"/>
        </w:rPr>
        <w:t xml:space="preserve"> some</w:t>
      </w:r>
      <w:r w:rsidR="00646AB6">
        <w:rPr>
          <w:lang w:val="en-US"/>
        </w:rPr>
        <w:t xml:space="preserve"> concessional RAV entr</w:t>
      </w:r>
      <w:r w:rsidR="002E739C">
        <w:rPr>
          <w:lang w:val="en-US"/>
        </w:rPr>
        <w:t>ies</w:t>
      </w:r>
      <w:r w:rsidR="00646AB6">
        <w:rPr>
          <w:lang w:val="en-US"/>
        </w:rPr>
        <w:t>. A</w:t>
      </w:r>
      <w:r>
        <w:rPr>
          <w:lang w:val="en-US"/>
        </w:rPr>
        <w:t xml:space="preserve">n </w:t>
      </w:r>
      <w:r w:rsidR="001820E6">
        <w:rPr>
          <w:lang w:val="en-US"/>
        </w:rPr>
        <w:t>a</w:t>
      </w:r>
      <w:r>
        <w:rPr>
          <w:lang w:val="en-US"/>
        </w:rPr>
        <w:t>pproved</w:t>
      </w:r>
      <w:r w:rsidR="00646AB6">
        <w:rPr>
          <w:lang w:val="en-US"/>
        </w:rPr>
        <w:t xml:space="preserve"> Model Report is </w:t>
      </w:r>
      <w:r>
        <w:rPr>
          <w:lang w:val="en-US"/>
        </w:rPr>
        <w:t>a</w:t>
      </w:r>
      <w:r w:rsidR="00646AB6">
        <w:rPr>
          <w:lang w:val="en-US"/>
        </w:rPr>
        <w:t xml:space="preserve"> primary document </w:t>
      </w:r>
      <w:r w:rsidR="00582E3D">
        <w:rPr>
          <w:lang w:val="en-US"/>
        </w:rPr>
        <w:t xml:space="preserve">used by </w:t>
      </w:r>
      <w:r w:rsidR="00F9686B">
        <w:rPr>
          <w:lang w:val="en-US"/>
        </w:rPr>
        <w:t>a</w:t>
      </w:r>
      <w:r w:rsidR="00646AB6">
        <w:rPr>
          <w:lang w:val="en-US"/>
        </w:rPr>
        <w:t xml:space="preserve"> RAW for </w:t>
      </w:r>
      <w:r w:rsidR="00E64CAC">
        <w:rPr>
          <w:lang w:val="en-US"/>
        </w:rPr>
        <w:t>the</w:t>
      </w:r>
      <w:r w:rsidR="002E739C">
        <w:rPr>
          <w:lang w:val="en-US"/>
        </w:rPr>
        <w:t xml:space="preserve"> manufacture or</w:t>
      </w:r>
      <w:r w:rsidR="00E64CAC">
        <w:rPr>
          <w:lang w:val="en-US"/>
        </w:rPr>
        <w:t xml:space="preserve"> </w:t>
      </w:r>
      <w:r w:rsidR="00646AB6">
        <w:rPr>
          <w:lang w:val="en-US"/>
        </w:rPr>
        <w:t xml:space="preserve">modification of </w:t>
      </w:r>
      <w:r w:rsidR="00E64CAC">
        <w:rPr>
          <w:lang w:val="en-US"/>
        </w:rPr>
        <w:t xml:space="preserve">relevant </w:t>
      </w:r>
      <w:r w:rsidR="00646AB6">
        <w:rPr>
          <w:lang w:val="en-US"/>
        </w:rPr>
        <w:t xml:space="preserve">road vehicles and </w:t>
      </w:r>
      <w:r w:rsidR="000C0A47">
        <w:rPr>
          <w:lang w:val="en-US"/>
        </w:rPr>
        <w:t>is also used by</w:t>
      </w:r>
      <w:r w:rsidR="00E64CAC">
        <w:rPr>
          <w:lang w:val="en-US"/>
        </w:rPr>
        <w:t xml:space="preserve"> </w:t>
      </w:r>
      <w:r w:rsidR="00646AB6">
        <w:rPr>
          <w:lang w:val="en-US"/>
        </w:rPr>
        <w:t xml:space="preserve">an AVV to </w:t>
      </w:r>
      <w:r w:rsidR="00E64CAC">
        <w:rPr>
          <w:lang w:val="en-US"/>
        </w:rPr>
        <w:t xml:space="preserve">subsequently and </w:t>
      </w:r>
      <w:r>
        <w:rPr>
          <w:lang w:val="en-US"/>
        </w:rPr>
        <w:t xml:space="preserve">appropriately </w:t>
      </w:r>
      <w:r w:rsidR="00646AB6">
        <w:rPr>
          <w:lang w:val="en-US"/>
        </w:rPr>
        <w:t>verify a</w:t>
      </w:r>
      <w:r w:rsidR="00E64CAC">
        <w:rPr>
          <w:lang w:val="en-US"/>
        </w:rPr>
        <w:t xml:space="preserve"> </w:t>
      </w:r>
      <w:r w:rsidR="00646AB6">
        <w:rPr>
          <w:lang w:val="en-US"/>
        </w:rPr>
        <w:t>road vehicle</w:t>
      </w:r>
      <w:r w:rsidR="002E739C">
        <w:rPr>
          <w:lang w:val="en-US"/>
        </w:rPr>
        <w:t xml:space="preserve"> before </w:t>
      </w:r>
      <w:r w:rsidR="00F029CE">
        <w:rPr>
          <w:lang w:val="en-US"/>
        </w:rPr>
        <w:t>adding</w:t>
      </w:r>
      <w:r w:rsidR="002E739C">
        <w:rPr>
          <w:lang w:val="en-US"/>
        </w:rPr>
        <w:t xml:space="preserve"> it to the RAV</w:t>
      </w:r>
      <w:r w:rsidR="00646AB6">
        <w:rPr>
          <w:lang w:val="en-US"/>
        </w:rPr>
        <w:t xml:space="preserve">. </w:t>
      </w:r>
    </w:p>
    <w:p w14:paraId="7A68D82B" w14:textId="5957EC8A" w:rsidR="00646AB6" w:rsidRDefault="00646AB6" w:rsidP="00C066D4">
      <w:pPr>
        <w:keepNext/>
        <w:rPr>
          <w:lang w:val="en-US"/>
        </w:rPr>
      </w:pPr>
      <w:bookmarkStart w:id="42" w:name="_Hlk132726357"/>
      <w:r>
        <w:rPr>
          <w:lang w:val="en-US"/>
        </w:rPr>
        <w:t xml:space="preserve">Our focus on </w:t>
      </w:r>
      <w:r w:rsidR="001820E6">
        <w:rPr>
          <w:lang w:val="en-US"/>
        </w:rPr>
        <w:t>a</w:t>
      </w:r>
      <w:r w:rsidR="00884E29">
        <w:rPr>
          <w:lang w:val="en-US"/>
        </w:rPr>
        <w:t xml:space="preserve">pproved </w:t>
      </w:r>
      <w:r>
        <w:rPr>
          <w:lang w:val="en-US"/>
        </w:rPr>
        <w:t>Model Reports will include (but not</w:t>
      </w:r>
      <w:r w:rsidR="00DD5A00">
        <w:rPr>
          <w:lang w:val="en-US"/>
        </w:rPr>
        <w:t xml:space="preserve"> be</w:t>
      </w:r>
      <w:r>
        <w:rPr>
          <w:lang w:val="en-US"/>
        </w:rPr>
        <w:t xml:space="preserve"> limited too):</w:t>
      </w:r>
    </w:p>
    <w:p w14:paraId="7733B5DD" w14:textId="17E468A2" w:rsidR="009E0D1F" w:rsidRDefault="009E0D1F" w:rsidP="009514EE">
      <w:pPr>
        <w:pStyle w:val="Bullet1"/>
      </w:pPr>
      <w:r>
        <w:rPr>
          <w:lang w:val="en-US"/>
        </w:rPr>
        <w:t xml:space="preserve">approved </w:t>
      </w:r>
      <w:r w:rsidR="00F9580D">
        <w:rPr>
          <w:lang w:val="en-US"/>
        </w:rPr>
        <w:t>M</w:t>
      </w:r>
      <w:r>
        <w:rPr>
          <w:lang w:val="en-US"/>
        </w:rPr>
        <w:t xml:space="preserve">odel </w:t>
      </w:r>
      <w:r w:rsidR="00F9580D">
        <w:rPr>
          <w:lang w:val="en-US"/>
        </w:rPr>
        <w:t>R</w:t>
      </w:r>
      <w:r>
        <w:rPr>
          <w:lang w:val="en-US"/>
        </w:rPr>
        <w:t>eports for used imported road motor vehicles;</w:t>
      </w:r>
    </w:p>
    <w:p w14:paraId="2339EC13" w14:textId="73CF937F" w:rsidR="00646AB6" w:rsidRPr="00C066D4" w:rsidRDefault="00646AB6" w:rsidP="009514EE">
      <w:pPr>
        <w:pStyle w:val="Bullet1"/>
      </w:pPr>
      <w:r w:rsidRPr="00C066D4">
        <w:t xml:space="preserve">targeted desktop compliance monitoring activities to confirm that </w:t>
      </w:r>
      <w:r w:rsidR="00884E29" w:rsidRPr="00C066D4">
        <w:t xml:space="preserve">holders of </w:t>
      </w:r>
      <w:r w:rsidR="002C2B7B">
        <w:rPr>
          <w:lang w:val="en-US"/>
        </w:rPr>
        <w:t>a</w:t>
      </w:r>
      <w:r w:rsidR="002E739C">
        <w:rPr>
          <w:lang w:val="en-US"/>
        </w:rPr>
        <w:t xml:space="preserve">pproved </w:t>
      </w:r>
      <w:r w:rsidR="00884E29" w:rsidRPr="00C066D4">
        <w:t xml:space="preserve">Model Reports are </w:t>
      </w:r>
      <w:r w:rsidRPr="00C066D4">
        <w:t>complying with the conditions of their approval</w:t>
      </w:r>
      <w:r w:rsidR="00A277D2">
        <w:rPr>
          <w:lang w:val="en-AU"/>
        </w:rPr>
        <w:t>;</w:t>
      </w:r>
    </w:p>
    <w:p w14:paraId="730A12F0" w14:textId="5E9F8482" w:rsidR="00884E29" w:rsidRPr="00901943" w:rsidRDefault="007026CA" w:rsidP="009514EE">
      <w:pPr>
        <w:pStyle w:val="Bullet1"/>
      </w:pPr>
      <w:r>
        <w:rPr>
          <w:lang w:val="en-AU"/>
        </w:rPr>
        <w:t xml:space="preserve">give </w:t>
      </w:r>
      <w:r w:rsidR="00646AB6" w:rsidRPr="00C066D4">
        <w:t xml:space="preserve">increased priority </w:t>
      </w:r>
      <w:r>
        <w:rPr>
          <w:lang w:val="en-AU"/>
        </w:rPr>
        <w:t>to</w:t>
      </w:r>
      <w:r w:rsidR="00F029CE">
        <w:rPr>
          <w:lang w:val="en-AU"/>
        </w:rPr>
        <w:t xml:space="preserve"> the consideration</w:t>
      </w:r>
      <w:r w:rsidR="00F029CE">
        <w:rPr>
          <w:lang w:val="en-US"/>
        </w:rPr>
        <w:t xml:space="preserve"> </w:t>
      </w:r>
      <w:r w:rsidR="00F029CE">
        <w:rPr>
          <w:lang w:val="en-AU"/>
        </w:rPr>
        <w:t xml:space="preserve">of any received </w:t>
      </w:r>
      <w:r w:rsidR="00646AB6" w:rsidRPr="00C066D4">
        <w:t xml:space="preserve">reports </w:t>
      </w:r>
      <w:r w:rsidR="00B54E32">
        <w:rPr>
          <w:lang w:val="en-AU"/>
        </w:rPr>
        <w:t>of</w:t>
      </w:r>
      <w:r w:rsidR="00F029CE">
        <w:rPr>
          <w:lang w:val="en-AU"/>
        </w:rPr>
        <w:t xml:space="preserve"> </w:t>
      </w:r>
      <w:r w:rsidR="00646AB6" w:rsidRPr="00C066D4">
        <w:t xml:space="preserve">alleged non-compliance </w:t>
      </w:r>
      <w:r w:rsidR="00B54E32">
        <w:rPr>
          <w:lang w:val="en-AU"/>
        </w:rPr>
        <w:t>by</w:t>
      </w:r>
      <w:r w:rsidR="00646AB6" w:rsidRPr="00C066D4">
        <w:t xml:space="preserve"> </w:t>
      </w:r>
      <w:r w:rsidR="00884E29" w:rsidRPr="00C066D4">
        <w:t>Model Report</w:t>
      </w:r>
      <w:r w:rsidR="00B54E32">
        <w:rPr>
          <w:lang w:val="en-AU"/>
        </w:rPr>
        <w:t xml:space="preserve"> </w:t>
      </w:r>
      <w:r w:rsidR="002C2B7B">
        <w:rPr>
          <w:lang w:val="en-AU"/>
        </w:rPr>
        <w:t xml:space="preserve">approval </w:t>
      </w:r>
      <w:r w:rsidR="00B54E32">
        <w:rPr>
          <w:lang w:val="en-AU"/>
        </w:rPr>
        <w:t>holders.</w:t>
      </w:r>
    </w:p>
    <w:bookmarkEnd w:id="42"/>
    <w:p w14:paraId="1D4AFCAB" w14:textId="061799A7" w:rsidR="00DF660C" w:rsidRPr="00DF660C" w:rsidRDefault="00DF660C" w:rsidP="00C066D4">
      <w:pPr>
        <w:pStyle w:val="Heading4"/>
      </w:pPr>
      <w:r>
        <w:t xml:space="preserve">Registered </w:t>
      </w:r>
      <w:r w:rsidR="002C2B7B">
        <w:t>a</w:t>
      </w:r>
      <w:r>
        <w:t xml:space="preserve">utomotive </w:t>
      </w:r>
      <w:r w:rsidR="002C2B7B">
        <w:t>w</w:t>
      </w:r>
      <w:r>
        <w:t>orkshops (RAWs)</w:t>
      </w:r>
    </w:p>
    <w:p w14:paraId="62572FA7" w14:textId="526E4481" w:rsidR="00E64CAC" w:rsidRPr="00713954" w:rsidRDefault="00E64CAC" w:rsidP="00C066D4">
      <w:pPr>
        <w:rPr>
          <w:lang w:val="en-US"/>
        </w:rPr>
      </w:pPr>
      <w:r w:rsidRPr="00713954">
        <w:rPr>
          <w:lang w:val="en-US"/>
        </w:rPr>
        <w:t xml:space="preserve">A </w:t>
      </w:r>
      <w:r w:rsidR="00890177">
        <w:rPr>
          <w:lang w:val="en-US"/>
        </w:rPr>
        <w:t>RAW</w:t>
      </w:r>
      <w:r w:rsidRPr="00713954">
        <w:rPr>
          <w:lang w:val="en-US"/>
        </w:rPr>
        <w:t xml:space="preserve"> approval granted under the RVS legislation allows the approval holder to manufacture or modify vehicles in accordance with an </w:t>
      </w:r>
      <w:r w:rsidR="001820E6">
        <w:rPr>
          <w:lang w:val="en-US"/>
        </w:rPr>
        <w:t>a</w:t>
      </w:r>
      <w:r w:rsidRPr="00713954">
        <w:rPr>
          <w:lang w:val="en-US"/>
        </w:rPr>
        <w:t>pproved </w:t>
      </w:r>
      <w:hyperlink r:id="rId23" w:history="1">
        <w:r w:rsidRPr="00713954">
          <w:rPr>
            <w:lang w:val="en-US"/>
          </w:rPr>
          <w:t>Model Report</w:t>
        </w:r>
      </w:hyperlink>
      <w:r w:rsidRPr="00713954">
        <w:rPr>
          <w:lang w:val="en-US"/>
        </w:rPr>
        <w:t> for that vehicle.</w:t>
      </w:r>
      <w:r w:rsidR="00890177">
        <w:rPr>
          <w:lang w:val="en-US"/>
        </w:rPr>
        <w:t xml:space="preserve"> </w:t>
      </w:r>
      <w:r w:rsidRPr="00713954">
        <w:rPr>
          <w:lang w:val="en-US"/>
        </w:rPr>
        <w:t xml:space="preserve">A RAW approval holder cannot </w:t>
      </w:r>
      <w:r w:rsidR="007026CA">
        <w:rPr>
          <w:lang w:val="en-US"/>
        </w:rPr>
        <w:t xml:space="preserve">also concurrently </w:t>
      </w:r>
      <w:r w:rsidRPr="00713954">
        <w:rPr>
          <w:lang w:val="en-US"/>
        </w:rPr>
        <w:t>hold an</w:t>
      </w:r>
      <w:r w:rsidR="0003732D">
        <w:rPr>
          <w:lang w:val="en-US"/>
        </w:rPr>
        <w:t xml:space="preserve"> </w:t>
      </w:r>
      <w:r w:rsidR="007026CA">
        <w:rPr>
          <w:lang w:val="en-US"/>
        </w:rPr>
        <w:t>AVV</w:t>
      </w:r>
      <w:r w:rsidRPr="00713954">
        <w:rPr>
          <w:lang w:val="en-US"/>
        </w:rPr>
        <w:t xml:space="preserve"> approval.</w:t>
      </w:r>
    </w:p>
    <w:p w14:paraId="38B3541D" w14:textId="041BEA34" w:rsidR="00E64CAC" w:rsidRPr="00713954" w:rsidRDefault="00E64CAC" w:rsidP="000C0A47">
      <w:pPr>
        <w:keepNext/>
        <w:rPr>
          <w:lang w:val="en-US"/>
        </w:rPr>
      </w:pPr>
      <w:r w:rsidRPr="00713954">
        <w:rPr>
          <w:lang w:val="en-US"/>
        </w:rPr>
        <w:t>Under RVS legislation certain vehicles cannot be entered on</w:t>
      </w:r>
      <w:r w:rsidR="00890177">
        <w:rPr>
          <w:lang w:val="en-US"/>
        </w:rPr>
        <w:t xml:space="preserve"> the RAV</w:t>
      </w:r>
      <w:r w:rsidRPr="00713954">
        <w:rPr>
          <w:lang w:val="en-US"/>
        </w:rPr>
        <w:t xml:space="preserve"> through the concessional RAV entry approval pathway until:</w:t>
      </w:r>
    </w:p>
    <w:p w14:paraId="53757970" w14:textId="196B4574" w:rsidR="00890177" w:rsidRDefault="00E64CAC" w:rsidP="000C0A47">
      <w:pPr>
        <w:pStyle w:val="Bullet1"/>
        <w:keepNext/>
      </w:pPr>
      <w:r w:rsidRPr="00890177">
        <w:t xml:space="preserve">they have been modified or manufactured by the holder of a RAW approval in accordance with an </w:t>
      </w:r>
      <w:r w:rsidR="001820E6">
        <w:rPr>
          <w:lang w:val="en-US"/>
        </w:rPr>
        <w:t>a</w:t>
      </w:r>
      <w:r w:rsidRPr="00890177">
        <w:t>pproved Model Report</w:t>
      </w:r>
      <w:r w:rsidR="00890177" w:rsidRPr="00890177">
        <w:t>;</w:t>
      </w:r>
      <w:r w:rsidRPr="00890177">
        <w:t xml:space="preserve"> an</w:t>
      </w:r>
      <w:r w:rsidR="00890177" w:rsidRPr="00890177">
        <w:t>d</w:t>
      </w:r>
    </w:p>
    <w:p w14:paraId="11D9C698" w14:textId="4E090B3E" w:rsidR="00E64CAC" w:rsidRPr="00890177" w:rsidRDefault="00E64CAC" w:rsidP="00C066D4">
      <w:pPr>
        <w:pStyle w:val="Bullet1"/>
      </w:pPr>
      <w:r w:rsidRPr="00890177">
        <w:t xml:space="preserve">verified by </w:t>
      </w:r>
      <w:r w:rsidR="00890177">
        <w:t>an</w:t>
      </w:r>
      <w:r w:rsidRPr="00890177">
        <w:t xml:space="preserve"> AVV.</w:t>
      </w:r>
    </w:p>
    <w:p w14:paraId="43FD3C0C" w14:textId="4354329B" w:rsidR="00E64CAC" w:rsidRPr="00713954" w:rsidRDefault="00E64CAC" w:rsidP="00C066D4">
      <w:pPr>
        <w:rPr>
          <w:lang w:val="en-US"/>
        </w:rPr>
      </w:pPr>
      <w:r w:rsidRPr="00713954">
        <w:rPr>
          <w:lang w:val="en-US"/>
        </w:rPr>
        <w:t xml:space="preserve">The RAW approval holder must follow the requirements specified in the Work Instructions of the </w:t>
      </w:r>
      <w:r w:rsidR="001820E6">
        <w:rPr>
          <w:lang w:val="en-US"/>
        </w:rPr>
        <w:t>a</w:t>
      </w:r>
      <w:r w:rsidRPr="00713954">
        <w:rPr>
          <w:lang w:val="en-US"/>
        </w:rPr>
        <w:t>pproved Model Report for th</w:t>
      </w:r>
      <w:r w:rsidR="00890177">
        <w:rPr>
          <w:lang w:val="en-US"/>
        </w:rPr>
        <w:t xml:space="preserve">e relevant </w:t>
      </w:r>
      <w:r w:rsidRPr="00713954">
        <w:rPr>
          <w:lang w:val="en-US"/>
        </w:rPr>
        <w:t xml:space="preserve">vehicle and </w:t>
      </w:r>
      <w:r w:rsidR="00F029CE">
        <w:rPr>
          <w:lang w:val="en-US"/>
        </w:rPr>
        <w:t>provide</w:t>
      </w:r>
      <w:r w:rsidR="00A3160F" w:rsidRPr="00713954">
        <w:rPr>
          <w:lang w:val="en-US"/>
        </w:rPr>
        <w:t xml:space="preserve"> </w:t>
      </w:r>
      <w:r w:rsidRPr="00713954">
        <w:rPr>
          <w:lang w:val="en-US"/>
        </w:rPr>
        <w:t xml:space="preserve">a declaration </w:t>
      </w:r>
      <w:r w:rsidR="00A3160F">
        <w:rPr>
          <w:lang w:val="en-US"/>
        </w:rPr>
        <w:t>when</w:t>
      </w:r>
      <w:r w:rsidR="00A3160F" w:rsidRPr="00713954">
        <w:rPr>
          <w:lang w:val="en-US"/>
        </w:rPr>
        <w:t xml:space="preserve"> </w:t>
      </w:r>
      <w:r w:rsidRPr="00713954">
        <w:rPr>
          <w:lang w:val="en-US"/>
        </w:rPr>
        <w:t>presenting the vehicle to an AVV for verification.</w:t>
      </w:r>
    </w:p>
    <w:p w14:paraId="10230DA4" w14:textId="3B7C587A" w:rsidR="00890177" w:rsidRDefault="00890177" w:rsidP="00CF6F98">
      <w:pPr>
        <w:rPr>
          <w:lang w:val="en-US"/>
        </w:rPr>
      </w:pPr>
      <w:r>
        <w:rPr>
          <w:lang w:val="en-US"/>
        </w:rPr>
        <w:t xml:space="preserve">Our focus on </w:t>
      </w:r>
      <w:r w:rsidR="0056168C">
        <w:rPr>
          <w:lang w:val="en-US"/>
        </w:rPr>
        <w:t>RAW approval holders</w:t>
      </w:r>
      <w:r>
        <w:rPr>
          <w:lang w:val="en-US"/>
        </w:rPr>
        <w:t xml:space="preserve"> will include (but not</w:t>
      </w:r>
      <w:r w:rsidR="00DD5A00">
        <w:rPr>
          <w:lang w:val="en-US"/>
        </w:rPr>
        <w:t xml:space="preserve"> be</w:t>
      </w:r>
      <w:r>
        <w:rPr>
          <w:lang w:val="en-US"/>
        </w:rPr>
        <w:t xml:space="preserve"> limited too):</w:t>
      </w:r>
    </w:p>
    <w:p w14:paraId="2BCF0586" w14:textId="4F17DEB9" w:rsidR="00890177" w:rsidRPr="00C066D4" w:rsidRDefault="00890177" w:rsidP="00C471F1">
      <w:pPr>
        <w:pStyle w:val="Bullet1"/>
      </w:pPr>
      <w:r w:rsidRPr="00C066D4">
        <w:t xml:space="preserve">targeted desktop compliance monitoring activities to confirm that holders of </w:t>
      </w:r>
      <w:r w:rsidR="0056168C" w:rsidRPr="00C066D4">
        <w:t>RAW approvals</w:t>
      </w:r>
      <w:r w:rsidRPr="00C066D4">
        <w:t xml:space="preserve"> are complying with the various conditions of their approval</w:t>
      </w:r>
      <w:r w:rsidR="007026CA">
        <w:rPr>
          <w:lang w:val="en-AU"/>
        </w:rPr>
        <w:t>;</w:t>
      </w:r>
    </w:p>
    <w:p w14:paraId="7692A79A" w14:textId="11850776" w:rsidR="00F706D1" w:rsidRPr="00C066D4" w:rsidRDefault="00AC6F29" w:rsidP="00C471F1">
      <w:pPr>
        <w:pStyle w:val="Bullet1"/>
      </w:pPr>
      <w:r>
        <w:rPr>
          <w:lang w:val="en-US"/>
        </w:rPr>
        <w:t xml:space="preserve">inspecting, </w:t>
      </w:r>
      <w:r w:rsidR="00F706D1" w:rsidRPr="00C066D4">
        <w:t>under the relevant condition of the RAW approval</w:t>
      </w:r>
      <w:r w:rsidR="00774DC9" w:rsidRPr="00C066D4">
        <w:t>:</w:t>
      </w:r>
    </w:p>
    <w:p w14:paraId="26C83AA0" w14:textId="41834977" w:rsidR="00604775" w:rsidRPr="00C066D4" w:rsidRDefault="00774DC9" w:rsidP="00C066D4">
      <w:pPr>
        <w:pStyle w:val="Bullet2"/>
      </w:pPr>
      <w:r w:rsidRPr="00C066D4">
        <w:t xml:space="preserve">premises occupied by the holder of the approval; or </w:t>
      </w:r>
    </w:p>
    <w:p w14:paraId="59319F57" w14:textId="741BFAA9" w:rsidR="00604775" w:rsidRPr="00C066D4" w:rsidRDefault="00774DC9" w:rsidP="00C066D4">
      <w:pPr>
        <w:pStyle w:val="Bullet2"/>
      </w:pPr>
      <w:r w:rsidRPr="00C066D4">
        <w:t xml:space="preserve">premises operated by the holder of the approval at which road vehicles are manufactured or modified under the approval; and </w:t>
      </w:r>
    </w:p>
    <w:p w14:paraId="111C0C2E" w14:textId="7BB4DEC3" w:rsidR="00774DC9" w:rsidRPr="00C066D4" w:rsidRDefault="00774DC9" w:rsidP="00C066D4">
      <w:pPr>
        <w:pStyle w:val="Bullet2"/>
      </w:pPr>
      <w:r w:rsidRPr="00C066D4">
        <w:t xml:space="preserve">premises </w:t>
      </w:r>
      <w:r w:rsidR="00AC6F29">
        <w:rPr>
          <w:lang w:val="en-US"/>
        </w:rPr>
        <w:t xml:space="preserve">operated by </w:t>
      </w:r>
      <w:r w:rsidR="00AC6F29" w:rsidRPr="00C066D4">
        <w:t xml:space="preserve">persons or organisations provide goods or services to the holder of the </w:t>
      </w:r>
      <w:r w:rsidR="00AC6F29">
        <w:rPr>
          <w:lang w:val="en-US"/>
        </w:rPr>
        <w:t xml:space="preserve">RAW </w:t>
      </w:r>
      <w:r w:rsidR="00AC6F29" w:rsidRPr="00C066D4">
        <w:t>approval</w:t>
      </w:r>
      <w:r w:rsidR="00AC6F29">
        <w:rPr>
          <w:lang w:val="en-US"/>
        </w:rPr>
        <w:t>, where those goods or services are used</w:t>
      </w:r>
      <w:r w:rsidR="00AC6F29" w:rsidRPr="00C066D4">
        <w:t xml:space="preserve"> </w:t>
      </w:r>
      <w:r w:rsidRPr="00C066D4">
        <w:t>in relation to the activities of the</w:t>
      </w:r>
      <w:r w:rsidR="00AC6F29">
        <w:rPr>
          <w:lang w:val="en-US"/>
        </w:rPr>
        <w:t xml:space="preserve"> </w:t>
      </w:r>
      <w:r w:rsidR="00770130">
        <w:rPr>
          <w:lang w:val="en-US"/>
        </w:rPr>
        <w:t xml:space="preserve">RAW approval holder </w:t>
      </w:r>
      <w:r w:rsidR="00AC6F29" w:rsidRPr="00C066D4">
        <w:t>manufactur</w:t>
      </w:r>
      <w:r w:rsidR="00770130">
        <w:rPr>
          <w:lang w:val="en-US"/>
        </w:rPr>
        <w:t>ing</w:t>
      </w:r>
      <w:r w:rsidR="00AC6F29" w:rsidRPr="00C066D4">
        <w:t xml:space="preserve"> or modify</w:t>
      </w:r>
      <w:r w:rsidR="00770130">
        <w:rPr>
          <w:lang w:val="en-US"/>
        </w:rPr>
        <w:t>ing</w:t>
      </w:r>
      <w:r w:rsidR="00AC6F29" w:rsidRPr="00C066D4">
        <w:t xml:space="preserve"> road vehicles under the approval</w:t>
      </w:r>
    </w:p>
    <w:p w14:paraId="781BFBCB" w14:textId="16D03DBF" w:rsidR="00F029CE" w:rsidRPr="00C066D4" w:rsidRDefault="007026CA" w:rsidP="00F029CE">
      <w:pPr>
        <w:pStyle w:val="Bullet1"/>
      </w:pPr>
      <w:r>
        <w:rPr>
          <w:lang w:val="en-AU"/>
        </w:rPr>
        <w:t xml:space="preserve">give </w:t>
      </w:r>
      <w:r w:rsidR="00F029CE" w:rsidRPr="00C066D4">
        <w:t xml:space="preserve">increased priority </w:t>
      </w:r>
      <w:r>
        <w:rPr>
          <w:lang w:val="en-AU"/>
        </w:rPr>
        <w:t>to</w:t>
      </w:r>
      <w:r w:rsidR="00F029CE">
        <w:rPr>
          <w:lang w:val="en-AU"/>
        </w:rPr>
        <w:t xml:space="preserve"> the consideration</w:t>
      </w:r>
      <w:r w:rsidR="00F029CE">
        <w:rPr>
          <w:lang w:val="en-US"/>
        </w:rPr>
        <w:t xml:space="preserve"> </w:t>
      </w:r>
      <w:r w:rsidR="00F029CE">
        <w:rPr>
          <w:lang w:val="en-AU"/>
        </w:rPr>
        <w:t xml:space="preserve">of any received </w:t>
      </w:r>
      <w:r w:rsidR="00F029CE" w:rsidRPr="00C066D4">
        <w:t xml:space="preserve">reports </w:t>
      </w:r>
      <w:r w:rsidR="00B54E32">
        <w:rPr>
          <w:lang w:val="en-AU"/>
        </w:rPr>
        <w:t>of</w:t>
      </w:r>
      <w:r w:rsidR="00F029CE">
        <w:rPr>
          <w:lang w:val="en-AU"/>
        </w:rPr>
        <w:t xml:space="preserve"> </w:t>
      </w:r>
      <w:r w:rsidR="00F029CE" w:rsidRPr="00C066D4">
        <w:t xml:space="preserve">alleged non-compliance </w:t>
      </w:r>
      <w:r w:rsidR="00B54E32">
        <w:rPr>
          <w:lang w:val="en-AU"/>
        </w:rPr>
        <w:t>by</w:t>
      </w:r>
      <w:r w:rsidR="00F029CE" w:rsidRPr="00C066D4">
        <w:t xml:space="preserve"> </w:t>
      </w:r>
      <w:r w:rsidR="00F029CE">
        <w:rPr>
          <w:lang w:val="en-AU"/>
        </w:rPr>
        <w:t>RAWs</w:t>
      </w:r>
      <w:r w:rsidR="00B54E32">
        <w:rPr>
          <w:lang w:val="en-AU"/>
        </w:rPr>
        <w:t>.</w:t>
      </w:r>
    </w:p>
    <w:p w14:paraId="58B69036" w14:textId="07E624C8" w:rsidR="008073C5" w:rsidRPr="00C9157A" w:rsidRDefault="008073C5" w:rsidP="00C066D4">
      <w:pPr>
        <w:pStyle w:val="Heading4"/>
      </w:pPr>
      <w:r>
        <w:t xml:space="preserve">Authorised </w:t>
      </w:r>
      <w:r w:rsidR="002C2B7B">
        <w:t>v</w:t>
      </w:r>
      <w:r>
        <w:t xml:space="preserve">ehicle </w:t>
      </w:r>
      <w:r w:rsidR="002C2B7B">
        <w:t>v</w:t>
      </w:r>
      <w:r>
        <w:t>erifiers</w:t>
      </w:r>
    </w:p>
    <w:p w14:paraId="6EC749D8" w14:textId="7BE2A051" w:rsidR="008073C5" w:rsidRPr="000F2F86" w:rsidRDefault="008073C5" w:rsidP="00C066D4">
      <w:pPr>
        <w:rPr>
          <w:lang w:val="en-US"/>
        </w:rPr>
      </w:pPr>
      <w:r w:rsidRPr="000F2F86">
        <w:rPr>
          <w:lang w:val="en-US"/>
        </w:rPr>
        <w:t xml:space="preserve">An AVV is a corporation that has been approved to provide independent vehicle inspection and verification services under the </w:t>
      </w:r>
      <w:r>
        <w:rPr>
          <w:lang w:val="en-US"/>
        </w:rPr>
        <w:t>RVS</w:t>
      </w:r>
      <w:r w:rsidRPr="000F2F86">
        <w:rPr>
          <w:lang w:val="en-US"/>
        </w:rPr>
        <w:t xml:space="preserve"> legislation.</w:t>
      </w:r>
    </w:p>
    <w:p w14:paraId="6E68E8B0" w14:textId="10D4C6A0" w:rsidR="008073C5" w:rsidRPr="000F2F86" w:rsidRDefault="008073C5" w:rsidP="00C066D4">
      <w:pPr>
        <w:rPr>
          <w:lang w:val="en-US"/>
        </w:rPr>
      </w:pPr>
      <w:r w:rsidRPr="000F2F86">
        <w:rPr>
          <w:lang w:val="en-US"/>
        </w:rPr>
        <w:t xml:space="preserve">An AVV’s role is to give the department, road vehicle owners, and the </w:t>
      </w:r>
      <w:r w:rsidR="007026CA">
        <w:rPr>
          <w:lang w:val="en-US"/>
        </w:rPr>
        <w:t xml:space="preserve">Australian </w:t>
      </w:r>
      <w:r w:rsidRPr="000F2F86">
        <w:rPr>
          <w:lang w:val="en-US"/>
        </w:rPr>
        <w:t xml:space="preserve">public greater assurance of the integrity of road vehicles modified or manufactured by a </w:t>
      </w:r>
      <w:r>
        <w:rPr>
          <w:lang w:val="en-US"/>
        </w:rPr>
        <w:t>RAW</w:t>
      </w:r>
      <w:r w:rsidRPr="000F2F86">
        <w:rPr>
          <w:lang w:val="en-US"/>
        </w:rPr>
        <w:t>. AVVs assess road vehicles for their compliance with applicable national road vehicle standards</w:t>
      </w:r>
      <w:r w:rsidR="00A3160F">
        <w:rPr>
          <w:lang w:val="en-US"/>
        </w:rPr>
        <w:t xml:space="preserve"> and other determined requirements under the RVS legislation</w:t>
      </w:r>
      <w:r w:rsidRPr="000F2F86">
        <w:rPr>
          <w:lang w:val="en-US"/>
        </w:rPr>
        <w:t>.</w:t>
      </w:r>
      <w:r>
        <w:rPr>
          <w:lang w:val="en-US"/>
        </w:rPr>
        <w:t xml:space="preserve"> </w:t>
      </w:r>
      <w:r w:rsidRPr="000F2F86">
        <w:rPr>
          <w:lang w:val="en-US"/>
        </w:rPr>
        <w:t>When a corporation is granted an AVV approval, it can provide an independent road vehicle verification service:</w:t>
      </w:r>
    </w:p>
    <w:p w14:paraId="49B3A6A4" w14:textId="231DB1AC" w:rsidR="008073C5" w:rsidRPr="000F2F86" w:rsidRDefault="008073C5" w:rsidP="00C066D4">
      <w:pPr>
        <w:pStyle w:val="Bullet1"/>
      </w:pPr>
      <w:r w:rsidRPr="000F2F86">
        <w:t xml:space="preserve">for road vehicles manufactured or modified by a RAW in accordance with an </w:t>
      </w:r>
      <w:r w:rsidR="001820E6">
        <w:rPr>
          <w:lang w:val="en-US"/>
        </w:rPr>
        <w:t>a</w:t>
      </w:r>
      <w:r w:rsidRPr="000F2F86">
        <w:t>pproved Model Report</w:t>
      </w:r>
      <w:r w:rsidR="007026CA">
        <w:rPr>
          <w:lang w:val="en-AU"/>
        </w:rPr>
        <w:t>;</w:t>
      </w:r>
    </w:p>
    <w:p w14:paraId="0C0CC16A" w14:textId="2391292D" w:rsidR="008073C5" w:rsidRPr="000F2F86" w:rsidRDefault="00A3160F" w:rsidP="00C066D4">
      <w:pPr>
        <w:pStyle w:val="Bullet1"/>
      </w:pPr>
      <w:r>
        <w:rPr>
          <w:lang w:val="en-US"/>
        </w:rPr>
        <w:t xml:space="preserve">for other road vehicles </w:t>
      </w:r>
      <w:r w:rsidR="008073C5" w:rsidRPr="000F2F86">
        <w:t>if required by specified conditions on an approval under the RVS legislation.</w:t>
      </w:r>
    </w:p>
    <w:p w14:paraId="6064BF32" w14:textId="71076890" w:rsidR="008073C5" w:rsidRDefault="008073C5" w:rsidP="00C066D4">
      <w:pPr>
        <w:rPr>
          <w:lang w:val="en-US"/>
        </w:rPr>
      </w:pPr>
      <w:r w:rsidRPr="000F2F86">
        <w:rPr>
          <w:lang w:val="en-US"/>
        </w:rPr>
        <w:t xml:space="preserve">AVVs can only conduct road vehicle verifications in Australia and cannot apply for </w:t>
      </w:r>
      <w:r w:rsidR="0000292D">
        <w:rPr>
          <w:lang w:val="en-US"/>
        </w:rPr>
        <w:t xml:space="preserve">or </w:t>
      </w:r>
      <w:r w:rsidR="007026CA">
        <w:rPr>
          <w:lang w:val="en-US"/>
        </w:rPr>
        <w:t xml:space="preserve">concurrently </w:t>
      </w:r>
      <w:r w:rsidR="0000292D">
        <w:rPr>
          <w:lang w:val="en-US"/>
        </w:rPr>
        <w:t xml:space="preserve">hold </w:t>
      </w:r>
      <w:r w:rsidRPr="000F2F86">
        <w:rPr>
          <w:lang w:val="en-US"/>
        </w:rPr>
        <w:t>a RAW approval. Further, an AVV and its key management personnel cannot have shares or any other financial interest in an approved RAW</w:t>
      </w:r>
      <w:r w:rsidR="0000292D">
        <w:rPr>
          <w:lang w:val="en-US"/>
        </w:rPr>
        <w:t xml:space="preserve"> and cannot inspect or verify a vehicle where the holder of the AVV approval, key management personnel or staff have a financial interest in the vehicle</w:t>
      </w:r>
      <w:r w:rsidRPr="000F2F86">
        <w:rPr>
          <w:lang w:val="en-US"/>
        </w:rPr>
        <w:t>.</w:t>
      </w:r>
      <w:r>
        <w:rPr>
          <w:lang w:val="en-US"/>
        </w:rPr>
        <w:t xml:space="preserve"> </w:t>
      </w:r>
    </w:p>
    <w:p w14:paraId="09E28CEA" w14:textId="3B5A1522" w:rsidR="008073C5" w:rsidRDefault="008073C5" w:rsidP="00CF6F98">
      <w:pPr>
        <w:rPr>
          <w:lang w:val="en-US"/>
        </w:rPr>
      </w:pPr>
      <w:r>
        <w:rPr>
          <w:lang w:val="en-US"/>
        </w:rPr>
        <w:t xml:space="preserve">AVVs are a new regulatory </w:t>
      </w:r>
      <w:r w:rsidR="002C2B7B">
        <w:rPr>
          <w:lang w:val="en-US"/>
        </w:rPr>
        <w:t xml:space="preserve">tool </w:t>
      </w:r>
      <w:r>
        <w:rPr>
          <w:lang w:val="en-US"/>
        </w:rPr>
        <w:t>under the RVS legislation and they play a</w:t>
      </w:r>
      <w:r w:rsidR="002C2B7B">
        <w:rPr>
          <w:lang w:val="en-US"/>
        </w:rPr>
        <w:t>n</w:t>
      </w:r>
      <w:r>
        <w:rPr>
          <w:lang w:val="en-US"/>
        </w:rPr>
        <w:t xml:space="preserve"> </w:t>
      </w:r>
      <w:r w:rsidR="002C2B7B">
        <w:rPr>
          <w:lang w:val="en-US"/>
        </w:rPr>
        <w:t xml:space="preserve">important </w:t>
      </w:r>
      <w:r>
        <w:rPr>
          <w:lang w:val="en-US"/>
        </w:rPr>
        <w:t xml:space="preserve">role in the </w:t>
      </w:r>
      <w:r w:rsidR="0000292D">
        <w:rPr>
          <w:lang w:val="en-US"/>
        </w:rPr>
        <w:t xml:space="preserve">provision of compliant concessional RAV entry </w:t>
      </w:r>
      <w:r>
        <w:rPr>
          <w:lang w:val="en-US"/>
        </w:rPr>
        <w:t>road vehicle</w:t>
      </w:r>
      <w:r w:rsidR="0000292D">
        <w:rPr>
          <w:lang w:val="en-US"/>
        </w:rPr>
        <w:t>s</w:t>
      </w:r>
      <w:r>
        <w:rPr>
          <w:lang w:val="en-US"/>
        </w:rPr>
        <w:t xml:space="preserve"> in Australia. </w:t>
      </w:r>
    </w:p>
    <w:p w14:paraId="5344AB92" w14:textId="247BE331" w:rsidR="008073C5" w:rsidRDefault="008073C5" w:rsidP="000A27B5">
      <w:pPr>
        <w:keepNext/>
        <w:rPr>
          <w:lang w:val="en-US"/>
        </w:rPr>
      </w:pPr>
      <w:r>
        <w:rPr>
          <w:lang w:val="en-US"/>
        </w:rPr>
        <w:t>Our focus on AVVs will include (but not be limited too):</w:t>
      </w:r>
    </w:p>
    <w:p w14:paraId="0C76F395" w14:textId="4F8FF6BA" w:rsidR="008073C5" w:rsidRDefault="008073C5" w:rsidP="009514EE">
      <w:pPr>
        <w:pStyle w:val="Bullet1"/>
      </w:pPr>
      <w:r w:rsidRPr="00CE048F">
        <w:t xml:space="preserve">targeted desktop </w:t>
      </w:r>
      <w:r>
        <w:t xml:space="preserve">compliance </w:t>
      </w:r>
      <w:r w:rsidRPr="00CE048F">
        <w:t xml:space="preserve">monitoring activities to confirm that AVVs are complying with the </w:t>
      </w:r>
      <w:r>
        <w:t xml:space="preserve">various </w:t>
      </w:r>
      <w:r w:rsidRPr="00CE048F">
        <w:t>conditions of their approval</w:t>
      </w:r>
      <w:r w:rsidR="00A03955">
        <w:rPr>
          <w:lang w:val="en-US"/>
        </w:rPr>
        <w:t>, including</w:t>
      </w:r>
      <w:r w:rsidR="007026CA">
        <w:rPr>
          <w:lang w:val="en-US"/>
        </w:rPr>
        <w:t>:</w:t>
      </w:r>
    </w:p>
    <w:p w14:paraId="7F646300" w14:textId="5FE90CA6" w:rsidR="00A03955" w:rsidRPr="002C03BB" w:rsidRDefault="00A03955" w:rsidP="00A03955">
      <w:pPr>
        <w:pStyle w:val="Bullet2"/>
      </w:pPr>
      <w:r>
        <w:rPr>
          <w:lang w:val="en-US"/>
        </w:rPr>
        <w:t>avoiding conflicts of interest</w:t>
      </w:r>
      <w:r w:rsidR="00624A86">
        <w:rPr>
          <w:lang w:val="en-US"/>
        </w:rPr>
        <w:t>;</w:t>
      </w:r>
    </w:p>
    <w:p w14:paraId="4F30D467" w14:textId="09E97A3E" w:rsidR="00A03955" w:rsidRPr="002C03BB" w:rsidRDefault="00A03955" w:rsidP="00A03955">
      <w:pPr>
        <w:pStyle w:val="Bullet2"/>
      </w:pPr>
      <w:r>
        <w:rPr>
          <w:lang w:val="en-US"/>
        </w:rPr>
        <w:t xml:space="preserve">accuracy of </w:t>
      </w:r>
      <w:r w:rsidR="00B54E32">
        <w:rPr>
          <w:lang w:val="en-US"/>
        </w:rPr>
        <w:t>verifications</w:t>
      </w:r>
      <w:r>
        <w:rPr>
          <w:lang w:val="en-US"/>
        </w:rPr>
        <w:t xml:space="preserve"> –vehicles correctly verified against the correct version of an </w:t>
      </w:r>
      <w:r w:rsidR="001820E6">
        <w:rPr>
          <w:lang w:val="en-US"/>
        </w:rPr>
        <w:t>a</w:t>
      </w:r>
      <w:r>
        <w:rPr>
          <w:lang w:val="en-US"/>
        </w:rPr>
        <w:t xml:space="preserve">pproved </w:t>
      </w:r>
      <w:r w:rsidR="000A27B5">
        <w:rPr>
          <w:lang w:val="en-US"/>
        </w:rPr>
        <w:t>M</w:t>
      </w:r>
      <w:r>
        <w:rPr>
          <w:lang w:val="en-US"/>
        </w:rPr>
        <w:t xml:space="preserve">odel </w:t>
      </w:r>
      <w:r w:rsidR="000A27B5">
        <w:rPr>
          <w:lang w:val="en-US"/>
        </w:rPr>
        <w:t>R</w:t>
      </w:r>
      <w:r>
        <w:rPr>
          <w:lang w:val="en-US"/>
        </w:rPr>
        <w:t>eport</w:t>
      </w:r>
      <w:r w:rsidR="00624A86">
        <w:rPr>
          <w:lang w:val="en-US"/>
        </w:rPr>
        <w:t>; and</w:t>
      </w:r>
    </w:p>
    <w:p w14:paraId="14412D33" w14:textId="691E631D" w:rsidR="00A03955" w:rsidRPr="00CE048F" w:rsidRDefault="00A03955" w:rsidP="002C03BB">
      <w:pPr>
        <w:pStyle w:val="Bullet2"/>
      </w:pPr>
      <w:r>
        <w:rPr>
          <w:lang w:val="en-US"/>
        </w:rPr>
        <w:t>record-keeping</w:t>
      </w:r>
      <w:r w:rsidR="007026CA">
        <w:rPr>
          <w:lang w:val="en-US"/>
        </w:rPr>
        <w:t>.</w:t>
      </w:r>
    </w:p>
    <w:p w14:paraId="4A6B520D" w14:textId="55B14498" w:rsidR="008073C5" w:rsidRPr="00F706D1" w:rsidRDefault="00F9580D" w:rsidP="009514EE">
      <w:pPr>
        <w:pStyle w:val="Bullet1"/>
      </w:pPr>
      <w:r>
        <w:rPr>
          <w:lang w:val="en-US"/>
        </w:rPr>
        <w:t>i</w:t>
      </w:r>
      <w:r w:rsidR="00AC6F29">
        <w:rPr>
          <w:lang w:val="en-US"/>
        </w:rPr>
        <w:t xml:space="preserve">nspecting, </w:t>
      </w:r>
      <w:r w:rsidR="008073C5" w:rsidRPr="00F706D1">
        <w:t xml:space="preserve">under </w:t>
      </w:r>
      <w:r w:rsidR="008073C5">
        <w:t xml:space="preserve">the relevant </w:t>
      </w:r>
      <w:r w:rsidR="008073C5" w:rsidRPr="00F706D1">
        <w:t>condition of the AVV approval:</w:t>
      </w:r>
    </w:p>
    <w:p w14:paraId="12379C09" w14:textId="6380EAA0" w:rsidR="008073C5" w:rsidRPr="00F706D1" w:rsidRDefault="008073C5" w:rsidP="009514EE">
      <w:pPr>
        <w:pStyle w:val="Bullet2"/>
      </w:pPr>
      <w:r w:rsidRPr="00F706D1">
        <w:t xml:space="preserve">premises where road vehicles are inspected under the approval; or </w:t>
      </w:r>
    </w:p>
    <w:p w14:paraId="7A69BA8A" w14:textId="63B5F5BB" w:rsidR="008073C5" w:rsidRPr="00F706D1" w:rsidRDefault="008073C5" w:rsidP="009514EE">
      <w:pPr>
        <w:pStyle w:val="Bullet2"/>
      </w:pPr>
      <w:r w:rsidRPr="00F706D1">
        <w:t xml:space="preserve">the technology or equipment used to inspect road vehicles under the approval; or </w:t>
      </w:r>
    </w:p>
    <w:p w14:paraId="452645F4" w14:textId="56A0FF91" w:rsidR="008073C5" w:rsidRPr="00F706D1" w:rsidRDefault="008073C5" w:rsidP="009514EE">
      <w:pPr>
        <w:pStyle w:val="Bullet2"/>
      </w:pPr>
      <w:r w:rsidRPr="00F706D1">
        <w:t>things, including documents, associated with the inspection process.</w:t>
      </w:r>
    </w:p>
    <w:p w14:paraId="68568B5D" w14:textId="1968DC4F" w:rsidR="008073C5" w:rsidRPr="005829AD" w:rsidRDefault="007026CA" w:rsidP="009514EE">
      <w:pPr>
        <w:pStyle w:val="Bullet1"/>
      </w:pPr>
      <w:r>
        <w:rPr>
          <w:lang w:val="en-AU"/>
        </w:rPr>
        <w:t xml:space="preserve">give </w:t>
      </w:r>
      <w:r w:rsidR="00B54E32" w:rsidRPr="00C066D4">
        <w:t xml:space="preserve">increased priority </w:t>
      </w:r>
      <w:r>
        <w:rPr>
          <w:lang w:val="en-AU"/>
        </w:rPr>
        <w:t>to</w:t>
      </w:r>
      <w:r w:rsidR="00B54E32">
        <w:rPr>
          <w:lang w:val="en-AU"/>
        </w:rPr>
        <w:t xml:space="preserve"> the consideration</w:t>
      </w:r>
      <w:r w:rsidR="00B54E32">
        <w:rPr>
          <w:lang w:val="en-US"/>
        </w:rPr>
        <w:t xml:space="preserve"> </w:t>
      </w:r>
      <w:r w:rsidR="00B54E32">
        <w:rPr>
          <w:lang w:val="en-AU"/>
        </w:rPr>
        <w:t xml:space="preserve">of any received </w:t>
      </w:r>
      <w:r w:rsidR="00B54E32" w:rsidRPr="00C066D4">
        <w:t xml:space="preserve">reports </w:t>
      </w:r>
      <w:r w:rsidR="00B54E32">
        <w:rPr>
          <w:lang w:val="en-AU"/>
        </w:rPr>
        <w:t xml:space="preserve">of </w:t>
      </w:r>
      <w:r w:rsidR="00B54E32" w:rsidRPr="00C066D4">
        <w:t xml:space="preserve">alleged non-compliance </w:t>
      </w:r>
      <w:r w:rsidR="00B54E32">
        <w:rPr>
          <w:lang w:val="en-AU"/>
        </w:rPr>
        <w:t>by</w:t>
      </w:r>
      <w:r w:rsidR="00B54E32" w:rsidRPr="00C066D4">
        <w:t xml:space="preserve"> </w:t>
      </w:r>
      <w:r w:rsidR="00B54E32">
        <w:rPr>
          <w:lang w:val="en-AU"/>
        </w:rPr>
        <w:t>AVVs.</w:t>
      </w:r>
    </w:p>
    <w:p w14:paraId="7B6C4867" w14:textId="14AE51A2" w:rsidR="00DF660C" w:rsidRDefault="00DF660C" w:rsidP="00DF660C">
      <w:pPr>
        <w:pStyle w:val="Heading3"/>
      </w:pPr>
      <w:bookmarkStart w:id="43" w:name="_Hlk135408638"/>
      <w:bookmarkStart w:id="44" w:name="_Toc141176177"/>
      <w:r w:rsidRPr="00DF660C">
        <w:t>Large or established vehicle manufacturers</w:t>
      </w:r>
      <w:r w:rsidR="00574742">
        <w:t>’</w:t>
      </w:r>
      <w:r w:rsidR="007C6C7E">
        <w:t xml:space="preserve"> </w:t>
      </w:r>
      <w:r w:rsidRPr="00DF660C">
        <w:t xml:space="preserve">compliance with </w:t>
      </w:r>
      <w:r w:rsidR="000C6E32">
        <w:t xml:space="preserve">their VTA </w:t>
      </w:r>
      <w:r w:rsidRPr="00DF660C">
        <w:t>conditions</w:t>
      </w:r>
      <w:bookmarkEnd w:id="44"/>
    </w:p>
    <w:p w14:paraId="2EC23426" w14:textId="6786FC8A" w:rsidR="008D2398" w:rsidRDefault="008D2398" w:rsidP="00CF6F98">
      <w:pPr>
        <w:rPr>
          <w:lang w:val="en-US"/>
        </w:rPr>
      </w:pPr>
      <w:r>
        <w:rPr>
          <w:lang w:val="en-US"/>
        </w:rPr>
        <w:t>L</w:t>
      </w:r>
      <w:r w:rsidR="00E94E32" w:rsidRPr="007928F4">
        <w:rPr>
          <w:lang w:val="en-US"/>
        </w:rPr>
        <w:t>arge original equipment manufacturers (OEMs)</w:t>
      </w:r>
      <w:r>
        <w:rPr>
          <w:lang w:val="en-US"/>
        </w:rPr>
        <w:t xml:space="preserve"> provide a significant number of </w:t>
      </w:r>
      <w:r w:rsidR="000D7C4C">
        <w:rPr>
          <w:lang w:val="en-US"/>
        </w:rPr>
        <w:t xml:space="preserve">new </w:t>
      </w:r>
      <w:r>
        <w:rPr>
          <w:lang w:val="en-US"/>
        </w:rPr>
        <w:t xml:space="preserve">road vehicles to the </w:t>
      </w:r>
      <w:r w:rsidR="002B2FCA">
        <w:rPr>
          <w:lang w:val="en-US"/>
        </w:rPr>
        <w:t>Australian</w:t>
      </w:r>
      <w:r>
        <w:rPr>
          <w:lang w:val="en-US"/>
        </w:rPr>
        <w:t xml:space="preserve"> market each year. These vehicles are provided under </w:t>
      </w:r>
      <w:r w:rsidR="00223D44">
        <w:rPr>
          <w:lang w:val="en-US"/>
        </w:rPr>
        <w:t xml:space="preserve">VTAs </w:t>
      </w:r>
      <w:r>
        <w:rPr>
          <w:lang w:val="en-US"/>
        </w:rPr>
        <w:t xml:space="preserve">that allow the approval holder to add an </w:t>
      </w:r>
      <w:r w:rsidRPr="000A27B5">
        <w:rPr>
          <w:i/>
          <w:lang w:val="en-US"/>
        </w:rPr>
        <w:t>unlimited</w:t>
      </w:r>
      <w:r>
        <w:rPr>
          <w:lang w:val="en-US"/>
        </w:rPr>
        <w:t xml:space="preserve"> number of vehicles</w:t>
      </w:r>
      <w:r w:rsidR="002B2FCA">
        <w:rPr>
          <w:lang w:val="en-US"/>
        </w:rPr>
        <w:t xml:space="preserve"> to the RAV</w:t>
      </w:r>
      <w:r>
        <w:rPr>
          <w:lang w:val="en-US"/>
        </w:rPr>
        <w:t xml:space="preserve">. The approval holder </w:t>
      </w:r>
      <w:r w:rsidR="005F21ED">
        <w:rPr>
          <w:lang w:val="en-US"/>
        </w:rPr>
        <w:t xml:space="preserve">must </w:t>
      </w:r>
      <w:r>
        <w:rPr>
          <w:lang w:val="en-US"/>
        </w:rPr>
        <w:t>hav</w:t>
      </w:r>
      <w:r w:rsidR="005F21ED">
        <w:rPr>
          <w:lang w:val="en-US"/>
        </w:rPr>
        <w:t>e</w:t>
      </w:r>
      <w:r>
        <w:rPr>
          <w:lang w:val="en-US"/>
        </w:rPr>
        <w:t xml:space="preserve"> sufficient evidence to demonstrate </w:t>
      </w:r>
      <w:r w:rsidR="008864DE">
        <w:rPr>
          <w:lang w:val="en-US"/>
        </w:rPr>
        <w:t>compliance</w:t>
      </w:r>
      <w:r>
        <w:rPr>
          <w:lang w:val="en-US"/>
        </w:rPr>
        <w:t xml:space="preserve"> with national standards, </w:t>
      </w:r>
      <w:r w:rsidR="002B2FCA">
        <w:rPr>
          <w:lang w:val="en-US"/>
        </w:rPr>
        <w:t>supporting</w:t>
      </w:r>
      <w:r>
        <w:rPr>
          <w:lang w:val="en-US"/>
        </w:rPr>
        <w:t xml:space="preserve"> </w:t>
      </w:r>
      <w:r w:rsidR="008864DE">
        <w:rPr>
          <w:lang w:val="en-US"/>
        </w:rPr>
        <w:t>information</w:t>
      </w:r>
      <w:r>
        <w:rPr>
          <w:lang w:val="en-US"/>
        </w:rPr>
        <w:t xml:space="preserve"> to demonstrate how compo</w:t>
      </w:r>
      <w:r w:rsidR="002B2FCA">
        <w:rPr>
          <w:lang w:val="en-US"/>
        </w:rPr>
        <w:t>n</w:t>
      </w:r>
      <w:r>
        <w:rPr>
          <w:lang w:val="en-US"/>
        </w:rPr>
        <w:t xml:space="preserve">ents and vehicles are designed, manufactured and assembled, and conformity of production processes to ensure every vehicle is </w:t>
      </w:r>
      <w:r w:rsidR="00122DED">
        <w:rPr>
          <w:lang w:val="en-US"/>
        </w:rPr>
        <w:t xml:space="preserve">manufactured consistently </w:t>
      </w:r>
      <w:r>
        <w:rPr>
          <w:lang w:val="en-US"/>
        </w:rPr>
        <w:t xml:space="preserve">and complies with the approval. </w:t>
      </w:r>
    </w:p>
    <w:p w14:paraId="413CB16F" w14:textId="21B761F6" w:rsidR="00DD5A00" w:rsidRDefault="001579E6" w:rsidP="00DD5A00">
      <w:pPr>
        <w:rPr>
          <w:lang w:val="en-US"/>
        </w:rPr>
      </w:pPr>
      <w:r>
        <w:rPr>
          <w:lang w:val="en-US"/>
        </w:rPr>
        <w:t xml:space="preserve">We </w:t>
      </w:r>
      <w:r w:rsidR="00DD5A00">
        <w:rPr>
          <w:lang w:val="en-US"/>
        </w:rPr>
        <w:t xml:space="preserve">will focus on large OEMs who hold VTAs to ensure </w:t>
      </w:r>
      <w:r w:rsidR="002B2FCA">
        <w:rPr>
          <w:lang w:val="en-US"/>
        </w:rPr>
        <w:t>they are</w:t>
      </w:r>
      <w:r w:rsidR="00DD5A00">
        <w:rPr>
          <w:lang w:val="en-US"/>
        </w:rPr>
        <w:t xml:space="preserve"> complying with </w:t>
      </w:r>
      <w:r w:rsidR="002B2FCA">
        <w:rPr>
          <w:lang w:val="en-US"/>
        </w:rPr>
        <w:t>the</w:t>
      </w:r>
      <w:r w:rsidR="000C6E32">
        <w:rPr>
          <w:lang w:val="en-US"/>
        </w:rPr>
        <w:t>ir VTA</w:t>
      </w:r>
      <w:r w:rsidR="000E5900">
        <w:rPr>
          <w:lang w:val="en-US"/>
        </w:rPr>
        <w:t xml:space="preserve"> </w:t>
      </w:r>
      <w:r w:rsidR="00DD5A00">
        <w:rPr>
          <w:lang w:val="en-US"/>
        </w:rPr>
        <w:t>conditions</w:t>
      </w:r>
      <w:r w:rsidR="000C6E32">
        <w:rPr>
          <w:lang w:val="en-US"/>
        </w:rPr>
        <w:t>.</w:t>
      </w:r>
      <w:r w:rsidR="00DD5A00">
        <w:rPr>
          <w:lang w:val="en-US"/>
        </w:rPr>
        <w:t xml:space="preserve"> Our focus will include (but not be limited to):</w:t>
      </w:r>
    </w:p>
    <w:p w14:paraId="7AE19DA3" w14:textId="64450FAC" w:rsidR="005A6BDB" w:rsidRPr="00C066D4" w:rsidRDefault="005A6BDB" w:rsidP="00C471F1">
      <w:pPr>
        <w:pStyle w:val="Bullet1"/>
      </w:pPr>
      <w:r w:rsidRPr="00C066D4">
        <w:t xml:space="preserve">targeted desktop compliance activities that review ‘current’ VTAs in conjunction with RAV </w:t>
      </w:r>
      <w:r w:rsidR="008543D4">
        <w:rPr>
          <w:lang w:val="en-AU"/>
        </w:rPr>
        <w:t xml:space="preserve">entry </w:t>
      </w:r>
      <w:r w:rsidRPr="00C066D4">
        <w:t>details</w:t>
      </w:r>
      <w:r w:rsidR="006D6BD6" w:rsidRPr="00C066D4">
        <w:t xml:space="preserve">, to </w:t>
      </w:r>
      <w:r w:rsidR="00426F35" w:rsidRPr="00C066D4">
        <w:t xml:space="preserve">validate </w:t>
      </w:r>
      <w:r w:rsidR="00EA70CB" w:rsidRPr="00C066D4">
        <w:t xml:space="preserve">if </w:t>
      </w:r>
      <w:r w:rsidR="006D6BD6" w:rsidRPr="00C066D4">
        <w:t>RAV entries are error free</w:t>
      </w:r>
      <w:r w:rsidR="008543D4">
        <w:rPr>
          <w:lang w:val="en-AU"/>
        </w:rPr>
        <w:t>;</w:t>
      </w:r>
    </w:p>
    <w:p w14:paraId="38E606CA" w14:textId="04AE4303" w:rsidR="00426F35" w:rsidRPr="00C066D4" w:rsidRDefault="00426F35" w:rsidP="00C471F1">
      <w:pPr>
        <w:pStyle w:val="Bullet1"/>
      </w:pPr>
      <w:r w:rsidRPr="00C066D4">
        <w:t xml:space="preserve">targeted desktop compliance monitoring activities to confirm that VTA holders are complying with the various conditions of their </w:t>
      </w:r>
      <w:r w:rsidR="000C6E32">
        <w:rPr>
          <w:lang w:val="en-AU"/>
        </w:rPr>
        <w:t>VTA</w:t>
      </w:r>
      <w:r w:rsidR="008543D4">
        <w:rPr>
          <w:lang w:val="en-AU"/>
        </w:rPr>
        <w:t>;</w:t>
      </w:r>
    </w:p>
    <w:p w14:paraId="3A4548BA" w14:textId="7B91893B" w:rsidR="004D4FDF" w:rsidRPr="00C066D4" w:rsidRDefault="00AC6F29" w:rsidP="00C471F1">
      <w:pPr>
        <w:pStyle w:val="Bullet1"/>
      </w:pPr>
      <w:r>
        <w:rPr>
          <w:lang w:val="en-US"/>
        </w:rPr>
        <w:t>inspecting</w:t>
      </w:r>
      <w:r w:rsidR="000C6E32">
        <w:rPr>
          <w:lang w:val="en-US"/>
        </w:rPr>
        <w:t>,</w:t>
      </w:r>
      <w:r>
        <w:rPr>
          <w:lang w:val="en-US"/>
        </w:rPr>
        <w:t xml:space="preserve"> </w:t>
      </w:r>
      <w:r w:rsidR="004D4FDF" w:rsidRPr="00C066D4">
        <w:t>under the relevant condition of the VTA:</w:t>
      </w:r>
    </w:p>
    <w:p w14:paraId="467FC1DB" w14:textId="10565A38" w:rsidR="00EA70CB" w:rsidRPr="00C066D4" w:rsidRDefault="004D4FDF" w:rsidP="00C066D4">
      <w:pPr>
        <w:pStyle w:val="Bullet2"/>
      </w:pPr>
      <w:r w:rsidRPr="00C066D4">
        <w:t>premises where road vehicle components of the vehicles are designed or manufactured</w:t>
      </w:r>
    </w:p>
    <w:p w14:paraId="1EC58AD9" w14:textId="0434617D" w:rsidR="00E23C23" w:rsidRPr="00E23C23" w:rsidRDefault="004D4FDF" w:rsidP="00E23C23">
      <w:pPr>
        <w:pStyle w:val="Bullet2"/>
        <w:rPr>
          <w:rFonts w:cstheme="minorHAnsi"/>
        </w:rPr>
      </w:pPr>
      <w:r w:rsidRPr="00C066D4">
        <w:t xml:space="preserve">premises where the vehicles are designed or manufactured </w:t>
      </w:r>
    </w:p>
    <w:p w14:paraId="73E7406C" w14:textId="77777777" w:rsidR="00D0110B" w:rsidRPr="00D0110B" w:rsidRDefault="004D4FDF" w:rsidP="00E23C23">
      <w:pPr>
        <w:pStyle w:val="Bullet2"/>
        <w:rPr>
          <w:rFonts w:cstheme="minorHAnsi"/>
        </w:rPr>
      </w:pPr>
      <w:r w:rsidRPr="00F41152">
        <w:t>things associated with the design or manufacturing process, including documents, vehicles and</w:t>
      </w:r>
      <w:r w:rsidR="00C471F1" w:rsidRPr="00F41152">
        <w:t xml:space="preserve"> </w:t>
      </w:r>
      <w:r w:rsidRPr="00F41152">
        <w:t>componentry</w:t>
      </w:r>
    </w:p>
    <w:p w14:paraId="0D96DC23" w14:textId="742BD6A1" w:rsidR="00F41152" w:rsidRPr="00E23C23" w:rsidRDefault="00D0110B" w:rsidP="00E23C23">
      <w:pPr>
        <w:pStyle w:val="Bullet2"/>
        <w:rPr>
          <w:rFonts w:cstheme="minorHAnsi"/>
        </w:rPr>
      </w:pPr>
      <w:r>
        <w:rPr>
          <w:lang w:val="en-US"/>
        </w:rPr>
        <w:t>vehicles in Australia purportedly imported or added to the RAV under a VTA</w:t>
      </w:r>
      <w:r w:rsidR="004D4FDF" w:rsidRPr="00F41152">
        <w:t>.</w:t>
      </w:r>
    </w:p>
    <w:p w14:paraId="33F8966E" w14:textId="15B25120" w:rsidR="00AA1FC1" w:rsidRDefault="00AA1FC1" w:rsidP="00F3659C">
      <w:pPr>
        <w:pStyle w:val="Heading3"/>
        <w:rPr>
          <w:lang w:val="en-US"/>
        </w:rPr>
      </w:pPr>
      <w:bookmarkStart w:id="45" w:name="_Toc141176178"/>
      <w:bookmarkEnd w:id="43"/>
      <w:r>
        <w:rPr>
          <w:lang w:val="en-US"/>
        </w:rPr>
        <w:t>Opt</w:t>
      </w:r>
      <w:r w:rsidR="000A27B5">
        <w:rPr>
          <w:lang w:val="en-US"/>
        </w:rPr>
        <w:t>ed</w:t>
      </w:r>
      <w:r>
        <w:rPr>
          <w:lang w:val="en-US"/>
        </w:rPr>
        <w:t xml:space="preserve">-in high ATM trailer </w:t>
      </w:r>
      <w:r w:rsidR="00F659A6">
        <w:rPr>
          <w:lang w:val="en-US"/>
        </w:rPr>
        <w:t>VTAs</w:t>
      </w:r>
      <w:bookmarkEnd w:id="45"/>
    </w:p>
    <w:p w14:paraId="34F05B30" w14:textId="77777777" w:rsidR="000C6E32" w:rsidRDefault="005B61FC" w:rsidP="005B61FC">
      <w:pPr>
        <w:rPr>
          <w:lang w:val="en-US"/>
        </w:rPr>
      </w:pPr>
      <w:r w:rsidRPr="005B61FC">
        <w:rPr>
          <w:lang w:val="en-US"/>
        </w:rPr>
        <w:t xml:space="preserve">Eligible holders of some type approvals granted under the </w:t>
      </w:r>
      <w:r w:rsidR="000A27B5">
        <w:rPr>
          <w:lang w:val="en-US"/>
        </w:rPr>
        <w:t xml:space="preserve">old </w:t>
      </w:r>
      <w:r w:rsidRPr="005B61FC">
        <w:rPr>
          <w:lang w:val="en-US"/>
        </w:rPr>
        <w:t xml:space="preserve">MVSA </w:t>
      </w:r>
      <w:r w:rsidR="00D33140">
        <w:rPr>
          <w:lang w:val="en-US"/>
        </w:rPr>
        <w:t>were able to</w:t>
      </w:r>
      <w:r w:rsidRPr="005B61FC">
        <w:rPr>
          <w:lang w:val="en-US"/>
        </w:rPr>
        <w:t xml:space="preserve"> apply to transition to a </w:t>
      </w:r>
      <w:r w:rsidR="000A27B5">
        <w:rPr>
          <w:lang w:val="en-US"/>
        </w:rPr>
        <w:t xml:space="preserve">VTA </w:t>
      </w:r>
      <w:r w:rsidRPr="005B61FC">
        <w:rPr>
          <w:lang w:val="en-US"/>
        </w:rPr>
        <w:t xml:space="preserve">under the RVS legislation using an </w:t>
      </w:r>
      <w:r w:rsidR="000A27B5">
        <w:rPr>
          <w:lang w:val="en-US"/>
        </w:rPr>
        <w:t>‘</w:t>
      </w:r>
      <w:r w:rsidRPr="005B61FC">
        <w:rPr>
          <w:lang w:val="en-US"/>
        </w:rPr>
        <w:t>opt-in</w:t>
      </w:r>
      <w:r w:rsidR="000A27B5">
        <w:rPr>
          <w:lang w:val="en-US"/>
        </w:rPr>
        <w:t>’</w:t>
      </w:r>
      <w:r w:rsidRPr="005B61FC">
        <w:rPr>
          <w:lang w:val="en-US"/>
        </w:rPr>
        <w:t xml:space="preserve"> process. </w:t>
      </w:r>
    </w:p>
    <w:p w14:paraId="3044042F" w14:textId="3BD202B7" w:rsidR="00A76740" w:rsidRDefault="00D33140" w:rsidP="005B61FC">
      <w:pPr>
        <w:rPr>
          <w:lang w:val="en-US"/>
        </w:rPr>
      </w:pPr>
      <w:r>
        <w:rPr>
          <w:lang w:val="en-US"/>
        </w:rPr>
        <w:t>VTAs include</w:t>
      </w:r>
      <w:r w:rsidR="005B61FC" w:rsidRPr="005B61FC">
        <w:rPr>
          <w:lang w:val="en-US"/>
        </w:rPr>
        <w:t xml:space="preserve"> new obligations for business</w:t>
      </w:r>
      <w:r w:rsidR="000C6E32">
        <w:rPr>
          <w:lang w:val="en-US"/>
        </w:rPr>
        <w:t>es</w:t>
      </w:r>
      <w:r w:rsidR="005B61FC" w:rsidRPr="005B61FC">
        <w:rPr>
          <w:lang w:val="en-US"/>
        </w:rPr>
        <w:t xml:space="preserve"> seeking to provide quantities of road vehicles to the Australian market</w:t>
      </w:r>
      <w:r>
        <w:rPr>
          <w:lang w:val="en-US"/>
        </w:rPr>
        <w:t xml:space="preserve"> that did not exist under the MVSA</w:t>
      </w:r>
      <w:r w:rsidR="005B61FC" w:rsidRPr="005B61FC">
        <w:rPr>
          <w:lang w:val="en-US"/>
        </w:rPr>
        <w:t xml:space="preserve">. </w:t>
      </w:r>
    </w:p>
    <w:p w14:paraId="3D88FC14" w14:textId="50827FA6" w:rsidR="00A76740" w:rsidRDefault="00A76740" w:rsidP="005B61FC">
      <w:pPr>
        <w:rPr>
          <w:lang w:val="en-US"/>
        </w:rPr>
      </w:pPr>
      <w:r>
        <w:rPr>
          <w:lang w:val="en-US"/>
        </w:rPr>
        <w:t>M</w:t>
      </w:r>
      <w:r w:rsidR="005B61FC" w:rsidRPr="005B61FC">
        <w:rPr>
          <w:lang w:val="en-US"/>
        </w:rPr>
        <w:t>onitor</w:t>
      </w:r>
      <w:r>
        <w:rPr>
          <w:lang w:val="en-US"/>
        </w:rPr>
        <w:t>ing</w:t>
      </w:r>
      <w:r w:rsidR="005B61FC" w:rsidRPr="005B61FC">
        <w:rPr>
          <w:lang w:val="en-US"/>
        </w:rPr>
        <w:t xml:space="preserve"> compliance of </w:t>
      </w:r>
      <w:r>
        <w:rPr>
          <w:lang w:val="en-US"/>
        </w:rPr>
        <w:t xml:space="preserve">high ATM trailer VTAs that were opted-in from previous MVSA approvals was an area of focus that was not completed under the last strategy. </w:t>
      </w:r>
      <w:r w:rsidR="007016EF">
        <w:rPr>
          <w:lang w:val="en-US"/>
        </w:rPr>
        <w:t>It</w:t>
      </w:r>
      <w:r>
        <w:rPr>
          <w:lang w:val="en-US"/>
        </w:rPr>
        <w:t xml:space="preserve"> will remain an area of focus in this strategy.</w:t>
      </w:r>
    </w:p>
    <w:p w14:paraId="51412E50" w14:textId="5EE09935" w:rsidR="00AA1FC1" w:rsidRPr="00AA1FC1" w:rsidRDefault="00A76740" w:rsidP="000A27B5">
      <w:pPr>
        <w:rPr>
          <w:lang w:val="en-US"/>
        </w:rPr>
      </w:pPr>
      <w:r>
        <w:rPr>
          <w:lang w:val="en-US"/>
        </w:rPr>
        <w:t xml:space="preserve">We will </w:t>
      </w:r>
      <w:r w:rsidR="007016EF">
        <w:rPr>
          <w:lang w:val="en-US"/>
        </w:rPr>
        <w:t>monitor</w:t>
      </w:r>
      <w:r>
        <w:rPr>
          <w:lang w:val="en-US"/>
        </w:rPr>
        <w:t xml:space="preserve"> </w:t>
      </w:r>
      <w:r w:rsidR="007016EF">
        <w:rPr>
          <w:lang w:val="en-US"/>
        </w:rPr>
        <w:t>compliance</w:t>
      </w:r>
      <w:r>
        <w:rPr>
          <w:lang w:val="en-US"/>
        </w:rPr>
        <w:t xml:space="preserve"> by </w:t>
      </w:r>
      <w:r w:rsidR="005B61FC" w:rsidRPr="005B61FC">
        <w:t xml:space="preserve">seeking information to confirm </w:t>
      </w:r>
      <w:r>
        <w:rPr>
          <w:lang w:val="en-US"/>
        </w:rPr>
        <w:t xml:space="preserve">approval holders were eligible to opt-in and </w:t>
      </w:r>
      <w:r w:rsidR="005B61FC" w:rsidRPr="005B61FC">
        <w:t xml:space="preserve">are complying with their </w:t>
      </w:r>
      <w:r w:rsidR="000A27B5">
        <w:t xml:space="preserve">new </w:t>
      </w:r>
      <w:r w:rsidR="005B61FC" w:rsidRPr="005B61FC">
        <w:t xml:space="preserve">obligations as </w:t>
      </w:r>
      <w:r w:rsidR="000A27B5">
        <w:t>VTA holders</w:t>
      </w:r>
      <w:r>
        <w:t>.</w:t>
      </w:r>
    </w:p>
    <w:p w14:paraId="44BE395F" w14:textId="207E9A77" w:rsidR="00F3659C" w:rsidRDefault="00445444" w:rsidP="00F3659C">
      <w:pPr>
        <w:pStyle w:val="Heading3"/>
        <w:rPr>
          <w:lang w:val="en-US"/>
        </w:rPr>
      </w:pPr>
      <w:bookmarkStart w:id="46" w:name="_Toc141176179"/>
      <w:r>
        <w:rPr>
          <w:lang w:val="en-US"/>
        </w:rPr>
        <w:t xml:space="preserve">Entities </w:t>
      </w:r>
      <w:r w:rsidR="0021708C">
        <w:rPr>
          <w:lang w:val="en-US"/>
        </w:rPr>
        <w:t>that</w:t>
      </w:r>
      <w:r>
        <w:rPr>
          <w:lang w:val="en-US"/>
        </w:rPr>
        <w:t xml:space="preserve"> continue to operate </w:t>
      </w:r>
      <w:r w:rsidR="00B65918">
        <w:rPr>
          <w:lang w:val="en-US"/>
        </w:rPr>
        <w:t xml:space="preserve">without appropriate RVS approvals </w:t>
      </w:r>
      <w:r w:rsidR="0021708C">
        <w:rPr>
          <w:lang w:val="en-US"/>
        </w:rPr>
        <w:t>post</w:t>
      </w:r>
      <w:r w:rsidR="00B65918">
        <w:rPr>
          <w:lang w:val="en-US"/>
        </w:rPr>
        <w:t xml:space="preserve"> 30 June 2023</w:t>
      </w:r>
      <w:bookmarkEnd w:id="46"/>
    </w:p>
    <w:p w14:paraId="0183A615" w14:textId="75BA4A25" w:rsidR="008543D4" w:rsidRDefault="00473B1F" w:rsidP="00B65918">
      <w:pPr>
        <w:rPr>
          <w:lang w:val="en-US"/>
        </w:rPr>
      </w:pPr>
      <w:r>
        <w:rPr>
          <w:lang w:val="en-US"/>
        </w:rPr>
        <w:t>From 1 July 2023</w:t>
      </w:r>
      <w:r w:rsidR="00B65918">
        <w:rPr>
          <w:lang w:val="en-US"/>
        </w:rPr>
        <w:t>,</w:t>
      </w:r>
      <w:r>
        <w:rPr>
          <w:lang w:val="en-US"/>
        </w:rPr>
        <w:t xml:space="preserve"> </w:t>
      </w:r>
      <w:r w:rsidR="00B65918">
        <w:rPr>
          <w:lang w:val="en-US"/>
        </w:rPr>
        <w:t xml:space="preserve">a person or business </w:t>
      </w:r>
      <w:r>
        <w:rPr>
          <w:lang w:val="en-US"/>
        </w:rPr>
        <w:t xml:space="preserve">importing or providing vehicles to the Australian </w:t>
      </w:r>
      <w:r w:rsidR="00B65918">
        <w:rPr>
          <w:lang w:val="en-US"/>
        </w:rPr>
        <w:t>market</w:t>
      </w:r>
      <w:r>
        <w:rPr>
          <w:lang w:val="en-US"/>
        </w:rPr>
        <w:t xml:space="preserve"> outside of the </w:t>
      </w:r>
      <w:r w:rsidR="00B65918">
        <w:rPr>
          <w:lang w:val="en-US"/>
        </w:rPr>
        <w:t xml:space="preserve">regulatory requirements of the </w:t>
      </w:r>
      <w:r>
        <w:rPr>
          <w:lang w:val="en-US"/>
        </w:rPr>
        <w:t>RVS legislation</w:t>
      </w:r>
      <w:r w:rsidR="00B65918">
        <w:rPr>
          <w:lang w:val="en-US"/>
        </w:rPr>
        <w:t xml:space="preserve"> will</w:t>
      </w:r>
      <w:r>
        <w:rPr>
          <w:lang w:val="en-US"/>
        </w:rPr>
        <w:t xml:space="preserve"> </w:t>
      </w:r>
      <w:r w:rsidR="00B65918">
        <w:rPr>
          <w:lang w:val="en-US"/>
        </w:rPr>
        <w:t xml:space="preserve">likely </w:t>
      </w:r>
      <w:r w:rsidR="00F41152">
        <w:rPr>
          <w:lang w:val="en-US"/>
        </w:rPr>
        <w:t>breach the</w:t>
      </w:r>
      <w:r>
        <w:rPr>
          <w:lang w:val="en-US"/>
        </w:rPr>
        <w:t xml:space="preserve"> </w:t>
      </w:r>
      <w:r w:rsidR="00B65918">
        <w:rPr>
          <w:lang w:val="en-US"/>
        </w:rPr>
        <w:t xml:space="preserve">RVS </w:t>
      </w:r>
      <w:r>
        <w:rPr>
          <w:lang w:val="en-US"/>
        </w:rPr>
        <w:t>legislation.</w:t>
      </w:r>
      <w:r w:rsidR="00B65918">
        <w:rPr>
          <w:lang w:val="en-US"/>
        </w:rPr>
        <w:t xml:space="preserve"> </w:t>
      </w:r>
    </w:p>
    <w:p w14:paraId="2ACF748A" w14:textId="558EEF21" w:rsidR="00473B1F" w:rsidRDefault="005F21ED" w:rsidP="00B65918">
      <w:pPr>
        <w:rPr>
          <w:lang w:val="en-US"/>
        </w:rPr>
      </w:pPr>
      <w:r>
        <w:rPr>
          <w:lang w:val="en-US"/>
        </w:rPr>
        <w:t>S</w:t>
      </w:r>
      <w:r w:rsidR="00F41152">
        <w:rPr>
          <w:lang w:val="en-US"/>
        </w:rPr>
        <w:t>ome businesses</w:t>
      </w:r>
      <w:r w:rsidR="00473B1F">
        <w:rPr>
          <w:lang w:val="en-US"/>
        </w:rPr>
        <w:t xml:space="preserve"> </w:t>
      </w:r>
      <w:r>
        <w:rPr>
          <w:lang w:val="en-US"/>
        </w:rPr>
        <w:t xml:space="preserve">may </w:t>
      </w:r>
      <w:r w:rsidR="00473B1F">
        <w:rPr>
          <w:lang w:val="en-US"/>
        </w:rPr>
        <w:t xml:space="preserve">unintentionally, opportunistically or intentionally not comply with the new </w:t>
      </w:r>
      <w:r w:rsidR="00B65918">
        <w:rPr>
          <w:lang w:val="en-US"/>
        </w:rPr>
        <w:t xml:space="preserve">RVS </w:t>
      </w:r>
      <w:r w:rsidR="00473B1F">
        <w:rPr>
          <w:lang w:val="en-US"/>
        </w:rPr>
        <w:t xml:space="preserve">legislation. </w:t>
      </w:r>
    </w:p>
    <w:p w14:paraId="44B39565" w14:textId="4FF92B45" w:rsidR="00473B1F" w:rsidRDefault="00473B1F" w:rsidP="00F41B55">
      <w:pPr>
        <w:rPr>
          <w:lang w:val="en-US"/>
        </w:rPr>
      </w:pPr>
      <w:r>
        <w:rPr>
          <w:lang w:val="en-US"/>
        </w:rPr>
        <w:t xml:space="preserve">We are aware of the following industry </w:t>
      </w:r>
      <w:r w:rsidR="00B65918">
        <w:rPr>
          <w:lang w:val="en-US"/>
        </w:rPr>
        <w:t>segments</w:t>
      </w:r>
      <w:r>
        <w:rPr>
          <w:lang w:val="en-US"/>
        </w:rPr>
        <w:t xml:space="preserve"> where </w:t>
      </w:r>
      <w:r w:rsidR="00B65918">
        <w:rPr>
          <w:lang w:val="en-US"/>
        </w:rPr>
        <w:t>there</w:t>
      </w:r>
      <w:r>
        <w:rPr>
          <w:lang w:val="en-US"/>
        </w:rPr>
        <w:t xml:space="preserve"> </w:t>
      </w:r>
      <w:r w:rsidR="008543D4">
        <w:rPr>
          <w:lang w:val="en-US"/>
        </w:rPr>
        <w:t>remains</w:t>
      </w:r>
      <w:r>
        <w:rPr>
          <w:lang w:val="en-US"/>
        </w:rPr>
        <w:t xml:space="preserve"> a significant number of </w:t>
      </w:r>
      <w:r w:rsidR="00B65918">
        <w:rPr>
          <w:lang w:val="en-US"/>
        </w:rPr>
        <w:t>entities</w:t>
      </w:r>
      <w:r>
        <w:rPr>
          <w:lang w:val="en-US"/>
        </w:rPr>
        <w:t xml:space="preserve"> continuing to operate under the old MVSA (as of</w:t>
      </w:r>
      <w:r w:rsidR="000A27B5">
        <w:rPr>
          <w:lang w:val="en-US"/>
        </w:rPr>
        <w:t xml:space="preserve"> April</w:t>
      </w:r>
      <w:r>
        <w:rPr>
          <w:lang w:val="en-US"/>
        </w:rPr>
        <w:t xml:space="preserve"> 2023):</w:t>
      </w:r>
    </w:p>
    <w:p w14:paraId="16FE04A0" w14:textId="5A68AB5C" w:rsidR="00B44BBC" w:rsidRPr="002C03BB" w:rsidRDefault="00473B1F" w:rsidP="00473B1F">
      <w:pPr>
        <w:pStyle w:val="Bullet1"/>
      </w:pPr>
      <w:r>
        <w:rPr>
          <w:lang w:val="en-US"/>
        </w:rPr>
        <w:t xml:space="preserve">MVSA </w:t>
      </w:r>
      <w:r w:rsidR="00B44BBC">
        <w:rPr>
          <w:lang w:val="en-US"/>
        </w:rPr>
        <w:t xml:space="preserve">identification plate </w:t>
      </w:r>
      <w:r>
        <w:rPr>
          <w:lang w:val="en-US"/>
        </w:rPr>
        <w:t>approval holders</w:t>
      </w:r>
      <w:r w:rsidR="00B44BBC">
        <w:rPr>
          <w:lang w:val="en-US"/>
        </w:rPr>
        <w:t xml:space="preserve">. </w:t>
      </w:r>
      <w:r w:rsidR="005D5C95">
        <w:rPr>
          <w:lang w:val="en-US"/>
        </w:rPr>
        <w:t>T</w:t>
      </w:r>
      <w:r w:rsidR="00B44BBC">
        <w:rPr>
          <w:lang w:val="en-US"/>
        </w:rPr>
        <w:t>here were approximately 1</w:t>
      </w:r>
      <w:r w:rsidR="005D5C95">
        <w:rPr>
          <w:lang w:val="en-US"/>
        </w:rPr>
        <w:t>,</w:t>
      </w:r>
      <w:r w:rsidR="00B44BBC">
        <w:rPr>
          <w:lang w:val="en-US"/>
        </w:rPr>
        <w:t>000 identification plate approval</w:t>
      </w:r>
      <w:r w:rsidR="00B65918">
        <w:rPr>
          <w:lang w:val="en-US"/>
        </w:rPr>
        <w:t xml:space="preserve"> holders</w:t>
      </w:r>
      <w:r w:rsidR="00B44BBC">
        <w:rPr>
          <w:lang w:val="en-US"/>
        </w:rPr>
        <w:t xml:space="preserve"> still in force under the </w:t>
      </w:r>
      <w:r w:rsidR="005D5C95">
        <w:rPr>
          <w:lang w:val="en-US"/>
        </w:rPr>
        <w:t xml:space="preserve">previous Motor Vehicle </w:t>
      </w:r>
      <w:r w:rsidR="00BC2862">
        <w:rPr>
          <w:lang w:val="en-US"/>
        </w:rPr>
        <w:t>Standards</w:t>
      </w:r>
      <w:r w:rsidR="005D5C95">
        <w:rPr>
          <w:lang w:val="en-US"/>
        </w:rPr>
        <w:t xml:space="preserve"> </w:t>
      </w:r>
      <w:r w:rsidR="00B44BBC">
        <w:rPr>
          <w:lang w:val="en-US"/>
        </w:rPr>
        <w:t xml:space="preserve">arrangements. </w:t>
      </w:r>
    </w:p>
    <w:p w14:paraId="38771703" w14:textId="35D375D3" w:rsidR="00473B1F" w:rsidRPr="006D48DC" w:rsidRDefault="00B44BBC" w:rsidP="002C03BB">
      <w:pPr>
        <w:pStyle w:val="Bullet2"/>
      </w:pPr>
      <w:r>
        <w:rPr>
          <w:lang w:val="en-US"/>
        </w:rPr>
        <w:t>This includes approval holders</w:t>
      </w:r>
      <w:r w:rsidR="00473B1F">
        <w:t xml:space="preserve"> that convert </w:t>
      </w:r>
      <w:r w:rsidR="00B65918">
        <w:rPr>
          <w:lang w:val="en-AU"/>
        </w:rPr>
        <w:t xml:space="preserve">imported </w:t>
      </w:r>
      <w:r w:rsidR="00473B1F">
        <w:t xml:space="preserve">vehicles from </w:t>
      </w:r>
      <w:r w:rsidR="00B65918">
        <w:rPr>
          <w:lang w:val="en-AU"/>
        </w:rPr>
        <w:t>‘</w:t>
      </w:r>
      <w:r w:rsidR="00473B1F">
        <w:t>left to right</w:t>
      </w:r>
      <w:r w:rsidR="00B65918">
        <w:rPr>
          <w:lang w:val="en-AU"/>
        </w:rPr>
        <w:t>’</w:t>
      </w:r>
      <w:r w:rsidR="00473B1F">
        <w:t xml:space="preserve"> hand drive</w:t>
      </w:r>
      <w:r>
        <w:rPr>
          <w:lang w:val="en-US"/>
        </w:rPr>
        <w:t>.</w:t>
      </w:r>
    </w:p>
    <w:p w14:paraId="4BBAA754" w14:textId="119DD0CE" w:rsidR="00473B1F" w:rsidRPr="002C03BB" w:rsidRDefault="00473B1F" w:rsidP="00473B1F">
      <w:pPr>
        <w:pStyle w:val="Bullet1"/>
      </w:pPr>
      <w:r>
        <w:rPr>
          <w:lang w:val="en-US"/>
        </w:rPr>
        <w:t xml:space="preserve">Low ATM trailer </w:t>
      </w:r>
      <w:r w:rsidR="00F41B55">
        <w:rPr>
          <w:lang w:val="en-US"/>
        </w:rPr>
        <w:t>manufacturers</w:t>
      </w:r>
      <w:r>
        <w:rPr>
          <w:lang w:val="en-US"/>
        </w:rPr>
        <w:t xml:space="preserve"> and importers supplying trailers under </w:t>
      </w:r>
      <w:r w:rsidRPr="000A27B5">
        <w:rPr>
          <w:i/>
          <w:lang w:val="en-US"/>
        </w:rPr>
        <w:t xml:space="preserve">Vehicle </w:t>
      </w:r>
      <w:r w:rsidR="00F41B55" w:rsidRPr="000A27B5">
        <w:rPr>
          <w:i/>
          <w:lang w:val="en-US"/>
        </w:rPr>
        <w:t>Standards</w:t>
      </w:r>
      <w:r w:rsidRPr="000A27B5">
        <w:rPr>
          <w:i/>
          <w:lang w:val="en-US"/>
        </w:rPr>
        <w:t xml:space="preserve"> Bulletin</w:t>
      </w:r>
      <w:r w:rsidR="00F41B55" w:rsidRPr="000A27B5">
        <w:rPr>
          <w:i/>
          <w:lang w:val="en-US"/>
        </w:rPr>
        <w:t> 1</w:t>
      </w:r>
      <w:r w:rsidRPr="000A27B5">
        <w:rPr>
          <w:i/>
          <w:lang w:val="en-US"/>
        </w:rPr>
        <w:t xml:space="preserve"> Revision 5</w:t>
      </w:r>
      <w:r w:rsidR="00824744">
        <w:rPr>
          <w:lang w:val="en-US"/>
        </w:rPr>
        <w:t>.</w:t>
      </w:r>
    </w:p>
    <w:p w14:paraId="12A124CB" w14:textId="2190579B" w:rsidR="00824744" w:rsidRPr="002C03BB" w:rsidRDefault="00824744" w:rsidP="00824744">
      <w:pPr>
        <w:pStyle w:val="Bullet2"/>
      </w:pPr>
      <w:r>
        <w:rPr>
          <w:lang w:val="en-US"/>
        </w:rPr>
        <w:t xml:space="preserve">April saw a significant increase in the number of low ATM trailer VTA applications, suggesting </w:t>
      </w:r>
      <w:r w:rsidR="00F41152">
        <w:rPr>
          <w:lang w:val="en-US"/>
        </w:rPr>
        <w:t>there</w:t>
      </w:r>
      <w:r>
        <w:rPr>
          <w:lang w:val="en-US"/>
        </w:rPr>
        <w:t xml:space="preserve"> are some trailer suppliers who have not submitted </w:t>
      </w:r>
      <w:r w:rsidR="00B65918">
        <w:rPr>
          <w:lang w:val="en-US"/>
        </w:rPr>
        <w:t xml:space="preserve">RVS related </w:t>
      </w:r>
      <w:r>
        <w:rPr>
          <w:lang w:val="en-US"/>
        </w:rPr>
        <w:t>applications in a timely manner.</w:t>
      </w:r>
    </w:p>
    <w:p w14:paraId="079B7BFA" w14:textId="36A9662E" w:rsidR="00824744" w:rsidRPr="006D48DC" w:rsidRDefault="00824744" w:rsidP="002C03BB">
      <w:pPr>
        <w:pStyle w:val="Bullet2"/>
      </w:pPr>
      <w:r>
        <w:rPr>
          <w:lang w:val="en-US"/>
        </w:rPr>
        <w:t xml:space="preserve">Industry intelligence suggests some trailer suppliers are unwilling to </w:t>
      </w:r>
      <w:r w:rsidR="00834B87">
        <w:rPr>
          <w:lang w:val="en-US"/>
        </w:rPr>
        <w:t>make</w:t>
      </w:r>
      <w:r>
        <w:rPr>
          <w:lang w:val="en-US"/>
        </w:rPr>
        <w:t xml:space="preserve"> applications under the RVS legislation.</w:t>
      </w:r>
    </w:p>
    <w:p w14:paraId="52B2282B" w14:textId="7C82DBF5" w:rsidR="00473B1F" w:rsidRDefault="00F41B55" w:rsidP="00473B1F">
      <w:pPr>
        <w:pStyle w:val="Bullet1"/>
      </w:pPr>
      <w:r>
        <w:rPr>
          <w:lang w:val="en-US"/>
        </w:rPr>
        <w:t xml:space="preserve">Corporations </w:t>
      </w:r>
      <w:r w:rsidR="00473B1F">
        <w:rPr>
          <w:lang w:val="en-US"/>
        </w:rPr>
        <w:t xml:space="preserve">holding MVSA Registered Automotive Workshop </w:t>
      </w:r>
      <w:r w:rsidR="00FC7810">
        <w:rPr>
          <w:lang w:val="en-US"/>
        </w:rPr>
        <w:t>Scheme (RAWS)</w:t>
      </w:r>
      <w:r w:rsidR="00B65918">
        <w:rPr>
          <w:lang w:val="en-US"/>
        </w:rPr>
        <w:t xml:space="preserve"> </w:t>
      </w:r>
      <w:r w:rsidR="00473B1F">
        <w:rPr>
          <w:lang w:val="en-US"/>
        </w:rPr>
        <w:t>approvals.</w:t>
      </w:r>
      <w:r w:rsidR="00824744">
        <w:rPr>
          <w:lang w:val="en-US"/>
        </w:rPr>
        <w:t xml:space="preserve"> As of </w:t>
      </w:r>
      <w:r w:rsidR="008543D4">
        <w:rPr>
          <w:lang w:val="en-US"/>
        </w:rPr>
        <w:t>mid-</w:t>
      </w:r>
      <w:r w:rsidR="00F41152">
        <w:rPr>
          <w:lang w:val="en-US"/>
        </w:rPr>
        <w:t>April 2023,</w:t>
      </w:r>
      <w:r w:rsidR="00824744">
        <w:rPr>
          <w:lang w:val="en-US"/>
        </w:rPr>
        <w:t xml:space="preserve"> there were 109 MVSA RAWS approvals, 55 of these d</w:t>
      </w:r>
      <w:r w:rsidR="00B65918">
        <w:rPr>
          <w:lang w:val="en-US"/>
        </w:rPr>
        <w:t>id</w:t>
      </w:r>
      <w:r w:rsidR="00824744">
        <w:rPr>
          <w:lang w:val="en-US"/>
        </w:rPr>
        <w:t xml:space="preserve"> not have </w:t>
      </w:r>
      <w:r w:rsidR="008543D4">
        <w:rPr>
          <w:lang w:val="en-US"/>
        </w:rPr>
        <w:t xml:space="preserve">a </w:t>
      </w:r>
      <w:r w:rsidR="00824744">
        <w:rPr>
          <w:lang w:val="en-US"/>
        </w:rPr>
        <w:t>corresponding RAW approval</w:t>
      </w:r>
      <w:r w:rsidR="008543D4">
        <w:rPr>
          <w:lang w:val="en-US"/>
        </w:rPr>
        <w:t xml:space="preserve"> </w:t>
      </w:r>
      <w:r w:rsidR="00824744">
        <w:rPr>
          <w:lang w:val="en-US"/>
        </w:rPr>
        <w:t>under the RVS legislation.</w:t>
      </w:r>
    </w:p>
    <w:p w14:paraId="03DF00F3" w14:textId="5EC3C4D0" w:rsidR="00B65918" w:rsidRDefault="00CF6F98" w:rsidP="005B1412">
      <w:pPr>
        <w:rPr>
          <w:lang w:val="en-US"/>
        </w:rPr>
      </w:pPr>
      <w:r>
        <w:rPr>
          <w:lang w:val="en-US"/>
        </w:rPr>
        <w:t>We will monitor reports received by the public, industry, represen</w:t>
      </w:r>
      <w:r w:rsidR="00B65918">
        <w:rPr>
          <w:lang w:val="en-US"/>
        </w:rPr>
        <w:t>ta</w:t>
      </w:r>
      <w:r>
        <w:rPr>
          <w:lang w:val="en-US"/>
        </w:rPr>
        <w:t xml:space="preserve">tive </w:t>
      </w:r>
      <w:r w:rsidR="00B65918">
        <w:rPr>
          <w:lang w:val="en-US"/>
        </w:rPr>
        <w:t>bodies</w:t>
      </w:r>
      <w:r>
        <w:rPr>
          <w:lang w:val="en-US"/>
        </w:rPr>
        <w:t xml:space="preserve"> and other regulators to identify </w:t>
      </w:r>
      <w:r w:rsidR="008543D4">
        <w:rPr>
          <w:lang w:val="en-US"/>
        </w:rPr>
        <w:t xml:space="preserve">relevant </w:t>
      </w:r>
      <w:r w:rsidR="00075266">
        <w:rPr>
          <w:lang w:val="en-US"/>
        </w:rPr>
        <w:t>entities</w:t>
      </w:r>
      <w:r>
        <w:rPr>
          <w:lang w:val="en-US"/>
        </w:rPr>
        <w:t xml:space="preserve"> </w:t>
      </w:r>
      <w:r w:rsidR="00B65918">
        <w:rPr>
          <w:lang w:val="en-US"/>
        </w:rPr>
        <w:t xml:space="preserve">who </w:t>
      </w:r>
      <w:r>
        <w:rPr>
          <w:lang w:val="en-US"/>
        </w:rPr>
        <w:t xml:space="preserve">are operating </w:t>
      </w:r>
      <w:r w:rsidR="00B65918">
        <w:rPr>
          <w:lang w:val="en-US"/>
        </w:rPr>
        <w:t xml:space="preserve">their business </w:t>
      </w:r>
      <w:r>
        <w:rPr>
          <w:lang w:val="en-US"/>
        </w:rPr>
        <w:t xml:space="preserve">outside of the RVS </w:t>
      </w:r>
      <w:r w:rsidR="00075266">
        <w:rPr>
          <w:lang w:val="en-US"/>
        </w:rPr>
        <w:t>legislation</w:t>
      </w:r>
      <w:r>
        <w:rPr>
          <w:lang w:val="en-US"/>
        </w:rPr>
        <w:t xml:space="preserve">. </w:t>
      </w:r>
    </w:p>
    <w:p w14:paraId="47893F1A" w14:textId="33B68814" w:rsidR="00CF6F98" w:rsidRDefault="001867FF" w:rsidP="005B1412">
      <w:pPr>
        <w:rPr>
          <w:lang w:val="en-US"/>
        </w:rPr>
      </w:pPr>
      <w:r>
        <w:rPr>
          <w:lang w:val="en-US"/>
        </w:rPr>
        <w:t xml:space="preserve">This </w:t>
      </w:r>
      <w:r w:rsidR="008543D4">
        <w:rPr>
          <w:lang w:val="en-US"/>
        </w:rPr>
        <w:t xml:space="preserve">work </w:t>
      </w:r>
      <w:r>
        <w:rPr>
          <w:lang w:val="en-US"/>
        </w:rPr>
        <w:t xml:space="preserve">will focus on </w:t>
      </w:r>
      <w:r w:rsidR="008543D4">
        <w:rPr>
          <w:lang w:val="en-US"/>
        </w:rPr>
        <w:t xml:space="preserve">possible </w:t>
      </w:r>
      <w:r w:rsidR="00075266">
        <w:rPr>
          <w:lang w:val="en-US"/>
        </w:rPr>
        <w:t>breaches of the RVSA where</w:t>
      </w:r>
      <w:r w:rsidR="005D5C95">
        <w:rPr>
          <w:lang w:val="en-US"/>
        </w:rPr>
        <w:t xml:space="preserve"> a person</w:t>
      </w:r>
      <w:r>
        <w:rPr>
          <w:lang w:val="en-US"/>
        </w:rPr>
        <w:t>:</w:t>
      </w:r>
    </w:p>
    <w:p w14:paraId="5DA0B27F" w14:textId="213F6B0E" w:rsidR="001867FF" w:rsidRDefault="00075266" w:rsidP="0082203D">
      <w:pPr>
        <w:pStyle w:val="Bullet1"/>
      </w:pPr>
      <w:r>
        <w:t>imports a road vehicle into Australia and at the time of importation was</w:t>
      </w:r>
      <w:r w:rsidRPr="00075266">
        <w:rPr>
          <w:lang w:val="en-US"/>
        </w:rPr>
        <w:t xml:space="preserve"> </w:t>
      </w:r>
      <w:r>
        <w:t>not permitted to import the vehicle</w:t>
      </w:r>
      <w:r>
        <w:rPr>
          <w:lang w:val="en-US"/>
        </w:rPr>
        <w:t xml:space="preserve"> (section 22 of the RVSA)</w:t>
      </w:r>
      <w:r w:rsidR="00B65918">
        <w:rPr>
          <w:lang w:val="en-US"/>
        </w:rPr>
        <w:t>; and</w:t>
      </w:r>
    </w:p>
    <w:p w14:paraId="23C505B1" w14:textId="18FAB455" w:rsidR="00075266" w:rsidRDefault="00075266" w:rsidP="00C066D4">
      <w:pPr>
        <w:pStyle w:val="Bullet1"/>
      </w:pPr>
      <w:r>
        <w:t>provides a road vehicle to another person in Australia; the vehicle is</w:t>
      </w:r>
      <w:r w:rsidRPr="00075266">
        <w:rPr>
          <w:lang w:val="en-US"/>
        </w:rPr>
        <w:t xml:space="preserve"> </w:t>
      </w:r>
      <w:r>
        <w:t>provided for the first time in Australia and it is not on the RAV</w:t>
      </w:r>
      <w:r>
        <w:rPr>
          <w:lang w:val="en-US"/>
        </w:rPr>
        <w:t xml:space="preserve"> (section 24 of the RVSA)</w:t>
      </w:r>
      <w:r w:rsidR="00B65918">
        <w:rPr>
          <w:lang w:val="en-US"/>
        </w:rPr>
        <w:t>.</w:t>
      </w:r>
    </w:p>
    <w:p w14:paraId="329E71B4" w14:textId="3AA8C054" w:rsidR="00CF6F98" w:rsidRDefault="00CF6F98" w:rsidP="005B1412">
      <w:pPr>
        <w:rPr>
          <w:lang w:val="en-US"/>
        </w:rPr>
      </w:pPr>
      <w:r>
        <w:rPr>
          <w:lang w:val="en-US"/>
        </w:rPr>
        <w:t xml:space="preserve">We will initially respond with targeted education to make the </w:t>
      </w:r>
      <w:r w:rsidR="008543D4">
        <w:rPr>
          <w:lang w:val="en-US"/>
        </w:rPr>
        <w:t xml:space="preserve">relevant </w:t>
      </w:r>
      <w:r>
        <w:rPr>
          <w:lang w:val="en-US"/>
        </w:rPr>
        <w:t xml:space="preserve">entity aware of </w:t>
      </w:r>
      <w:r w:rsidR="008543D4">
        <w:rPr>
          <w:lang w:val="en-US"/>
        </w:rPr>
        <w:t>our</w:t>
      </w:r>
      <w:r>
        <w:rPr>
          <w:lang w:val="en-US"/>
        </w:rPr>
        <w:t xml:space="preserve"> </w:t>
      </w:r>
      <w:r w:rsidR="00075266">
        <w:rPr>
          <w:lang w:val="en-US"/>
        </w:rPr>
        <w:t xml:space="preserve">compliance </w:t>
      </w:r>
      <w:r w:rsidR="00F41B55">
        <w:rPr>
          <w:lang w:val="en-US"/>
        </w:rPr>
        <w:t>concerns</w:t>
      </w:r>
      <w:r>
        <w:rPr>
          <w:lang w:val="en-US"/>
        </w:rPr>
        <w:t>.</w:t>
      </w:r>
      <w:r w:rsidR="001002C4">
        <w:rPr>
          <w:lang w:val="en-US"/>
        </w:rPr>
        <w:t xml:space="preserve"> W</w:t>
      </w:r>
      <w:r>
        <w:rPr>
          <w:lang w:val="en-US"/>
        </w:rPr>
        <w:t xml:space="preserve">e expect that once </w:t>
      </w:r>
      <w:r w:rsidR="00F9686B">
        <w:rPr>
          <w:lang w:val="en-US"/>
        </w:rPr>
        <w:t>an</w:t>
      </w:r>
      <w:r>
        <w:rPr>
          <w:lang w:val="en-US"/>
        </w:rPr>
        <w:t xml:space="preserve"> entity is aware of the</w:t>
      </w:r>
      <w:r w:rsidR="00114B75">
        <w:rPr>
          <w:lang w:val="en-US"/>
        </w:rPr>
        <w:t xml:space="preserve">ir regulatory obligations under the </w:t>
      </w:r>
      <w:r>
        <w:rPr>
          <w:lang w:val="en-US"/>
        </w:rPr>
        <w:t>RVS legislation</w:t>
      </w:r>
      <w:r w:rsidR="00075266">
        <w:rPr>
          <w:lang w:val="en-US"/>
        </w:rPr>
        <w:t>, they</w:t>
      </w:r>
      <w:r w:rsidR="00114B75">
        <w:rPr>
          <w:lang w:val="en-US"/>
        </w:rPr>
        <w:t xml:space="preserve"> will</w:t>
      </w:r>
      <w:r>
        <w:rPr>
          <w:lang w:val="en-US"/>
        </w:rPr>
        <w:t>:</w:t>
      </w:r>
    </w:p>
    <w:p w14:paraId="037CCFF9" w14:textId="25849951" w:rsidR="00CF6F98" w:rsidRPr="006D48DC" w:rsidRDefault="00CF6F98" w:rsidP="00CF6F98">
      <w:pPr>
        <w:pStyle w:val="Bullet1"/>
      </w:pPr>
      <w:r>
        <w:rPr>
          <w:lang w:val="en-US"/>
        </w:rPr>
        <w:t xml:space="preserve">cease any non-compliant </w:t>
      </w:r>
      <w:r w:rsidR="00294B91">
        <w:rPr>
          <w:lang w:val="en-US"/>
        </w:rPr>
        <w:t>conduct</w:t>
      </w:r>
      <w:r>
        <w:rPr>
          <w:lang w:val="en-US"/>
        </w:rPr>
        <w:t xml:space="preserve"> immediately (including </w:t>
      </w:r>
      <w:r w:rsidR="00B65918">
        <w:rPr>
          <w:lang w:val="en-US"/>
        </w:rPr>
        <w:t xml:space="preserve">ceasing </w:t>
      </w:r>
      <w:r>
        <w:rPr>
          <w:lang w:val="en-US"/>
        </w:rPr>
        <w:t>import</w:t>
      </w:r>
      <w:r w:rsidR="00B65918">
        <w:rPr>
          <w:lang w:val="en-US"/>
        </w:rPr>
        <w:t>ation</w:t>
      </w:r>
      <w:r>
        <w:rPr>
          <w:lang w:val="en-US"/>
        </w:rPr>
        <w:t xml:space="preserve"> or provision of road vehicles)</w:t>
      </w:r>
      <w:r w:rsidR="00B65918">
        <w:rPr>
          <w:lang w:val="en-US"/>
        </w:rPr>
        <w:t>;</w:t>
      </w:r>
    </w:p>
    <w:p w14:paraId="6643452B" w14:textId="6B2D518D" w:rsidR="00CF6F98" w:rsidRPr="006D48DC" w:rsidRDefault="00114B75" w:rsidP="00CF6F98">
      <w:pPr>
        <w:pStyle w:val="Bullet1"/>
      </w:pPr>
      <w:r>
        <w:rPr>
          <w:lang w:val="en-US"/>
        </w:rPr>
        <w:t xml:space="preserve">further </w:t>
      </w:r>
      <w:r w:rsidR="00CF6F98">
        <w:rPr>
          <w:lang w:val="en-US"/>
        </w:rPr>
        <w:t xml:space="preserve">inform themselves of the </w:t>
      </w:r>
      <w:r w:rsidR="00B65918">
        <w:rPr>
          <w:lang w:val="en-US"/>
        </w:rPr>
        <w:t>RVS</w:t>
      </w:r>
      <w:r w:rsidR="00F41152">
        <w:rPr>
          <w:lang w:val="en-US"/>
        </w:rPr>
        <w:t xml:space="preserve"> </w:t>
      </w:r>
      <w:r w:rsidR="00CF6F98">
        <w:rPr>
          <w:lang w:val="en-US"/>
        </w:rPr>
        <w:t xml:space="preserve">legislation and their </w:t>
      </w:r>
      <w:r w:rsidR="00B65918">
        <w:rPr>
          <w:lang w:val="en-US"/>
        </w:rPr>
        <w:t xml:space="preserve">regulatory </w:t>
      </w:r>
      <w:r w:rsidR="00CF6F98">
        <w:rPr>
          <w:lang w:val="en-US"/>
        </w:rPr>
        <w:t>obligations</w:t>
      </w:r>
      <w:r w:rsidR="00B65918">
        <w:rPr>
          <w:lang w:val="en-US"/>
        </w:rPr>
        <w:t>;</w:t>
      </w:r>
    </w:p>
    <w:p w14:paraId="3DC167ED" w14:textId="2E7D1364" w:rsidR="00CF6F98" w:rsidRPr="006D48DC" w:rsidRDefault="00CF6F98" w:rsidP="00CF6F98">
      <w:pPr>
        <w:pStyle w:val="Bullet1"/>
      </w:pPr>
      <w:r>
        <w:rPr>
          <w:lang w:val="en-US"/>
        </w:rPr>
        <w:t>apply for an</w:t>
      </w:r>
      <w:r w:rsidR="009059E8">
        <w:rPr>
          <w:lang w:val="en-US"/>
        </w:rPr>
        <w:t>d</w:t>
      </w:r>
      <w:r>
        <w:rPr>
          <w:lang w:val="en-US"/>
        </w:rPr>
        <w:t xml:space="preserve"> obtain necessary approvals before resuming any activities that are regulated </w:t>
      </w:r>
      <w:r w:rsidR="000C6E32">
        <w:rPr>
          <w:lang w:val="en-US"/>
        </w:rPr>
        <w:t>by</w:t>
      </w:r>
      <w:r>
        <w:rPr>
          <w:lang w:val="en-US"/>
        </w:rPr>
        <w:t xml:space="preserve"> RVS legislation</w:t>
      </w:r>
      <w:r w:rsidR="00805B68">
        <w:rPr>
          <w:lang w:val="en-US"/>
        </w:rPr>
        <w:t>; and</w:t>
      </w:r>
    </w:p>
    <w:p w14:paraId="3FBCB8C1" w14:textId="64E4D5DA" w:rsidR="00CF6F98" w:rsidRDefault="00F41152" w:rsidP="00CF6F98">
      <w:pPr>
        <w:pStyle w:val="Bullet1"/>
      </w:pPr>
      <w:r>
        <w:rPr>
          <w:lang w:val="en-US"/>
        </w:rPr>
        <w:t>act</w:t>
      </w:r>
      <w:r w:rsidR="00CF6F98">
        <w:rPr>
          <w:lang w:val="en-US"/>
        </w:rPr>
        <w:t xml:space="preserve"> to remedy or rectify the consequences of any </w:t>
      </w:r>
      <w:r w:rsidR="00114B75">
        <w:rPr>
          <w:lang w:val="en-US"/>
        </w:rPr>
        <w:t xml:space="preserve">previous </w:t>
      </w:r>
      <w:r w:rsidR="00CF6F98">
        <w:rPr>
          <w:lang w:val="en-US"/>
        </w:rPr>
        <w:t>non-complaint behavior (</w:t>
      </w:r>
      <w:r>
        <w:rPr>
          <w:lang w:val="en-US"/>
        </w:rPr>
        <w:t>i.e.</w:t>
      </w:r>
      <w:r w:rsidR="00CF6F98">
        <w:rPr>
          <w:lang w:val="en-US"/>
        </w:rPr>
        <w:t xml:space="preserve"> process improvements, recalls or removing vehicles from the fleet)</w:t>
      </w:r>
      <w:r w:rsidR="00805B68">
        <w:rPr>
          <w:lang w:val="en-US"/>
        </w:rPr>
        <w:t>.</w:t>
      </w:r>
    </w:p>
    <w:p w14:paraId="4347D483" w14:textId="65A43F6F" w:rsidR="00F3659C" w:rsidRDefault="00CF6F98" w:rsidP="00F3659C">
      <w:r>
        <w:t>If a</w:t>
      </w:r>
      <w:r w:rsidR="00F41152">
        <w:t>n</w:t>
      </w:r>
      <w:r>
        <w:t xml:space="preserve"> entity continues to behave in a non-compl</w:t>
      </w:r>
      <w:r w:rsidR="000C6E32">
        <w:t>i</w:t>
      </w:r>
      <w:r>
        <w:t xml:space="preserve">ant manner, </w:t>
      </w:r>
      <w:r w:rsidR="00075266">
        <w:t xml:space="preserve">or does not correct existing non-compliance </w:t>
      </w:r>
      <w:r w:rsidR="005D5C95">
        <w:t xml:space="preserve">we are </w:t>
      </w:r>
      <w:r>
        <w:t xml:space="preserve">likely to </w:t>
      </w:r>
      <w:r w:rsidR="005D5C95">
        <w:t>apply</w:t>
      </w:r>
      <w:r>
        <w:t xml:space="preserve"> a strong enforcement response. </w:t>
      </w:r>
      <w:bookmarkStart w:id="47" w:name="_Hlk133835834"/>
      <w:bookmarkEnd w:id="23"/>
    </w:p>
    <w:p w14:paraId="4761BABD" w14:textId="54B25AD9" w:rsidR="0030153A" w:rsidRPr="009D3EC3" w:rsidRDefault="0030153A" w:rsidP="00F3659C">
      <w:r w:rsidRPr="009D3EC3">
        <w:t xml:space="preserve">This area of focus will be a high priority early in the duration of the strategy. It will become a lower priority over time as we expect </w:t>
      </w:r>
      <w:r w:rsidR="00294B91" w:rsidRPr="009D3EC3">
        <w:t xml:space="preserve">that </w:t>
      </w:r>
      <w:r w:rsidRPr="009D3EC3">
        <w:t xml:space="preserve">less </w:t>
      </w:r>
      <w:r w:rsidR="00294B91" w:rsidRPr="009D3EC3">
        <w:t xml:space="preserve">and less </w:t>
      </w:r>
      <w:r w:rsidRPr="009D3EC3">
        <w:t xml:space="preserve">entities </w:t>
      </w:r>
      <w:r w:rsidR="00294B91" w:rsidRPr="009D3EC3">
        <w:t xml:space="preserve">will </w:t>
      </w:r>
      <w:r w:rsidRPr="009D3EC3">
        <w:t xml:space="preserve">attempt to operate under the </w:t>
      </w:r>
      <w:r w:rsidR="009D3EC3">
        <w:t xml:space="preserve">old </w:t>
      </w:r>
      <w:r w:rsidRPr="009D3EC3">
        <w:t xml:space="preserve">MVSA </w:t>
      </w:r>
      <w:r w:rsidR="007016EF" w:rsidRPr="009D3EC3">
        <w:t>arrangements</w:t>
      </w:r>
      <w:r w:rsidRPr="009D3EC3">
        <w:t>.</w:t>
      </w:r>
    </w:p>
    <w:p w14:paraId="435FEAE5" w14:textId="04B8E08A" w:rsidR="00F3659C" w:rsidRPr="000F2F86" w:rsidRDefault="00F3659C" w:rsidP="003F75FD">
      <w:pPr>
        <w:pStyle w:val="Heading1"/>
      </w:pPr>
      <w:bookmarkStart w:id="48" w:name="_Toc57962915"/>
      <w:bookmarkStart w:id="49" w:name="_Toc496792943"/>
      <w:bookmarkStart w:id="50" w:name="_Toc75440299"/>
      <w:bookmarkStart w:id="51" w:name="_Toc141176180"/>
      <w:bookmarkEnd w:id="47"/>
      <w:r w:rsidRPr="00C066D4">
        <w:t>More</w:t>
      </w:r>
      <w:r w:rsidRPr="000F2F86">
        <w:t xml:space="preserve"> </w:t>
      </w:r>
      <w:bookmarkStart w:id="52" w:name="_Toc67317819"/>
      <w:bookmarkEnd w:id="48"/>
      <w:bookmarkEnd w:id="49"/>
      <w:r w:rsidRPr="000F2F86">
        <w:t>information</w:t>
      </w:r>
      <w:bookmarkEnd w:id="50"/>
      <w:bookmarkEnd w:id="51"/>
      <w:bookmarkEnd w:id="52"/>
    </w:p>
    <w:p w14:paraId="51C32610" w14:textId="0927A7ED" w:rsidR="00F3659C" w:rsidRPr="000F2F86" w:rsidRDefault="00F3659C" w:rsidP="003F75FD">
      <w:bookmarkStart w:id="53" w:name="_Toc57962916"/>
      <w:r w:rsidRPr="000F2F86">
        <w:t>To support industry and other regulated entities in their commitment to voluntary compliance we seek to keep our stakeholders informed. We will engage with regulated entities on our approach to compliance and enforcement</w:t>
      </w:r>
      <w:r w:rsidR="00114B75">
        <w:t xml:space="preserve"> and provide </w:t>
      </w:r>
      <w:r w:rsidRPr="000F2F86">
        <w:t>information that would be useful to them.</w:t>
      </w:r>
    </w:p>
    <w:p w14:paraId="4698099B" w14:textId="08D12A47" w:rsidR="00F3659C" w:rsidRPr="000F2F86" w:rsidRDefault="00F3659C" w:rsidP="003F75FD">
      <w:r w:rsidRPr="000F2F86">
        <w:t>For the life of this strategy we will share our areas of compliance focus for the forward compliance planning cycle, and where appropriate, provide summaries of findings from the program of compliance activities.</w:t>
      </w:r>
    </w:p>
    <w:p w14:paraId="51B55853" w14:textId="45B0EA9D" w:rsidR="00F3659C" w:rsidRPr="000F2F86" w:rsidRDefault="00F3659C" w:rsidP="003F75FD">
      <w:r w:rsidRPr="000F2F86">
        <w:t>More information on compliance and enforcement, including our compliance approach and model can be found on the</w:t>
      </w:r>
      <w:r w:rsidR="00302974">
        <w:t xml:space="preserve"> </w:t>
      </w:r>
      <w:hyperlink r:id="rId24" w:history="1">
        <w:r w:rsidR="00302974" w:rsidRPr="00302974">
          <w:rPr>
            <w:rStyle w:val="Hyperlink"/>
          </w:rPr>
          <w:t>Compliance and Enforcement under the RVSA section on the</w:t>
        </w:r>
        <w:r w:rsidRPr="00302974">
          <w:rPr>
            <w:rStyle w:val="Hyperlink"/>
          </w:rPr>
          <w:t xml:space="preserve"> department’s website</w:t>
        </w:r>
      </w:hyperlink>
      <w:r w:rsidRPr="000F2F86">
        <w:t xml:space="preserve"> </w:t>
      </w:r>
    </w:p>
    <w:p w14:paraId="49CA80B5" w14:textId="01B4698C" w:rsidR="00114B75" w:rsidRDefault="00F3659C" w:rsidP="003F75FD">
      <w:r w:rsidRPr="000F2F86">
        <w:t>For more information on</w:t>
      </w:r>
      <w:r w:rsidR="002C03BB">
        <w:t xml:space="preserve"> the</w:t>
      </w:r>
      <w:r w:rsidRPr="000F2F86">
        <w:t xml:space="preserve"> RVS legislation, </w:t>
      </w:r>
      <w:r w:rsidR="00CD7CFA">
        <w:t xml:space="preserve">visit </w:t>
      </w:r>
      <w:r w:rsidRPr="000F2F86">
        <w:t xml:space="preserve">the </w:t>
      </w:r>
      <w:hyperlink r:id="rId25" w:history="1">
        <w:r w:rsidRPr="00302974">
          <w:rPr>
            <w:rStyle w:val="Hyperlink"/>
          </w:rPr>
          <w:t>Vehicles section of the department’s website</w:t>
        </w:r>
      </w:hyperlink>
      <w:r w:rsidRPr="000F2F86">
        <w:t>.</w:t>
      </w:r>
    </w:p>
    <w:p w14:paraId="350A39E6" w14:textId="43BC92D2" w:rsidR="00F3659C" w:rsidRPr="000F2F86" w:rsidRDefault="00F3659C" w:rsidP="003F75FD">
      <w:r w:rsidRPr="000F2F86">
        <w:t>Content re</w:t>
      </w:r>
      <w:r w:rsidR="00114B75">
        <w:t>garding</w:t>
      </w:r>
      <w:r w:rsidRPr="000F2F86">
        <w:t xml:space="preserve"> various aspects of the </w:t>
      </w:r>
      <w:r w:rsidR="00114B75">
        <w:t xml:space="preserve">RVS </w:t>
      </w:r>
      <w:r w:rsidRPr="000F2F86">
        <w:t xml:space="preserve">regulatory regime and what it means for regulated entities is being added </w:t>
      </w:r>
      <w:r w:rsidR="002C03BB">
        <w:t xml:space="preserve">and updated </w:t>
      </w:r>
      <w:r w:rsidRPr="000F2F86">
        <w:t xml:space="preserve">regularly. </w:t>
      </w:r>
    </w:p>
    <w:p w14:paraId="645C0CE9" w14:textId="77777777" w:rsidR="00F3659C" w:rsidRPr="000F2F86" w:rsidRDefault="00F3659C" w:rsidP="003F75FD">
      <w:pPr>
        <w:pStyle w:val="Heading2"/>
      </w:pPr>
      <w:bookmarkStart w:id="54" w:name="_Toc75440300"/>
      <w:bookmarkStart w:id="55" w:name="_Toc141176181"/>
      <w:r w:rsidRPr="00C066D4">
        <w:t>Reporting</w:t>
      </w:r>
      <w:r w:rsidRPr="000F2F86">
        <w:t xml:space="preserve"> suspected non-compliance to us</w:t>
      </w:r>
      <w:bookmarkEnd w:id="54"/>
      <w:bookmarkEnd w:id="55"/>
    </w:p>
    <w:p w14:paraId="3A68371D" w14:textId="0141D42A" w:rsidR="00F3659C" w:rsidRPr="000F2F86" w:rsidRDefault="00F3659C" w:rsidP="003F75FD">
      <w:r w:rsidRPr="000F2F86">
        <w:t xml:space="preserve">Information from the public, industry and other regulators is a valuable tool for compliance and enforcement. </w:t>
      </w:r>
      <w:r w:rsidR="00114B75">
        <w:t>R</w:t>
      </w:r>
      <w:r w:rsidRPr="000F2F86">
        <w:t>eport</w:t>
      </w:r>
      <w:r w:rsidR="00114B75">
        <w:t>ing</w:t>
      </w:r>
      <w:r w:rsidRPr="000F2F86">
        <w:t xml:space="preserve"> assist</w:t>
      </w:r>
      <w:r w:rsidR="00114B75">
        <w:t>s</w:t>
      </w:r>
      <w:r w:rsidRPr="000F2F86">
        <w:t xml:space="preserve"> us in identifying areas of emerging concern</w:t>
      </w:r>
      <w:r w:rsidR="00CD7CFA">
        <w:t xml:space="preserve"> and</w:t>
      </w:r>
      <w:r w:rsidRPr="000F2F86">
        <w:t xml:space="preserve"> significant issues that require immediate attention and inform future compliance and enforcement strategies and activities. </w:t>
      </w:r>
    </w:p>
    <w:p w14:paraId="4B171FA9" w14:textId="4796F298" w:rsidR="00F3659C" w:rsidRPr="000F2F86" w:rsidRDefault="00F3659C" w:rsidP="003F75FD">
      <w:r w:rsidRPr="000F2F86">
        <w:t xml:space="preserve">For more information on making reports about </w:t>
      </w:r>
      <w:r w:rsidR="00114B75">
        <w:t xml:space="preserve">alleged </w:t>
      </w:r>
      <w:r w:rsidRPr="000F2F86">
        <w:t xml:space="preserve">non-compliance with </w:t>
      </w:r>
      <w:r w:rsidR="00114B75">
        <w:t>RVS</w:t>
      </w:r>
      <w:r w:rsidRPr="000F2F86">
        <w:t xml:space="preserve"> legislation or </w:t>
      </w:r>
      <w:r w:rsidR="00114B75">
        <w:t xml:space="preserve">reporting </w:t>
      </w:r>
      <w:r w:rsidRPr="000F2F86">
        <w:t xml:space="preserve">vehicle safety concerns, please </w:t>
      </w:r>
      <w:r w:rsidR="00CD7CFA">
        <w:t>visit</w:t>
      </w:r>
      <w:r w:rsidR="00302974">
        <w:t xml:space="preserve"> </w:t>
      </w:r>
      <w:r w:rsidRPr="000F2F86">
        <w:t xml:space="preserve">the </w:t>
      </w:r>
      <w:hyperlink r:id="rId26" w:history="1">
        <w:r w:rsidR="00302974" w:rsidRPr="00302974">
          <w:rPr>
            <w:rStyle w:val="Hyperlink"/>
          </w:rPr>
          <w:t xml:space="preserve">Reporting a safety or non-compliance issue section of the </w:t>
        </w:r>
        <w:r w:rsidRPr="00302974">
          <w:rPr>
            <w:rStyle w:val="Hyperlink"/>
          </w:rPr>
          <w:t>department’s website</w:t>
        </w:r>
      </w:hyperlink>
      <w:r w:rsidRPr="000F2F86">
        <w:t>.</w:t>
      </w:r>
    </w:p>
    <w:p w14:paraId="579CC570" w14:textId="77777777" w:rsidR="00E159F6" w:rsidRPr="000F2F86" w:rsidRDefault="00E159F6" w:rsidP="00E159F6">
      <w:pPr>
        <w:pStyle w:val="Heading2"/>
      </w:pPr>
      <w:bookmarkStart w:id="56" w:name="_Toc141176182"/>
      <w:r w:rsidRPr="00CD165A">
        <w:t>Review</w:t>
      </w:r>
      <w:r w:rsidRPr="000F2F86">
        <w:t xml:space="preserve"> and complaint mechanisms</w:t>
      </w:r>
      <w:bookmarkEnd w:id="56"/>
    </w:p>
    <w:p w14:paraId="344F2DFC" w14:textId="1279138D" w:rsidR="00E159F6" w:rsidRPr="000F2F86" w:rsidRDefault="00E159F6" w:rsidP="00E159F6">
      <w:r w:rsidRPr="000F2F86">
        <w:t>If a regulated entity is not satisfied with our response or action in relation to a compliance matter, in the first instance</w:t>
      </w:r>
      <w:r w:rsidR="00302974">
        <w:t>,</w:t>
      </w:r>
      <w:r w:rsidRPr="000F2F86">
        <w:t xml:space="preserve"> it can be raised with the relevant person or area handling the matter. </w:t>
      </w:r>
    </w:p>
    <w:p w14:paraId="5CA3DD49" w14:textId="6125178A" w:rsidR="00E159F6" w:rsidRPr="000F2F86" w:rsidRDefault="00E159F6" w:rsidP="00E159F6">
      <w:r w:rsidRPr="000F2F86">
        <w:t xml:space="preserve">If a regulated entity wishes to make a general complaint, or if the entity is not satisfied with the initial response from the relevant area, a formal complaint can be </w:t>
      </w:r>
      <w:r w:rsidR="00302974">
        <w:t xml:space="preserve">made by </w:t>
      </w:r>
      <w:hyperlink r:id="rId27" w:anchor="feedback" w:history="1">
        <w:r w:rsidR="00302974" w:rsidRPr="00302974">
          <w:rPr>
            <w:rStyle w:val="Hyperlink"/>
          </w:rPr>
          <w:t>contacting us</w:t>
        </w:r>
      </w:hyperlink>
      <w:r w:rsidR="00302974">
        <w:t>.</w:t>
      </w:r>
    </w:p>
    <w:p w14:paraId="156D10F7" w14:textId="37D9D223" w:rsidR="00E159F6" w:rsidRPr="000F2F86" w:rsidRDefault="00E159F6" w:rsidP="00E159F6">
      <w:r w:rsidRPr="000F2F86">
        <w:t xml:space="preserve">In the case of certain decisions made under the RVS legislation, the applicant or approval holder can </w:t>
      </w:r>
      <w:hyperlink r:id="rId28" w:history="1">
        <w:r w:rsidRPr="00302974">
          <w:rPr>
            <w:rStyle w:val="Hyperlink"/>
          </w:rPr>
          <w:t xml:space="preserve">seek </w:t>
        </w:r>
        <w:r w:rsidR="00302974" w:rsidRPr="00302974">
          <w:rPr>
            <w:rStyle w:val="Hyperlink"/>
          </w:rPr>
          <w:t xml:space="preserve">a </w:t>
        </w:r>
        <w:r w:rsidRPr="00302974">
          <w:rPr>
            <w:rStyle w:val="Hyperlink"/>
          </w:rPr>
          <w:t>review of the decision</w:t>
        </w:r>
      </w:hyperlink>
      <w:r w:rsidRPr="000F2F86">
        <w:t xml:space="preserve"> by the Administrative Appeals Tribunal</w:t>
      </w:r>
      <w:r w:rsidRPr="000F2F86">
        <w:rPr>
          <w:i/>
        </w:rPr>
        <w:t xml:space="preserve"> </w:t>
      </w:r>
      <w:r w:rsidRPr="000F2F86">
        <w:t>(AAT). Reviewable decisions are outlined in section 230 of the R</w:t>
      </w:r>
      <w:r w:rsidR="00302974">
        <w:t>ules</w:t>
      </w:r>
      <w:r w:rsidRPr="000F2F86">
        <w:t xml:space="preserve"> and include</w:t>
      </w:r>
      <w:r w:rsidR="00114B75">
        <w:t xml:space="preserve"> (but not limited to)</w:t>
      </w:r>
      <w:r w:rsidRPr="000F2F86">
        <w:t>:</w:t>
      </w:r>
    </w:p>
    <w:p w14:paraId="1430863C" w14:textId="2C57A67E" w:rsidR="00E159F6" w:rsidRPr="00CD165A" w:rsidRDefault="00E159F6" w:rsidP="00E159F6">
      <w:pPr>
        <w:pStyle w:val="Bullet1"/>
      </w:pPr>
      <w:r w:rsidRPr="00CD165A">
        <w:t xml:space="preserve">a decision </w:t>
      </w:r>
      <w:r w:rsidR="00276E05">
        <w:rPr>
          <w:lang w:val="en-US"/>
        </w:rPr>
        <w:t>to refuse</w:t>
      </w:r>
      <w:r w:rsidR="00276E05" w:rsidRPr="00CD165A">
        <w:t xml:space="preserve"> </w:t>
      </w:r>
      <w:r w:rsidRPr="00CD165A">
        <w:t>to consider certain applications</w:t>
      </w:r>
      <w:r w:rsidR="002C03BB">
        <w:rPr>
          <w:lang w:val="en-AU"/>
        </w:rPr>
        <w:t>;</w:t>
      </w:r>
    </w:p>
    <w:p w14:paraId="249A6F9C" w14:textId="68D9108F" w:rsidR="00E159F6" w:rsidRPr="00CD165A" w:rsidRDefault="00E159F6" w:rsidP="00E159F6">
      <w:pPr>
        <w:pStyle w:val="Bullet1"/>
      </w:pPr>
      <w:r w:rsidRPr="00CD165A">
        <w:t>a decision to refuse to grant certain approvals</w:t>
      </w:r>
      <w:r w:rsidR="002C03BB">
        <w:rPr>
          <w:lang w:val="en-AU"/>
        </w:rPr>
        <w:t>;</w:t>
      </w:r>
    </w:p>
    <w:p w14:paraId="53B875E8" w14:textId="5BA79E00" w:rsidR="00E159F6" w:rsidRPr="002C03BB" w:rsidRDefault="00E159F6" w:rsidP="00E159F6">
      <w:pPr>
        <w:pStyle w:val="Bullet1"/>
      </w:pPr>
      <w:r w:rsidRPr="00CD165A">
        <w:t>a decision to impose conditions on certain approvals</w:t>
      </w:r>
      <w:r w:rsidR="002C03BB">
        <w:rPr>
          <w:lang w:val="en-AU"/>
        </w:rPr>
        <w:t>.</w:t>
      </w:r>
    </w:p>
    <w:p w14:paraId="51268536" w14:textId="3ACF9951" w:rsidR="00F3659C" w:rsidRPr="00C9157A" w:rsidRDefault="00F3659C" w:rsidP="00F3659C">
      <w:pPr>
        <w:pStyle w:val="Heading2"/>
        <w:rPr>
          <w:sz w:val="44"/>
        </w:rPr>
      </w:pPr>
      <w:bookmarkStart w:id="57" w:name="_Toc67059866"/>
      <w:bookmarkStart w:id="58" w:name="_Toc75440301"/>
      <w:bookmarkStart w:id="59" w:name="_Toc141176183"/>
      <w:bookmarkEnd w:id="53"/>
      <w:r w:rsidRPr="00C9157A">
        <w:rPr>
          <w:sz w:val="44"/>
        </w:rPr>
        <w:t>Glossary</w:t>
      </w:r>
      <w:bookmarkEnd w:id="57"/>
      <w:bookmarkEnd w:id="58"/>
      <w:bookmarkEnd w:id="59"/>
    </w:p>
    <w:tbl>
      <w:tblPr>
        <w:tblStyle w:val="DefaultTable11"/>
        <w:tblW w:w="5000" w:type="pct"/>
        <w:tblLook w:val="0420" w:firstRow="1" w:lastRow="0" w:firstColumn="0" w:lastColumn="0" w:noHBand="0" w:noVBand="1"/>
        <w:tblCaption w:val="Sample table"/>
        <w:tblDescription w:val="Sample table"/>
      </w:tblPr>
      <w:tblGrid>
        <w:gridCol w:w="2269"/>
        <w:gridCol w:w="7595"/>
      </w:tblGrid>
      <w:tr w:rsidR="00F3659C" w:rsidRPr="000072C1" w14:paraId="6088058C" w14:textId="77777777" w:rsidTr="00787A68">
        <w:trPr>
          <w:cnfStyle w:val="100000000000" w:firstRow="1" w:lastRow="0" w:firstColumn="0" w:lastColumn="0" w:oddVBand="0" w:evenVBand="0" w:oddHBand="0" w:evenHBand="0" w:firstRowFirstColumn="0" w:firstRowLastColumn="0" w:lastRowFirstColumn="0" w:lastRowLastColumn="0"/>
        </w:trPr>
        <w:tc>
          <w:tcPr>
            <w:tcW w:w="1150" w:type="pct"/>
          </w:tcPr>
          <w:p w14:paraId="4DD15B42" w14:textId="77777777" w:rsidR="00F3659C" w:rsidRPr="009E6EEA" w:rsidRDefault="00F3659C" w:rsidP="00787A68">
            <w:pPr>
              <w:rPr>
                <w:rFonts w:ascii="Calibri" w:eastAsia="Calibri" w:hAnsi="Calibri" w:cs="Times New Roman"/>
                <w:color w:val="FFFFFF" w:themeColor="background1"/>
              </w:rPr>
            </w:pPr>
            <w:r w:rsidRPr="009E6EEA">
              <w:rPr>
                <w:rFonts w:ascii="Calibri" w:eastAsia="Calibri" w:hAnsi="Calibri" w:cs="Times New Roman"/>
                <w:color w:val="FFFFFF" w:themeColor="background1"/>
              </w:rPr>
              <w:t>Term</w:t>
            </w:r>
          </w:p>
        </w:tc>
        <w:tc>
          <w:tcPr>
            <w:tcW w:w="3850" w:type="pct"/>
          </w:tcPr>
          <w:p w14:paraId="73A6C95E" w14:textId="77777777" w:rsidR="00F3659C" w:rsidRPr="000072C1" w:rsidRDefault="00F3659C" w:rsidP="00787A68">
            <w:pPr>
              <w:rPr>
                <w:rFonts w:ascii="Calibri" w:eastAsia="Calibri" w:hAnsi="Calibri" w:cs="Times New Roman"/>
                <w:color w:val="FFFFFF" w:themeColor="background1"/>
              </w:rPr>
            </w:pPr>
            <w:r w:rsidRPr="000072C1">
              <w:rPr>
                <w:rFonts w:ascii="Calibri" w:eastAsia="Calibri" w:hAnsi="Calibri" w:cs="Times New Roman"/>
                <w:color w:val="FFFFFF" w:themeColor="background1"/>
              </w:rPr>
              <w:t>Definition</w:t>
            </w:r>
          </w:p>
        </w:tc>
      </w:tr>
      <w:tr w:rsidR="00F3659C" w:rsidRPr="00885089" w14:paraId="11A2E95B" w14:textId="77777777" w:rsidTr="00787A68">
        <w:tc>
          <w:tcPr>
            <w:tcW w:w="1150" w:type="pct"/>
          </w:tcPr>
          <w:p w14:paraId="5D49A300" w14:textId="5BFB55F2" w:rsidR="00F3659C" w:rsidRPr="00885089" w:rsidRDefault="000E790C" w:rsidP="00787A68">
            <w:pPr>
              <w:rPr>
                <w:rFonts w:ascii="Calibri" w:eastAsia="Calibri" w:hAnsi="Calibri" w:cs="Times New Roman"/>
              </w:rPr>
            </w:pPr>
            <w:r>
              <w:rPr>
                <w:rFonts w:ascii="Calibri" w:eastAsia="Calibri" w:hAnsi="Calibri" w:cs="Times New Roman"/>
              </w:rPr>
              <w:t>Australian Design Rules (</w:t>
            </w:r>
            <w:r w:rsidR="00F3659C">
              <w:rPr>
                <w:rFonts w:ascii="Calibri" w:eastAsia="Calibri" w:hAnsi="Calibri" w:cs="Times New Roman"/>
              </w:rPr>
              <w:t>ADRs</w:t>
            </w:r>
            <w:r>
              <w:rPr>
                <w:rFonts w:ascii="Calibri" w:eastAsia="Calibri" w:hAnsi="Calibri" w:cs="Times New Roman"/>
              </w:rPr>
              <w:t>)</w:t>
            </w:r>
          </w:p>
        </w:tc>
        <w:tc>
          <w:tcPr>
            <w:tcW w:w="3850" w:type="pct"/>
          </w:tcPr>
          <w:p w14:paraId="6CFF1A5A" w14:textId="2B77EEA8" w:rsidR="00F3659C" w:rsidRPr="00885089" w:rsidRDefault="000E790C" w:rsidP="00787A68">
            <w:pPr>
              <w:rPr>
                <w:rFonts w:ascii="Calibri" w:eastAsia="Calibri" w:hAnsi="Calibri" w:cs="Times New Roman"/>
              </w:rPr>
            </w:pPr>
            <w:r w:rsidRPr="00901943">
              <w:rPr>
                <w:color w:val="000000" w:themeColor="text1"/>
              </w:rPr>
              <w:t>National road vehicle standards</w:t>
            </w:r>
            <w:r w:rsidR="003C20D2" w:rsidRPr="003C20D2">
              <w:rPr>
                <w:rFonts w:ascii="Calibri" w:eastAsia="Calibri" w:hAnsi="Calibri" w:cs="Times New Roman"/>
              </w:rPr>
              <w:t> under the RVSA. They are determined under section 12 of the RVSA, and include ADRs that were determined under the </w:t>
            </w:r>
            <w:r w:rsidRPr="00901943">
              <w:rPr>
                <w:color w:val="000000" w:themeColor="text1"/>
              </w:rPr>
              <w:t>MVSA</w:t>
            </w:r>
            <w:r w:rsidR="003C20D2" w:rsidRPr="003C20D2">
              <w:rPr>
                <w:rFonts w:ascii="Calibri" w:eastAsia="Calibri" w:hAnsi="Calibri" w:cs="Times New Roman"/>
              </w:rPr>
              <w:t>.</w:t>
            </w:r>
          </w:p>
        </w:tc>
      </w:tr>
      <w:tr w:rsidR="00F3659C" w:rsidRPr="00885089" w14:paraId="22C8D0FB"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31DF08DF" w14:textId="599020B1" w:rsidR="00F3659C" w:rsidRPr="00885089" w:rsidRDefault="00B5276C" w:rsidP="00787A68">
            <w:pPr>
              <w:rPr>
                <w:rFonts w:ascii="Calibri" w:eastAsia="Calibri" w:hAnsi="Calibri" w:cs="Times New Roman"/>
              </w:rPr>
            </w:pPr>
            <w:r w:rsidRPr="00885089">
              <w:rPr>
                <w:rFonts w:ascii="Calibri" w:eastAsia="Calibri" w:hAnsi="Calibri" w:cs="Times New Roman"/>
              </w:rPr>
              <w:t xml:space="preserve">Aggregate Trailer Mass </w:t>
            </w:r>
            <w:r>
              <w:rPr>
                <w:rFonts w:ascii="Calibri" w:eastAsia="Calibri" w:hAnsi="Calibri" w:cs="Times New Roman"/>
              </w:rPr>
              <w:t>(</w:t>
            </w:r>
            <w:r w:rsidR="00F3659C" w:rsidRPr="00885089">
              <w:rPr>
                <w:rFonts w:ascii="Calibri" w:eastAsia="Calibri" w:hAnsi="Calibri" w:cs="Times New Roman"/>
              </w:rPr>
              <w:t>ATM</w:t>
            </w:r>
            <w:r>
              <w:rPr>
                <w:rFonts w:ascii="Calibri" w:eastAsia="Calibri" w:hAnsi="Calibri" w:cs="Times New Roman"/>
              </w:rPr>
              <w:t>)</w:t>
            </w:r>
          </w:p>
        </w:tc>
        <w:tc>
          <w:tcPr>
            <w:tcW w:w="3850" w:type="pct"/>
          </w:tcPr>
          <w:p w14:paraId="5464316C" w14:textId="0661F40A" w:rsidR="00F3659C" w:rsidRPr="00885089" w:rsidRDefault="003C20D2" w:rsidP="00787A68">
            <w:pPr>
              <w:rPr>
                <w:rFonts w:ascii="Calibri" w:eastAsia="Calibri" w:hAnsi="Calibri" w:cs="Times New Roman"/>
              </w:rPr>
            </w:pPr>
            <w:r w:rsidRPr="003C20D2">
              <w:rPr>
                <w:rFonts w:ascii="Calibri" w:eastAsia="Calibri" w:hAnsi="Calibri" w:cs="Times New Roman"/>
              </w:rPr>
              <w:t>The total mass of a laden trailer when carrying the maximum load recommended by the manufacturer, and includes any mass imposed on the towing vehicle when the towing vehicle and trailer are connected and resting on a horizontal surface.</w:t>
            </w:r>
          </w:p>
        </w:tc>
      </w:tr>
      <w:tr w:rsidR="00571D9F" w:rsidRPr="00885089" w14:paraId="0D58A917" w14:textId="77777777" w:rsidTr="00787A68">
        <w:tc>
          <w:tcPr>
            <w:tcW w:w="1150" w:type="pct"/>
          </w:tcPr>
          <w:p w14:paraId="66D1FFE7" w14:textId="055451B7" w:rsidR="00571D9F" w:rsidRPr="00885089" w:rsidRDefault="00B5276C" w:rsidP="00787A68">
            <w:pPr>
              <w:rPr>
                <w:rFonts w:ascii="Calibri" w:eastAsia="Calibri" w:hAnsi="Calibri" w:cs="Times New Roman"/>
              </w:rPr>
            </w:pPr>
            <w:r>
              <w:rPr>
                <w:rFonts w:ascii="Calibri" w:eastAsia="Calibri" w:hAnsi="Calibri" w:cs="Times New Roman"/>
              </w:rPr>
              <w:t>Authorised Vehicle Verifier (</w:t>
            </w:r>
            <w:r w:rsidR="00571D9F">
              <w:rPr>
                <w:rFonts w:ascii="Calibri" w:eastAsia="Calibri" w:hAnsi="Calibri" w:cs="Times New Roman"/>
              </w:rPr>
              <w:t>AVV</w:t>
            </w:r>
            <w:r>
              <w:rPr>
                <w:rFonts w:ascii="Calibri" w:eastAsia="Calibri" w:hAnsi="Calibri" w:cs="Times New Roman"/>
              </w:rPr>
              <w:t>)</w:t>
            </w:r>
          </w:p>
        </w:tc>
        <w:tc>
          <w:tcPr>
            <w:tcW w:w="3850" w:type="pct"/>
          </w:tcPr>
          <w:p w14:paraId="21532254" w14:textId="60FB2E31" w:rsidR="00571D9F" w:rsidRPr="00885089" w:rsidRDefault="00571D9F" w:rsidP="00787A68">
            <w:pPr>
              <w:rPr>
                <w:rFonts w:ascii="Calibri" w:eastAsia="Calibri" w:hAnsi="Calibri" w:cs="Times New Roman"/>
              </w:rPr>
            </w:pPr>
            <w:r w:rsidRPr="00571D9F">
              <w:rPr>
                <w:rFonts w:ascii="Calibri" w:eastAsia="Calibri" w:hAnsi="Calibri" w:cs="Times New Roman"/>
              </w:rPr>
              <w:t>A corporation approved to provide an independent vehicle inspection and verification service. They will provide vehicle owners, and the public more broadly, with greater assurance of integrity and compliance for vehicles that have been modified by a </w:t>
            </w:r>
            <w:r w:rsidR="00B5276C" w:rsidRPr="00901943">
              <w:rPr>
                <w:color w:val="000000" w:themeColor="text1"/>
              </w:rPr>
              <w:t>RAW</w:t>
            </w:r>
            <w:r w:rsidRPr="00571D9F">
              <w:rPr>
                <w:rFonts w:ascii="Calibri" w:eastAsia="Calibri" w:hAnsi="Calibri" w:cs="Times New Roman"/>
              </w:rPr>
              <w:t>, as well as in other circumstances that may be required by conditions on approvals. Vehicle inspections conducted by the holder of an AVV approval must take place in Australia. An AVV cannot also be the holder of a </w:t>
            </w:r>
            <w:r w:rsidR="00B5276C" w:rsidRPr="00901943">
              <w:rPr>
                <w:color w:val="000000" w:themeColor="text1"/>
              </w:rPr>
              <w:t>RAW</w:t>
            </w:r>
            <w:r w:rsidRPr="00571D9F">
              <w:rPr>
                <w:rFonts w:ascii="Calibri" w:eastAsia="Calibri" w:hAnsi="Calibri" w:cs="Times New Roman"/>
              </w:rPr>
              <w:t> approval.</w:t>
            </w:r>
          </w:p>
        </w:tc>
      </w:tr>
      <w:tr w:rsidR="00571D9F" w:rsidRPr="00885089" w14:paraId="396DE0FD"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3F040C84" w14:textId="06C7CF8F" w:rsidR="00571D9F" w:rsidRDefault="00571D9F" w:rsidP="00787A68">
            <w:pPr>
              <w:rPr>
                <w:rFonts w:ascii="Calibri" w:eastAsia="Calibri" w:hAnsi="Calibri" w:cs="Times New Roman"/>
              </w:rPr>
            </w:pPr>
            <w:r>
              <w:rPr>
                <w:rFonts w:ascii="Calibri" w:eastAsia="Calibri" w:hAnsi="Calibri" w:cs="Times New Roman"/>
              </w:rPr>
              <w:t>Compliance monitoring</w:t>
            </w:r>
          </w:p>
        </w:tc>
        <w:tc>
          <w:tcPr>
            <w:tcW w:w="3850" w:type="pct"/>
          </w:tcPr>
          <w:p w14:paraId="196100F1" w14:textId="5ABEF152" w:rsidR="00571D9F" w:rsidRDefault="00571D9F" w:rsidP="00787A68">
            <w:pPr>
              <w:rPr>
                <w:rFonts w:ascii="Calibri" w:eastAsia="Calibri" w:hAnsi="Calibri" w:cs="Times New Roman"/>
              </w:rPr>
            </w:pPr>
            <w:r w:rsidRPr="00571D9F">
              <w:rPr>
                <w:rFonts w:ascii="Calibri" w:eastAsia="Calibri" w:hAnsi="Calibri" w:cs="Times New Roman"/>
              </w:rPr>
              <w:t>A broad term referring to any form of information collection, or contact with a regulated entity by the department to identify any issues relating to that entity’s </w:t>
            </w:r>
            <w:hyperlink r:id="rId29" w:tooltip="Compliance and enforcement under the RVSA" w:history="1">
              <w:r w:rsidRPr="00571D9F">
                <w:rPr>
                  <w:rStyle w:val="Hyperlink"/>
                  <w:rFonts w:ascii="Calibri" w:eastAsia="Calibri" w:hAnsi="Calibri" w:cs="Times New Roman"/>
                </w:rPr>
                <w:t>compliance</w:t>
              </w:r>
            </w:hyperlink>
            <w:r w:rsidRPr="00571D9F">
              <w:rPr>
                <w:rFonts w:ascii="Calibri" w:eastAsia="Calibri" w:hAnsi="Calibri" w:cs="Times New Roman"/>
              </w:rPr>
              <w:t> with the legislation and/or conditions of an approval the entity holds.</w:t>
            </w:r>
          </w:p>
        </w:tc>
      </w:tr>
      <w:tr w:rsidR="00571D9F" w:rsidRPr="00885089" w14:paraId="17D2025E" w14:textId="77777777" w:rsidTr="00787A68">
        <w:tc>
          <w:tcPr>
            <w:tcW w:w="1150" w:type="pct"/>
          </w:tcPr>
          <w:p w14:paraId="7E5C7279" w14:textId="2B5BC6D8" w:rsidR="00571D9F" w:rsidRDefault="00571D9F" w:rsidP="00787A68">
            <w:pPr>
              <w:rPr>
                <w:rFonts w:ascii="Calibri" w:eastAsia="Calibri" w:hAnsi="Calibri" w:cs="Times New Roman"/>
              </w:rPr>
            </w:pPr>
            <w:r>
              <w:rPr>
                <w:rFonts w:ascii="Calibri" w:eastAsia="Calibri" w:hAnsi="Calibri" w:cs="Times New Roman"/>
              </w:rPr>
              <w:t>High ATM trailer</w:t>
            </w:r>
          </w:p>
        </w:tc>
        <w:tc>
          <w:tcPr>
            <w:tcW w:w="3850" w:type="pct"/>
          </w:tcPr>
          <w:p w14:paraId="3BA08318" w14:textId="20A8BFEB" w:rsidR="00571D9F" w:rsidRPr="00571D9F" w:rsidRDefault="00571D9F" w:rsidP="00787A68">
            <w:pPr>
              <w:rPr>
                <w:rFonts w:ascii="Calibri" w:eastAsia="Calibri" w:hAnsi="Calibri" w:cs="Times New Roman"/>
              </w:rPr>
            </w:pPr>
            <w:r w:rsidRPr="00571D9F">
              <w:rPr>
                <w:rFonts w:ascii="Calibri" w:eastAsia="Calibri" w:hAnsi="Calibri" w:cs="Times New Roman"/>
              </w:rPr>
              <w:t>A trailer with an aggregate trailer mass (ATM) of more than 4.5 tonnes.</w:t>
            </w:r>
          </w:p>
        </w:tc>
      </w:tr>
      <w:tr w:rsidR="00F3659C" w:rsidRPr="00885089" w14:paraId="60BBF42E"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0D05F15F" w14:textId="77777777" w:rsidR="00F3659C" w:rsidRPr="00885089" w:rsidRDefault="00F3659C" w:rsidP="00787A68">
            <w:pPr>
              <w:rPr>
                <w:rFonts w:ascii="Calibri" w:eastAsia="Calibri" w:hAnsi="Calibri" w:cs="Times New Roman"/>
              </w:rPr>
            </w:pPr>
            <w:r w:rsidRPr="00885089">
              <w:rPr>
                <w:rFonts w:ascii="Calibri" w:eastAsia="Calibri" w:hAnsi="Calibri" w:cs="Times New Roman"/>
              </w:rPr>
              <w:t>Inspection</w:t>
            </w:r>
          </w:p>
        </w:tc>
        <w:tc>
          <w:tcPr>
            <w:tcW w:w="3850" w:type="pct"/>
          </w:tcPr>
          <w:p w14:paraId="3809883A" w14:textId="4CE402D7" w:rsidR="00F3659C" w:rsidRPr="00885089" w:rsidRDefault="00B77208" w:rsidP="00787A68">
            <w:pPr>
              <w:spacing w:after="0"/>
              <w:rPr>
                <w:rFonts w:ascii="Calibri" w:eastAsia="Calibri" w:hAnsi="Calibri" w:cs="Times New Roman"/>
              </w:rPr>
            </w:pPr>
            <w:r w:rsidRPr="00B77208">
              <w:rPr>
                <w:rFonts w:ascii="Calibri" w:eastAsia="Calibri" w:hAnsi="Calibri" w:cs="Times New Roman"/>
              </w:rPr>
              <w:t>The department may conduct an inspection to assess whether or not a regulated entity complies with the RVS legislation and any conditions of the approval they hold.</w:t>
            </w:r>
          </w:p>
        </w:tc>
      </w:tr>
      <w:tr w:rsidR="00F3659C" w:rsidRPr="00885089" w14:paraId="69BB5599" w14:textId="77777777" w:rsidTr="00787A68">
        <w:tc>
          <w:tcPr>
            <w:tcW w:w="1150" w:type="pct"/>
          </w:tcPr>
          <w:p w14:paraId="2593841F" w14:textId="77777777" w:rsidR="00F3659C" w:rsidRPr="00885089" w:rsidRDefault="00F3659C" w:rsidP="00787A68">
            <w:pPr>
              <w:rPr>
                <w:rFonts w:ascii="Calibri" w:eastAsia="Calibri" w:hAnsi="Calibri" w:cs="Times New Roman"/>
              </w:rPr>
            </w:pPr>
            <w:r w:rsidRPr="00885089">
              <w:rPr>
                <w:rFonts w:ascii="Calibri" w:eastAsia="Calibri" w:hAnsi="Calibri" w:cs="Times New Roman"/>
              </w:rPr>
              <w:t>Inspector</w:t>
            </w:r>
          </w:p>
        </w:tc>
        <w:tc>
          <w:tcPr>
            <w:tcW w:w="3850" w:type="pct"/>
          </w:tcPr>
          <w:p w14:paraId="274052F5" w14:textId="4E759575" w:rsidR="00F3659C" w:rsidRPr="00885089" w:rsidRDefault="00B77208" w:rsidP="00787A68">
            <w:pPr>
              <w:spacing w:after="0"/>
              <w:rPr>
                <w:rFonts w:ascii="Calibri" w:eastAsia="Calibri" w:hAnsi="Calibri" w:cs="Times New Roman"/>
              </w:rPr>
            </w:pPr>
            <w:r w:rsidRPr="00B77208">
              <w:rPr>
                <w:rFonts w:ascii="Calibri" w:eastAsia="Calibri" w:hAnsi="Calibri" w:cs="Times New Roman"/>
              </w:rPr>
              <w:t>A person appointed by the Secretary under section 49 of the RVSA to exercise the functions and powers conferred on them, subject to conditions and restrictions specified in the person’s instrument of appointment.</w:t>
            </w:r>
          </w:p>
        </w:tc>
      </w:tr>
      <w:tr w:rsidR="00B77208" w:rsidRPr="00885089" w14:paraId="7F2C21FA"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5917B2AE" w14:textId="5E45D0AF" w:rsidR="00B77208" w:rsidRPr="00885089" w:rsidRDefault="00B77208" w:rsidP="00787A68">
            <w:pPr>
              <w:rPr>
                <w:rFonts w:ascii="Calibri" w:eastAsia="Calibri" w:hAnsi="Calibri" w:cs="Times New Roman"/>
              </w:rPr>
            </w:pPr>
            <w:r>
              <w:rPr>
                <w:rFonts w:ascii="Calibri" w:eastAsia="Calibri" w:hAnsi="Calibri" w:cs="Times New Roman"/>
              </w:rPr>
              <w:t>Model Report</w:t>
            </w:r>
          </w:p>
        </w:tc>
        <w:tc>
          <w:tcPr>
            <w:tcW w:w="3850" w:type="pct"/>
          </w:tcPr>
          <w:p w14:paraId="7D2E958C" w14:textId="1F28096F" w:rsidR="00B77208" w:rsidRPr="00832DEC" w:rsidRDefault="00B77208" w:rsidP="00787A68">
            <w:pPr>
              <w:spacing w:after="0"/>
              <w:rPr>
                <w:rFonts w:ascii="Calibri" w:eastAsia="Calibri" w:hAnsi="Calibri" w:cs="Times New Roman"/>
              </w:rPr>
            </w:pPr>
            <w:r w:rsidRPr="00B77208">
              <w:rPr>
                <w:rFonts w:ascii="Calibri" w:eastAsia="Calibri" w:hAnsi="Calibri" w:cs="Times New Roman"/>
              </w:rPr>
              <w:t>This is a tool to enable vehicles to meet the requirements of the type approval or </w:t>
            </w:r>
            <w:r w:rsidR="00B5276C" w:rsidRPr="00901943">
              <w:rPr>
                <w:color w:val="000000" w:themeColor="text1"/>
              </w:rPr>
              <w:t>concessional RAV entry pathway</w:t>
            </w:r>
            <w:r w:rsidRPr="00B77208">
              <w:rPr>
                <w:rFonts w:ascii="Calibri" w:eastAsia="Calibri" w:hAnsi="Calibri" w:cs="Times New Roman"/>
              </w:rPr>
              <w:t>.</w:t>
            </w:r>
          </w:p>
        </w:tc>
      </w:tr>
      <w:tr w:rsidR="00F3659C" w:rsidRPr="00885089" w14:paraId="5EF8D3A0" w14:textId="77777777" w:rsidTr="00787A68">
        <w:tc>
          <w:tcPr>
            <w:tcW w:w="1150" w:type="pct"/>
          </w:tcPr>
          <w:p w14:paraId="52CFAB31" w14:textId="383E8BC5" w:rsidR="00F3659C" w:rsidRPr="00885089" w:rsidRDefault="00B5276C" w:rsidP="00787A68">
            <w:pPr>
              <w:rPr>
                <w:rFonts w:ascii="Calibri" w:eastAsia="Calibri" w:hAnsi="Calibri" w:cs="Times New Roman"/>
              </w:rPr>
            </w:pPr>
            <w:r w:rsidRPr="00AE5CA3">
              <w:rPr>
                <w:rFonts w:ascii="Calibri" w:eastAsia="Calibri" w:hAnsi="Calibri" w:cs="Times New Roman"/>
                <w:i/>
              </w:rPr>
              <w:t xml:space="preserve">Motor Vehicle Standards Act </w:t>
            </w:r>
            <w:r w:rsidRPr="00B5276C">
              <w:rPr>
                <w:rFonts w:ascii="Calibri" w:eastAsia="Calibri" w:hAnsi="Calibri" w:cs="Times New Roman"/>
                <w:i/>
              </w:rPr>
              <w:t>1989</w:t>
            </w:r>
            <w:r>
              <w:rPr>
                <w:rFonts w:ascii="Calibri" w:eastAsia="Calibri" w:hAnsi="Calibri" w:cs="Times New Roman"/>
              </w:rPr>
              <w:t xml:space="preserve"> (</w:t>
            </w:r>
            <w:r w:rsidR="00F3659C" w:rsidRPr="00B5276C">
              <w:rPr>
                <w:rFonts w:ascii="Calibri" w:eastAsia="Calibri" w:hAnsi="Calibri" w:cs="Times New Roman"/>
              </w:rPr>
              <w:t>MVSA</w:t>
            </w:r>
            <w:r>
              <w:rPr>
                <w:rFonts w:ascii="Calibri" w:eastAsia="Calibri" w:hAnsi="Calibri" w:cs="Times New Roman"/>
              </w:rPr>
              <w:t>)</w:t>
            </w:r>
          </w:p>
        </w:tc>
        <w:tc>
          <w:tcPr>
            <w:tcW w:w="3850" w:type="pct"/>
          </w:tcPr>
          <w:p w14:paraId="03E76420" w14:textId="2509B6A4" w:rsidR="00F3659C" w:rsidRPr="00885089" w:rsidRDefault="003C20D2" w:rsidP="00787A68">
            <w:pPr>
              <w:spacing w:after="0"/>
              <w:rPr>
                <w:rFonts w:ascii="Calibri" w:eastAsia="Calibri" w:hAnsi="Calibri" w:cs="Times New Roman"/>
              </w:rPr>
            </w:pPr>
            <w:r w:rsidRPr="003C20D2">
              <w:rPr>
                <w:rFonts w:ascii="Calibri" w:eastAsia="Calibri" w:hAnsi="Calibri" w:cs="Times New Roman"/>
              </w:rPr>
              <w:t>An Act to provide for national motor vehicle standards and for related purposes. The MVSA will be replaced by the </w:t>
            </w:r>
            <w:r w:rsidR="00B5276C" w:rsidRPr="00901943">
              <w:rPr>
                <w:color w:val="000000" w:themeColor="text1"/>
              </w:rPr>
              <w:t>RVS legislation</w:t>
            </w:r>
            <w:r w:rsidRPr="003C20D2">
              <w:rPr>
                <w:rFonts w:ascii="Calibri" w:eastAsia="Calibri" w:hAnsi="Calibri" w:cs="Times New Roman"/>
              </w:rPr>
              <w:t>—full implementation of the RVS legislation occurred on 1 July 2021.</w:t>
            </w:r>
          </w:p>
        </w:tc>
      </w:tr>
      <w:tr w:rsidR="00B77208" w:rsidRPr="00885089" w14:paraId="2E25542B"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21E8F199" w14:textId="4891F557" w:rsidR="00B77208" w:rsidRPr="00885089" w:rsidRDefault="00B77208" w:rsidP="00787A68">
            <w:pPr>
              <w:rPr>
                <w:rFonts w:ascii="Calibri" w:eastAsia="Calibri" w:hAnsi="Calibri" w:cs="Times New Roman"/>
              </w:rPr>
            </w:pPr>
            <w:r>
              <w:rPr>
                <w:rFonts w:ascii="Calibri" w:eastAsia="Calibri" w:hAnsi="Calibri" w:cs="Times New Roman"/>
              </w:rPr>
              <w:t>Opt-in arrangements</w:t>
            </w:r>
          </w:p>
        </w:tc>
        <w:tc>
          <w:tcPr>
            <w:tcW w:w="3850" w:type="pct"/>
          </w:tcPr>
          <w:p w14:paraId="00894B95" w14:textId="0B524E0E" w:rsidR="00B77208" w:rsidRPr="00832DEC" w:rsidRDefault="00B77208" w:rsidP="00787A68">
            <w:pPr>
              <w:spacing w:after="0"/>
              <w:rPr>
                <w:rFonts w:ascii="Calibri" w:eastAsia="Calibri" w:hAnsi="Calibri" w:cs="Times New Roman"/>
              </w:rPr>
            </w:pPr>
            <w:r w:rsidRPr="00B77208">
              <w:rPr>
                <w:rFonts w:ascii="Calibri" w:eastAsia="Calibri" w:hAnsi="Calibri" w:cs="Times New Roman"/>
              </w:rPr>
              <w:t xml:space="preserve">This is a tool </w:t>
            </w:r>
            <w:r w:rsidR="00276E05">
              <w:rPr>
                <w:rFonts w:ascii="Calibri" w:eastAsia="Calibri" w:hAnsi="Calibri" w:cs="Times New Roman"/>
                <w:color w:val="auto"/>
              </w:rPr>
              <w:t xml:space="preserve">accessible during the transitional period of the RVS legislation </w:t>
            </w:r>
            <w:r w:rsidRPr="00B77208">
              <w:rPr>
                <w:rFonts w:ascii="Calibri" w:eastAsia="Calibri" w:hAnsi="Calibri" w:cs="Times New Roman"/>
              </w:rPr>
              <w:t xml:space="preserve">to enable </w:t>
            </w:r>
            <w:r w:rsidR="00276E05">
              <w:rPr>
                <w:rFonts w:ascii="Calibri" w:eastAsia="Calibri" w:hAnsi="Calibri" w:cs="Times New Roman"/>
              </w:rPr>
              <w:t>some MVSA approval holders to be granted a corresponding RVS VTA</w:t>
            </w:r>
            <w:r w:rsidRPr="00B77208">
              <w:rPr>
                <w:rFonts w:ascii="Calibri" w:eastAsia="Calibri" w:hAnsi="Calibri" w:cs="Times New Roman"/>
              </w:rPr>
              <w:t>.</w:t>
            </w:r>
          </w:p>
        </w:tc>
      </w:tr>
      <w:tr w:rsidR="003C20D2" w:rsidRPr="00885089" w14:paraId="2301CB94" w14:textId="77777777" w:rsidTr="00787A68">
        <w:tc>
          <w:tcPr>
            <w:tcW w:w="1150" w:type="pct"/>
          </w:tcPr>
          <w:p w14:paraId="48DC72A8" w14:textId="6F891346" w:rsidR="003C20D2" w:rsidRPr="00885089" w:rsidRDefault="00B5276C" w:rsidP="00787A68">
            <w:pPr>
              <w:rPr>
                <w:rFonts w:ascii="Calibri" w:eastAsia="Calibri" w:hAnsi="Calibri" w:cs="Times New Roman"/>
              </w:rPr>
            </w:pPr>
            <w:r>
              <w:rPr>
                <w:rFonts w:ascii="Calibri" w:eastAsia="Calibri" w:hAnsi="Calibri" w:cs="Times New Roman"/>
              </w:rPr>
              <w:t>Registered Automotive Workshop (</w:t>
            </w:r>
            <w:r w:rsidR="003C20D2">
              <w:rPr>
                <w:rFonts w:ascii="Calibri" w:eastAsia="Calibri" w:hAnsi="Calibri" w:cs="Times New Roman"/>
              </w:rPr>
              <w:t>RAW</w:t>
            </w:r>
            <w:r>
              <w:rPr>
                <w:rFonts w:ascii="Calibri" w:eastAsia="Calibri" w:hAnsi="Calibri" w:cs="Times New Roman"/>
              </w:rPr>
              <w:t>)</w:t>
            </w:r>
          </w:p>
        </w:tc>
        <w:tc>
          <w:tcPr>
            <w:tcW w:w="3850" w:type="pct"/>
          </w:tcPr>
          <w:p w14:paraId="4C27840D" w14:textId="6211DA6D" w:rsidR="003C20D2" w:rsidRPr="00832DEC" w:rsidRDefault="003C20D2" w:rsidP="00787A68">
            <w:pPr>
              <w:spacing w:after="0"/>
              <w:rPr>
                <w:rFonts w:ascii="Calibri" w:eastAsia="Calibri" w:hAnsi="Calibri" w:cs="Times New Roman"/>
              </w:rPr>
            </w:pPr>
            <w:r w:rsidRPr="003C20D2">
              <w:rPr>
                <w:rFonts w:ascii="Calibri" w:eastAsia="Calibri" w:hAnsi="Calibri" w:cs="Times New Roman"/>
              </w:rPr>
              <w:t>The holder of a RAW approval can modify vehicles in accordance with </w:t>
            </w:r>
            <w:hyperlink r:id="rId30" w:anchor="Model" w:tooltip="Jump to Model Report" w:history="1">
              <w:r w:rsidRPr="003C20D2">
                <w:rPr>
                  <w:rStyle w:val="Hyperlink"/>
                  <w:rFonts w:ascii="Calibri" w:eastAsia="Calibri" w:hAnsi="Calibri" w:cs="Times New Roman"/>
                </w:rPr>
                <w:t>Model Reports</w:t>
              </w:r>
            </w:hyperlink>
            <w:r w:rsidRPr="003C20D2">
              <w:rPr>
                <w:rFonts w:ascii="Calibri" w:eastAsia="Calibri" w:hAnsi="Calibri" w:cs="Times New Roman"/>
              </w:rPr>
              <w:t>. They can modify specialist and enthusiast vehicles and used motorcycles to comply with the RVS legislation. They can also complete second stage of manufacture in accordance with a Model Report. This is a tool to enable vehicles to meet the requirements of the </w:t>
            </w:r>
            <w:r w:rsidR="00B5276C" w:rsidRPr="00901943">
              <w:rPr>
                <w:color w:val="000000" w:themeColor="text1"/>
              </w:rPr>
              <w:t>concessional RAV entry pathway</w:t>
            </w:r>
            <w:r w:rsidRPr="003C20D2">
              <w:rPr>
                <w:rFonts w:ascii="Calibri" w:eastAsia="Calibri" w:hAnsi="Calibri" w:cs="Times New Roman"/>
              </w:rPr>
              <w:t>.</w:t>
            </w:r>
          </w:p>
        </w:tc>
      </w:tr>
      <w:tr w:rsidR="00F3659C" w:rsidRPr="00885089" w14:paraId="6379DC87"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0ADB7D37" w14:textId="4C234C2A" w:rsidR="00F3659C" w:rsidRPr="00885089" w:rsidRDefault="00B5276C" w:rsidP="00787A68">
            <w:pPr>
              <w:rPr>
                <w:rFonts w:ascii="Calibri" w:eastAsia="Calibri" w:hAnsi="Calibri" w:cs="Times New Roman"/>
              </w:rPr>
            </w:pPr>
            <w:r w:rsidRPr="008471F1">
              <w:rPr>
                <w:rFonts w:ascii="Calibri" w:eastAsia="Calibri" w:hAnsi="Calibri" w:cs="Times New Roman"/>
              </w:rPr>
              <w:t>Register of Approved Vehicles</w:t>
            </w:r>
            <w:r w:rsidRPr="00885089">
              <w:rPr>
                <w:rFonts w:ascii="Calibri" w:eastAsia="Calibri" w:hAnsi="Calibri" w:cs="Times New Roman"/>
              </w:rPr>
              <w:t xml:space="preserve"> </w:t>
            </w:r>
            <w:r>
              <w:rPr>
                <w:rFonts w:ascii="Calibri" w:eastAsia="Calibri" w:hAnsi="Calibri" w:cs="Times New Roman"/>
              </w:rPr>
              <w:t>(</w:t>
            </w:r>
            <w:r w:rsidR="00F3659C" w:rsidRPr="00885089">
              <w:rPr>
                <w:rFonts w:ascii="Calibri" w:eastAsia="Calibri" w:hAnsi="Calibri" w:cs="Times New Roman"/>
              </w:rPr>
              <w:t>RAV</w:t>
            </w:r>
            <w:r>
              <w:rPr>
                <w:rFonts w:ascii="Calibri" w:eastAsia="Calibri" w:hAnsi="Calibri" w:cs="Times New Roman"/>
              </w:rPr>
              <w:t>)</w:t>
            </w:r>
          </w:p>
        </w:tc>
        <w:tc>
          <w:tcPr>
            <w:tcW w:w="3850" w:type="pct"/>
          </w:tcPr>
          <w:p w14:paraId="215F6386" w14:textId="5A731889" w:rsidR="00F3659C" w:rsidRPr="00885089" w:rsidRDefault="003C20D2" w:rsidP="00787A68">
            <w:pPr>
              <w:rPr>
                <w:rFonts w:ascii="Calibri" w:eastAsia="Calibri" w:hAnsi="Calibri" w:cs="Times New Roman"/>
              </w:rPr>
            </w:pPr>
            <w:r w:rsidRPr="003C20D2">
              <w:rPr>
                <w:rFonts w:ascii="Calibri" w:eastAsia="Calibri" w:hAnsi="Calibri" w:cs="Times New Roman"/>
              </w:rPr>
              <w:t>A publicly accessible online database of vehicles that have met the requirements of the RVS legislation and been approved for provision to the Australian market.</w:t>
            </w:r>
          </w:p>
        </w:tc>
      </w:tr>
      <w:tr w:rsidR="00F3659C" w:rsidRPr="00885089" w14:paraId="5FB806DD" w14:textId="77777777" w:rsidTr="00787A68">
        <w:tc>
          <w:tcPr>
            <w:tcW w:w="1150" w:type="pct"/>
          </w:tcPr>
          <w:p w14:paraId="550E0082" w14:textId="77777777" w:rsidR="00F3659C" w:rsidRPr="00885089" w:rsidRDefault="00F3659C" w:rsidP="00787A68">
            <w:pPr>
              <w:rPr>
                <w:rFonts w:ascii="Calibri" w:eastAsia="Calibri" w:hAnsi="Calibri" w:cs="Times New Roman"/>
              </w:rPr>
            </w:pPr>
            <w:r w:rsidRPr="00885089">
              <w:rPr>
                <w:rFonts w:ascii="Calibri" w:eastAsia="Calibri" w:hAnsi="Calibri" w:cs="Times New Roman"/>
              </w:rPr>
              <w:t>Regulated entity</w:t>
            </w:r>
          </w:p>
        </w:tc>
        <w:tc>
          <w:tcPr>
            <w:tcW w:w="3850" w:type="pct"/>
          </w:tcPr>
          <w:p w14:paraId="1536506C" w14:textId="5121D770" w:rsidR="00F3659C" w:rsidRPr="00885089" w:rsidRDefault="00F3659C" w:rsidP="00787A68">
            <w:pPr>
              <w:rPr>
                <w:rFonts w:ascii="Calibri" w:eastAsia="Calibri" w:hAnsi="Calibri" w:cs="Times New Roman"/>
              </w:rPr>
            </w:pPr>
            <w:r w:rsidRPr="00885089">
              <w:rPr>
                <w:rFonts w:ascii="Calibri" w:eastAsia="Calibri" w:hAnsi="Calibri" w:cs="Times New Roman"/>
              </w:rPr>
              <w:t xml:space="preserve">An individual or organisation engaged in the </w:t>
            </w:r>
            <w:r w:rsidR="00ED1B59">
              <w:rPr>
                <w:rFonts w:ascii="Calibri" w:eastAsia="Calibri" w:hAnsi="Calibri" w:cs="Times New Roman"/>
              </w:rPr>
              <w:t xml:space="preserve">import or </w:t>
            </w:r>
            <w:r w:rsidRPr="00885089">
              <w:rPr>
                <w:rFonts w:ascii="Calibri" w:eastAsia="Calibri" w:hAnsi="Calibri" w:cs="Times New Roman"/>
              </w:rPr>
              <w:t xml:space="preserve">provision of </w:t>
            </w:r>
            <w:r w:rsidR="002C03BB">
              <w:rPr>
                <w:rFonts w:ascii="Calibri" w:eastAsia="Calibri" w:hAnsi="Calibri" w:cs="Times New Roman"/>
              </w:rPr>
              <w:t>road</w:t>
            </w:r>
            <w:r w:rsidRPr="00885089">
              <w:rPr>
                <w:rFonts w:ascii="Calibri" w:eastAsia="Calibri" w:hAnsi="Calibri" w:cs="Times New Roman"/>
              </w:rPr>
              <w:t xml:space="preserve"> vehicles or </w:t>
            </w:r>
            <w:r w:rsidR="00ED1B59">
              <w:rPr>
                <w:rFonts w:ascii="Calibri" w:eastAsia="Calibri" w:hAnsi="Calibri" w:cs="Times New Roman"/>
              </w:rPr>
              <w:t xml:space="preserve">approved </w:t>
            </w:r>
            <w:r w:rsidR="002C03BB">
              <w:rPr>
                <w:rFonts w:ascii="Calibri" w:eastAsia="Calibri" w:hAnsi="Calibri" w:cs="Times New Roman"/>
              </w:rPr>
              <w:t xml:space="preserve">road vehicle </w:t>
            </w:r>
            <w:r w:rsidRPr="00885089">
              <w:rPr>
                <w:rFonts w:ascii="Calibri" w:eastAsia="Calibri" w:hAnsi="Calibri" w:cs="Times New Roman"/>
              </w:rPr>
              <w:t>components to the Australian market, as authorised through a</w:t>
            </w:r>
            <w:r w:rsidR="00ED1B59">
              <w:rPr>
                <w:rFonts w:ascii="Calibri" w:eastAsia="Calibri" w:hAnsi="Calibri" w:cs="Times New Roman"/>
              </w:rPr>
              <w:t>n</w:t>
            </w:r>
            <w:r w:rsidRPr="00885089">
              <w:rPr>
                <w:rFonts w:ascii="Calibri" w:eastAsia="Calibri" w:hAnsi="Calibri" w:cs="Times New Roman"/>
              </w:rPr>
              <w:t xml:space="preserve"> </w:t>
            </w:r>
            <w:r w:rsidR="00ED1B59">
              <w:rPr>
                <w:rFonts w:ascii="Calibri" w:eastAsia="Calibri" w:hAnsi="Calibri" w:cs="Times New Roman"/>
              </w:rPr>
              <w:t>a</w:t>
            </w:r>
            <w:r w:rsidRPr="00885089">
              <w:rPr>
                <w:rFonts w:ascii="Calibri" w:eastAsia="Calibri" w:hAnsi="Calibri" w:cs="Times New Roman"/>
              </w:rPr>
              <w:t xml:space="preserve">pproval </w:t>
            </w:r>
            <w:r w:rsidR="00ED1B59">
              <w:rPr>
                <w:rFonts w:ascii="Calibri" w:eastAsia="Calibri" w:hAnsi="Calibri" w:cs="Times New Roman"/>
              </w:rPr>
              <w:t>granted</w:t>
            </w:r>
            <w:r w:rsidR="00ED1B59" w:rsidRPr="00885089">
              <w:rPr>
                <w:rFonts w:ascii="Calibri" w:eastAsia="Calibri" w:hAnsi="Calibri" w:cs="Times New Roman"/>
              </w:rPr>
              <w:t xml:space="preserve"> </w:t>
            </w:r>
            <w:r w:rsidRPr="00885089">
              <w:rPr>
                <w:rFonts w:ascii="Calibri" w:eastAsia="Calibri" w:hAnsi="Calibri" w:cs="Times New Roman"/>
              </w:rPr>
              <w:t>by the Department of Infrastructure, Transport, Regional Development and Communications</w:t>
            </w:r>
            <w:r w:rsidR="002C03BB">
              <w:rPr>
                <w:rFonts w:ascii="Calibri" w:eastAsia="Calibri" w:hAnsi="Calibri" w:cs="Times New Roman"/>
              </w:rPr>
              <w:t xml:space="preserve"> and the Arts</w:t>
            </w:r>
            <w:r w:rsidRPr="00885089">
              <w:rPr>
                <w:rFonts w:ascii="Calibri" w:eastAsia="Calibri" w:hAnsi="Calibri" w:cs="Times New Roman"/>
              </w:rPr>
              <w:t xml:space="preserve">, in accordance with the legislation. </w:t>
            </w:r>
          </w:p>
        </w:tc>
      </w:tr>
      <w:tr w:rsidR="00F3659C" w:rsidRPr="00885089" w14:paraId="75956FB2"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31EC3F00" w14:textId="77777777" w:rsidR="00F3659C" w:rsidRPr="00885089" w:rsidRDefault="00F3659C" w:rsidP="00787A68">
            <w:pPr>
              <w:rPr>
                <w:rFonts w:ascii="Calibri" w:eastAsia="Calibri" w:hAnsi="Calibri" w:cs="Times New Roman"/>
              </w:rPr>
            </w:pPr>
            <w:r w:rsidRPr="00885089">
              <w:rPr>
                <w:rFonts w:ascii="Calibri" w:eastAsia="Calibri" w:hAnsi="Calibri" w:cs="Times New Roman"/>
              </w:rPr>
              <w:t xml:space="preserve">Risk-based approach </w:t>
            </w:r>
          </w:p>
        </w:tc>
        <w:tc>
          <w:tcPr>
            <w:tcW w:w="3850" w:type="pct"/>
          </w:tcPr>
          <w:p w14:paraId="4F39C05C" w14:textId="77777777" w:rsidR="00F3659C" w:rsidRPr="00885089" w:rsidRDefault="00F3659C" w:rsidP="001F6242">
            <w:pPr>
              <w:keepLines/>
              <w:rPr>
                <w:rFonts w:ascii="Calibri" w:eastAsia="Calibri" w:hAnsi="Calibri" w:cs="Times New Roman"/>
              </w:rPr>
            </w:pPr>
            <w:r w:rsidRPr="00885089">
              <w:rPr>
                <w:rFonts w:ascii="Calibri" w:eastAsia="Calibri" w:hAnsi="Calibri" w:cs="Times New Roman"/>
              </w:rPr>
              <w:t xml:space="preserve">A risk-based approach means that where the risk of an event is high or the consequence of an event is significant, there is a higher degree of compliance activity. Conversely, where the likelihood of an event is low and/or consequences of an event is minor, a lighter touch </w:t>
            </w:r>
            <w:r>
              <w:rPr>
                <w:rFonts w:ascii="Calibri" w:eastAsia="Calibri" w:hAnsi="Calibri" w:cs="Times New Roman"/>
              </w:rPr>
              <w:t xml:space="preserve">proportionate compliance </w:t>
            </w:r>
            <w:r w:rsidRPr="00885089">
              <w:rPr>
                <w:rFonts w:ascii="Calibri" w:eastAsia="Calibri" w:hAnsi="Calibri" w:cs="Times New Roman"/>
              </w:rPr>
              <w:t>approach is taken.</w:t>
            </w:r>
          </w:p>
        </w:tc>
      </w:tr>
      <w:tr w:rsidR="00B77208" w:rsidRPr="00885089" w14:paraId="3D9A89C5" w14:textId="77777777" w:rsidTr="00787A68">
        <w:tc>
          <w:tcPr>
            <w:tcW w:w="1150" w:type="pct"/>
          </w:tcPr>
          <w:p w14:paraId="6FDCBD5D" w14:textId="1A52B4EA" w:rsidR="00B77208" w:rsidRDefault="00B5276C" w:rsidP="00787A68">
            <w:pPr>
              <w:rPr>
                <w:rFonts w:ascii="Calibri" w:eastAsia="Calibri" w:hAnsi="Calibri" w:cs="Times New Roman"/>
              </w:rPr>
            </w:pPr>
            <w:r>
              <w:rPr>
                <w:rFonts w:ascii="Calibri" w:eastAsia="Calibri" w:hAnsi="Calibri" w:cs="Times New Roman"/>
              </w:rPr>
              <w:t>Road Vehicle Standards (RVS) legislation</w:t>
            </w:r>
          </w:p>
        </w:tc>
        <w:tc>
          <w:tcPr>
            <w:tcW w:w="3850" w:type="pct"/>
          </w:tcPr>
          <w:p w14:paraId="02597999" w14:textId="6E835486" w:rsidR="00B77208" w:rsidRPr="00832DEC" w:rsidRDefault="00B77208" w:rsidP="00787A68">
            <w:pPr>
              <w:rPr>
                <w:rFonts w:ascii="Calibri" w:eastAsia="Calibri" w:hAnsi="Calibri" w:cs="Times New Roman"/>
              </w:rPr>
            </w:pPr>
            <w:r w:rsidRPr="00B77208">
              <w:rPr>
                <w:rFonts w:ascii="Calibri" w:eastAsia="Calibri" w:hAnsi="Calibri" w:cs="Times New Roman"/>
              </w:rPr>
              <w:t>The legislation of </w:t>
            </w:r>
            <w:r w:rsidR="00ED1B59" w:rsidRPr="00901943">
              <w:rPr>
                <w:color w:val="000000" w:themeColor="text1"/>
              </w:rPr>
              <w:t>road vehicles</w:t>
            </w:r>
            <w:r w:rsidRPr="00B77208">
              <w:rPr>
                <w:rFonts w:ascii="Calibri" w:eastAsia="Calibri" w:hAnsi="Calibri" w:cs="Times New Roman"/>
              </w:rPr>
              <w:t> and road vehicle components, to set national road vehicle standards, and for other purposes. The RVS legislation includes the </w:t>
            </w:r>
            <w:r w:rsidR="00ED1B59" w:rsidRPr="00901943">
              <w:rPr>
                <w:color w:val="000000" w:themeColor="text1"/>
              </w:rPr>
              <w:t>RVSA</w:t>
            </w:r>
            <w:r w:rsidRPr="00B77208">
              <w:rPr>
                <w:rFonts w:ascii="Calibri" w:eastAsia="Calibri" w:hAnsi="Calibri" w:cs="Times New Roman"/>
              </w:rPr>
              <w:t>, related Acts (Consequential and Transition, Charges) and subordinate legislation.</w:t>
            </w:r>
          </w:p>
        </w:tc>
      </w:tr>
      <w:tr w:rsidR="00F3659C" w:rsidRPr="00885089" w14:paraId="6F598591"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00EAFD8C" w14:textId="035EF6F3" w:rsidR="00F3659C" w:rsidRPr="00885089" w:rsidRDefault="00B5276C" w:rsidP="00787A68">
            <w:pPr>
              <w:rPr>
                <w:rFonts w:ascii="Calibri" w:eastAsia="Calibri" w:hAnsi="Calibri" w:cs="Times New Roman"/>
              </w:rPr>
            </w:pPr>
            <w:r w:rsidRPr="006D26DD">
              <w:rPr>
                <w:rFonts w:ascii="Calibri" w:eastAsia="Calibri" w:hAnsi="Calibri" w:cs="Times New Roman"/>
                <w:i/>
              </w:rPr>
              <w:t xml:space="preserve">Road Vehicle Standards Act </w:t>
            </w:r>
            <w:r w:rsidRPr="00B5276C">
              <w:rPr>
                <w:rFonts w:ascii="Calibri" w:eastAsia="Calibri" w:hAnsi="Calibri" w:cs="Times New Roman"/>
                <w:i/>
              </w:rPr>
              <w:t>2018</w:t>
            </w:r>
            <w:r>
              <w:rPr>
                <w:rFonts w:ascii="Calibri" w:eastAsia="Calibri" w:hAnsi="Calibri" w:cs="Times New Roman"/>
              </w:rPr>
              <w:t xml:space="preserve"> (</w:t>
            </w:r>
            <w:r w:rsidR="00F3659C" w:rsidRPr="00B5276C">
              <w:rPr>
                <w:rFonts w:ascii="Calibri" w:eastAsia="Calibri" w:hAnsi="Calibri" w:cs="Times New Roman"/>
              </w:rPr>
              <w:t>RVSA</w:t>
            </w:r>
            <w:r>
              <w:rPr>
                <w:rFonts w:ascii="Calibri" w:eastAsia="Calibri" w:hAnsi="Calibri" w:cs="Times New Roman"/>
              </w:rPr>
              <w:t>)</w:t>
            </w:r>
          </w:p>
        </w:tc>
        <w:tc>
          <w:tcPr>
            <w:tcW w:w="3850" w:type="pct"/>
          </w:tcPr>
          <w:p w14:paraId="520D9D54" w14:textId="5C86AD3B" w:rsidR="00F3659C" w:rsidRPr="00832DEC" w:rsidRDefault="00571D9F" w:rsidP="00787A68">
            <w:pPr>
              <w:rPr>
                <w:rFonts w:ascii="Calibri" w:eastAsia="Calibri" w:hAnsi="Calibri" w:cs="Times New Roman"/>
              </w:rPr>
            </w:pPr>
            <w:r w:rsidRPr="00571D9F">
              <w:rPr>
                <w:rFonts w:ascii="Calibri" w:eastAsia="Calibri" w:hAnsi="Calibri" w:cs="Times New Roman"/>
              </w:rPr>
              <w:t>An Act to provide for the regulation of road vehicles and road vehicle components, to set national road vehicle standards, and for other purposes. For more information, refer to the </w:t>
            </w:r>
            <w:hyperlink r:id="rId31" w:tgtFrame="_blank" w:tooltip="Visit the Federal Register of Legislation website: Road Vehicle Standards Rules 2019" w:history="1">
              <w:r w:rsidRPr="00571D9F">
                <w:rPr>
                  <w:rStyle w:val="Hyperlink"/>
                  <w:rFonts w:ascii="Calibri" w:eastAsia="Calibri" w:hAnsi="Calibri" w:cs="Times New Roman"/>
                </w:rPr>
                <w:t>Federal Register of Legislation</w:t>
              </w:r>
            </w:hyperlink>
          </w:p>
        </w:tc>
      </w:tr>
      <w:tr w:rsidR="00DB00AD" w:rsidRPr="00885089" w14:paraId="4CCACFB8" w14:textId="77777777" w:rsidTr="00787A68">
        <w:tc>
          <w:tcPr>
            <w:tcW w:w="1150" w:type="pct"/>
          </w:tcPr>
          <w:p w14:paraId="5B3B359F" w14:textId="3141AD5D" w:rsidR="00DB00AD" w:rsidRDefault="00B5276C" w:rsidP="00787A68">
            <w:pPr>
              <w:rPr>
                <w:rFonts w:ascii="Calibri" w:eastAsia="Calibri" w:hAnsi="Calibri" w:cs="Times New Roman"/>
              </w:rPr>
            </w:pPr>
            <w:r w:rsidRPr="00901943">
              <w:rPr>
                <w:rFonts w:ascii="Calibri" w:eastAsia="Calibri" w:hAnsi="Calibri" w:cs="Times New Roman"/>
              </w:rPr>
              <w:t>Road Vehicle Standards Rules 2019 (</w:t>
            </w:r>
            <w:r w:rsidR="00CC366C" w:rsidRPr="00901943">
              <w:rPr>
                <w:rFonts w:ascii="Calibri" w:eastAsia="Calibri" w:hAnsi="Calibri" w:cs="Times New Roman"/>
              </w:rPr>
              <w:t>the Rules,</w:t>
            </w:r>
            <w:r w:rsidR="005D3548">
              <w:rPr>
                <w:rFonts w:ascii="Calibri" w:eastAsia="Calibri" w:hAnsi="Calibri" w:cs="Times New Roman"/>
              </w:rPr>
              <w:t xml:space="preserve"> </w:t>
            </w:r>
            <w:r w:rsidR="00DB00AD">
              <w:rPr>
                <w:rFonts w:ascii="Calibri" w:eastAsia="Calibri" w:hAnsi="Calibri" w:cs="Times New Roman"/>
              </w:rPr>
              <w:t>RVSR</w:t>
            </w:r>
            <w:r>
              <w:rPr>
                <w:rFonts w:ascii="Calibri" w:eastAsia="Calibri" w:hAnsi="Calibri" w:cs="Times New Roman"/>
              </w:rPr>
              <w:t>)</w:t>
            </w:r>
          </w:p>
        </w:tc>
        <w:tc>
          <w:tcPr>
            <w:tcW w:w="3850" w:type="pct"/>
          </w:tcPr>
          <w:p w14:paraId="0984F57F" w14:textId="4151A2B7" w:rsidR="00DB00AD" w:rsidRPr="00832DEC" w:rsidRDefault="00571D9F" w:rsidP="00787A68">
            <w:pPr>
              <w:rPr>
                <w:rFonts w:ascii="Calibri" w:eastAsia="Calibri" w:hAnsi="Calibri" w:cs="Times New Roman"/>
              </w:rPr>
            </w:pPr>
            <w:r w:rsidRPr="00571D9F">
              <w:rPr>
                <w:rFonts w:ascii="Calibri" w:eastAsia="Calibri" w:hAnsi="Calibri" w:cs="Times New Roman"/>
              </w:rPr>
              <w:t>The Rules are available on the </w:t>
            </w:r>
            <w:hyperlink r:id="rId32" w:tgtFrame="_blank" w:tooltip="Visit the Federal Register of Legislation website: Road Vehicle Standards Rules 2019" w:history="1">
              <w:r w:rsidRPr="00571D9F">
                <w:rPr>
                  <w:rStyle w:val="Hyperlink"/>
                  <w:rFonts w:ascii="Calibri" w:eastAsia="Calibri" w:hAnsi="Calibri" w:cs="Times New Roman"/>
                </w:rPr>
                <w:t>Federal Register of Legislation</w:t>
              </w:r>
            </w:hyperlink>
          </w:p>
        </w:tc>
      </w:tr>
      <w:tr w:rsidR="00583C3B" w:rsidRPr="00885089" w14:paraId="74821128" w14:textId="77777777" w:rsidTr="00787A68">
        <w:trPr>
          <w:cnfStyle w:val="000000010000" w:firstRow="0" w:lastRow="0" w:firstColumn="0" w:lastColumn="0" w:oddVBand="0" w:evenVBand="0" w:oddHBand="0" w:evenHBand="1" w:firstRowFirstColumn="0" w:firstRowLastColumn="0" w:lastRowFirstColumn="0" w:lastRowLastColumn="0"/>
        </w:trPr>
        <w:tc>
          <w:tcPr>
            <w:tcW w:w="1150" w:type="pct"/>
          </w:tcPr>
          <w:p w14:paraId="726181CB" w14:textId="78826994" w:rsidR="00583C3B" w:rsidRDefault="00B5276C" w:rsidP="00787A68">
            <w:pPr>
              <w:rPr>
                <w:rFonts w:ascii="Calibri" w:eastAsia="Calibri" w:hAnsi="Calibri" w:cs="Times New Roman"/>
              </w:rPr>
            </w:pPr>
            <w:r>
              <w:rPr>
                <w:rFonts w:ascii="Calibri" w:eastAsia="Calibri" w:hAnsi="Calibri" w:cs="Times New Roman"/>
              </w:rPr>
              <w:t>Vehicle Type Approval (</w:t>
            </w:r>
            <w:r w:rsidR="00583C3B">
              <w:rPr>
                <w:rFonts w:ascii="Calibri" w:eastAsia="Calibri" w:hAnsi="Calibri" w:cs="Times New Roman"/>
              </w:rPr>
              <w:t>VTA</w:t>
            </w:r>
            <w:r>
              <w:rPr>
                <w:rFonts w:ascii="Calibri" w:eastAsia="Calibri" w:hAnsi="Calibri" w:cs="Times New Roman"/>
              </w:rPr>
              <w:t>)</w:t>
            </w:r>
          </w:p>
        </w:tc>
        <w:tc>
          <w:tcPr>
            <w:tcW w:w="3850" w:type="pct"/>
          </w:tcPr>
          <w:p w14:paraId="21BD4162" w14:textId="6029ABF1" w:rsidR="00583C3B" w:rsidRPr="00832DEC" w:rsidRDefault="008D2586" w:rsidP="00787A68">
            <w:pPr>
              <w:rPr>
                <w:rFonts w:ascii="Calibri" w:eastAsia="Calibri" w:hAnsi="Calibri" w:cs="Times New Roman"/>
              </w:rPr>
            </w:pPr>
            <w:r w:rsidRPr="008D2586">
              <w:rPr>
                <w:rFonts w:ascii="Calibri" w:eastAsia="Calibri" w:hAnsi="Calibri" w:cs="Times New Roman"/>
              </w:rPr>
              <w:t>An entry pathway onto the RAV which applies to all vehicles of a particular type.</w:t>
            </w:r>
          </w:p>
        </w:tc>
      </w:tr>
    </w:tbl>
    <w:p w14:paraId="734B034A" w14:textId="30512E55" w:rsidR="002C03BB" w:rsidRDefault="002C03BB" w:rsidP="008D2586"/>
    <w:sectPr w:rsidR="002C03BB" w:rsidSect="00BA24FB">
      <w:headerReference w:type="default" r:id="rId33"/>
      <w:headerReference w:type="first" r:id="rId34"/>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07EC" w14:textId="77777777" w:rsidR="00C506CE" w:rsidRDefault="00C506CE" w:rsidP="008456D5">
      <w:pPr>
        <w:spacing w:before="0" w:after="0"/>
      </w:pPr>
      <w:r>
        <w:separator/>
      </w:r>
    </w:p>
  </w:endnote>
  <w:endnote w:type="continuationSeparator" w:id="0">
    <w:p w14:paraId="7D68EAA8" w14:textId="77777777" w:rsidR="00C506CE" w:rsidRDefault="00C506CE"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233B" w14:textId="77777777" w:rsidR="00C506CE" w:rsidRDefault="00C506CE" w:rsidP="00E50D64">
    <w:pPr>
      <w:pStyle w:val="Footer"/>
      <w:spacing w:before="720"/>
      <w:jc w:val="right"/>
    </w:pPr>
    <w:r>
      <w:rPr>
        <w:noProof/>
        <w:lang w:eastAsia="en-AU"/>
      </w:rPr>
      <mc:AlternateContent>
        <mc:Choice Requires="wps">
          <w:drawing>
            <wp:anchor distT="0" distB="0" distL="114300" distR="114300" simplePos="0" relativeHeight="251652096" behindDoc="1" locked="1" layoutInCell="1" allowOverlap="1" wp14:anchorId="48C7F725" wp14:editId="3A61144B">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371147A" w14:textId="77777777" w:rsidR="00C506CE" w:rsidRPr="007A05BE" w:rsidRDefault="00C506C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7F725"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371147A" w14:textId="77777777" w:rsidR="00C506CE" w:rsidRPr="007A05BE" w:rsidRDefault="00C506CE"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1072" behindDoc="1" locked="1" layoutInCell="1" allowOverlap="1" wp14:anchorId="39545085" wp14:editId="72A1DEE5">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BCC0F6B" w14:textId="07DA26D2" w:rsidR="00C506CE" w:rsidRDefault="00C506CE" w:rsidP="00E50D64">
                              <w:pPr>
                                <w:pStyle w:val="Footer"/>
                              </w:pPr>
                              <w:r>
                                <w:t>Compliance and Enforcement Strategy 2023-26</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5085" id="Text Box 18" o:spid="_x0000_s1028" type="#_x0000_t202" style="position:absolute;left:0;text-align:left;margin-left:0;margin-top:0;width:340.15pt;height:42.45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BCC0F6B" w14:textId="07DA26D2" w:rsidR="00C506CE" w:rsidRDefault="00C506CE" w:rsidP="00E50D64">
                        <w:pPr>
                          <w:pStyle w:val="Footer"/>
                        </w:pPr>
                        <w:r>
                          <w:t>Compliance and Enforcement Strategy 2023-26</w:t>
                        </w:r>
                      </w:p>
                    </w:sdtContent>
                  </w:sdt>
                </w:txbxContent>
              </v:textbox>
              <w10:wrap anchorx="page" anchory="page"/>
              <w10:anchorlock/>
            </v:shape>
          </w:pict>
        </mc:Fallback>
      </mc:AlternateContent>
    </w:r>
    <w:r>
      <w:rPr>
        <w:noProof/>
        <w:lang w:eastAsia="en-AU"/>
      </w:rPr>
      <w:drawing>
        <wp:anchor distT="0" distB="0" distL="114300" distR="114300" simplePos="0" relativeHeight="251650048" behindDoc="1" locked="1" layoutInCell="1" allowOverlap="1" wp14:anchorId="46F0FC90" wp14:editId="26160671">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829F" w14:textId="77777777" w:rsidR="00C506CE" w:rsidRDefault="00C506CE" w:rsidP="00546218">
    <w:pPr>
      <w:pStyle w:val="Footer"/>
      <w:spacing w:before="720"/>
    </w:pPr>
    <w:r>
      <w:rPr>
        <w:noProof/>
        <w:lang w:eastAsia="en-AU"/>
      </w:rPr>
      <mc:AlternateContent>
        <mc:Choice Requires="wps">
          <w:drawing>
            <wp:anchor distT="0" distB="0" distL="114300" distR="114300" simplePos="0" relativeHeight="251649024" behindDoc="1" locked="1" layoutInCell="1" allowOverlap="1" wp14:anchorId="3601E6A2" wp14:editId="01F99691">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50E923E" w14:textId="77777777" w:rsidR="00C506CE" w:rsidRPr="007A05BE" w:rsidRDefault="00C506C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1E6A2" id="_x0000_t202" coordsize="21600,21600" o:spt="202" path="m,l,21600r21600,l21600,xe">
              <v:stroke joinstyle="miter"/>
              <v:path gradientshapeok="t" o:connecttype="rect"/>
            </v:shapetype>
            <v:shape id="Text Box 4" o:spid="_x0000_s1029" type="#_x0000_t202" style="position:absolute;margin-left:28.15pt;margin-top:0;width:79.35pt;height:42.5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350E923E" w14:textId="77777777" w:rsidR="00C506CE" w:rsidRPr="007A05BE" w:rsidRDefault="00C506C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48000" behindDoc="1" locked="1" layoutInCell="1" allowOverlap="1" wp14:anchorId="5F11F79D" wp14:editId="4F55320E">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49B092E" w14:textId="141CA636" w:rsidR="00C506CE" w:rsidRDefault="00C506CE" w:rsidP="007A05BE">
                              <w:pPr>
                                <w:pStyle w:val="Footer"/>
                                <w:jc w:val="right"/>
                              </w:pPr>
                              <w:r>
                                <w:t>Compliance and Enforcement Strategy 2023-26</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1F79D" id="Text Box 3" o:spid="_x0000_s1030" type="#_x0000_t202" style="position:absolute;margin-left:288.95pt;margin-top:0;width:340.15pt;height:42.5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49B092E" w14:textId="141CA636" w:rsidR="00C506CE" w:rsidRDefault="00C506CE" w:rsidP="007A05BE">
                        <w:pPr>
                          <w:pStyle w:val="Footer"/>
                          <w:jc w:val="right"/>
                        </w:pPr>
                        <w:r>
                          <w:t>Compliance and Enforcement Strategy 2023-26</w:t>
                        </w:r>
                      </w:p>
                    </w:sdtContent>
                  </w:sdt>
                </w:txbxContent>
              </v:textbox>
              <w10:wrap anchorx="page" anchory="page"/>
              <w10:anchorlock/>
            </v:shape>
          </w:pict>
        </mc:Fallback>
      </mc:AlternateContent>
    </w:r>
    <w:r>
      <w:rPr>
        <w:noProof/>
        <w:lang w:eastAsia="en-AU"/>
      </w:rPr>
      <w:drawing>
        <wp:anchor distT="0" distB="0" distL="114300" distR="114300" simplePos="0" relativeHeight="251646976" behindDoc="1" locked="1" layoutInCell="1" allowOverlap="1" wp14:anchorId="126E22C6" wp14:editId="2638B7AF">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331C" w14:textId="77777777" w:rsidR="00C506CE" w:rsidRDefault="00C506CE" w:rsidP="00BA24FB">
    <w:pPr>
      <w:pStyle w:val="Footer"/>
      <w:spacing w:before="360"/>
    </w:pPr>
  </w:p>
  <w:p w14:paraId="16007ABD" w14:textId="1F1189EA" w:rsidR="00C506CE" w:rsidRPr="002C03BB" w:rsidRDefault="00C506CE" w:rsidP="000756D3">
    <w:pPr>
      <w:pStyle w:val="SecurityMarker"/>
      <w:jc w:val="left"/>
      <w:rPr>
        <w:sz w:val="32"/>
        <w:szCs w:val="32"/>
      </w:rPr>
    </w:pPr>
    <w:r w:rsidRPr="002C03BB">
      <w:rPr>
        <w:noProof/>
        <w:sz w:val="32"/>
        <w:szCs w:val="32"/>
        <w:lang w:eastAsia="en-AU"/>
      </w:rPr>
      <mc:AlternateContent>
        <mc:Choice Requires="wps">
          <w:drawing>
            <wp:anchor distT="0" distB="0" distL="114300" distR="114300" simplePos="0" relativeHeight="251660288" behindDoc="1" locked="1" layoutInCell="1" allowOverlap="1" wp14:anchorId="27BB68F6" wp14:editId="5BB67AC9">
              <wp:simplePos x="0" y="0"/>
              <wp:positionH relativeFrom="page">
                <wp:align>right</wp:align>
              </wp:positionH>
              <wp:positionV relativeFrom="page">
                <wp:align>bottom</wp:align>
              </wp:positionV>
              <wp:extent cx="1007640" cy="7200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9EDF0F6" w14:textId="77777777" w:rsidR="00C506CE" w:rsidRDefault="00C506C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841F598" w14:textId="77777777" w:rsidR="00C506CE" w:rsidRPr="00077FE0" w:rsidRDefault="00C506CE"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68F6" id="_x0000_t202" coordsize="21600,21600" o:spt="202" path="m,l,21600r21600,l21600,xe">
              <v:stroke joinstyle="miter"/>
              <v:path gradientshapeok="t" o:connecttype="rect"/>
            </v:shapetype>
            <v:shape id="Text Box 1" o:spid="_x0000_s1031" type="#_x0000_t202" style="position:absolute;margin-left:28.15pt;margin-top:0;width:79.35pt;height:56.7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YA+jYiAIAABEFAAAOAAAAAAAAAAAAAAAAAC4CAABkcnMvZTJvRG9jLnhtbFBLAQItABQABgAI&#10;AAAAIQAoJKDm3gAAAAUBAAAPAAAAAAAAAAAAAAAAAOIEAABkcnMvZG93bnJldi54bWxQSwUGAAAA&#10;AAQABADzAAAA7QUAAAAA&#10;" filled="f" stroked="f" strokeweight=".5pt">
              <v:textbox inset="0,0,18mm,7mm">
                <w:txbxContent>
                  <w:p w14:paraId="59EDF0F6" w14:textId="77777777" w:rsidR="00C506CE" w:rsidRDefault="00C506C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841F598" w14:textId="77777777" w:rsidR="00C506CE" w:rsidRPr="00077FE0" w:rsidRDefault="00C506CE" w:rsidP="00BA24FB">
                    <w:pPr>
                      <w:pStyle w:val="SecurityMarker"/>
                      <w:jc w:val="right"/>
                      <w:rPr>
                        <w:color w:val="FFFFFF" w:themeColor="background1"/>
                      </w:rPr>
                    </w:pPr>
                  </w:p>
                </w:txbxContent>
              </v:textbox>
              <w10:wrap anchorx="page" anchory="page"/>
              <w10:anchorlock/>
            </v:shape>
          </w:pict>
        </mc:Fallback>
      </mc:AlternateContent>
    </w:r>
    <w:r w:rsidRPr="002C03BB">
      <w:rPr>
        <w:noProof/>
        <w:sz w:val="32"/>
        <w:szCs w:val="32"/>
        <w:lang w:eastAsia="en-AU"/>
      </w:rPr>
      <mc:AlternateContent>
        <mc:Choice Requires="wps">
          <w:drawing>
            <wp:anchor distT="0" distB="0" distL="114300" distR="114300" simplePos="0" relativeHeight="251656192" behindDoc="1" locked="1" layoutInCell="1" allowOverlap="1" wp14:anchorId="02914D8F" wp14:editId="1B5926F1">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52034E91" w14:textId="4B5287DB" w:rsidR="00C506CE" w:rsidRPr="00097369" w:rsidRDefault="00C506CE" w:rsidP="00BA24FB">
                              <w:pPr>
                                <w:pStyle w:val="Footer"/>
                                <w:jc w:val="right"/>
                              </w:pPr>
                              <w:r>
                                <w:t>Compliance and Enforcement Strategy 2023-26</w:t>
                              </w:r>
                            </w:p>
                          </w:sdtContent>
                        </w:sdt>
                        <w:p w14:paraId="63E9EAD0" w14:textId="77777777" w:rsidR="00C506CE" w:rsidRPr="00077FE0" w:rsidRDefault="00C506CE"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4D8F" id="Text Box 12" o:spid="_x0000_s1032" type="#_x0000_t202" style="position:absolute;margin-left:288.95pt;margin-top:0;width:340.15pt;height:56.7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APOxOa&#10;hAIAABQFAAAOAAAAAAAAAAAAAAAAAC4CAABkcnMvZTJvRG9jLnhtbFBLAQItABQABgAIAAAAIQCL&#10;R7wP3AAAAAUBAAAPAAAAAAAAAAAAAAAAAN4EAABkcnMvZG93bnJldi54bWxQSwUGAAAAAAQABADz&#10;AAAA5wU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52034E91" w14:textId="4B5287DB" w:rsidR="00C506CE" w:rsidRPr="00097369" w:rsidRDefault="00C506CE" w:rsidP="00BA24FB">
                        <w:pPr>
                          <w:pStyle w:val="Footer"/>
                          <w:jc w:val="right"/>
                        </w:pPr>
                        <w:r>
                          <w:t>Compliance and Enforcement Strategy 2023-26</w:t>
                        </w:r>
                      </w:p>
                    </w:sdtContent>
                  </w:sdt>
                  <w:p w14:paraId="63E9EAD0" w14:textId="77777777" w:rsidR="00C506CE" w:rsidRPr="00077FE0" w:rsidRDefault="00C506CE" w:rsidP="00BA24FB">
                    <w:pPr>
                      <w:pStyle w:val="SecurityMarker"/>
                      <w:jc w:val="right"/>
                      <w:rPr>
                        <w:color w:val="FFFFFF" w:themeColor="background1"/>
                      </w:rPr>
                    </w:pPr>
                  </w:p>
                </w:txbxContent>
              </v:textbox>
              <w10:wrap anchorx="page" anchory="page"/>
              <w10:anchorlock/>
            </v:shape>
          </w:pict>
        </mc:Fallback>
      </mc:AlternateContent>
    </w:r>
    <w:r w:rsidRPr="002C03BB">
      <w:rPr>
        <w:noProof/>
        <w:sz w:val="32"/>
        <w:szCs w:val="32"/>
        <w:lang w:eastAsia="en-AU"/>
      </w:rPr>
      <w:drawing>
        <wp:anchor distT="0" distB="0" distL="114300" distR="114300" simplePos="0" relativeHeight="251645952" behindDoc="1" locked="1" layoutInCell="1" allowOverlap="1" wp14:anchorId="4637A3AD" wp14:editId="5F8EF033">
          <wp:simplePos x="0" y="0"/>
          <wp:positionH relativeFrom="page">
            <wp:align>right</wp:align>
          </wp:positionH>
          <wp:positionV relativeFrom="page">
            <wp:align>bottom</wp:align>
          </wp:positionV>
          <wp:extent cx="10692000" cy="18324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3DF0" w14:textId="77777777" w:rsidR="00C506CE" w:rsidRDefault="00C506CE" w:rsidP="00BA24FB">
    <w:pPr>
      <w:pStyle w:val="Footer"/>
      <w:spacing w:before="360"/>
    </w:pPr>
  </w:p>
  <w:p w14:paraId="30740CD6" w14:textId="2828CCA7" w:rsidR="00C506CE" w:rsidRDefault="00757295" w:rsidP="00BA24FB">
    <w:pPr>
      <w:pStyle w:val="SecurityMarker"/>
    </w:pPr>
    <w:sdt>
      <w:sdtPr>
        <w:alias w:val="Status"/>
        <w:tag w:val=""/>
        <w:id w:val="-1420637097"/>
        <w:placeholder>
          <w:docPart w:val="BC0413B5937343C68F5F8D1EFA42F67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506CE">
          <w:t>FINAL</w:t>
        </w:r>
      </w:sdtContent>
    </w:sdt>
    <w:r w:rsidR="00C506CE">
      <w:rPr>
        <w:noProof/>
        <w:lang w:eastAsia="en-AU"/>
      </w:rPr>
      <mc:AlternateContent>
        <mc:Choice Requires="wps">
          <w:drawing>
            <wp:anchor distT="0" distB="0" distL="114300" distR="114300" simplePos="0" relativeHeight="251672576" behindDoc="1" locked="1" layoutInCell="1" allowOverlap="1" wp14:anchorId="1254C25F" wp14:editId="58B16557">
              <wp:simplePos x="0" y="0"/>
              <wp:positionH relativeFrom="page">
                <wp:align>right</wp:align>
              </wp:positionH>
              <wp:positionV relativeFrom="page">
                <wp:align>bottom</wp:align>
              </wp:positionV>
              <wp:extent cx="100764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75E38A3" w14:textId="77777777" w:rsidR="00C506CE" w:rsidRDefault="00C506C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4AF6908" w14:textId="77777777" w:rsidR="00C506CE" w:rsidRPr="00077FE0" w:rsidRDefault="00C506CE"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4C25F" id="_x0000_t202" coordsize="21600,21600" o:spt="202" path="m,l,21600r21600,l21600,xe">
              <v:stroke joinstyle="miter"/>
              <v:path gradientshapeok="t" o:connecttype="rect"/>
            </v:shapetype>
            <v:shape id="Text Box 10" o:spid="_x0000_s1033" type="#_x0000_t202" style="position:absolute;left:0;text-align:left;margin-left:28.15pt;margin-top:0;width:79.35pt;height:56.7pt;z-index:-2516439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" filled="f" stroked="f" strokeweight=".5pt">
              <v:textbox inset="0,0,18mm,7mm">
                <w:txbxContent>
                  <w:p w14:paraId="075E38A3" w14:textId="77777777" w:rsidR="00C506CE" w:rsidRDefault="00C506CE"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4AF6908" w14:textId="77777777" w:rsidR="00C506CE" w:rsidRPr="00077FE0" w:rsidRDefault="00C506CE" w:rsidP="00BA24FB">
                    <w:pPr>
                      <w:pStyle w:val="SecurityMarker"/>
                      <w:jc w:val="right"/>
                      <w:rPr>
                        <w:color w:val="FFFFFF" w:themeColor="background1"/>
                      </w:rPr>
                    </w:pPr>
                  </w:p>
                </w:txbxContent>
              </v:textbox>
              <w10:wrap anchorx="page" anchory="page"/>
              <w10:anchorlock/>
            </v:shape>
          </w:pict>
        </mc:Fallback>
      </mc:AlternateContent>
    </w:r>
    <w:r w:rsidR="00C506CE">
      <w:rPr>
        <w:noProof/>
        <w:lang w:eastAsia="en-AU"/>
      </w:rPr>
      <mc:AlternateContent>
        <mc:Choice Requires="wps">
          <w:drawing>
            <wp:anchor distT="0" distB="0" distL="114300" distR="114300" simplePos="0" relativeHeight="251668480" behindDoc="1" locked="1" layoutInCell="1" allowOverlap="1" wp14:anchorId="2889A89A" wp14:editId="4415E84C">
              <wp:simplePos x="0" y="0"/>
              <wp:positionH relativeFrom="page">
                <wp:align>right</wp:align>
              </wp:positionH>
              <wp:positionV relativeFrom="page">
                <wp:align>bottom</wp:align>
              </wp:positionV>
              <wp:extent cx="4320000" cy="720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587A64AE" w14:textId="3E1AB455" w:rsidR="00C506CE" w:rsidRPr="00097369" w:rsidRDefault="00C506CE" w:rsidP="00BA24FB">
                              <w:pPr>
                                <w:pStyle w:val="Footer"/>
                                <w:jc w:val="right"/>
                              </w:pPr>
                              <w:r>
                                <w:t>Compliance and Enforcement Strategy 2023-26</w:t>
                              </w:r>
                            </w:p>
                          </w:sdtContent>
                        </w:sdt>
                        <w:p w14:paraId="6A753A14" w14:textId="77777777" w:rsidR="00C506CE" w:rsidRPr="00077FE0" w:rsidRDefault="00C506CE"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A89A" id="Text Box 20" o:spid="_x0000_s1034" type="#_x0000_t202" style="position:absolute;left:0;text-align:left;margin-left:288.95pt;margin-top:0;width:340.15pt;height:56.7pt;z-index:-2516480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23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5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N2MN&#10;t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587A64AE" w14:textId="3E1AB455" w:rsidR="00C506CE" w:rsidRPr="00097369" w:rsidRDefault="00C506CE" w:rsidP="00BA24FB">
                        <w:pPr>
                          <w:pStyle w:val="Footer"/>
                          <w:jc w:val="right"/>
                        </w:pPr>
                        <w:r>
                          <w:t>Compliance and Enforcement Strategy 2023-26</w:t>
                        </w:r>
                      </w:p>
                    </w:sdtContent>
                  </w:sdt>
                  <w:p w14:paraId="6A753A14" w14:textId="77777777" w:rsidR="00C506CE" w:rsidRPr="00077FE0" w:rsidRDefault="00C506CE" w:rsidP="00BA24FB">
                    <w:pPr>
                      <w:pStyle w:val="SecurityMarker"/>
                      <w:jc w:val="right"/>
                      <w:rPr>
                        <w:color w:val="FFFFFF" w:themeColor="background1"/>
                      </w:rPr>
                    </w:pPr>
                  </w:p>
                </w:txbxContent>
              </v:textbox>
              <w10:wrap anchorx="page" anchory="page"/>
              <w10:anchorlock/>
            </v:shape>
          </w:pict>
        </mc:Fallback>
      </mc:AlternateContent>
    </w:r>
    <w:r w:rsidR="00C506CE">
      <w:rPr>
        <w:noProof/>
        <w:lang w:eastAsia="en-AU"/>
      </w:rPr>
      <w:drawing>
        <wp:anchor distT="0" distB="0" distL="114300" distR="114300" simplePos="0" relativeHeight="251664384" behindDoc="1" locked="1" layoutInCell="1" allowOverlap="1" wp14:anchorId="177D88F9" wp14:editId="45FC785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14511" w14:textId="77777777" w:rsidR="00C506CE" w:rsidRPr="005912BE" w:rsidRDefault="00C506CE" w:rsidP="005912BE">
      <w:pPr>
        <w:spacing w:before="300"/>
        <w:rPr>
          <w:color w:val="008089" w:themeColor="accent2"/>
        </w:rPr>
      </w:pPr>
      <w:r w:rsidRPr="004063DE">
        <w:rPr>
          <w:color w:val="004044" w:themeColor="accent2" w:themeShade="80"/>
        </w:rPr>
        <w:t>----------</w:t>
      </w:r>
    </w:p>
  </w:footnote>
  <w:footnote w:type="continuationSeparator" w:id="0">
    <w:p w14:paraId="13C3815C" w14:textId="77777777" w:rsidR="00C506CE" w:rsidRDefault="00C506CE"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FBE8" w14:textId="77777777" w:rsidR="00C506CE" w:rsidRDefault="004A6EBE" w:rsidP="00D87AD8">
    <w:pPr>
      <w:pStyle w:val="Header"/>
      <w:spacing w:after="1320"/>
      <w:jc w:val="left"/>
    </w:pPr>
    <w:fldSimple w:instr=" STYLEREF  &quot;Heading 1&quot;  \* MERGEFORMAT ">
      <w:r w:rsidR="00C506CE">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3C48F" w14:textId="77777777" w:rsidR="00C506CE" w:rsidRDefault="00C506CE"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0704" w14:textId="6C6CA395" w:rsidR="00C506CE" w:rsidRDefault="00C506CE" w:rsidP="00BA24FB">
    <w:pPr>
      <w:pStyle w:val="SecurityMark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CA14" w14:textId="77777777" w:rsidR="00C506CE" w:rsidRDefault="00C506CE" w:rsidP="0054621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7DB7" w14:textId="7B144700" w:rsidR="00C506CE" w:rsidRDefault="004A6EBE" w:rsidP="00BA24FB">
    <w:pPr>
      <w:pStyle w:val="Header"/>
      <w:spacing w:after="720"/>
    </w:pPr>
    <w:fldSimple w:instr=" STYLEREF  &quot;Heading 1&quot; \l  \* MERGEFORMAT ">
      <w:r w:rsidR="00757295">
        <w:rPr>
          <w:noProof/>
        </w:rPr>
        <w:t>More information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075507228"/>
      <w:placeholder>
        <w:docPart w:val="4BBF3066E6554B77AC7F06812512460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6DB237D" w14:textId="45FCB004" w:rsidR="00C506CE" w:rsidRDefault="00C506CE" w:rsidP="00BA24FB">
        <w:pPr>
          <w:pStyle w:val="SecurityMarker"/>
        </w:pPr>
        <w:r>
          <w:t>FINAL</w:t>
        </w:r>
      </w:p>
    </w:sdtContent>
  </w:sdt>
  <w:p w14:paraId="1FED2716" w14:textId="77777777" w:rsidR="00C506CE" w:rsidRDefault="004A6EBE" w:rsidP="00BA24FB">
    <w:pPr>
      <w:pStyle w:val="Header"/>
      <w:spacing w:after="720"/>
    </w:pPr>
    <w:fldSimple w:instr=" STYLEREF  &quot;Heading 1&quot; \l  \* MERGEFORMAT ">
      <w:r w:rsidR="00C506CE">
        <w:rPr>
          <w:noProof/>
        </w:rPr>
        <w:t>Heading 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20AE"/>
    <w:multiLevelType w:val="hybridMultilevel"/>
    <w:tmpl w:val="B5AE7F62"/>
    <w:lvl w:ilvl="0" w:tplc="EE8051FC">
      <w:start w:val="6"/>
      <w:numFmt w:val="bullet"/>
      <w:lvlText w:val="-"/>
      <w:lvlJc w:val="left"/>
      <w:pPr>
        <w:ind w:left="720" w:hanging="360"/>
      </w:pPr>
      <w:rPr>
        <w:rFonts w:ascii="Calibri" w:eastAsiaTheme="maj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F37E76"/>
    <w:multiLevelType w:val="multilevel"/>
    <w:tmpl w:val="84E2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E1606F"/>
    <w:multiLevelType w:val="hybridMultilevel"/>
    <w:tmpl w:val="824C3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4D07DC"/>
    <w:multiLevelType w:val="multilevel"/>
    <w:tmpl w:val="603095CE"/>
    <w:lvl w:ilvl="0">
      <w:start w:val="1"/>
      <w:numFmt w:val="lowerRoman"/>
      <w:lvlText w:val="%1."/>
      <w:lvlJc w:val="right"/>
      <w:pPr>
        <w:ind w:left="568" w:hanging="284"/>
      </w:pPr>
      <w:rPr>
        <w:rFonts w:hint="default"/>
        <w:color w:val="auto"/>
      </w:rPr>
    </w:lvl>
    <w:lvl w:ilvl="1">
      <w:start w:val="1"/>
      <w:numFmt w:val="bullet"/>
      <w:lvlText w:val="–"/>
      <w:lvlJc w:val="left"/>
      <w:pPr>
        <w:ind w:left="852" w:hanging="284"/>
      </w:pPr>
      <w:rPr>
        <w:rFonts w:ascii="Calibri" w:hAnsi="Calibri" w:hint="default"/>
        <w:color w:val="auto"/>
      </w:rPr>
    </w:lvl>
    <w:lvl w:ilvl="2">
      <w:start w:val="1"/>
      <w:numFmt w:val="bullet"/>
      <w:lvlText w:val="›"/>
      <w:lvlJc w:val="left"/>
      <w:pPr>
        <w:ind w:left="1136" w:hanging="284"/>
      </w:pPr>
      <w:rPr>
        <w:rFonts w:ascii="Calibri" w:hAnsi="Calibri" w:hint="default"/>
        <w:color w:val="auto"/>
      </w:rPr>
    </w:lvl>
    <w:lvl w:ilvl="3">
      <w:start w:val="1"/>
      <w:numFmt w:val="bullet"/>
      <w:lvlText w:val="▫"/>
      <w:lvlJc w:val="left"/>
      <w:pPr>
        <w:ind w:left="1420" w:hanging="284"/>
      </w:pPr>
      <w:rPr>
        <w:rFonts w:ascii="Calibri" w:hAnsi="Calibri" w:hint="default"/>
        <w:color w:val="auto"/>
      </w:rPr>
    </w:lvl>
    <w:lvl w:ilvl="4">
      <w:start w:val="1"/>
      <w:numFmt w:val="bullet"/>
      <w:lvlText w:val="—"/>
      <w:lvlJc w:val="left"/>
      <w:pPr>
        <w:ind w:left="1704" w:hanging="284"/>
      </w:pPr>
      <w:rPr>
        <w:rFonts w:ascii="Calibri" w:hAnsi="Calibri" w:hint="default"/>
        <w:color w:val="auto"/>
      </w:rPr>
    </w:lvl>
    <w:lvl w:ilvl="5">
      <w:start w:val="1"/>
      <w:numFmt w:val="bullet"/>
      <w:lvlText w:val="»"/>
      <w:lvlJc w:val="left"/>
      <w:pPr>
        <w:ind w:left="1988" w:hanging="284"/>
      </w:pPr>
      <w:rPr>
        <w:rFonts w:ascii="Calibri" w:hAnsi="Calibri" w:hint="default"/>
        <w:color w:val="auto"/>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5" w15:restartNumberingAfterBreak="0">
    <w:nsid w:val="0D621AED"/>
    <w:multiLevelType w:val="multilevel"/>
    <w:tmpl w:val="C2EED61A"/>
    <w:numStyleLink w:val="NumberedHeadings"/>
  </w:abstractNum>
  <w:abstractNum w:abstractNumId="16" w15:restartNumberingAfterBreak="0">
    <w:nsid w:val="0E4A5AEC"/>
    <w:multiLevelType w:val="hybridMultilevel"/>
    <w:tmpl w:val="4C4A44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E981215"/>
    <w:multiLevelType w:val="hybridMultilevel"/>
    <w:tmpl w:val="BBCAB0C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2A0657A9"/>
    <w:multiLevelType w:val="multilevel"/>
    <w:tmpl w:val="7C2899F2"/>
    <w:lvl w:ilvl="0">
      <w:start w:val="1"/>
      <w:numFmt w:val="bullet"/>
      <w:lvlText w:val=""/>
      <w:lvlJc w:val="left"/>
      <w:pPr>
        <w:ind w:left="568" w:hanging="284"/>
      </w:pPr>
      <w:rPr>
        <w:rFonts w:ascii="Symbol" w:hAnsi="Symbol" w:hint="default"/>
        <w:color w:val="auto"/>
      </w:rPr>
    </w:lvl>
    <w:lvl w:ilvl="1">
      <w:start w:val="1"/>
      <w:numFmt w:val="bullet"/>
      <w:lvlText w:val="–"/>
      <w:lvlJc w:val="left"/>
      <w:pPr>
        <w:ind w:left="852" w:hanging="284"/>
      </w:pPr>
      <w:rPr>
        <w:rFonts w:ascii="Calibri" w:hAnsi="Calibri" w:hint="default"/>
        <w:color w:val="auto"/>
      </w:rPr>
    </w:lvl>
    <w:lvl w:ilvl="2">
      <w:start w:val="1"/>
      <w:numFmt w:val="bullet"/>
      <w:lvlText w:val="›"/>
      <w:lvlJc w:val="left"/>
      <w:pPr>
        <w:ind w:left="1136" w:hanging="284"/>
      </w:pPr>
      <w:rPr>
        <w:rFonts w:ascii="Calibri" w:hAnsi="Calibri" w:hint="default"/>
        <w:color w:val="auto"/>
      </w:rPr>
    </w:lvl>
    <w:lvl w:ilvl="3">
      <w:start w:val="1"/>
      <w:numFmt w:val="bullet"/>
      <w:lvlText w:val="▫"/>
      <w:lvlJc w:val="left"/>
      <w:pPr>
        <w:ind w:left="1420" w:hanging="284"/>
      </w:pPr>
      <w:rPr>
        <w:rFonts w:ascii="Calibri" w:hAnsi="Calibri" w:hint="default"/>
        <w:color w:val="auto"/>
      </w:rPr>
    </w:lvl>
    <w:lvl w:ilvl="4">
      <w:start w:val="1"/>
      <w:numFmt w:val="bullet"/>
      <w:lvlText w:val="—"/>
      <w:lvlJc w:val="left"/>
      <w:pPr>
        <w:ind w:left="1704" w:hanging="284"/>
      </w:pPr>
      <w:rPr>
        <w:rFonts w:ascii="Calibri" w:hAnsi="Calibri" w:hint="default"/>
        <w:color w:val="auto"/>
      </w:rPr>
    </w:lvl>
    <w:lvl w:ilvl="5">
      <w:start w:val="1"/>
      <w:numFmt w:val="bullet"/>
      <w:lvlText w:val="»"/>
      <w:lvlJc w:val="left"/>
      <w:pPr>
        <w:ind w:left="1988" w:hanging="284"/>
      </w:pPr>
      <w:rPr>
        <w:rFonts w:ascii="Calibri" w:hAnsi="Calibri" w:hint="default"/>
        <w:color w:val="auto"/>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5E4CC2"/>
    <w:multiLevelType w:val="multilevel"/>
    <w:tmpl w:val="EFB22786"/>
    <w:lvl w:ilvl="0">
      <w:start w:val="1"/>
      <w:numFmt w:val="bullet"/>
      <w:lvlText w:val="o"/>
      <w:lvlJc w:val="left"/>
      <w:pPr>
        <w:ind w:left="568" w:hanging="284"/>
      </w:pPr>
      <w:rPr>
        <w:rFonts w:ascii="Courier New" w:hAnsi="Courier New" w:cs="Courier New" w:hint="default"/>
        <w:color w:val="auto"/>
      </w:rPr>
    </w:lvl>
    <w:lvl w:ilvl="1">
      <w:start w:val="1"/>
      <w:numFmt w:val="bullet"/>
      <w:lvlText w:val="–"/>
      <w:lvlJc w:val="left"/>
      <w:pPr>
        <w:ind w:left="852" w:hanging="284"/>
      </w:pPr>
      <w:rPr>
        <w:rFonts w:ascii="Calibri" w:hAnsi="Calibri" w:hint="default"/>
        <w:color w:val="auto"/>
      </w:rPr>
    </w:lvl>
    <w:lvl w:ilvl="2">
      <w:start w:val="1"/>
      <w:numFmt w:val="bullet"/>
      <w:lvlText w:val="›"/>
      <w:lvlJc w:val="left"/>
      <w:pPr>
        <w:ind w:left="1136" w:hanging="284"/>
      </w:pPr>
      <w:rPr>
        <w:rFonts w:ascii="Calibri" w:hAnsi="Calibri" w:hint="default"/>
        <w:color w:val="auto"/>
      </w:rPr>
    </w:lvl>
    <w:lvl w:ilvl="3">
      <w:start w:val="1"/>
      <w:numFmt w:val="bullet"/>
      <w:lvlText w:val="▫"/>
      <w:lvlJc w:val="left"/>
      <w:pPr>
        <w:ind w:left="1420" w:hanging="284"/>
      </w:pPr>
      <w:rPr>
        <w:rFonts w:ascii="Calibri" w:hAnsi="Calibri" w:hint="default"/>
        <w:color w:val="auto"/>
      </w:rPr>
    </w:lvl>
    <w:lvl w:ilvl="4">
      <w:start w:val="1"/>
      <w:numFmt w:val="bullet"/>
      <w:lvlText w:val="—"/>
      <w:lvlJc w:val="left"/>
      <w:pPr>
        <w:ind w:left="1704" w:hanging="284"/>
      </w:pPr>
      <w:rPr>
        <w:rFonts w:ascii="Calibri" w:hAnsi="Calibri" w:hint="default"/>
        <w:color w:val="auto"/>
      </w:rPr>
    </w:lvl>
    <w:lvl w:ilvl="5">
      <w:start w:val="1"/>
      <w:numFmt w:val="bullet"/>
      <w:lvlText w:val="»"/>
      <w:lvlJc w:val="left"/>
      <w:pPr>
        <w:ind w:left="1988" w:hanging="284"/>
      </w:pPr>
      <w:rPr>
        <w:rFonts w:ascii="Calibri" w:hAnsi="Calibri" w:hint="default"/>
        <w:color w:val="auto"/>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21" w15:restartNumberingAfterBreak="0">
    <w:nsid w:val="3A760495"/>
    <w:multiLevelType w:val="multilevel"/>
    <w:tmpl w:val="119CEE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5A45DD3"/>
    <w:multiLevelType w:val="hybridMultilevel"/>
    <w:tmpl w:val="4AF2BA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CA6BB3"/>
    <w:multiLevelType w:val="hybridMultilevel"/>
    <w:tmpl w:val="E49CE11E"/>
    <w:lvl w:ilvl="0" w:tplc="7CF43F04">
      <w:start w:val="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D4F6731"/>
    <w:multiLevelType w:val="hybridMultilevel"/>
    <w:tmpl w:val="2C8EB7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F0B7F"/>
    <w:multiLevelType w:val="hybridMultilevel"/>
    <w:tmpl w:val="7B5E35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5AA4ADE"/>
    <w:multiLevelType w:val="multilevel"/>
    <w:tmpl w:val="E2FE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9"/>
  </w:num>
  <w:num w:numId="26">
    <w:abstractNumId w:val="29"/>
  </w:num>
  <w:num w:numId="27">
    <w:abstractNumId w:val="29"/>
  </w:num>
  <w:num w:numId="28">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2"/>
    <w:lvlOverride w:ilvl="0">
      <w:lvl w:ilvl="0">
        <w:start w:val="1"/>
        <w:numFmt w:val="decimal"/>
        <w:pStyle w:val="ListLegal1"/>
        <w:lvlText w:val="%1."/>
        <w:lvlJc w:val="left"/>
        <w:pPr>
          <w:ind w:left="284" w:hanging="284"/>
        </w:pPr>
        <w:rPr>
          <w:rFonts w:hint="default"/>
          <w:i w:val="0"/>
        </w:rPr>
      </w:lvl>
    </w:lvlOverride>
  </w:num>
  <w:num w:numId="31">
    <w:abstractNumId w:val="21"/>
  </w:num>
  <w:num w:numId="32">
    <w:abstractNumId w:val="14"/>
  </w:num>
  <w:num w:numId="33">
    <w:abstractNumId w:val="31"/>
  </w:num>
  <w:num w:numId="34">
    <w:abstractNumId w:val="11"/>
  </w:num>
  <w:num w:numId="35">
    <w:abstractNumId w:val="16"/>
  </w:num>
  <w:num w:numId="36">
    <w:abstractNumId w:val="25"/>
  </w:num>
  <w:num w:numId="37">
    <w:abstractNumId w:val="28"/>
  </w:num>
  <w:num w:numId="38">
    <w:abstractNumId w:val="17"/>
  </w:num>
  <w:num w:numId="39">
    <w:abstractNumId w:val="30"/>
  </w:num>
  <w:num w:numId="40">
    <w:abstractNumId w:val="18"/>
  </w:num>
  <w:num w:numId="41">
    <w:abstractNumId w:val="20"/>
  </w:num>
  <w:num w:numId="42">
    <w:abstractNumId w:val="10"/>
  </w:num>
  <w:num w:numId="43">
    <w:abstractNumId w:val="27"/>
  </w:num>
  <w:num w:numId="44">
    <w:abstractNumId w:val="2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9C"/>
    <w:rsid w:val="0000292D"/>
    <w:rsid w:val="000052F6"/>
    <w:rsid w:val="0001430B"/>
    <w:rsid w:val="00015468"/>
    <w:rsid w:val="0002274E"/>
    <w:rsid w:val="00022A3E"/>
    <w:rsid w:val="00023511"/>
    <w:rsid w:val="000349B6"/>
    <w:rsid w:val="0003732D"/>
    <w:rsid w:val="00041240"/>
    <w:rsid w:val="00045769"/>
    <w:rsid w:val="00060DA8"/>
    <w:rsid w:val="00075266"/>
    <w:rsid w:val="000756D3"/>
    <w:rsid w:val="00085622"/>
    <w:rsid w:val="00092F55"/>
    <w:rsid w:val="000950EB"/>
    <w:rsid w:val="000A27B5"/>
    <w:rsid w:val="000B3ED9"/>
    <w:rsid w:val="000C0A47"/>
    <w:rsid w:val="000C6E32"/>
    <w:rsid w:val="000C76AC"/>
    <w:rsid w:val="000D0487"/>
    <w:rsid w:val="000D7BE7"/>
    <w:rsid w:val="000D7C4C"/>
    <w:rsid w:val="000D7EE4"/>
    <w:rsid w:val="000E09ED"/>
    <w:rsid w:val="000E24BA"/>
    <w:rsid w:val="000E5674"/>
    <w:rsid w:val="000E5900"/>
    <w:rsid w:val="000E6D97"/>
    <w:rsid w:val="000E7432"/>
    <w:rsid w:val="000E790C"/>
    <w:rsid w:val="000F2F86"/>
    <w:rsid w:val="001002C4"/>
    <w:rsid w:val="0010352B"/>
    <w:rsid w:val="001041F2"/>
    <w:rsid w:val="00104E40"/>
    <w:rsid w:val="00114B75"/>
    <w:rsid w:val="00122DED"/>
    <w:rsid w:val="00123DD8"/>
    <w:rsid w:val="001349C6"/>
    <w:rsid w:val="00146B90"/>
    <w:rsid w:val="00147B9A"/>
    <w:rsid w:val="001579E6"/>
    <w:rsid w:val="001618A7"/>
    <w:rsid w:val="00164E31"/>
    <w:rsid w:val="00176512"/>
    <w:rsid w:val="001803E3"/>
    <w:rsid w:val="001820E6"/>
    <w:rsid w:val="001867FF"/>
    <w:rsid w:val="001A0530"/>
    <w:rsid w:val="001A3189"/>
    <w:rsid w:val="001A75FD"/>
    <w:rsid w:val="001B0BA3"/>
    <w:rsid w:val="001B6533"/>
    <w:rsid w:val="001C70A5"/>
    <w:rsid w:val="001D4646"/>
    <w:rsid w:val="001F2F7B"/>
    <w:rsid w:val="001F35E3"/>
    <w:rsid w:val="001F6242"/>
    <w:rsid w:val="00200838"/>
    <w:rsid w:val="00201293"/>
    <w:rsid w:val="00205B06"/>
    <w:rsid w:val="00206DF0"/>
    <w:rsid w:val="0021708C"/>
    <w:rsid w:val="00223D44"/>
    <w:rsid w:val="002254D5"/>
    <w:rsid w:val="00225DC6"/>
    <w:rsid w:val="0022611D"/>
    <w:rsid w:val="00227241"/>
    <w:rsid w:val="002447E4"/>
    <w:rsid w:val="00276E05"/>
    <w:rsid w:val="00284164"/>
    <w:rsid w:val="002847B4"/>
    <w:rsid w:val="00291050"/>
    <w:rsid w:val="00294B91"/>
    <w:rsid w:val="002A2787"/>
    <w:rsid w:val="002B2FCA"/>
    <w:rsid w:val="002B3569"/>
    <w:rsid w:val="002B3B0A"/>
    <w:rsid w:val="002B7197"/>
    <w:rsid w:val="002C03BB"/>
    <w:rsid w:val="002C2B7B"/>
    <w:rsid w:val="002E1ADA"/>
    <w:rsid w:val="002E230A"/>
    <w:rsid w:val="002E739C"/>
    <w:rsid w:val="0030153A"/>
    <w:rsid w:val="00302183"/>
    <w:rsid w:val="00302974"/>
    <w:rsid w:val="003261CF"/>
    <w:rsid w:val="003314A3"/>
    <w:rsid w:val="0033238B"/>
    <w:rsid w:val="003450AC"/>
    <w:rsid w:val="003503D5"/>
    <w:rsid w:val="0035191F"/>
    <w:rsid w:val="0035556B"/>
    <w:rsid w:val="00361B7B"/>
    <w:rsid w:val="003720E9"/>
    <w:rsid w:val="00376823"/>
    <w:rsid w:val="003775C6"/>
    <w:rsid w:val="00382D18"/>
    <w:rsid w:val="003902C2"/>
    <w:rsid w:val="00396AFE"/>
    <w:rsid w:val="003978A5"/>
    <w:rsid w:val="003B0187"/>
    <w:rsid w:val="003B208B"/>
    <w:rsid w:val="003C20D2"/>
    <w:rsid w:val="003C625A"/>
    <w:rsid w:val="003D643E"/>
    <w:rsid w:val="003D6A50"/>
    <w:rsid w:val="003F3195"/>
    <w:rsid w:val="003F5C3C"/>
    <w:rsid w:val="003F5DEA"/>
    <w:rsid w:val="003F75FD"/>
    <w:rsid w:val="003F775D"/>
    <w:rsid w:val="003F7C7C"/>
    <w:rsid w:val="004063DE"/>
    <w:rsid w:val="004120CB"/>
    <w:rsid w:val="0041435E"/>
    <w:rsid w:val="00420F04"/>
    <w:rsid w:val="00424B3C"/>
    <w:rsid w:val="00426F35"/>
    <w:rsid w:val="00434B77"/>
    <w:rsid w:val="00435A5A"/>
    <w:rsid w:val="00440365"/>
    <w:rsid w:val="00445444"/>
    <w:rsid w:val="00451D49"/>
    <w:rsid w:val="004540D6"/>
    <w:rsid w:val="00457013"/>
    <w:rsid w:val="00460E9B"/>
    <w:rsid w:val="00473B1F"/>
    <w:rsid w:val="00477E77"/>
    <w:rsid w:val="004801D2"/>
    <w:rsid w:val="004965F2"/>
    <w:rsid w:val="004A3726"/>
    <w:rsid w:val="004A5872"/>
    <w:rsid w:val="004A58EC"/>
    <w:rsid w:val="004A6EBE"/>
    <w:rsid w:val="004D4D67"/>
    <w:rsid w:val="004D4FDF"/>
    <w:rsid w:val="004F506A"/>
    <w:rsid w:val="00504BB1"/>
    <w:rsid w:val="00530E92"/>
    <w:rsid w:val="00532D69"/>
    <w:rsid w:val="00541213"/>
    <w:rsid w:val="00546218"/>
    <w:rsid w:val="0054651F"/>
    <w:rsid w:val="0055537D"/>
    <w:rsid w:val="0056168C"/>
    <w:rsid w:val="00571D9F"/>
    <w:rsid w:val="00574742"/>
    <w:rsid w:val="00574CAB"/>
    <w:rsid w:val="00576AD7"/>
    <w:rsid w:val="005829AD"/>
    <w:rsid w:val="00582E3D"/>
    <w:rsid w:val="00583C3B"/>
    <w:rsid w:val="005912BE"/>
    <w:rsid w:val="005A5A2D"/>
    <w:rsid w:val="005A6BDB"/>
    <w:rsid w:val="005B1412"/>
    <w:rsid w:val="005B199D"/>
    <w:rsid w:val="005B3741"/>
    <w:rsid w:val="005B61FC"/>
    <w:rsid w:val="005C2F15"/>
    <w:rsid w:val="005D3464"/>
    <w:rsid w:val="005D3548"/>
    <w:rsid w:val="005D5C95"/>
    <w:rsid w:val="005F21ED"/>
    <w:rsid w:val="005F6C25"/>
    <w:rsid w:val="005F794B"/>
    <w:rsid w:val="00604775"/>
    <w:rsid w:val="00610B5B"/>
    <w:rsid w:val="006170A0"/>
    <w:rsid w:val="00624A86"/>
    <w:rsid w:val="0063312C"/>
    <w:rsid w:val="00633649"/>
    <w:rsid w:val="00646420"/>
    <w:rsid w:val="00646AB6"/>
    <w:rsid w:val="00650744"/>
    <w:rsid w:val="006530BF"/>
    <w:rsid w:val="00667588"/>
    <w:rsid w:val="006C2093"/>
    <w:rsid w:val="006C66AF"/>
    <w:rsid w:val="006D124A"/>
    <w:rsid w:val="006D431D"/>
    <w:rsid w:val="006D4708"/>
    <w:rsid w:val="006D6BD6"/>
    <w:rsid w:val="006E1ECA"/>
    <w:rsid w:val="006E4936"/>
    <w:rsid w:val="006F2B08"/>
    <w:rsid w:val="007016EF"/>
    <w:rsid w:val="007026CA"/>
    <w:rsid w:val="00706BCE"/>
    <w:rsid w:val="007118D0"/>
    <w:rsid w:val="00713954"/>
    <w:rsid w:val="00740289"/>
    <w:rsid w:val="00757295"/>
    <w:rsid w:val="00764AD8"/>
    <w:rsid w:val="00770130"/>
    <w:rsid w:val="00770878"/>
    <w:rsid w:val="00774DC9"/>
    <w:rsid w:val="00787A68"/>
    <w:rsid w:val="007928F4"/>
    <w:rsid w:val="007A05BE"/>
    <w:rsid w:val="007B441C"/>
    <w:rsid w:val="007C6713"/>
    <w:rsid w:val="007C6C7E"/>
    <w:rsid w:val="007E3541"/>
    <w:rsid w:val="007F62D1"/>
    <w:rsid w:val="00805B68"/>
    <w:rsid w:val="008067A1"/>
    <w:rsid w:val="008073C5"/>
    <w:rsid w:val="00811825"/>
    <w:rsid w:val="00811A36"/>
    <w:rsid w:val="00814BB7"/>
    <w:rsid w:val="0082203D"/>
    <w:rsid w:val="00822E70"/>
    <w:rsid w:val="00824744"/>
    <w:rsid w:val="00825BD2"/>
    <w:rsid w:val="00832DEC"/>
    <w:rsid w:val="00834B87"/>
    <w:rsid w:val="0084160B"/>
    <w:rsid w:val="008425D7"/>
    <w:rsid w:val="008456D5"/>
    <w:rsid w:val="00845C59"/>
    <w:rsid w:val="0084634B"/>
    <w:rsid w:val="008543D4"/>
    <w:rsid w:val="008833BF"/>
    <w:rsid w:val="00884E29"/>
    <w:rsid w:val="008864DE"/>
    <w:rsid w:val="00886A73"/>
    <w:rsid w:val="00890177"/>
    <w:rsid w:val="00896CB9"/>
    <w:rsid w:val="008A1887"/>
    <w:rsid w:val="008B4324"/>
    <w:rsid w:val="008B6A81"/>
    <w:rsid w:val="008D2398"/>
    <w:rsid w:val="008D2586"/>
    <w:rsid w:val="008E2A0D"/>
    <w:rsid w:val="00901943"/>
    <w:rsid w:val="009059E8"/>
    <w:rsid w:val="009342B7"/>
    <w:rsid w:val="009514EE"/>
    <w:rsid w:val="00955128"/>
    <w:rsid w:val="009638E9"/>
    <w:rsid w:val="00965BFD"/>
    <w:rsid w:val="00967E78"/>
    <w:rsid w:val="009707F4"/>
    <w:rsid w:val="00991E83"/>
    <w:rsid w:val="0099678B"/>
    <w:rsid w:val="009A2789"/>
    <w:rsid w:val="009B00F2"/>
    <w:rsid w:val="009B4485"/>
    <w:rsid w:val="009B63D8"/>
    <w:rsid w:val="009B6530"/>
    <w:rsid w:val="009D33C8"/>
    <w:rsid w:val="009D3EC3"/>
    <w:rsid w:val="009D7CCE"/>
    <w:rsid w:val="009E0D1F"/>
    <w:rsid w:val="00A00E33"/>
    <w:rsid w:val="00A02C05"/>
    <w:rsid w:val="00A02E6C"/>
    <w:rsid w:val="00A03955"/>
    <w:rsid w:val="00A070A2"/>
    <w:rsid w:val="00A229AD"/>
    <w:rsid w:val="00A237FC"/>
    <w:rsid w:val="00A277D2"/>
    <w:rsid w:val="00A3160F"/>
    <w:rsid w:val="00A34409"/>
    <w:rsid w:val="00A36B92"/>
    <w:rsid w:val="00A373E9"/>
    <w:rsid w:val="00A50944"/>
    <w:rsid w:val="00A51EF8"/>
    <w:rsid w:val="00A76740"/>
    <w:rsid w:val="00A83CD5"/>
    <w:rsid w:val="00A9196B"/>
    <w:rsid w:val="00A93607"/>
    <w:rsid w:val="00A95970"/>
    <w:rsid w:val="00AA1FC1"/>
    <w:rsid w:val="00AA7F50"/>
    <w:rsid w:val="00AC1302"/>
    <w:rsid w:val="00AC6F29"/>
    <w:rsid w:val="00AD7703"/>
    <w:rsid w:val="00B04AA6"/>
    <w:rsid w:val="00B04E01"/>
    <w:rsid w:val="00B06D96"/>
    <w:rsid w:val="00B10E79"/>
    <w:rsid w:val="00B212A8"/>
    <w:rsid w:val="00B2665F"/>
    <w:rsid w:val="00B4061A"/>
    <w:rsid w:val="00B42AC2"/>
    <w:rsid w:val="00B44BBC"/>
    <w:rsid w:val="00B5276C"/>
    <w:rsid w:val="00B54E32"/>
    <w:rsid w:val="00B60579"/>
    <w:rsid w:val="00B65918"/>
    <w:rsid w:val="00B77208"/>
    <w:rsid w:val="00B85DA2"/>
    <w:rsid w:val="00B85DF4"/>
    <w:rsid w:val="00B864C8"/>
    <w:rsid w:val="00B938A3"/>
    <w:rsid w:val="00BA24FB"/>
    <w:rsid w:val="00BA2CDB"/>
    <w:rsid w:val="00BB3AAC"/>
    <w:rsid w:val="00BB67EA"/>
    <w:rsid w:val="00BB6FB4"/>
    <w:rsid w:val="00BC2862"/>
    <w:rsid w:val="00BC7765"/>
    <w:rsid w:val="00BD4AC4"/>
    <w:rsid w:val="00BD6083"/>
    <w:rsid w:val="00C040C5"/>
    <w:rsid w:val="00C05A5F"/>
    <w:rsid w:val="00C066D4"/>
    <w:rsid w:val="00C151F5"/>
    <w:rsid w:val="00C17441"/>
    <w:rsid w:val="00C2073F"/>
    <w:rsid w:val="00C322F2"/>
    <w:rsid w:val="00C32EA3"/>
    <w:rsid w:val="00C33F19"/>
    <w:rsid w:val="00C36E19"/>
    <w:rsid w:val="00C37419"/>
    <w:rsid w:val="00C471F1"/>
    <w:rsid w:val="00C506CE"/>
    <w:rsid w:val="00C6432A"/>
    <w:rsid w:val="00C83B88"/>
    <w:rsid w:val="00CB17D4"/>
    <w:rsid w:val="00CC1339"/>
    <w:rsid w:val="00CC366C"/>
    <w:rsid w:val="00CC53EE"/>
    <w:rsid w:val="00CD0CCD"/>
    <w:rsid w:val="00CD233E"/>
    <w:rsid w:val="00CD7CFA"/>
    <w:rsid w:val="00CE048F"/>
    <w:rsid w:val="00CF6CFD"/>
    <w:rsid w:val="00CF6F98"/>
    <w:rsid w:val="00D0110B"/>
    <w:rsid w:val="00D01559"/>
    <w:rsid w:val="00D11838"/>
    <w:rsid w:val="00D16F05"/>
    <w:rsid w:val="00D24341"/>
    <w:rsid w:val="00D26D17"/>
    <w:rsid w:val="00D33140"/>
    <w:rsid w:val="00D56317"/>
    <w:rsid w:val="00D5655E"/>
    <w:rsid w:val="00D758A9"/>
    <w:rsid w:val="00D87AD8"/>
    <w:rsid w:val="00DB00AD"/>
    <w:rsid w:val="00DB5C5C"/>
    <w:rsid w:val="00DC0C3E"/>
    <w:rsid w:val="00DC162D"/>
    <w:rsid w:val="00DC377F"/>
    <w:rsid w:val="00DD11F0"/>
    <w:rsid w:val="00DD34AF"/>
    <w:rsid w:val="00DD5A00"/>
    <w:rsid w:val="00DE4362"/>
    <w:rsid w:val="00DE4FE2"/>
    <w:rsid w:val="00DE54AC"/>
    <w:rsid w:val="00DF660C"/>
    <w:rsid w:val="00DF6C58"/>
    <w:rsid w:val="00E04908"/>
    <w:rsid w:val="00E06D91"/>
    <w:rsid w:val="00E159F6"/>
    <w:rsid w:val="00E23718"/>
    <w:rsid w:val="00E23C23"/>
    <w:rsid w:val="00E377CC"/>
    <w:rsid w:val="00E46F27"/>
    <w:rsid w:val="00E47BB7"/>
    <w:rsid w:val="00E50D64"/>
    <w:rsid w:val="00E5133C"/>
    <w:rsid w:val="00E64CAC"/>
    <w:rsid w:val="00E71F8C"/>
    <w:rsid w:val="00E83331"/>
    <w:rsid w:val="00E94E32"/>
    <w:rsid w:val="00EA0809"/>
    <w:rsid w:val="00EA45F8"/>
    <w:rsid w:val="00EA6A75"/>
    <w:rsid w:val="00EA70CB"/>
    <w:rsid w:val="00EB409B"/>
    <w:rsid w:val="00EB760A"/>
    <w:rsid w:val="00ED1B59"/>
    <w:rsid w:val="00ED3E5F"/>
    <w:rsid w:val="00ED63C9"/>
    <w:rsid w:val="00EE16F5"/>
    <w:rsid w:val="00EE2A4A"/>
    <w:rsid w:val="00EF633C"/>
    <w:rsid w:val="00EF72C5"/>
    <w:rsid w:val="00F029CE"/>
    <w:rsid w:val="00F10733"/>
    <w:rsid w:val="00F1428D"/>
    <w:rsid w:val="00F20EFD"/>
    <w:rsid w:val="00F33EF2"/>
    <w:rsid w:val="00F3659C"/>
    <w:rsid w:val="00F41152"/>
    <w:rsid w:val="00F41B55"/>
    <w:rsid w:val="00F550A7"/>
    <w:rsid w:val="00F659A6"/>
    <w:rsid w:val="00F67CDB"/>
    <w:rsid w:val="00F706D1"/>
    <w:rsid w:val="00F76739"/>
    <w:rsid w:val="00F92B7A"/>
    <w:rsid w:val="00F9580D"/>
    <w:rsid w:val="00F9686B"/>
    <w:rsid w:val="00FC0A54"/>
    <w:rsid w:val="00FC32B2"/>
    <w:rsid w:val="00FC34AF"/>
    <w:rsid w:val="00FC7810"/>
    <w:rsid w:val="00FE3B94"/>
    <w:rsid w:val="00FE7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01E5F8"/>
  <w15:chartTrackingRefBased/>
  <w15:docId w15:val="{2DFE2D6C-BF88-40B0-B713-E5C5503C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qFormat/>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574742"/>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574742"/>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table" w:customStyle="1" w:styleId="DefaultTable11">
    <w:name w:val="Default Table 11"/>
    <w:basedOn w:val="TableNormal"/>
    <w:uiPriority w:val="99"/>
    <w:rsid w:val="00F3659C"/>
    <w:pPr>
      <w:spacing w:before="80"/>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styleId="BalloonText">
    <w:name w:val="Balloon Text"/>
    <w:basedOn w:val="Normal"/>
    <w:link w:val="BalloonTextChar"/>
    <w:uiPriority w:val="99"/>
    <w:semiHidden/>
    <w:unhideWhenUsed/>
    <w:rsid w:val="0004576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69"/>
    <w:rPr>
      <w:rFonts w:ascii="Segoe UI" w:hAnsi="Segoe UI" w:cs="Segoe UI"/>
      <w:sz w:val="18"/>
      <w:szCs w:val="18"/>
    </w:rPr>
  </w:style>
  <w:style w:type="character" w:styleId="UnresolvedMention">
    <w:name w:val="Unresolved Mention"/>
    <w:basedOn w:val="DefaultParagraphFont"/>
    <w:uiPriority w:val="99"/>
    <w:semiHidden/>
    <w:unhideWhenUsed/>
    <w:rsid w:val="00045769"/>
    <w:rPr>
      <w:color w:val="605E5C"/>
      <w:shd w:val="clear" w:color="auto" w:fill="E1DFDD"/>
    </w:rPr>
  </w:style>
  <w:style w:type="character" w:styleId="CommentReference">
    <w:name w:val="annotation reference"/>
    <w:basedOn w:val="DefaultParagraphFont"/>
    <w:uiPriority w:val="99"/>
    <w:semiHidden/>
    <w:unhideWhenUsed/>
    <w:rsid w:val="00787A68"/>
    <w:rPr>
      <w:sz w:val="16"/>
      <w:szCs w:val="16"/>
    </w:rPr>
  </w:style>
  <w:style w:type="paragraph" w:styleId="CommentText">
    <w:name w:val="annotation text"/>
    <w:basedOn w:val="Normal"/>
    <w:link w:val="CommentTextChar"/>
    <w:uiPriority w:val="99"/>
    <w:semiHidden/>
    <w:unhideWhenUsed/>
    <w:rsid w:val="00787A68"/>
    <w:rPr>
      <w:sz w:val="20"/>
      <w:szCs w:val="20"/>
    </w:rPr>
  </w:style>
  <w:style w:type="character" w:customStyle="1" w:styleId="CommentTextChar">
    <w:name w:val="Comment Text Char"/>
    <w:basedOn w:val="DefaultParagraphFont"/>
    <w:link w:val="CommentText"/>
    <w:uiPriority w:val="99"/>
    <w:semiHidden/>
    <w:rsid w:val="00787A68"/>
    <w:rPr>
      <w:sz w:val="20"/>
      <w:szCs w:val="20"/>
    </w:rPr>
  </w:style>
  <w:style w:type="paragraph" w:styleId="CommentSubject">
    <w:name w:val="annotation subject"/>
    <w:basedOn w:val="CommentText"/>
    <w:next w:val="CommentText"/>
    <w:link w:val="CommentSubjectChar"/>
    <w:uiPriority w:val="99"/>
    <w:semiHidden/>
    <w:unhideWhenUsed/>
    <w:rsid w:val="00787A68"/>
    <w:rPr>
      <w:b/>
      <w:bCs/>
    </w:rPr>
  </w:style>
  <w:style w:type="character" w:customStyle="1" w:styleId="CommentSubjectChar">
    <w:name w:val="Comment Subject Char"/>
    <w:basedOn w:val="CommentTextChar"/>
    <w:link w:val="CommentSubject"/>
    <w:uiPriority w:val="99"/>
    <w:semiHidden/>
    <w:rsid w:val="00787A68"/>
    <w:rPr>
      <w:b/>
      <w:bCs/>
      <w:sz w:val="20"/>
      <w:szCs w:val="20"/>
    </w:rPr>
  </w:style>
  <w:style w:type="paragraph" w:styleId="ListParagraph">
    <w:name w:val="List Paragraph"/>
    <w:basedOn w:val="Normal"/>
    <w:uiPriority w:val="99"/>
    <w:unhideWhenUsed/>
    <w:qFormat/>
    <w:rsid w:val="00445444"/>
    <w:pPr>
      <w:ind w:left="720"/>
      <w:contextualSpacing/>
    </w:pPr>
  </w:style>
  <w:style w:type="numbering" w:customStyle="1" w:styleId="ListLegal10">
    <w:name w:val="List Legal1"/>
    <w:uiPriority w:val="99"/>
    <w:rsid w:val="006D431D"/>
  </w:style>
  <w:style w:type="paragraph" w:styleId="NormalWeb">
    <w:name w:val="Normal (Web)"/>
    <w:basedOn w:val="Normal"/>
    <w:uiPriority w:val="99"/>
    <w:unhideWhenUsed/>
    <w:rsid w:val="00E64CAC"/>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8833BF"/>
    <w:pPr>
      <w:spacing w:before="0" w:after="0"/>
    </w:pPr>
  </w:style>
  <w:style w:type="character" w:styleId="FollowedHyperlink">
    <w:name w:val="FollowedHyperlink"/>
    <w:basedOn w:val="DefaultParagraphFont"/>
    <w:uiPriority w:val="99"/>
    <w:semiHidden/>
    <w:unhideWhenUsed/>
    <w:rsid w:val="003F75FD"/>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71">
      <w:bodyDiv w:val="1"/>
      <w:marLeft w:val="0"/>
      <w:marRight w:val="0"/>
      <w:marTop w:val="0"/>
      <w:marBottom w:val="0"/>
      <w:divBdr>
        <w:top w:val="none" w:sz="0" w:space="0" w:color="auto"/>
        <w:left w:val="none" w:sz="0" w:space="0" w:color="auto"/>
        <w:bottom w:val="none" w:sz="0" w:space="0" w:color="auto"/>
        <w:right w:val="none" w:sz="0" w:space="0" w:color="auto"/>
      </w:divBdr>
    </w:div>
    <w:div w:id="334647856">
      <w:bodyDiv w:val="1"/>
      <w:marLeft w:val="0"/>
      <w:marRight w:val="0"/>
      <w:marTop w:val="0"/>
      <w:marBottom w:val="0"/>
      <w:divBdr>
        <w:top w:val="none" w:sz="0" w:space="0" w:color="auto"/>
        <w:left w:val="none" w:sz="0" w:space="0" w:color="auto"/>
        <w:bottom w:val="none" w:sz="0" w:space="0" w:color="auto"/>
        <w:right w:val="none" w:sz="0" w:space="0" w:color="auto"/>
      </w:divBdr>
    </w:div>
    <w:div w:id="405031558">
      <w:bodyDiv w:val="1"/>
      <w:marLeft w:val="0"/>
      <w:marRight w:val="0"/>
      <w:marTop w:val="0"/>
      <w:marBottom w:val="0"/>
      <w:divBdr>
        <w:top w:val="none" w:sz="0" w:space="0" w:color="auto"/>
        <w:left w:val="none" w:sz="0" w:space="0" w:color="auto"/>
        <w:bottom w:val="none" w:sz="0" w:space="0" w:color="auto"/>
        <w:right w:val="none" w:sz="0" w:space="0" w:color="auto"/>
      </w:divBdr>
    </w:div>
    <w:div w:id="589898691">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20502187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84987544">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820078397">
      <w:bodyDiv w:val="1"/>
      <w:marLeft w:val="0"/>
      <w:marRight w:val="0"/>
      <w:marTop w:val="0"/>
      <w:marBottom w:val="0"/>
      <w:divBdr>
        <w:top w:val="none" w:sz="0" w:space="0" w:color="auto"/>
        <w:left w:val="none" w:sz="0" w:space="0" w:color="auto"/>
        <w:bottom w:val="none" w:sz="0" w:space="0" w:color="auto"/>
        <w:right w:val="none" w:sz="0" w:space="0" w:color="auto"/>
      </w:divBdr>
    </w:div>
    <w:div w:id="1831167208">
      <w:bodyDiv w:val="1"/>
      <w:marLeft w:val="0"/>
      <w:marRight w:val="0"/>
      <w:marTop w:val="0"/>
      <w:marBottom w:val="0"/>
      <w:divBdr>
        <w:top w:val="none" w:sz="0" w:space="0" w:color="auto"/>
        <w:left w:val="none" w:sz="0" w:space="0" w:color="auto"/>
        <w:bottom w:val="none" w:sz="0" w:space="0" w:color="auto"/>
        <w:right w:val="none" w:sz="0" w:space="0" w:color="auto"/>
      </w:divBdr>
    </w:div>
    <w:div w:id="1925917316">
      <w:bodyDiv w:val="1"/>
      <w:marLeft w:val="0"/>
      <w:marRight w:val="0"/>
      <w:marTop w:val="0"/>
      <w:marBottom w:val="0"/>
      <w:divBdr>
        <w:top w:val="none" w:sz="0" w:space="0" w:color="auto"/>
        <w:left w:val="none" w:sz="0" w:space="0" w:color="auto"/>
        <w:bottom w:val="none" w:sz="0" w:space="0" w:color="auto"/>
        <w:right w:val="none" w:sz="0" w:space="0" w:color="auto"/>
      </w:divBdr>
    </w:div>
    <w:div w:id="20835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infrastructure.gov.au/vehicles/reporting/index.aspx" TargetMode="Externa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infrastructure.gov.au/infrastructure-transport-vehicles/vehicles/compliance-enforcement" TargetMode="External"/><Relationship Id="rId25" Type="http://schemas.openxmlformats.org/officeDocument/2006/relationships/hyperlink" Target="https://infrastructure.gov.au/vehicles/"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vehiclecompliance@infrastructure.gov.au" TargetMode="External"/><Relationship Id="rId20" Type="http://schemas.openxmlformats.org/officeDocument/2006/relationships/header" Target="header4.xml"/><Relationship Id="rId29" Type="http://schemas.openxmlformats.org/officeDocument/2006/relationships/hyperlink" Target="https://www.infrastructure.gov.au/infrastructure-transport-vehicles/vehicles/compliance-enforce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infrastructure.gov.au/vehicles/compliance_and_enforcement/index.aspx" TargetMode="External"/><Relationship Id="rId32" Type="http://schemas.openxmlformats.org/officeDocument/2006/relationships/hyperlink" Target="https://www.legislation.gov.au/Series/F2019L00198"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mc.gov.au/" TargetMode="External"/><Relationship Id="rId23" Type="http://schemas.openxmlformats.org/officeDocument/2006/relationships/hyperlink" Target="https://www.infrastructure.gov.au/infrastructure-transport-vehicles/vehicles/vehicle-design-regulation/rvs/model-reports" TargetMode="External"/><Relationship Id="rId28" Type="http://schemas.openxmlformats.org/officeDocument/2006/relationships/hyperlink" Target="https://www.infrastructure.gov.au/infrastructure-transport-vehicles/vehicles/importing-vehicle/refusals/tribunal" TargetMode="Externa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www.legislation.gov.au/Series/F2019L0019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s://www.infrastructure.gov.au/contact-us" TargetMode="External"/><Relationship Id="rId30" Type="http://schemas.openxmlformats.org/officeDocument/2006/relationships/hyperlink" Target="https://www.infrastructure.gov.au/infrastructure-transport-vehicles/vehicles/road-vehicle-standards-laws/guides-and-resources/rvs-legislation-glossary-terms"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D836FD2A054C8981B5C31B946321D0"/>
        <w:category>
          <w:name w:val="General"/>
          <w:gallery w:val="placeholder"/>
        </w:category>
        <w:types>
          <w:type w:val="bbPlcHdr"/>
        </w:types>
        <w:behaviors>
          <w:behavior w:val="content"/>
        </w:behaviors>
        <w:guid w:val="{C98E01A5-29FA-48A0-B3BE-0DFF3E30D45B}"/>
      </w:docPartPr>
      <w:docPartBody>
        <w:p w:rsidR="0095256F" w:rsidRDefault="0095256F">
          <w:pPr>
            <w:pStyle w:val="5ED836FD2A054C8981B5C31B946321D0"/>
          </w:pPr>
          <w:r w:rsidRPr="00EC51DD">
            <w:rPr>
              <w:rStyle w:val="PlaceholderText"/>
            </w:rPr>
            <w:t>[Title]</w:t>
          </w:r>
        </w:p>
      </w:docPartBody>
    </w:docPart>
    <w:docPart>
      <w:docPartPr>
        <w:name w:val="25A1A73F7E7A491CBE36D05A55871700"/>
        <w:category>
          <w:name w:val="General"/>
          <w:gallery w:val="placeholder"/>
        </w:category>
        <w:types>
          <w:type w:val="bbPlcHdr"/>
        </w:types>
        <w:behaviors>
          <w:behavior w:val="content"/>
        </w:behaviors>
        <w:guid w:val="{74A9BEC9-AE88-4260-A381-44E602679DD8}"/>
      </w:docPartPr>
      <w:docPartBody>
        <w:p w:rsidR="0095256F" w:rsidRDefault="0095256F">
          <w:pPr>
            <w:pStyle w:val="25A1A73F7E7A491CBE36D05A55871700"/>
          </w:pPr>
          <w:r w:rsidRPr="00EC51DD">
            <w:rPr>
              <w:rStyle w:val="PlaceholderText"/>
            </w:rPr>
            <w:t>[Publish Date]</w:t>
          </w:r>
        </w:p>
      </w:docPartBody>
    </w:docPart>
    <w:docPart>
      <w:docPartPr>
        <w:name w:val="BC0413B5937343C68F5F8D1EFA42F67D"/>
        <w:category>
          <w:name w:val="General"/>
          <w:gallery w:val="placeholder"/>
        </w:category>
        <w:types>
          <w:type w:val="bbPlcHdr"/>
        </w:types>
        <w:behaviors>
          <w:behavior w:val="content"/>
        </w:behaviors>
        <w:guid w:val="{1A9AA98F-9755-425B-BF52-41C5B30CB506}"/>
      </w:docPartPr>
      <w:docPartBody>
        <w:p w:rsidR="0095256F" w:rsidRDefault="0095256F">
          <w:pPr>
            <w:pStyle w:val="BC0413B5937343C68F5F8D1EFA42F67D"/>
          </w:pPr>
          <w:r w:rsidRPr="00A64A8B">
            <w:rPr>
              <w:rStyle w:val="PlaceholderText"/>
            </w:rPr>
            <w:t>[Status]</w:t>
          </w:r>
        </w:p>
      </w:docPartBody>
    </w:docPart>
    <w:docPart>
      <w:docPartPr>
        <w:name w:val="4BBF3066E6554B77AC7F068125124601"/>
        <w:category>
          <w:name w:val="General"/>
          <w:gallery w:val="placeholder"/>
        </w:category>
        <w:types>
          <w:type w:val="bbPlcHdr"/>
        </w:types>
        <w:behaviors>
          <w:behavior w:val="content"/>
        </w:behaviors>
        <w:guid w:val="{35DA4C34-083D-4AF4-85F1-F1FBF61E98AD}"/>
      </w:docPartPr>
      <w:docPartBody>
        <w:p w:rsidR="0095256F" w:rsidRDefault="0095256F">
          <w:pPr>
            <w:pStyle w:val="4BBF3066E6554B77AC7F068125124601"/>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6F"/>
    <w:rsid w:val="000954AE"/>
    <w:rsid w:val="001013A5"/>
    <w:rsid w:val="00172B9E"/>
    <w:rsid w:val="00266538"/>
    <w:rsid w:val="00275154"/>
    <w:rsid w:val="003840B3"/>
    <w:rsid w:val="004D72E8"/>
    <w:rsid w:val="00504DEA"/>
    <w:rsid w:val="005A0957"/>
    <w:rsid w:val="006F7FAA"/>
    <w:rsid w:val="0076015B"/>
    <w:rsid w:val="00761B41"/>
    <w:rsid w:val="007E546B"/>
    <w:rsid w:val="00876B22"/>
    <w:rsid w:val="0095256F"/>
    <w:rsid w:val="00A933D9"/>
    <w:rsid w:val="00C167AB"/>
    <w:rsid w:val="00C33B95"/>
    <w:rsid w:val="00C91B84"/>
    <w:rsid w:val="00C94CCD"/>
    <w:rsid w:val="00E1761F"/>
    <w:rsid w:val="00F53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4A40F9EF3F4C6FA2A7FCFCA46C297E">
    <w:name w:val="6F4A40F9EF3F4C6FA2A7FCFCA46C297E"/>
  </w:style>
  <w:style w:type="paragraph" w:customStyle="1" w:styleId="5ED836FD2A054C8981B5C31B946321D0">
    <w:name w:val="5ED836FD2A054C8981B5C31B946321D0"/>
  </w:style>
  <w:style w:type="paragraph" w:customStyle="1" w:styleId="25A1A73F7E7A491CBE36D05A55871700">
    <w:name w:val="25A1A73F7E7A491CBE36D05A55871700"/>
  </w:style>
  <w:style w:type="paragraph" w:customStyle="1" w:styleId="AAEF2CD6B2C94048BBDA018BBA96CA7C">
    <w:name w:val="AAEF2CD6B2C94048BBDA018BBA96CA7C"/>
  </w:style>
  <w:style w:type="paragraph" w:customStyle="1" w:styleId="6928050545594A88BE3CB8740C349629">
    <w:name w:val="6928050545594A88BE3CB8740C349629"/>
  </w:style>
  <w:style w:type="paragraph" w:customStyle="1" w:styleId="BA87E709E4A74A659B6D46704E326221">
    <w:name w:val="BA87E709E4A74A659B6D46704E326221"/>
  </w:style>
  <w:style w:type="paragraph" w:customStyle="1" w:styleId="BC0413B5937343C68F5F8D1EFA42F67D">
    <w:name w:val="BC0413B5937343C68F5F8D1EFA42F67D"/>
  </w:style>
  <w:style w:type="paragraph" w:customStyle="1" w:styleId="9670475906AA406CAD6B15E1959EBE83">
    <w:name w:val="9670475906AA406CAD6B15E1959EBE83"/>
  </w:style>
  <w:style w:type="paragraph" w:customStyle="1" w:styleId="4BBF3066E6554B77AC7F068125124601">
    <w:name w:val="4BBF3066E6554B77AC7F068125124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099163-8BAB-4AE8-9792-EA4A48FA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template_29092022.dotx</Template>
  <TotalTime>5</TotalTime>
  <Pages>15</Pages>
  <Words>5904</Words>
  <Characters>34131</Characters>
  <Application>Microsoft Office Word</Application>
  <DocSecurity>0</DocSecurity>
  <Lines>598</Lines>
  <Paragraphs>360</Paragraphs>
  <ScaleCrop>false</ScaleCrop>
  <HeadingPairs>
    <vt:vector size="2" baseType="variant">
      <vt:variant>
        <vt:lpstr>Title</vt:lpstr>
      </vt:variant>
      <vt:variant>
        <vt:i4>1</vt:i4>
      </vt:variant>
    </vt:vector>
  </HeadingPairs>
  <TitlesOfParts>
    <vt:vector size="1" baseType="lpstr">
      <vt:lpstr>Compliance and Enforcement Strategy 2023-26</vt:lpstr>
    </vt:vector>
  </TitlesOfParts>
  <Company>Department of Infrastructure &amp; Regional Development</Company>
  <LinksUpToDate>false</LinksUpToDate>
  <CharactersWithSpaces>39675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and Enforcement Strategy 2023-26</dc:title>
  <dc:subject/>
  <dc:creator>CONNELL Erik</dc:creator>
  <cp:keywords/>
  <dc:description/>
  <cp:lastModifiedBy>WARD Drew</cp:lastModifiedBy>
  <cp:revision>8</cp:revision>
  <cp:lastPrinted>2023-07-25T01:17:00Z</cp:lastPrinted>
  <dcterms:created xsi:type="dcterms:W3CDTF">2023-07-12T03:30:00Z</dcterms:created>
  <dcterms:modified xsi:type="dcterms:W3CDTF">2023-07-25T01:17:00Z</dcterms:modified>
  <cp:contentStatus>FINAL</cp:contentStatus>
</cp:coreProperties>
</file>