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BB169" w14:textId="77777777" w:rsidR="008456D5" w:rsidRPr="004C0EEA" w:rsidRDefault="00546218" w:rsidP="00F1428D">
      <w:pPr>
        <w:ind w:left="-1247"/>
      </w:pPr>
      <w:r w:rsidRPr="004C0EEA">
        <w:rPr>
          <w:noProof/>
          <w:lang w:eastAsia="en-AU"/>
        </w:rPr>
        <w:drawing>
          <wp:anchor distT="0" distB="0" distL="114300" distR="114300" simplePos="0" relativeHeight="251658240" behindDoc="0" locked="1" layoutInCell="1" allowOverlap="1" wp14:anchorId="3C26571F" wp14:editId="25E90D4A">
            <wp:simplePos x="0" y="0"/>
            <wp:positionH relativeFrom="page">
              <wp:align>right</wp:align>
            </wp:positionH>
            <wp:positionV relativeFrom="page">
              <wp:align>bottom</wp:align>
            </wp:positionV>
            <wp:extent cx="10692000" cy="3595320"/>
            <wp:effectExtent l="0" t="0" r="0" b="5715"/>
            <wp:wrapNone/>
            <wp:docPr id="14" name="Picture 14"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92000" cy="3595320"/>
                    </a:xfrm>
                    <a:prstGeom prst="rect">
                      <a:avLst/>
                    </a:prstGeom>
                  </pic:spPr>
                </pic:pic>
              </a:graphicData>
            </a:graphic>
            <wp14:sizeRelH relativeFrom="margin">
              <wp14:pctWidth>0</wp14:pctWidth>
            </wp14:sizeRelH>
            <wp14:sizeRelV relativeFrom="margin">
              <wp14:pctHeight>0</wp14:pctHeight>
            </wp14:sizeRelV>
          </wp:anchor>
        </w:drawing>
      </w:r>
      <w:r w:rsidR="007A05BE" w:rsidRPr="004C0EEA">
        <w:rPr>
          <w:noProof/>
          <w:lang w:eastAsia="en-AU"/>
        </w:rPr>
        <w:drawing>
          <wp:inline distT="0" distB="0" distL="0" distR="0" wp14:anchorId="78AF9F3B" wp14:editId="047C81FD">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sdt>
      <w:sdtPr>
        <w:alias w:val="Title"/>
        <w:tag w:val=""/>
        <w:id w:val="975726233"/>
        <w:placeholder>
          <w:docPart w:val="1837226CFE394A3594C47B3742835420"/>
        </w:placeholder>
        <w:dataBinding w:prefixMappings="xmlns:ns0='http://purl.org/dc/elements/1.1/' xmlns:ns1='http://schemas.openxmlformats.org/package/2006/metadata/core-properties' " w:xpath="/ns1:coreProperties[1]/ns0:title[1]" w:storeItemID="{6C3C8BC8-F283-45AE-878A-BAB7291924A1}"/>
        <w:text/>
      </w:sdtPr>
      <w:sdtEndPr/>
      <w:sdtContent>
        <w:p w14:paraId="2791EF20" w14:textId="7402C5FE" w:rsidR="008F5C03" w:rsidRPr="004C0EEA" w:rsidRDefault="00584C1B" w:rsidP="003261CF">
          <w:pPr>
            <w:pStyle w:val="Title"/>
            <w:spacing w:before="600"/>
          </w:pPr>
          <w:r w:rsidRPr="004C0EEA">
            <w:t xml:space="preserve">Community </w:t>
          </w:r>
          <w:r>
            <w:t>B</w:t>
          </w:r>
          <w:r w:rsidRPr="004C0EEA">
            <w:t xml:space="preserve">roadcasting </w:t>
          </w:r>
          <w:r>
            <w:t>S</w:t>
          </w:r>
          <w:r w:rsidRPr="004C0EEA">
            <w:t xml:space="preserve">ector </w:t>
          </w:r>
          <w:r>
            <w:t>S</w:t>
          </w:r>
          <w:r w:rsidRPr="004C0EEA">
            <w:t xml:space="preserve">ustainability </w:t>
          </w:r>
          <w:r>
            <w:t>R</w:t>
          </w:r>
          <w:r w:rsidRPr="004C0EEA">
            <w:t>eview</w:t>
          </w:r>
        </w:p>
      </w:sdtContent>
    </w:sdt>
    <w:p w14:paraId="248F5A45" w14:textId="77777777" w:rsidR="00BA3062" w:rsidRPr="004C0EEA" w:rsidRDefault="006E5332" w:rsidP="00BA3062">
      <w:pPr>
        <w:pStyle w:val="Subtitle"/>
      </w:pPr>
      <w:r w:rsidRPr="004C0EEA">
        <w:t>Findings</w:t>
      </w:r>
      <w:r w:rsidR="00BA3062" w:rsidRPr="004C0EEA">
        <w:t xml:space="preserve"> report</w:t>
      </w:r>
    </w:p>
    <w:p w14:paraId="2A86D306" w14:textId="140144E2" w:rsidR="00DE4FE2" w:rsidRPr="004C0EEA" w:rsidRDefault="001407D4" w:rsidP="00DE4FE2">
      <w:pPr>
        <w:pStyle w:val="CoverDate"/>
      </w:pPr>
      <w:sdt>
        <w:sdtPr>
          <w:alias w:val="Publish Date"/>
          <w:tag w:val=""/>
          <w:id w:val="452527336"/>
          <w:placeholder>
            <w:docPart w:val="4AC0B99731F84390AF114ACA7586047B"/>
          </w:placeholder>
          <w:dataBinding w:prefixMappings="xmlns:ns0='http://schemas.microsoft.com/office/2006/coverPageProps' " w:xpath="/ns0:CoverPageProperties[1]/ns0:PublishDate[1]" w:storeItemID="{55AF091B-3C7A-41E3-B477-F2FDAA23CFDA}"/>
          <w:date w:fullDate="2025-03-05T00:00:00Z">
            <w:dateFormat w:val="MMMM yyyy"/>
            <w:lid w:val="en-AU"/>
            <w:storeMappedDataAs w:val="dateTime"/>
            <w:calendar w:val="gregorian"/>
          </w:date>
        </w:sdtPr>
        <w:sdtEndPr/>
        <w:sdtContent>
          <w:r w:rsidR="00C402D9">
            <w:t>March 2025</w:t>
          </w:r>
        </w:sdtContent>
      </w:sdt>
    </w:p>
    <w:p w14:paraId="703E97E8" w14:textId="77777777" w:rsidR="00DE4FE2" w:rsidRPr="005024D3" w:rsidRDefault="00DE4FE2" w:rsidP="005024D3">
      <w:pPr>
        <w:tabs>
          <w:tab w:val="left" w:pos="3840"/>
        </w:tabs>
        <w:sectPr w:rsidR="00DE4FE2" w:rsidRPr="005024D3" w:rsidSect="00546218">
          <w:headerReference w:type="even" r:id="rId14"/>
          <w:headerReference w:type="default" r:id="rId15"/>
          <w:footerReference w:type="even" r:id="rId16"/>
          <w:footerReference w:type="default" r:id="rId17"/>
          <w:headerReference w:type="first" r:id="rId18"/>
          <w:pgSz w:w="11906" w:h="16838" w:code="9"/>
          <w:pgMar w:top="1021" w:right="1021" w:bottom="1021" w:left="2268" w:header="510" w:footer="567" w:gutter="0"/>
          <w:cols w:space="708"/>
          <w:titlePg/>
          <w:docGrid w:linePitch="360"/>
        </w:sectPr>
      </w:pPr>
    </w:p>
    <w:p w14:paraId="2C569CDD" w14:textId="516F8B11" w:rsidR="008F5C03" w:rsidRPr="004C0EEA" w:rsidRDefault="008F5C03" w:rsidP="008F5C03">
      <w:r w:rsidRPr="004C0EEA">
        <w:lastRenderedPageBreak/>
        <w:t>© Commonwealth of Australia 202</w:t>
      </w:r>
      <w:r w:rsidR="00702FA0">
        <w:t>5</w:t>
      </w:r>
    </w:p>
    <w:p w14:paraId="11CC8E40" w14:textId="77777777" w:rsidR="003503D5" w:rsidRPr="004C0EEA" w:rsidRDefault="003503D5" w:rsidP="003503D5">
      <w:pPr>
        <w:pStyle w:val="ImprintHeading"/>
        <w:spacing w:before="120" w:after="80"/>
        <w:rPr>
          <w:lang w:val="en-AU"/>
        </w:rPr>
      </w:pPr>
      <w:r w:rsidRPr="004C0EEA">
        <w:rPr>
          <w:lang w:val="en-AU"/>
        </w:rPr>
        <w:t>Ownership of intellectual property rights in this publication</w:t>
      </w:r>
    </w:p>
    <w:p w14:paraId="6F79D70F" w14:textId="77777777" w:rsidR="003503D5" w:rsidRPr="004C0EEA" w:rsidRDefault="003503D5" w:rsidP="003503D5">
      <w:pPr>
        <w:spacing w:before="120"/>
      </w:pPr>
      <w:r w:rsidRPr="004C0EEA">
        <w:t>Unless otherwise noted, copyright (and any other intellectual property rights, if any) in this publication is owned by the Commonwealth of Australia (referred to below as the Commonwealth).</w:t>
      </w:r>
    </w:p>
    <w:p w14:paraId="303C41ED" w14:textId="77777777" w:rsidR="003503D5" w:rsidRPr="004C0EEA" w:rsidRDefault="003503D5" w:rsidP="003503D5">
      <w:pPr>
        <w:pStyle w:val="ImprintHeading"/>
        <w:spacing w:before="120" w:after="80"/>
        <w:rPr>
          <w:lang w:val="en-AU"/>
        </w:rPr>
      </w:pPr>
      <w:r w:rsidRPr="004C0EEA">
        <w:rPr>
          <w:lang w:val="en-AU"/>
        </w:rPr>
        <w:t>Disclaimer</w:t>
      </w:r>
    </w:p>
    <w:p w14:paraId="12B9F518" w14:textId="77777777" w:rsidR="003503D5" w:rsidRPr="004C0EEA" w:rsidRDefault="003503D5" w:rsidP="003503D5">
      <w:pPr>
        <w:spacing w:before="120"/>
      </w:pPr>
      <w:r w:rsidRPr="004C0EEA">
        <w:t>The material contained in this publication is made available on the understanding that the Commonwealth is not providing professional advice, and that users exercise their own skill and care with respect to its use, and seek independent advice if necessary.</w:t>
      </w:r>
    </w:p>
    <w:p w14:paraId="02FC64F3" w14:textId="77777777" w:rsidR="003503D5" w:rsidRPr="004C0EEA" w:rsidRDefault="003503D5" w:rsidP="003503D5">
      <w:pPr>
        <w:spacing w:before="120"/>
      </w:pPr>
      <w:r w:rsidRPr="004C0EEA">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27B97FD7" w14:textId="77777777" w:rsidR="003503D5" w:rsidRPr="004C0EEA" w:rsidRDefault="003503D5" w:rsidP="003503D5">
      <w:pPr>
        <w:pStyle w:val="ImprintHeading"/>
        <w:spacing w:before="120" w:after="80"/>
        <w:rPr>
          <w:lang w:val="en-AU"/>
        </w:rPr>
      </w:pPr>
      <w:r w:rsidRPr="004C0EEA">
        <w:rPr>
          <w:lang w:val="en-AU"/>
        </w:rPr>
        <w:t>Use of the Coat of Arms</w:t>
      </w:r>
    </w:p>
    <w:p w14:paraId="126A327A" w14:textId="3DDD769C" w:rsidR="003503D5" w:rsidRPr="004C0EEA" w:rsidRDefault="003503D5" w:rsidP="003503D5">
      <w:pPr>
        <w:spacing w:before="120"/>
      </w:pPr>
      <w:r w:rsidRPr="004C0EEA">
        <w:t xml:space="preserve">The Department of the Prime Minister and Cabinet sets the terms under which the Coat of Arms is used. Please refer to the Commonwealth Coat of Arms - Information and Guidelines publication available at </w:t>
      </w:r>
      <w:hyperlink r:id="rId19" w:tooltip="Department of Prime Minister and Cabinet website" w:history="1">
        <w:r w:rsidRPr="004C0EEA">
          <w:rPr>
            <w:rStyle w:val="Hyperlink"/>
          </w:rPr>
          <w:t>http://www.pmc.gov.au</w:t>
        </w:r>
      </w:hyperlink>
      <w:r w:rsidRPr="004C0EEA">
        <w:t>.</w:t>
      </w:r>
    </w:p>
    <w:p w14:paraId="0F1F34DC" w14:textId="77777777" w:rsidR="00F33EF2" w:rsidRPr="004C0EEA" w:rsidRDefault="00F33EF2" w:rsidP="00F33EF2">
      <w:pPr>
        <w:pStyle w:val="ImprintHeading"/>
        <w:spacing w:before="120" w:after="80"/>
        <w:rPr>
          <w:lang w:val="en-AU"/>
        </w:rPr>
      </w:pPr>
      <w:r w:rsidRPr="004C0EEA">
        <w:rPr>
          <w:lang w:val="en-AU"/>
        </w:rPr>
        <w:t>Contact us</w:t>
      </w:r>
    </w:p>
    <w:p w14:paraId="3B3B9ACA" w14:textId="741C1C41" w:rsidR="00546218" w:rsidRPr="004C0EEA" w:rsidRDefault="00F33EF2" w:rsidP="00166C87">
      <w:pPr>
        <w:spacing w:before="120"/>
      </w:pPr>
      <w:r w:rsidRPr="004C0EEA">
        <w:t xml:space="preserve">All other rights are reserved, including in relation to any departmental logos or trademarks which may exist. For enquiries regarding the licence and any use of this publication, please </w:t>
      </w:r>
      <w:r w:rsidR="00166C87" w:rsidRPr="004C0EEA">
        <w:t xml:space="preserve">email </w:t>
      </w:r>
      <w:hyperlink r:id="rId20" w:history="1">
        <w:r w:rsidR="008F5C03" w:rsidRPr="004C0EEA">
          <w:rPr>
            <w:rStyle w:val="Hyperlink"/>
            <w:kern w:val="12"/>
          </w:rPr>
          <w:t>communitybroadcasting@infrastructure.gov.au</w:t>
        </w:r>
      </w:hyperlink>
      <w:r w:rsidR="008F5C03" w:rsidRPr="004C0EEA">
        <w:rPr>
          <w:kern w:val="12"/>
        </w:rPr>
        <w:t xml:space="preserve"> </w:t>
      </w:r>
      <w:r w:rsidR="00546218" w:rsidRPr="004C0EEA">
        <w:br w:type="page"/>
      </w:r>
    </w:p>
    <w:p w14:paraId="78ADFA11" w14:textId="77777777" w:rsidR="00DE4FE2" w:rsidRPr="004C0EEA" w:rsidRDefault="002B7197" w:rsidP="00CE2EC4">
      <w:pPr>
        <w:pStyle w:val="Heading1"/>
      </w:pPr>
      <w:bookmarkStart w:id="0" w:name="_Toc183704104"/>
      <w:bookmarkStart w:id="1" w:name="_Toc183705714"/>
      <w:bookmarkStart w:id="2" w:name="_Toc184022457"/>
      <w:bookmarkStart w:id="3" w:name="_Toc184215201"/>
      <w:bookmarkStart w:id="4" w:name="_Toc184221818"/>
      <w:bookmarkStart w:id="5" w:name="_Toc191450980"/>
      <w:r w:rsidRPr="004C0EEA">
        <w:lastRenderedPageBreak/>
        <w:t>Table of C</w:t>
      </w:r>
      <w:r w:rsidR="00DE4FE2" w:rsidRPr="004C0EEA">
        <w:t>ontents</w:t>
      </w:r>
      <w:bookmarkEnd w:id="0"/>
      <w:bookmarkEnd w:id="1"/>
      <w:bookmarkEnd w:id="2"/>
      <w:bookmarkEnd w:id="3"/>
      <w:bookmarkEnd w:id="4"/>
      <w:bookmarkEnd w:id="5"/>
    </w:p>
    <w:p w14:paraId="060CCB19" w14:textId="63ABA39F" w:rsidR="00B66237" w:rsidRDefault="00A95970">
      <w:pPr>
        <w:pStyle w:val="TOC1"/>
        <w:rPr>
          <w:rFonts w:eastAsiaTheme="minorEastAsia"/>
          <w:b w:val="0"/>
          <w:noProof/>
          <w:color w:val="auto"/>
          <w:sz w:val="22"/>
          <w:u w:val="none"/>
          <w:lang w:eastAsia="en-AU"/>
        </w:rPr>
      </w:pPr>
      <w:r w:rsidRPr="004C0EEA">
        <w:fldChar w:fldCharType="begin"/>
      </w:r>
      <w:r w:rsidRPr="004C0EEA">
        <w:instrText xml:space="preserve"> TOC \o "3-3" \h \z \t "Heading 1,1,Heading 2,2,Heading 1 Numbered,1,Heading 2 Numbered,2,Appendix Heading 1,1,Attachment Heading 1,1" </w:instrText>
      </w:r>
      <w:r w:rsidRPr="004C0EEA">
        <w:fldChar w:fldCharType="separate"/>
      </w:r>
      <w:hyperlink w:anchor="_Toc191450980" w:history="1">
        <w:r w:rsidR="00B66237" w:rsidRPr="00AB5E2C">
          <w:rPr>
            <w:rStyle w:val="Hyperlink"/>
            <w:noProof/>
          </w:rPr>
          <w:t>1.</w:t>
        </w:r>
        <w:r w:rsidR="00B66237">
          <w:rPr>
            <w:rFonts w:eastAsiaTheme="minorEastAsia"/>
            <w:b w:val="0"/>
            <w:noProof/>
            <w:color w:val="auto"/>
            <w:sz w:val="22"/>
            <w:u w:val="none"/>
            <w:lang w:eastAsia="en-AU"/>
          </w:rPr>
          <w:tab/>
        </w:r>
        <w:r w:rsidR="00B66237" w:rsidRPr="00AB5E2C">
          <w:rPr>
            <w:rStyle w:val="Hyperlink"/>
            <w:noProof/>
          </w:rPr>
          <w:t>Table of Contents</w:t>
        </w:r>
        <w:r w:rsidR="00B66237">
          <w:rPr>
            <w:noProof/>
            <w:webHidden/>
          </w:rPr>
          <w:tab/>
        </w:r>
        <w:r w:rsidR="00B66237">
          <w:rPr>
            <w:noProof/>
            <w:webHidden/>
          </w:rPr>
          <w:fldChar w:fldCharType="begin"/>
        </w:r>
        <w:r w:rsidR="00B66237">
          <w:rPr>
            <w:noProof/>
            <w:webHidden/>
          </w:rPr>
          <w:instrText xml:space="preserve"> PAGEREF _Toc191450980 \h </w:instrText>
        </w:r>
        <w:r w:rsidR="00B66237">
          <w:rPr>
            <w:noProof/>
            <w:webHidden/>
          </w:rPr>
        </w:r>
        <w:r w:rsidR="00B66237">
          <w:rPr>
            <w:noProof/>
            <w:webHidden/>
          </w:rPr>
          <w:fldChar w:fldCharType="separate"/>
        </w:r>
        <w:r w:rsidR="001407D4">
          <w:rPr>
            <w:noProof/>
            <w:webHidden/>
          </w:rPr>
          <w:t>3</w:t>
        </w:r>
        <w:r w:rsidR="00B66237">
          <w:rPr>
            <w:noProof/>
            <w:webHidden/>
          </w:rPr>
          <w:fldChar w:fldCharType="end"/>
        </w:r>
      </w:hyperlink>
    </w:p>
    <w:p w14:paraId="33D81EE7" w14:textId="7F5B7852" w:rsidR="00B66237" w:rsidRDefault="001407D4">
      <w:pPr>
        <w:pStyle w:val="TOC1"/>
        <w:rPr>
          <w:rFonts w:eastAsiaTheme="minorEastAsia"/>
          <w:b w:val="0"/>
          <w:noProof/>
          <w:color w:val="auto"/>
          <w:sz w:val="22"/>
          <w:u w:val="none"/>
          <w:lang w:eastAsia="en-AU"/>
        </w:rPr>
      </w:pPr>
      <w:hyperlink w:anchor="_Toc191450981" w:history="1">
        <w:r w:rsidR="00B66237" w:rsidRPr="00AB5E2C">
          <w:rPr>
            <w:rStyle w:val="Hyperlink"/>
            <w:noProof/>
          </w:rPr>
          <w:t>2.</w:t>
        </w:r>
        <w:r w:rsidR="00B66237">
          <w:rPr>
            <w:rFonts w:eastAsiaTheme="minorEastAsia"/>
            <w:b w:val="0"/>
            <w:noProof/>
            <w:color w:val="auto"/>
            <w:sz w:val="22"/>
            <w:u w:val="none"/>
            <w:lang w:eastAsia="en-AU"/>
          </w:rPr>
          <w:tab/>
        </w:r>
        <w:r w:rsidR="00B66237" w:rsidRPr="00AB5E2C">
          <w:rPr>
            <w:rStyle w:val="Hyperlink"/>
            <w:noProof/>
          </w:rPr>
          <w:t>Introduction</w:t>
        </w:r>
        <w:r w:rsidR="00B66237">
          <w:rPr>
            <w:noProof/>
            <w:webHidden/>
          </w:rPr>
          <w:tab/>
        </w:r>
        <w:r w:rsidR="00B66237">
          <w:rPr>
            <w:noProof/>
            <w:webHidden/>
          </w:rPr>
          <w:fldChar w:fldCharType="begin"/>
        </w:r>
        <w:r w:rsidR="00B66237">
          <w:rPr>
            <w:noProof/>
            <w:webHidden/>
          </w:rPr>
          <w:instrText xml:space="preserve"> PAGEREF _Toc191450981 \h </w:instrText>
        </w:r>
        <w:r w:rsidR="00B66237">
          <w:rPr>
            <w:noProof/>
            <w:webHidden/>
          </w:rPr>
        </w:r>
        <w:r w:rsidR="00B66237">
          <w:rPr>
            <w:noProof/>
            <w:webHidden/>
          </w:rPr>
          <w:fldChar w:fldCharType="separate"/>
        </w:r>
        <w:r>
          <w:rPr>
            <w:noProof/>
            <w:webHidden/>
          </w:rPr>
          <w:t>4</w:t>
        </w:r>
        <w:r w:rsidR="00B66237">
          <w:rPr>
            <w:noProof/>
            <w:webHidden/>
          </w:rPr>
          <w:fldChar w:fldCharType="end"/>
        </w:r>
      </w:hyperlink>
    </w:p>
    <w:p w14:paraId="05264CD4" w14:textId="422324B6" w:rsidR="00B66237" w:rsidRDefault="001407D4">
      <w:pPr>
        <w:pStyle w:val="TOC2"/>
        <w:tabs>
          <w:tab w:val="right" w:pos="9854"/>
        </w:tabs>
        <w:rPr>
          <w:rFonts w:eastAsiaTheme="minorEastAsia"/>
          <w:noProof/>
          <w:color w:val="auto"/>
          <w:lang w:eastAsia="en-AU"/>
        </w:rPr>
      </w:pPr>
      <w:hyperlink w:anchor="_Toc191450982" w:history="1">
        <w:r w:rsidR="00B66237" w:rsidRPr="00AB5E2C">
          <w:rPr>
            <w:rStyle w:val="Hyperlink"/>
            <w:noProof/>
          </w:rPr>
          <w:t>2.1</w:t>
        </w:r>
        <w:r w:rsidR="00B66237">
          <w:rPr>
            <w:rFonts w:eastAsiaTheme="minorEastAsia"/>
            <w:noProof/>
            <w:color w:val="auto"/>
            <w:lang w:eastAsia="en-AU"/>
          </w:rPr>
          <w:tab/>
        </w:r>
        <w:r w:rsidR="00B66237" w:rsidRPr="00AB5E2C">
          <w:rPr>
            <w:rStyle w:val="Hyperlink"/>
            <w:noProof/>
          </w:rPr>
          <w:t>About the sustainability review</w:t>
        </w:r>
        <w:r w:rsidR="00B66237">
          <w:rPr>
            <w:noProof/>
            <w:webHidden/>
          </w:rPr>
          <w:tab/>
        </w:r>
        <w:r w:rsidR="00B66237">
          <w:rPr>
            <w:noProof/>
            <w:webHidden/>
          </w:rPr>
          <w:fldChar w:fldCharType="begin"/>
        </w:r>
        <w:r w:rsidR="00B66237">
          <w:rPr>
            <w:noProof/>
            <w:webHidden/>
          </w:rPr>
          <w:instrText xml:space="preserve"> PAGEREF _Toc191450982 \h </w:instrText>
        </w:r>
        <w:r w:rsidR="00B66237">
          <w:rPr>
            <w:noProof/>
            <w:webHidden/>
          </w:rPr>
        </w:r>
        <w:r w:rsidR="00B66237">
          <w:rPr>
            <w:noProof/>
            <w:webHidden/>
          </w:rPr>
          <w:fldChar w:fldCharType="separate"/>
        </w:r>
        <w:r>
          <w:rPr>
            <w:noProof/>
            <w:webHidden/>
          </w:rPr>
          <w:t>4</w:t>
        </w:r>
        <w:r w:rsidR="00B66237">
          <w:rPr>
            <w:noProof/>
            <w:webHidden/>
          </w:rPr>
          <w:fldChar w:fldCharType="end"/>
        </w:r>
      </w:hyperlink>
    </w:p>
    <w:p w14:paraId="295E0A61" w14:textId="27F49667" w:rsidR="00B66237" w:rsidRDefault="001407D4">
      <w:pPr>
        <w:pStyle w:val="TOC3"/>
        <w:rPr>
          <w:rFonts w:eastAsiaTheme="minorEastAsia"/>
          <w:noProof/>
          <w:color w:val="auto"/>
          <w:lang w:eastAsia="en-AU"/>
        </w:rPr>
      </w:pPr>
      <w:hyperlink w:anchor="_Toc191450983" w:history="1">
        <w:r w:rsidR="00B66237" w:rsidRPr="00AB5E2C">
          <w:rPr>
            <w:rStyle w:val="Hyperlink"/>
            <w:noProof/>
          </w:rPr>
          <w:t>2.1.1</w:t>
        </w:r>
        <w:r w:rsidR="00B66237">
          <w:rPr>
            <w:rFonts w:eastAsiaTheme="minorEastAsia"/>
            <w:noProof/>
            <w:color w:val="auto"/>
            <w:lang w:eastAsia="en-AU"/>
          </w:rPr>
          <w:tab/>
        </w:r>
        <w:r w:rsidR="00B66237" w:rsidRPr="00AB5E2C">
          <w:rPr>
            <w:rStyle w:val="Hyperlink"/>
            <w:noProof/>
          </w:rPr>
          <w:t>Phase 1: independent evaluation</w:t>
        </w:r>
        <w:r w:rsidR="00B66237">
          <w:rPr>
            <w:noProof/>
            <w:webHidden/>
          </w:rPr>
          <w:tab/>
        </w:r>
        <w:r w:rsidR="00B66237">
          <w:rPr>
            <w:noProof/>
            <w:webHidden/>
          </w:rPr>
          <w:fldChar w:fldCharType="begin"/>
        </w:r>
        <w:r w:rsidR="00B66237">
          <w:rPr>
            <w:noProof/>
            <w:webHidden/>
          </w:rPr>
          <w:instrText xml:space="preserve"> PAGEREF _Toc191450983 \h </w:instrText>
        </w:r>
        <w:r w:rsidR="00B66237">
          <w:rPr>
            <w:noProof/>
            <w:webHidden/>
          </w:rPr>
        </w:r>
        <w:r w:rsidR="00B66237">
          <w:rPr>
            <w:noProof/>
            <w:webHidden/>
          </w:rPr>
          <w:fldChar w:fldCharType="separate"/>
        </w:r>
        <w:r>
          <w:rPr>
            <w:noProof/>
            <w:webHidden/>
          </w:rPr>
          <w:t>4</w:t>
        </w:r>
        <w:r w:rsidR="00B66237">
          <w:rPr>
            <w:noProof/>
            <w:webHidden/>
          </w:rPr>
          <w:fldChar w:fldCharType="end"/>
        </w:r>
      </w:hyperlink>
    </w:p>
    <w:p w14:paraId="17C0E8E8" w14:textId="00885CD8" w:rsidR="00B66237" w:rsidRDefault="001407D4">
      <w:pPr>
        <w:pStyle w:val="TOC3"/>
        <w:rPr>
          <w:rFonts w:eastAsiaTheme="minorEastAsia"/>
          <w:noProof/>
          <w:color w:val="auto"/>
          <w:lang w:eastAsia="en-AU"/>
        </w:rPr>
      </w:pPr>
      <w:hyperlink w:anchor="_Toc191450984" w:history="1">
        <w:r w:rsidR="00B66237" w:rsidRPr="00AB5E2C">
          <w:rPr>
            <w:rStyle w:val="Hyperlink"/>
            <w:noProof/>
          </w:rPr>
          <w:t>2.1.2</w:t>
        </w:r>
        <w:r w:rsidR="00B66237">
          <w:rPr>
            <w:rFonts w:eastAsiaTheme="minorEastAsia"/>
            <w:noProof/>
            <w:color w:val="auto"/>
            <w:lang w:eastAsia="en-AU"/>
          </w:rPr>
          <w:tab/>
        </w:r>
        <w:r w:rsidR="00B66237" w:rsidRPr="00AB5E2C">
          <w:rPr>
            <w:rStyle w:val="Hyperlink"/>
            <w:noProof/>
          </w:rPr>
          <w:t>Phase 2: public consultation</w:t>
        </w:r>
        <w:r w:rsidR="00B66237">
          <w:rPr>
            <w:noProof/>
            <w:webHidden/>
          </w:rPr>
          <w:tab/>
        </w:r>
        <w:r w:rsidR="00B66237">
          <w:rPr>
            <w:noProof/>
            <w:webHidden/>
          </w:rPr>
          <w:fldChar w:fldCharType="begin"/>
        </w:r>
        <w:r w:rsidR="00B66237">
          <w:rPr>
            <w:noProof/>
            <w:webHidden/>
          </w:rPr>
          <w:instrText xml:space="preserve"> PAGEREF _Toc191450984 \h </w:instrText>
        </w:r>
        <w:r w:rsidR="00B66237">
          <w:rPr>
            <w:noProof/>
            <w:webHidden/>
          </w:rPr>
        </w:r>
        <w:r w:rsidR="00B66237">
          <w:rPr>
            <w:noProof/>
            <w:webHidden/>
          </w:rPr>
          <w:fldChar w:fldCharType="separate"/>
        </w:r>
        <w:r>
          <w:rPr>
            <w:noProof/>
            <w:webHidden/>
          </w:rPr>
          <w:t>4</w:t>
        </w:r>
        <w:r w:rsidR="00B66237">
          <w:rPr>
            <w:noProof/>
            <w:webHidden/>
          </w:rPr>
          <w:fldChar w:fldCharType="end"/>
        </w:r>
      </w:hyperlink>
    </w:p>
    <w:p w14:paraId="5EB3D290" w14:textId="686863AF" w:rsidR="00B66237" w:rsidRDefault="001407D4">
      <w:pPr>
        <w:pStyle w:val="TOC2"/>
        <w:tabs>
          <w:tab w:val="right" w:pos="9854"/>
        </w:tabs>
        <w:rPr>
          <w:rFonts w:eastAsiaTheme="minorEastAsia"/>
          <w:noProof/>
          <w:color w:val="auto"/>
          <w:lang w:eastAsia="en-AU"/>
        </w:rPr>
      </w:pPr>
      <w:hyperlink w:anchor="_Toc191450985" w:history="1">
        <w:r w:rsidR="00B66237" w:rsidRPr="00AB5E2C">
          <w:rPr>
            <w:rStyle w:val="Hyperlink"/>
            <w:noProof/>
          </w:rPr>
          <w:t>2.2</w:t>
        </w:r>
        <w:r w:rsidR="00B66237">
          <w:rPr>
            <w:rFonts w:eastAsiaTheme="minorEastAsia"/>
            <w:noProof/>
            <w:color w:val="auto"/>
            <w:lang w:eastAsia="en-AU"/>
          </w:rPr>
          <w:tab/>
        </w:r>
        <w:r w:rsidR="00B66237" w:rsidRPr="00AB5E2C">
          <w:rPr>
            <w:rStyle w:val="Hyperlink"/>
            <w:noProof/>
          </w:rPr>
          <w:t>Context</w:t>
        </w:r>
        <w:r w:rsidR="00B66237">
          <w:rPr>
            <w:noProof/>
            <w:webHidden/>
          </w:rPr>
          <w:tab/>
        </w:r>
        <w:r w:rsidR="00B66237">
          <w:rPr>
            <w:noProof/>
            <w:webHidden/>
          </w:rPr>
          <w:fldChar w:fldCharType="begin"/>
        </w:r>
        <w:r w:rsidR="00B66237">
          <w:rPr>
            <w:noProof/>
            <w:webHidden/>
          </w:rPr>
          <w:instrText xml:space="preserve"> PAGEREF _Toc191450985 \h </w:instrText>
        </w:r>
        <w:r w:rsidR="00B66237">
          <w:rPr>
            <w:noProof/>
            <w:webHidden/>
          </w:rPr>
        </w:r>
        <w:r w:rsidR="00B66237">
          <w:rPr>
            <w:noProof/>
            <w:webHidden/>
          </w:rPr>
          <w:fldChar w:fldCharType="separate"/>
        </w:r>
        <w:r>
          <w:rPr>
            <w:noProof/>
            <w:webHidden/>
          </w:rPr>
          <w:t>5</w:t>
        </w:r>
        <w:r w:rsidR="00B66237">
          <w:rPr>
            <w:noProof/>
            <w:webHidden/>
          </w:rPr>
          <w:fldChar w:fldCharType="end"/>
        </w:r>
      </w:hyperlink>
    </w:p>
    <w:p w14:paraId="33A1C6B0" w14:textId="329B27B0" w:rsidR="00B66237" w:rsidRDefault="001407D4">
      <w:pPr>
        <w:pStyle w:val="TOC3"/>
        <w:rPr>
          <w:rFonts w:eastAsiaTheme="minorEastAsia"/>
          <w:noProof/>
          <w:color w:val="auto"/>
          <w:lang w:eastAsia="en-AU"/>
        </w:rPr>
      </w:pPr>
      <w:hyperlink w:anchor="_Toc191450986" w:history="1">
        <w:r w:rsidR="00B66237" w:rsidRPr="00AB5E2C">
          <w:rPr>
            <w:rStyle w:val="Hyperlink"/>
            <w:noProof/>
          </w:rPr>
          <w:t>2.2.1</w:t>
        </w:r>
        <w:r w:rsidR="00B66237">
          <w:rPr>
            <w:rFonts w:eastAsiaTheme="minorEastAsia"/>
            <w:noProof/>
            <w:color w:val="auto"/>
            <w:lang w:eastAsia="en-AU"/>
          </w:rPr>
          <w:tab/>
        </w:r>
        <w:r w:rsidR="00B66237" w:rsidRPr="00AB5E2C">
          <w:rPr>
            <w:rStyle w:val="Hyperlink"/>
            <w:noProof/>
          </w:rPr>
          <w:t>Community broadcasting</w:t>
        </w:r>
        <w:r w:rsidR="00B66237">
          <w:rPr>
            <w:noProof/>
            <w:webHidden/>
          </w:rPr>
          <w:tab/>
        </w:r>
        <w:r w:rsidR="00B66237">
          <w:rPr>
            <w:noProof/>
            <w:webHidden/>
          </w:rPr>
          <w:fldChar w:fldCharType="begin"/>
        </w:r>
        <w:r w:rsidR="00B66237">
          <w:rPr>
            <w:noProof/>
            <w:webHidden/>
          </w:rPr>
          <w:instrText xml:space="preserve"> PAGEREF _Toc191450986 \h </w:instrText>
        </w:r>
        <w:r w:rsidR="00B66237">
          <w:rPr>
            <w:noProof/>
            <w:webHidden/>
          </w:rPr>
        </w:r>
        <w:r w:rsidR="00B66237">
          <w:rPr>
            <w:noProof/>
            <w:webHidden/>
          </w:rPr>
          <w:fldChar w:fldCharType="separate"/>
        </w:r>
        <w:r>
          <w:rPr>
            <w:noProof/>
            <w:webHidden/>
          </w:rPr>
          <w:t>5</w:t>
        </w:r>
        <w:r w:rsidR="00B66237">
          <w:rPr>
            <w:noProof/>
            <w:webHidden/>
          </w:rPr>
          <w:fldChar w:fldCharType="end"/>
        </w:r>
      </w:hyperlink>
    </w:p>
    <w:p w14:paraId="605028C0" w14:textId="2C4BEEA8" w:rsidR="00B66237" w:rsidRDefault="001407D4">
      <w:pPr>
        <w:pStyle w:val="TOC3"/>
        <w:rPr>
          <w:rFonts w:eastAsiaTheme="minorEastAsia"/>
          <w:noProof/>
          <w:color w:val="auto"/>
          <w:lang w:eastAsia="en-AU"/>
        </w:rPr>
      </w:pPr>
      <w:hyperlink w:anchor="_Toc191450987" w:history="1">
        <w:r w:rsidR="00B66237" w:rsidRPr="00AB5E2C">
          <w:rPr>
            <w:rStyle w:val="Hyperlink"/>
            <w:noProof/>
          </w:rPr>
          <w:t>2.2.2</w:t>
        </w:r>
        <w:r w:rsidR="00B66237">
          <w:rPr>
            <w:rFonts w:eastAsiaTheme="minorEastAsia"/>
            <w:noProof/>
            <w:color w:val="auto"/>
            <w:lang w:eastAsia="en-AU"/>
          </w:rPr>
          <w:tab/>
        </w:r>
        <w:r w:rsidR="00B66237" w:rsidRPr="00AB5E2C">
          <w:rPr>
            <w:rStyle w:val="Hyperlink"/>
            <w:noProof/>
          </w:rPr>
          <w:t>The Community Broadcasting Program</w:t>
        </w:r>
        <w:r w:rsidR="00B66237">
          <w:rPr>
            <w:noProof/>
            <w:webHidden/>
          </w:rPr>
          <w:tab/>
        </w:r>
        <w:r w:rsidR="00B66237">
          <w:rPr>
            <w:noProof/>
            <w:webHidden/>
          </w:rPr>
          <w:fldChar w:fldCharType="begin"/>
        </w:r>
        <w:r w:rsidR="00B66237">
          <w:rPr>
            <w:noProof/>
            <w:webHidden/>
          </w:rPr>
          <w:instrText xml:space="preserve"> PAGEREF _Toc191450987 \h </w:instrText>
        </w:r>
        <w:r w:rsidR="00B66237">
          <w:rPr>
            <w:noProof/>
            <w:webHidden/>
          </w:rPr>
        </w:r>
        <w:r w:rsidR="00B66237">
          <w:rPr>
            <w:noProof/>
            <w:webHidden/>
          </w:rPr>
          <w:fldChar w:fldCharType="separate"/>
        </w:r>
        <w:r>
          <w:rPr>
            <w:noProof/>
            <w:webHidden/>
          </w:rPr>
          <w:t>5</w:t>
        </w:r>
        <w:r w:rsidR="00B66237">
          <w:rPr>
            <w:noProof/>
            <w:webHidden/>
          </w:rPr>
          <w:fldChar w:fldCharType="end"/>
        </w:r>
      </w:hyperlink>
    </w:p>
    <w:p w14:paraId="7E382D48" w14:textId="00EC3A17" w:rsidR="00B66237" w:rsidRDefault="001407D4">
      <w:pPr>
        <w:pStyle w:val="TOC3"/>
        <w:rPr>
          <w:rFonts w:eastAsiaTheme="minorEastAsia"/>
          <w:noProof/>
          <w:color w:val="auto"/>
          <w:lang w:eastAsia="en-AU"/>
        </w:rPr>
      </w:pPr>
      <w:hyperlink w:anchor="_Toc191450988" w:history="1">
        <w:r w:rsidR="00B66237" w:rsidRPr="00AB5E2C">
          <w:rPr>
            <w:rStyle w:val="Hyperlink"/>
            <w:noProof/>
          </w:rPr>
          <w:t>2.2.3</w:t>
        </w:r>
        <w:r w:rsidR="00B66237">
          <w:rPr>
            <w:rFonts w:eastAsiaTheme="minorEastAsia"/>
            <w:noProof/>
            <w:color w:val="auto"/>
            <w:lang w:eastAsia="en-AU"/>
          </w:rPr>
          <w:tab/>
        </w:r>
        <w:r w:rsidR="00B66237" w:rsidRPr="00AB5E2C">
          <w:rPr>
            <w:rStyle w:val="Hyperlink"/>
            <w:noProof/>
          </w:rPr>
          <w:t>The Indigenous Broadcasting and Media Program</w:t>
        </w:r>
        <w:r w:rsidR="00B66237">
          <w:rPr>
            <w:noProof/>
            <w:webHidden/>
          </w:rPr>
          <w:tab/>
        </w:r>
        <w:r w:rsidR="00B66237">
          <w:rPr>
            <w:noProof/>
            <w:webHidden/>
          </w:rPr>
          <w:fldChar w:fldCharType="begin"/>
        </w:r>
        <w:r w:rsidR="00B66237">
          <w:rPr>
            <w:noProof/>
            <w:webHidden/>
          </w:rPr>
          <w:instrText xml:space="preserve"> PAGEREF _Toc191450988 \h </w:instrText>
        </w:r>
        <w:r w:rsidR="00B66237">
          <w:rPr>
            <w:noProof/>
            <w:webHidden/>
          </w:rPr>
        </w:r>
        <w:r w:rsidR="00B66237">
          <w:rPr>
            <w:noProof/>
            <w:webHidden/>
          </w:rPr>
          <w:fldChar w:fldCharType="separate"/>
        </w:r>
        <w:r>
          <w:rPr>
            <w:noProof/>
            <w:webHidden/>
          </w:rPr>
          <w:t>5</w:t>
        </w:r>
        <w:r w:rsidR="00B66237">
          <w:rPr>
            <w:noProof/>
            <w:webHidden/>
          </w:rPr>
          <w:fldChar w:fldCharType="end"/>
        </w:r>
      </w:hyperlink>
    </w:p>
    <w:p w14:paraId="4C2E13B3" w14:textId="3BF63680" w:rsidR="00B66237" w:rsidRDefault="001407D4">
      <w:pPr>
        <w:pStyle w:val="TOC3"/>
        <w:rPr>
          <w:rFonts w:eastAsiaTheme="minorEastAsia"/>
          <w:noProof/>
          <w:color w:val="auto"/>
          <w:lang w:eastAsia="en-AU"/>
        </w:rPr>
      </w:pPr>
      <w:hyperlink w:anchor="_Toc191450989" w:history="1">
        <w:r w:rsidR="00B66237" w:rsidRPr="00AB5E2C">
          <w:rPr>
            <w:rStyle w:val="Hyperlink"/>
            <w:noProof/>
          </w:rPr>
          <w:t>2.2.4</w:t>
        </w:r>
        <w:r w:rsidR="00B66237">
          <w:rPr>
            <w:rFonts w:eastAsiaTheme="minorEastAsia"/>
            <w:noProof/>
            <w:color w:val="auto"/>
            <w:lang w:eastAsia="en-AU"/>
          </w:rPr>
          <w:tab/>
        </w:r>
        <w:r w:rsidR="00B66237" w:rsidRPr="00AB5E2C">
          <w:rPr>
            <w:rStyle w:val="Hyperlink"/>
            <w:noProof/>
          </w:rPr>
          <w:t>Roadmap 2033</w:t>
        </w:r>
        <w:r w:rsidR="00B66237">
          <w:rPr>
            <w:noProof/>
            <w:webHidden/>
          </w:rPr>
          <w:tab/>
        </w:r>
        <w:r w:rsidR="00B66237">
          <w:rPr>
            <w:noProof/>
            <w:webHidden/>
          </w:rPr>
          <w:fldChar w:fldCharType="begin"/>
        </w:r>
        <w:r w:rsidR="00B66237">
          <w:rPr>
            <w:noProof/>
            <w:webHidden/>
          </w:rPr>
          <w:instrText xml:space="preserve"> PAGEREF _Toc191450989 \h </w:instrText>
        </w:r>
        <w:r w:rsidR="00B66237">
          <w:rPr>
            <w:noProof/>
            <w:webHidden/>
          </w:rPr>
        </w:r>
        <w:r w:rsidR="00B66237">
          <w:rPr>
            <w:noProof/>
            <w:webHidden/>
          </w:rPr>
          <w:fldChar w:fldCharType="separate"/>
        </w:r>
        <w:r>
          <w:rPr>
            <w:noProof/>
            <w:webHidden/>
          </w:rPr>
          <w:t>6</w:t>
        </w:r>
        <w:r w:rsidR="00B66237">
          <w:rPr>
            <w:noProof/>
            <w:webHidden/>
          </w:rPr>
          <w:fldChar w:fldCharType="end"/>
        </w:r>
      </w:hyperlink>
    </w:p>
    <w:p w14:paraId="1EB68D46" w14:textId="5B19A260" w:rsidR="00B66237" w:rsidRDefault="001407D4">
      <w:pPr>
        <w:pStyle w:val="TOC2"/>
        <w:tabs>
          <w:tab w:val="right" w:pos="9854"/>
        </w:tabs>
        <w:rPr>
          <w:rFonts w:eastAsiaTheme="minorEastAsia"/>
          <w:noProof/>
          <w:color w:val="auto"/>
          <w:lang w:eastAsia="en-AU"/>
        </w:rPr>
      </w:pPr>
      <w:hyperlink w:anchor="_Toc191450990" w:history="1">
        <w:r w:rsidR="00B66237" w:rsidRPr="00AB5E2C">
          <w:rPr>
            <w:rStyle w:val="Hyperlink"/>
            <w:noProof/>
          </w:rPr>
          <w:t>2.3</w:t>
        </w:r>
        <w:r w:rsidR="00B66237">
          <w:rPr>
            <w:rFonts w:eastAsiaTheme="minorEastAsia"/>
            <w:noProof/>
            <w:color w:val="auto"/>
            <w:lang w:eastAsia="en-AU"/>
          </w:rPr>
          <w:tab/>
        </w:r>
        <w:r w:rsidR="00B66237" w:rsidRPr="00AB5E2C">
          <w:rPr>
            <w:rStyle w:val="Hyperlink"/>
            <w:noProof/>
          </w:rPr>
          <w:t>Scope</w:t>
        </w:r>
        <w:r w:rsidR="00B66237">
          <w:rPr>
            <w:noProof/>
            <w:webHidden/>
          </w:rPr>
          <w:tab/>
        </w:r>
        <w:r w:rsidR="00B66237">
          <w:rPr>
            <w:noProof/>
            <w:webHidden/>
          </w:rPr>
          <w:fldChar w:fldCharType="begin"/>
        </w:r>
        <w:r w:rsidR="00B66237">
          <w:rPr>
            <w:noProof/>
            <w:webHidden/>
          </w:rPr>
          <w:instrText xml:space="preserve"> PAGEREF _Toc191450990 \h </w:instrText>
        </w:r>
        <w:r w:rsidR="00B66237">
          <w:rPr>
            <w:noProof/>
            <w:webHidden/>
          </w:rPr>
        </w:r>
        <w:r w:rsidR="00B66237">
          <w:rPr>
            <w:noProof/>
            <w:webHidden/>
          </w:rPr>
          <w:fldChar w:fldCharType="separate"/>
        </w:r>
        <w:r>
          <w:rPr>
            <w:noProof/>
            <w:webHidden/>
          </w:rPr>
          <w:t>6</w:t>
        </w:r>
        <w:r w:rsidR="00B66237">
          <w:rPr>
            <w:noProof/>
            <w:webHidden/>
          </w:rPr>
          <w:fldChar w:fldCharType="end"/>
        </w:r>
      </w:hyperlink>
    </w:p>
    <w:p w14:paraId="5C5688B3" w14:textId="52D16394" w:rsidR="00B66237" w:rsidRDefault="001407D4">
      <w:pPr>
        <w:pStyle w:val="TOC1"/>
        <w:rPr>
          <w:rFonts w:eastAsiaTheme="minorEastAsia"/>
          <w:b w:val="0"/>
          <w:noProof/>
          <w:color w:val="auto"/>
          <w:sz w:val="22"/>
          <w:u w:val="none"/>
          <w:lang w:eastAsia="en-AU"/>
        </w:rPr>
      </w:pPr>
      <w:hyperlink w:anchor="_Toc191450991" w:history="1">
        <w:r w:rsidR="00B66237" w:rsidRPr="00AB5E2C">
          <w:rPr>
            <w:rStyle w:val="Hyperlink"/>
            <w:noProof/>
          </w:rPr>
          <w:t>3.</w:t>
        </w:r>
        <w:r w:rsidR="00B66237">
          <w:rPr>
            <w:rFonts w:eastAsiaTheme="minorEastAsia"/>
            <w:b w:val="0"/>
            <w:noProof/>
            <w:color w:val="auto"/>
            <w:sz w:val="22"/>
            <w:u w:val="none"/>
            <w:lang w:eastAsia="en-AU"/>
          </w:rPr>
          <w:tab/>
        </w:r>
        <w:r w:rsidR="00B66237" w:rsidRPr="00AB5E2C">
          <w:rPr>
            <w:rStyle w:val="Hyperlink"/>
            <w:noProof/>
          </w:rPr>
          <w:t>Recommendations</w:t>
        </w:r>
        <w:r w:rsidR="00B66237">
          <w:rPr>
            <w:noProof/>
            <w:webHidden/>
          </w:rPr>
          <w:tab/>
        </w:r>
        <w:r w:rsidR="00B66237">
          <w:rPr>
            <w:noProof/>
            <w:webHidden/>
          </w:rPr>
          <w:fldChar w:fldCharType="begin"/>
        </w:r>
        <w:r w:rsidR="00B66237">
          <w:rPr>
            <w:noProof/>
            <w:webHidden/>
          </w:rPr>
          <w:instrText xml:space="preserve"> PAGEREF _Toc191450991 \h </w:instrText>
        </w:r>
        <w:r w:rsidR="00B66237">
          <w:rPr>
            <w:noProof/>
            <w:webHidden/>
          </w:rPr>
        </w:r>
        <w:r w:rsidR="00B66237">
          <w:rPr>
            <w:noProof/>
            <w:webHidden/>
          </w:rPr>
          <w:fldChar w:fldCharType="separate"/>
        </w:r>
        <w:r>
          <w:rPr>
            <w:noProof/>
            <w:webHidden/>
          </w:rPr>
          <w:t>7</w:t>
        </w:r>
        <w:r w:rsidR="00B66237">
          <w:rPr>
            <w:noProof/>
            <w:webHidden/>
          </w:rPr>
          <w:fldChar w:fldCharType="end"/>
        </w:r>
      </w:hyperlink>
    </w:p>
    <w:p w14:paraId="7EC725CC" w14:textId="26B8372A" w:rsidR="00B66237" w:rsidRDefault="001407D4">
      <w:pPr>
        <w:pStyle w:val="TOC2"/>
        <w:tabs>
          <w:tab w:val="right" w:pos="9854"/>
        </w:tabs>
        <w:rPr>
          <w:rFonts w:eastAsiaTheme="minorEastAsia"/>
          <w:noProof/>
          <w:color w:val="auto"/>
          <w:lang w:eastAsia="en-AU"/>
        </w:rPr>
      </w:pPr>
      <w:hyperlink w:anchor="_Toc191450992" w:history="1">
        <w:r w:rsidR="00B66237" w:rsidRPr="00AB5E2C">
          <w:rPr>
            <w:rStyle w:val="Hyperlink"/>
            <w:noProof/>
          </w:rPr>
          <w:t>3.1</w:t>
        </w:r>
        <w:r w:rsidR="00B66237">
          <w:rPr>
            <w:rFonts w:eastAsiaTheme="minorEastAsia"/>
            <w:noProof/>
            <w:color w:val="auto"/>
            <w:lang w:eastAsia="en-AU"/>
          </w:rPr>
          <w:tab/>
        </w:r>
        <w:r w:rsidR="00B66237" w:rsidRPr="00AB5E2C">
          <w:rPr>
            <w:rStyle w:val="Hyperlink"/>
            <w:noProof/>
          </w:rPr>
          <w:t>For Australian Government consideration</w:t>
        </w:r>
        <w:r w:rsidR="00B66237">
          <w:rPr>
            <w:noProof/>
            <w:webHidden/>
          </w:rPr>
          <w:tab/>
        </w:r>
        <w:r w:rsidR="00B66237">
          <w:rPr>
            <w:noProof/>
            <w:webHidden/>
          </w:rPr>
          <w:fldChar w:fldCharType="begin"/>
        </w:r>
        <w:r w:rsidR="00B66237">
          <w:rPr>
            <w:noProof/>
            <w:webHidden/>
          </w:rPr>
          <w:instrText xml:space="preserve"> PAGEREF _Toc191450992 \h </w:instrText>
        </w:r>
        <w:r w:rsidR="00B66237">
          <w:rPr>
            <w:noProof/>
            <w:webHidden/>
          </w:rPr>
        </w:r>
        <w:r w:rsidR="00B66237">
          <w:rPr>
            <w:noProof/>
            <w:webHidden/>
          </w:rPr>
          <w:fldChar w:fldCharType="separate"/>
        </w:r>
        <w:r>
          <w:rPr>
            <w:noProof/>
            <w:webHidden/>
          </w:rPr>
          <w:t>7</w:t>
        </w:r>
        <w:r w:rsidR="00B66237">
          <w:rPr>
            <w:noProof/>
            <w:webHidden/>
          </w:rPr>
          <w:fldChar w:fldCharType="end"/>
        </w:r>
      </w:hyperlink>
    </w:p>
    <w:p w14:paraId="3901FD18" w14:textId="38A751EB" w:rsidR="00B66237" w:rsidRDefault="001407D4">
      <w:pPr>
        <w:pStyle w:val="TOC2"/>
        <w:tabs>
          <w:tab w:val="right" w:pos="9854"/>
        </w:tabs>
        <w:rPr>
          <w:rFonts w:eastAsiaTheme="minorEastAsia"/>
          <w:noProof/>
          <w:color w:val="auto"/>
          <w:lang w:eastAsia="en-AU"/>
        </w:rPr>
      </w:pPr>
      <w:hyperlink w:anchor="_Toc191450993" w:history="1">
        <w:r w:rsidR="00B66237" w:rsidRPr="00AB5E2C">
          <w:rPr>
            <w:rStyle w:val="Hyperlink"/>
            <w:noProof/>
          </w:rPr>
          <w:t>3.2</w:t>
        </w:r>
        <w:r w:rsidR="00B66237">
          <w:rPr>
            <w:rFonts w:eastAsiaTheme="minorEastAsia"/>
            <w:noProof/>
            <w:color w:val="auto"/>
            <w:lang w:eastAsia="en-AU"/>
          </w:rPr>
          <w:tab/>
        </w:r>
        <w:r w:rsidR="00B66237" w:rsidRPr="00AB5E2C">
          <w:rPr>
            <w:rStyle w:val="Hyperlink"/>
            <w:noProof/>
          </w:rPr>
          <w:t>For community broadcasting sector consideration</w:t>
        </w:r>
        <w:r w:rsidR="00B66237">
          <w:rPr>
            <w:noProof/>
            <w:webHidden/>
          </w:rPr>
          <w:tab/>
        </w:r>
        <w:r w:rsidR="00B66237">
          <w:rPr>
            <w:noProof/>
            <w:webHidden/>
          </w:rPr>
          <w:fldChar w:fldCharType="begin"/>
        </w:r>
        <w:r w:rsidR="00B66237">
          <w:rPr>
            <w:noProof/>
            <w:webHidden/>
          </w:rPr>
          <w:instrText xml:space="preserve"> PAGEREF _Toc191450993 \h </w:instrText>
        </w:r>
        <w:r w:rsidR="00B66237">
          <w:rPr>
            <w:noProof/>
            <w:webHidden/>
          </w:rPr>
        </w:r>
        <w:r w:rsidR="00B66237">
          <w:rPr>
            <w:noProof/>
            <w:webHidden/>
          </w:rPr>
          <w:fldChar w:fldCharType="separate"/>
        </w:r>
        <w:r>
          <w:rPr>
            <w:noProof/>
            <w:webHidden/>
          </w:rPr>
          <w:t>7</w:t>
        </w:r>
        <w:r w:rsidR="00B66237">
          <w:rPr>
            <w:noProof/>
            <w:webHidden/>
          </w:rPr>
          <w:fldChar w:fldCharType="end"/>
        </w:r>
      </w:hyperlink>
    </w:p>
    <w:p w14:paraId="1C575079" w14:textId="0EFA9244" w:rsidR="00B66237" w:rsidRDefault="001407D4">
      <w:pPr>
        <w:pStyle w:val="TOC1"/>
        <w:rPr>
          <w:rFonts w:eastAsiaTheme="minorEastAsia"/>
          <w:b w:val="0"/>
          <w:noProof/>
          <w:color w:val="auto"/>
          <w:sz w:val="22"/>
          <w:u w:val="none"/>
          <w:lang w:eastAsia="en-AU"/>
        </w:rPr>
      </w:pPr>
      <w:hyperlink w:anchor="_Toc191450994" w:history="1">
        <w:r w:rsidR="00B66237" w:rsidRPr="00AB5E2C">
          <w:rPr>
            <w:rStyle w:val="Hyperlink"/>
            <w:noProof/>
          </w:rPr>
          <w:t>4.</w:t>
        </w:r>
        <w:r w:rsidR="00B66237">
          <w:rPr>
            <w:rFonts w:eastAsiaTheme="minorEastAsia"/>
            <w:b w:val="0"/>
            <w:noProof/>
            <w:color w:val="auto"/>
            <w:sz w:val="22"/>
            <w:u w:val="none"/>
            <w:lang w:eastAsia="en-AU"/>
          </w:rPr>
          <w:tab/>
        </w:r>
        <w:r w:rsidR="00B66237" w:rsidRPr="00AB5E2C">
          <w:rPr>
            <w:rStyle w:val="Hyperlink"/>
            <w:noProof/>
          </w:rPr>
          <w:t>Priority Area 1: Funding, structure and outcomes</w:t>
        </w:r>
        <w:r w:rsidR="00B66237">
          <w:rPr>
            <w:noProof/>
            <w:webHidden/>
          </w:rPr>
          <w:tab/>
        </w:r>
        <w:r w:rsidR="00B66237">
          <w:rPr>
            <w:noProof/>
            <w:webHidden/>
          </w:rPr>
          <w:fldChar w:fldCharType="begin"/>
        </w:r>
        <w:r w:rsidR="00B66237">
          <w:rPr>
            <w:noProof/>
            <w:webHidden/>
          </w:rPr>
          <w:instrText xml:space="preserve"> PAGEREF _Toc191450994 \h </w:instrText>
        </w:r>
        <w:r w:rsidR="00B66237">
          <w:rPr>
            <w:noProof/>
            <w:webHidden/>
          </w:rPr>
        </w:r>
        <w:r w:rsidR="00B66237">
          <w:rPr>
            <w:noProof/>
            <w:webHidden/>
          </w:rPr>
          <w:fldChar w:fldCharType="separate"/>
        </w:r>
        <w:r>
          <w:rPr>
            <w:noProof/>
            <w:webHidden/>
          </w:rPr>
          <w:t>8</w:t>
        </w:r>
        <w:r w:rsidR="00B66237">
          <w:rPr>
            <w:noProof/>
            <w:webHidden/>
          </w:rPr>
          <w:fldChar w:fldCharType="end"/>
        </w:r>
      </w:hyperlink>
    </w:p>
    <w:p w14:paraId="5CB6E1C3" w14:textId="0966ADFF" w:rsidR="00B66237" w:rsidRDefault="001407D4">
      <w:pPr>
        <w:pStyle w:val="TOC2"/>
        <w:tabs>
          <w:tab w:val="right" w:pos="9854"/>
        </w:tabs>
        <w:rPr>
          <w:rFonts w:eastAsiaTheme="minorEastAsia"/>
          <w:noProof/>
          <w:color w:val="auto"/>
          <w:lang w:eastAsia="en-AU"/>
        </w:rPr>
      </w:pPr>
      <w:hyperlink w:anchor="_Toc191450995" w:history="1">
        <w:r w:rsidR="00B66237" w:rsidRPr="00AB5E2C">
          <w:rPr>
            <w:rStyle w:val="Hyperlink"/>
            <w:noProof/>
          </w:rPr>
          <w:t>4.1</w:t>
        </w:r>
        <w:r w:rsidR="00B66237">
          <w:rPr>
            <w:rFonts w:eastAsiaTheme="minorEastAsia"/>
            <w:noProof/>
            <w:color w:val="auto"/>
            <w:lang w:eastAsia="en-AU"/>
          </w:rPr>
          <w:tab/>
        </w:r>
        <w:r w:rsidR="00B66237" w:rsidRPr="00AB5E2C">
          <w:rPr>
            <w:rStyle w:val="Hyperlink"/>
            <w:noProof/>
          </w:rPr>
          <w:t>Funding</w:t>
        </w:r>
        <w:r w:rsidR="00B66237">
          <w:rPr>
            <w:noProof/>
            <w:webHidden/>
          </w:rPr>
          <w:tab/>
        </w:r>
        <w:r w:rsidR="00B66237">
          <w:rPr>
            <w:noProof/>
            <w:webHidden/>
          </w:rPr>
          <w:fldChar w:fldCharType="begin"/>
        </w:r>
        <w:r w:rsidR="00B66237">
          <w:rPr>
            <w:noProof/>
            <w:webHidden/>
          </w:rPr>
          <w:instrText xml:space="preserve"> PAGEREF _Toc191450995 \h </w:instrText>
        </w:r>
        <w:r w:rsidR="00B66237">
          <w:rPr>
            <w:noProof/>
            <w:webHidden/>
          </w:rPr>
        </w:r>
        <w:r w:rsidR="00B66237">
          <w:rPr>
            <w:noProof/>
            <w:webHidden/>
          </w:rPr>
          <w:fldChar w:fldCharType="separate"/>
        </w:r>
        <w:r>
          <w:rPr>
            <w:noProof/>
            <w:webHidden/>
          </w:rPr>
          <w:t>8</w:t>
        </w:r>
        <w:r w:rsidR="00B66237">
          <w:rPr>
            <w:noProof/>
            <w:webHidden/>
          </w:rPr>
          <w:fldChar w:fldCharType="end"/>
        </w:r>
      </w:hyperlink>
    </w:p>
    <w:p w14:paraId="6EFFCB55" w14:textId="4C2A7226" w:rsidR="00B66237" w:rsidRDefault="001407D4">
      <w:pPr>
        <w:pStyle w:val="TOC3"/>
        <w:rPr>
          <w:rFonts w:eastAsiaTheme="minorEastAsia"/>
          <w:noProof/>
          <w:color w:val="auto"/>
          <w:lang w:eastAsia="en-AU"/>
        </w:rPr>
      </w:pPr>
      <w:hyperlink w:anchor="_Toc191450996" w:history="1">
        <w:r w:rsidR="00B66237" w:rsidRPr="00AB5E2C">
          <w:rPr>
            <w:rStyle w:val="Hyperlink"/>
            <w:noProof/>
          </w:rPr>
          <w:t>4.1.1</w:t>
        </w:r>
        <w:r w:rsidR="00B66237">
          <w:rPr>
            <w:rFonts w:eastAsiaTheme="minorEastAsia"/>
            <w:noProof/>
            <w:color w:val="auto"/>
            <w:lang w:eastAsia="en-AU"/>
          </w:rPr>
          <w:tab/>
        </w:r>
        <w:r w:rsidR="00B66237" w:rsidRPr="00AB5E2C">
          <w:rPr>
            <w:rStyle w:val="Hyperlink"/>
            <w:noProof/>
          </w:rPr>
          <w:t>Reliance on funding</w:t>
        </w:r>
        <w:r w:rsidR="00B66237">
          <w:rPr>
            <w:noProof/>
            <w:webHidden/>
          </w:rPr>
          <w:tab/>
        </w:r>
        <w:r w:rsidR="00B66237">
          <w:rPr>
            <w:noProof/>
            <w:webHidden/>
          </w:rPr>
          <w:fldChar w:fldCharType="begin"/>
        </w:r>
        <w:r w:rsidR="00B66237">
          <w:rPr>
            <w:noProof/>
            <w:webHidden/>
          </w:rPr>
          <w:instrText xml:space="preserve"> PAGEREF _Toc191450996 \h </w:instrText>
        </w:r>
        <w:r w:rsidR="00B66237">
          <w:rPr>
            <w:noProof/>
            <w:webHidden/>
          </w:rPr>
        </w:r>
        <w:r w:rsidR="00B66237">
          <w:rPr>
            <w:noProof/>
            <w:webHidden/>
          </w:rPr>
          <w:fldChar w:fldCharType="separate"/>
        </w:r>
        <w:r>
          <w:rPr>
            <w:noProof/>
            <w:webHidden/>
          </w:rPr>
          <w:t>8</w:t>
        </w:r>
        <w:r w:rsidR="00B66237">
          <w:rPr>
            <w:noProof/>
            <w:webHidden/>
          </w:rPr>
          <w:fldChar w:fldCharType="end"/>
        </w:r>
      </w:hyperlink>
    </w:p>
    <w:p w14:paraId="66285F62" w14:textId="635AA89A" w:rsidR="00B66237" w:rsidRDefault="001407D4">
      <w:pPr>
        <w:pStyle w:val="TOC3"/>
        <w:rPr>
          <w:rFonts w:eastAsiaTheme="minorEastAsia"/>
          <w:noProof/>
          <w:color w:val="auto"/>
          <w:lang w:eastAsia="en-AU"/>
        </w:rPr>
      </w:pPr>
      <w:hyperlink w:anchor="_Toc191450997" w:history="1">
        <w:r w:rsidR="00B66237" w:rsidRPr="00AB5E2C">
          <w:rPr>
            <w:rStyle w:val="Hyperlink"/>
            <w:noProof/>
          </w:rPr>
          <w:t>4.1.2</w:t>
        </w:r>
        <w:r w:rsidR="00B66237">
          <w:rPr>
            <w:rFonts w:eastAsiaTheme="minorEastAsia"/>
            <w:noProof/>
            <w:color w:val="auto"/>
            <w:lang w:eastAsia="en-AU"/>
          </w:rPr>
          <w:tab/>
        </w:r>
        <w:r w:rsidR="00B66237" w:rsidRPr="00AB5E2C">
          <w:rPr>
            <w:rStyle w:val="Hyperlink"/>
            <w:noProof/>
          </w:rPr>
          <w:t>Revenue diversification</w:t>
        </w:r>
        <w:r w:rsidR="00B66237">
          <w:rPr>
            <w:noProof/>
            <w:webHidden/>
          </w:rPr>
          <w:tab/>
        </w:r>
        <w:r w:rsidR="00B66237">
          <w:rPr>
            <w:noProof/>
            <w:webHidden/>
          </w:rPr>
          <w:fldChar w:fldCharType="begin"/>
        </w:r>
        <w:r w:rsidR="00B66237">
          <w:rPr>
            <w:noProof/>
            <w:webHidden/>
          </w:rPr>
          <w:instrText xml:space="preserve"> PAGEREF _Toc191450997 \h </w:instrText>
        </w:r>
        <w:r w:rsidR="00B66237">
          <w:rPr>
            <w:noProof/>
            <w:webHidden/>
          </w:rPr>
        </w:r>
        <w:r w:rsidR="00B66237">
          <w:rPr>
            <w:noProof/>
            <w:webHidden/>
          </w:rPr>
          <w:fldChar w:fldCharType="separate"/>
        </w:r>
        <w:r>
          <w:rPr>
            <w:noProof/>
            <w:webHidden/>
          </w:rPr>
          <w:t>9</w:t>
        </w:r>
        <w:r w:rsidR="00B66237">
          <w:rPr>
            <w:noProof/>
            <w:webHidden/>
          </w:rPr>
          <w:fldChar w:fldCharType="end"/>
        </w:r>
      </w:hyperlink>
    </w:p>
    <w:p w14:paraId="35E014D5" w14:textId="1864A61C" w:rsidR="00B66237" w:rsidRDefault="001407D4">
      <w:pPr>
        <w:pStyle w:val="TOC2"/>
        <w:tabs>
          <w:tab w:val="right" w:pos="9854"/>
        </w:tabs>
        <w:rPr>
          <w:rFonts w:eastAsiaTheme="minorEastAsia"/>
          <w:noProof/>
          <w:color w:val="auto"/>
          <w:lang w:eastAsia="en-AU"/>
        </w:rPr>
      </w:pPr>
      <w:hyperlink w:anchor="_Toc191450998" w:history="1">
        <w:r w:rsidR="00B66237" w:rsidRPr="00AB5E2C">
          <w:rPr>
            <w:rStyle w:val="Hyperlink"/>
            <w:noProof/>
          </w:rPr>
          <w:t>4.2</w:t>
        </w:r>
        <w:r w:rsidR="00B66237">
          <w:rPr>
            <w:rFonts w:eastAsiaTheme="minorEastAsia"/>
            <w:noProof/>
            <w:color w:val="auto"/>
            <w:lang w:eastAsia="en-AU"/>
          </w:rPr>
          <w:tab/>
        </w:r>
        <w:r w:rsidR="00B66237" w:rsidRPr="00AB5E2C">
          <w:rPr>
            <w:rStyle w:val="Hyperlink"/>
            <w:noProof/>
          </w:rPr>
          <w:t>Structure</w:t>
        </w:r>
        <w:r w:rsidR="00B66237">
          <w:rPr>
            <w:noProof/>
            <w:webHidden/>
          </w:rPr>
          <w:tab/>
        </w:r>
        <w:r w:rsidR="00B66237">
          <w:rPr>
            <w:noProof/>
            <w:webHidden/>
          </w:rPr>
          <w:fldChar w:fldCharType="begin"/>
        </w:r>
        <w:r w:rsidR="00B66237">
          <w:rPr>
            <w:noProof/>
            <w:webHidden/>
          </w:rPr>
          <w:instrText xml:space="preserve"> PAGEREF _Toc191450998 \h </w:instrText>
        </w:r>
        <w:r w:rsidR="00B66237">
          <w:rPr>
            <w:noProof/>
            <w:webHidden/>
          </w:rPr>
        </w:r>
        <w:r w:rsidR="00B66237">
          <w:rPr>
            <w:noProof/>
            <w:webHidden/>
          </w:rPr>
          <w:fldChar w:fldCharType="separate"/>
        </w:r>
        <w:r>
          <w:rPr>
            <w:noProof/>
            <w:webHidden/>
          </w:rPr>
          <w:t>9</w:t>
        </w:r>
        <w:r w:rsidR="00B66237">
          <w:rPr>
            <w:noProof/>
            <w:webHidden/>
          </w:rPr>
          <w:fldChar w:fldCharType="end"/>
        </w:r>
      </w:hyperlink>
    </w:p>
    <w:p w14:paraId="708C0E3C" w14:textId="4661A4DC" w:rsidR="00B66237" w:rsidRDefault="001407D4">
      <w:pPr>
        <w:pStyle w:val="TOC3"/>
        <w:rPr>
          <w:rFonts w:eastAsiaTheme="minorEastAsia"/>
          <w:noProof/>
          <w:color w:val="auto"/>
          <w:lang w:eastAsia="en-AU"/>
        </w:rPr>
      </w:pPr>
      <w:hyperlink w:anchor="_Toc191450999" w:history="1">
        <w:r w:rsidR="00B66237" w:rsidRPr="00AB5E2C">
          <w:rPr>
            <w:rStyle w:val="Hyperlink"/>
            <w:noProof/>
          </w:rPr>
          <w:t>4.2.1</w:t>
        </w:r>
        <w:r w:rsidR="00B66237">
          <w:rPr>
            <w:rFonts w:eastAsiaTheme="minorEastAsia"/>
            <w:noProof/>
            <w:color w:val="auto"/>
            <w:lang w:eastAsia="en-AU"/>
          </w:rPr>
          <w:tab/>
        </w:r>
        <w:r w:rsidR="00B66237" w:rsidRPr="00AB5E2C">
          <w:rPr>
            <w:rStyle w:val="Hyperlink"/>
            <w:noProof/>
          </w:rPr>
          <w:t>Funding priorities</w:t>
        </w:r>
        <w:r w:rsidR="00B66237">
          <w:rPr>
            <w:noProof/>
            <w:webHidden/>
          </w:rPr>
          <w:tab/>
        </w:r>
        <w:r w:rsidR="00B66237">
          <w:rPr>
            <w:noProof/>
            <w:webHidden/>
          </w:rPr>
          <w:fldChar w:fldCharType="begin"/>
        </w:r>
        <w:r w:rsidR="00B66237">
          <w:rPr>
            <w:noProof/>
            <w:webHidden/>
          </w:rPr>
          <w:instrText xml:space="preserve"> PAGEREF _Toc191450999 \h </w:instrText>
        </w:r>
        <w:r w:rsidR="00B66237">
          <w:rPr>
            <w:noProof/>
            <w:webHidden/>
          </w:rPr>
        </w:r>
        <w:r w:rsidR="00B66237">
          <w:rPr>
            <w:noProof/>
            <w:webHidden/>
          </w:rPr>
          <w:fldChar w:fldCharType="separate"/>
        </w:r>
        <w:r>
          <w:rPr>
            <w:noProof/>
            <w:webHidden/>
          </w:rPr>
          <w:t>9</w:t>
        </w:r>
        <w:r w:rsidR="00B66237">
          <w:rPr>
            <w:noProof/>
            <w:webHidden/>
          </w:rPr>
          <w:fldChar w:fldCharType="end"/>
        </w:r>
      </w:hyperlink>
    </w:p>
    <w:p w14:paraId="480B125A" w14:textId="7AD52F8E" w:rsidR="00B66237" w:rsidRDefault="001407D4">
      <w:pPr>
        <w:pStyle w:val="TOC3"/>
        <w:rPr>
          <w:rFonts w:eastAsiaTheme="minorEastAsia"/>
          <w:noProof/>
          <w:color w:val="auto"/>
          <w:lang w:eastAsia="en-AU"/>
        </w:rPr>
      </w:pPr>
      <w:hyperlink w:anchor="_Toc191451000" w:history="1">
        <w:r w:rsidR="00B66237" w:rsidRPr="00AB5E2C">
          <w:rPr>
            <w:rStyle w:val="Hyperlink"/>
            <w:noProof/>
          </w:rPr>
          <w:t>4.2.2</w:t>
        </w:r>
        <w:r w:rsidR="00B66237">
          <w:rPr>
            <w:rFonts w:eastAsiaTheme="minorEastAsia"/>
            <w:noProof/>
            <w:color w:val="auto"/>
            <w:lang w:eastAsia="en-AU"/>
          </w:rPr>
          <w:tab/>
        </w:r>
        <w:r w:rsidR="00B66237" w:rsidRPr="00AB5E2C">
          <w:rPr>
            <w:rStyle w:val="Hyperlink"/>
            <w:noProof/>
          </w:rPr>
          <w:t>Grant streams</w:t>
        </w:r>
        <w:r w:rsidR="00B66237">
          <w:rPr>
            <w:noProof/>
            <w:webHidden/>
          </w:rPr>
          <w:tab/>
        </w:r>
        <w:r w:rsidR="00B66237">
          <w:rPr>
            <w:noProof/>
            <w:webHidden/>
          </w:rPr>
          <w:fldChar w:fldCharType="begin"/>
        </w:r>
        <w:r w:rsidR="00B66237">
          <w:rPr>
            <w:noProof/>
            <w:webHidden/>
          </w:rPr>
          <w:instrText xml:space="preserve"> PAGEREF _Toc191451000 \h </w:instrText>
        </w:r>
        <w:r w:rsidR="00B66237">
          <w:rPr>
            <w:noProof/>
            <w:webHidden/>
          </w:rPr>
        </w:r>
        <w:r w:rsidR="00B66237">
          <w:rPr>
            <w:noProof/>
            <w:webHidden/>
          </w:rPr>
          <w:fldChar w:fldCharType="separate"/>
        </w:r>
        <w:r>
          <w:rPr>
            <w:noProof/>
            <w:webHidden/>
          </w:rPr>
          <w:t>10</w:t>
        </w:r>
        <w:r w:rsidR="00B66237">
          <w:rPr>
            <w:noProof/>
            <w:webHidden/>
          </w:rPr>
          <w:fldChar w:fldCharType="end"/>
        </w:r>
      </w:hyperlink>
    </w:p>
    <w:p w14:paraId="6BCBD897" w14:textId="712A0121" w:rsidR="00B66237" w:rsidRDefault="001407D4">
      <w:pPr>
        <w:pStyle w:val="TOC3"/>
        <w:rPr>
          <w:rFonts w:eastAsiaTheme="minorEastAsia"/>
          <w:noProof/>
          <w:color w:val="auto"/>
          <w:lang w:eastAsia="en-AU"/>
        </w:rPr>
      </w:pPr>
      <w:hyperlink w:anchor="_Toc191451001" w:history="1">
        <w:r w:rsidR="00B66237" w:rsidRPr="00AB5E2C">
          <w:rPr>
            <w:rStyle w:val="Hyperlink"/>
            <w:noProof/>
          </w:rPr>
          <w:t>4.2.3</w:t>
        </w:r>
        <w:r w:rsidR="00B66237">
          <w:rPr>
            <w:rFonts w:eastAsiaTheme="minorEastAsia"/>
            <w:noProof/>
            <w:color w:val="auto"/>
            <w:lang w:eastAsia="en-AU"/>
          </w:rPr>
          <w:tab/>
        </w:r>
        <w:r w:rsidR="00B66237" w:rsidRPr="00AB5E2C">
          <w:rPr>
            <w:rStyle w:val="Hyperlink"/>
            <w:noProof/>
          </w:rPr>
          <w:t>Granting processes</w:t>
        </w:r>
        <w:r w:rsidR="00B66237">
          <w:rPr>
            <w:noProof/>
            <w:webHidden/>
          </w:rPr>
          <w:tab/>
        </w:r>
        <w:r w:rsidR="00B66237">
          <w:rPr>
            <w:noProof/>
            <w:webHidden/>
          </w:rPr>
          <w:fldChar w:fldCharType="begin"/>
        </w:r>
        <w:r w:rsidR="00B66237">
          <w:rPr>
            <w:noProof/>
            <w:webHidden/>
          </w:rPr>
          <w:instrText xml:space="preserve"> PAGEREF _Toc191451001 \h </w:instrText>
        </w:r>
        <w:r w:rsidR="00B66237">
          <w:rPr>
            <w:noProof/>
            <w:webHidden/>
          </w:rPr>
        </w:r>
        <w:r w:rsidR="00B66237">
          <w:rPr>
            <w:noProof/>
            <w:webHidden/>
          </w:rPr>
          <w:fldChar w:fldCharType="separate"/>
        </w:r>
        <w:r>
          <w:rPr>
            <w:noProof/>
            <w:webHidden/>
          </w:rPr>
          <w:t>10</w:t>
        </w:r>
        <w:r w:rsidR="00B66237">
          <w:rPr>
            <w:noProof/>
            <w:webHidden/>
          </w:rPr>
          <w:fldChar w:fldCharType="end"/>
        </w:r>
      </w:hyperlink>
    </w:p>
    <w:p w14:paraId="06410727" w14:textId="31C7AFF7" w:rsidR="00B66237" w:rsidRDefault="001407D4">
      <w:pPr>
        <w:pStyle w:val="TOC3"/>
        <w:rPr>
          <w:rFonts w:eastAsiaTheme="minorEastAsia"/>
          <w:noProof/>
          <w:color w:val="auto"/>
          <w:lang w:eastAsia="en-AU"/>
        </w:rPr>
      </w:pPr>
      <w:hyperlink w:anchor="_Toc191451002" w:history="1">
        <w:r w:rsidR="00B66237" w:rsidRPr="00AB5E2C">
          <w:rPr>
            <w:rStyle w:val="Hyperlink"/>
            <w:noProof/>
          </w:rPr>
          <w:t>4.2.4</w:t>
        </w:r>
        <w:r w:rsidR="00B66237">
          <w:rPr>
            <w:rFonts w:eastAsiaTheme="minorEastAsia"/>
            <w:noProof/>
            <w:color w:val="auto"/>
            <w:lang w:eastAsia="en-AU"/>
          </w:rPr>
          <w:tab/>
        </w:r>
        <w:r w:rsidR="00B66237" w:rsidRPr="00AB5E2C">
          <w:rPr>
            <w:rStyle w:val="Hyperlink"/>
            <w:noProof/>
          </w:rPr>
          <w:t>Multi-year and multi-organisation grants</w:t>
        </w:r>
        <w:r w:rsidR="00B66237">
          <w:rPr>
            <w:noProof/>
            <w:webHidden/>
          </w:rPr>
          <w:tab/>
        </w:r>
        <w:r w:rsidR="00B66237">
          <w:rPr>
            <w:noProof/>
            <w:webHidden/>
          </w:rPr>
          <w:fldChar w:fldCharType="begin"/>
        </w:r>
        <w:r w:rsidR="00B66237">
          <w:rPr>
            <w:noProof/>
            <w:webHidden/>
          </w:rPr>
          <w:instrText xml:space="preserve"> PAGEREF _Toc191451002 \h </w:instrText>
        </w:r>
        <w:r w:rsidR="00B66237">
          <w:rPr>
            <w:noProof/>
            <w:webHidden/>
          </w:rPr>
        </w:r>
        <w:r w:rsidR="00B66237">
          <w:rPr>
            <w:noProof/>
            <w:webHidden/>
          </w:rPr>
          <w:fldChar w:fldCharType="separate"/>
        </w:r>
        <w:r>
          <w:rPr>
            <w:noProof/>
            <w:webHidden/>
          </w:rPr>
          <w:t>11</w:t>
        </w:r>
        <w:r w:rsidR="00B66237">
          <w:rPr>
            <w:noProof/>
            <w:webHidden/>
          </w:rPr>
          <w:fldChar w:fldCharType="end"/>
        </w:r>
      </w:hyperlink>
    </w:p>
    <w:p w14:paraId="07BC2509" w14:textId="760962B5" w:rsidR="00B66237" w:rsidRDefault="001407D4">
      <w:pPr>
        <w:pStyle w:val="TOC3"/>
        <w:rPr>
          <w:rFonts w:eastAsiaTheme="minorEastAsia"/>
          <w:noProof/>
          <w:color w:val="auto"/>
          <w:lang w:eastAsia="en-AU"/>
        </w:rPr>
      </w:pPr>
      <w:hyperlink w:anchor="_Toc191451003" w:history="1">
        <w:r w:rsidR="00B66237" w:rsidRPr="00AB5E2C">
          <w:rPr>
            <w:rStyle w:val="Hyperlink"/>
            <w:noProof/>
          </w:rPr>
          <w:t>4.2.5</w:t>
        </w:r>
        <w:r w:rsidR="00B66237">
          <w:rPr>
            <w:rFonts w:eastAsiaTheme="minorEastAsia"/>
            <w:noProof/>
            <w:color w:val="auto"/>
            <w:lang w:eastAsia="en-AU"/>
          </w:rPr>
          <w:tab/>
        </w:r>
        <w:r w:rsidR="00B66237" w:rsidRPr="00AB5E2C">
          <w:rPr>
            <w:rStyle w:val="Hyperlink"/>
            <w:noProof/>
          </w:rPr>
          <w:t>Centralised services</w:t>
        </w:r>
        <w:r w:rsidR="00B66237">
          <w:rPr>
            <w:noProof/>
            <w:webHidden/>
          </w:rPr>
          <w:tab/>
        </w:r>
        <w:r w:rsidR="00B66237">
          <w:rPr>
            <w:noProof/>
            <w:webHidden/>
          </w:rPr>
          <w:fldChar w:fldCharType="begin"/>
        </w:r>
        <w:r w:rsidR="00B66237">
          <w:rPr>
            <w:noProof/>
            <w:webHidden/>
          </w:rPr>
          <w:instrText xml:space="preserve"> PAGEREF _Toc191451003 \h </w:instrText>
        </w:r>
        <w:r w:rsidR="00B66237">
          <w:rPr>
            <w:noProof/>
            <w:webHidden/>
          </w:rPr>
        </w:r>
        <w:r w:rsidR="00B66237">
          <w:rPr>
            <w:noProof/>
            <w:webHidden/>
          </w:rPr>
          <w:fldChar w:fldCharType="separate"/>
        </w:r>
        <w:r>
          <w:rPr>
            <w:noProof/>
            <w:webHidden/>
          </w:rPr>
          <w:t>11</w:t>
        </w:r>
        <w:r w:rsidR="00B66237">
          <w:rPr>
            <w:noProof/>
            <w:webHidden/>
          </w:rPr>
          <w:fldChar w:fldCharType="end"/>
        </w:r>
      </w:hyperlink>
    </w:p>
    <w:p w14:paraId="57E570C8" w14:textId="26057E87" w:rsidR="00B66237" w:rsidRDefault="001407D4">
      <w:pPr>
        <w:pStyle w:val="TOC2"/>
        <w:tabs>
          <w:tab w:val="right" w:pos="9854"/>
        </w:tabs>
        <w:rPr>
          <w:rFonts w:eastAsiaTheme="minorEastAsia"/>
          <w:noProof/>
          <w:color w:val="auto"/>
          <w:lang w:eastAsia="en-AU"/>
        </w:rPr>
      </w:pPr>
      <w:hyperlink w:anchor="_Toc191451004" w:history="1">
        <w:r w:rsidR="00B66237" w:rsidRPr="00AB5E2C">
          <w:rPr>
            <w:rStyle w:val="Hyperlink"/>
            <w:noProof/>
          </w:rPr>
          <w:t>4.3</w:t>
        </w:r>
        <w:r w:rsidR="00B66237">
          <w:rPr>
            <w:rFonts w:eastAsiaTheme="minorEastAsia"/>
            <w:noProof/>
            <w:color w:val="auto"/>
            <w:lang w:eastAsia="en-AU"/>
          </w:rPr>
          <w:tab/>
        </w:r>
        <w:r w:rsidR="00B66237" w:rsidRPr="00AB5E2C">
          <w:rPr>
            <w:rStyle w:val="Hyperlink"/>
            <w:noProof/>
          </w:rPr>
          <w:t>Outcomes</w:t>
        </w:r>
        <w:r w:rsidR="00B66237">
          <w:rPr>
            <w:noProof/>
            <w:webHidden/>
          </w:rPr>
          <w:tab/>
        </w:r>
        <w:r w:rsidR="00B66237">
          <w:rPr>
            <w:noProof/>
            <w:webHidden/>
          </w:rPr>
          <w:fldChar w:fldCharType="begin"/>
        </w:r>
        <w:r w:rsidR="00B66237">
          <w:rPr>
            <w:noProof/>
            <w:webHidden/>
          </w:rPr>
          <w:instrText xml:space="preserve"> PAGEREF _Toc191451004 \h </w:instrText>
        </w:r>
        <w:r w:rsidR="00B66237">
          <w:rPr>
            <w:noProof/>
            <w:webHidden/>
          </w:rPr>
        </w:r>
        <w:r w:rsidR="00B66237">
          <w:rPr>
            <w:noProof/>
            <w:webHidden/>
          </w:rPr>
          <w:fldChar w:fldCharType="separate"/>
        </w:r>
        <w:r>
          <w:rPr>
            <w:noProof/>
            <w:webHidden/>
          </w:rPr>
          <w:t>12</w:t>
        </w:r>
        <w:r w:rsidR="00B66237">
          <w:rPr>
            <w:noProof/>
            <w:webHidden/>
          </w:rPr>
          <w:fldChar w:fldCharType="end"/>
        </w:r>
      </w:hyperlink>
    </w:p>
    <w:p w14:paraId="1824906F" w14:textId="486FCE0F" w:rsidR="00B66237" w:rsidRDefault="001407D4">
      <w:pPr>
        <w:pStyle w:val="TOC1"/>
        <w:rPr>
          <w:rFonts w:eastAsiaTheme="minorEastAsia"/>
          <w:b w:val="0"/>
          <w:noProof/>
          <w:color w:val="auto"/>
          <w:sz w:val="22"/>
          <w:u w:val="none"/>
          <w:lang w:eastAsia="en-AU"/>
        </w:rPr>
      </w:pPr>
      <w:hyperlink w:anchor="_Toc191451005" w:history="1">
        <w:r w:rsidR="00B66237" w:rsidRPr="00AB5E2C">
          <w:rPr>
            <w:rStyle w:val="Hyperlink"/>
            <w:noProof/>
          </w:rPr>
          <w:t>5.</w:t>
        </w:r>
        <w:r w:rsidR="00B66237">
          <w:rPr>
            <w:rFonts w:eastAsiaTheme="minorEastAsia"/>
            <w:b w:val="0"/>
            <w:noProof/>
            <w:color w:val="auto"/>
            <w:sz w:val="22"/>
            <w:u w:val="none"/>
            <w:lang w:eastAsia="en-AU"/>
          </w:rPr>
          <w:tab/>
        </w:r>
        <w:r w:rsidR="00B66237" w:rsidRPr="00AB5E2C">
          <w:rPr>
            <w:rStyle w:val="Hyperlink"/>
            <w:noProof/>
          </w:rPr>
          <w:t>Priority Area 2: Legislative and regulatory issues</w:t>
        </w:r>
        <w:r w:rsidR="00B66237">
          <w:rPr>
            <w:noProof/>
            <w:webHidden/>
          </w:rPr>
          <w:tab/>
        </w:r>
        <w:r w:rsidR="00B66237">
          <w:rPr>
            <w:noProof/>
            <w:webHidden/>
          </w:rPr>
          <w:fldChar w:fldCharType="begin"/>
        </w:r>
        <w:r w:rsidR="00B66237">
          <w:rPr>
            <w:noProof/>
            <w:webHidden/>
          </w:rPr>
          <w:instrText xml:space="preserve"> PAGEREF _Toc191451005 \h </w:instrText>
        </w:r>
        <w:r w:rsidR="00B66237">
          <w:rPr>
            <w:noProof/>
            <w:webHidden/>
          </w:rPr>
        </w:r>
        <w:r w:rsidR="00B66237">
          <w:rPr>
            <w:noProof/>
            <w:webHidden/>
          </w:rPr>
          <w:fldChar w:fldCharType="separate"/>
        </w:r>
        <w:r>
          <w:rPr>
            <w:noProof/>
            <w:webHidden/>
          </w:rPr>
          <w:t>13</w:t>
        </w:r>
        <w:r w:rsidR="00B66237">
          <w:rPr>
            <w:noProof/>
            <w:webHidden/>
          </w:rPr>
          <w:fldChar w:fldCharType="end"/>
        </w:r>
      </w:hyperlink>
    </w:p>
    <w:p w14:paraId="4DC5BBC1" w14:textId="4B454EC0" w:rsidR="00B66237" w:rsidRDefault="001407D4">
      <w:pPr>
        <w:pStyle w:val="TOC2"/>
        <w:tabs>
          <w:tab w:val="right" w:pos="9854"/>
        </w:tabs>
        <w:rPr>
          <w:rFonts w:eastAsiaTheme="minorEastAsia"/>
          <w:noProof/>
          <w:color w:val="auto"/>
          <w:lang w:eastAsia="en-AU"/>
        </w:rPr>
      </w:pPr>
      <w:hyperlink w:anchor="_Toc191451006" w:history="1">
        <w:r w:rsidR="00B66237" w:rsidRPr="00AB5E2C">
          <w:rPr>
            <w:rStyle w:val="Hyperlink"/>
            <w:noProof/>
          </w:rPr>
          <w:t>5.1</w:t>
        </w:r>
        <w:r w:rsidR="00B66237">
          <w:rPr>
            <w:rFonts w:eastAsiaTheme="minorEastAsia"/>
            <w:noProof/>
            <w:color w:val="auto"/>
            <w:lang w:eastAsia="en-AU"/>
          </w:rPr>
          <w:tab/>
        </w:r>
        <w:r w:rsidR="00B66237" w:rsidRPr="00AB5E2C">
          <w:rPr>
            <w:rStyle w:val="Hyperlink"/>
            <w:noProof/>
          </w:rPr>
          <w:t>Licence conditions</w:t>
        </w:r>
        <w:r w:rsidR="00B66237">
          <w:rPr>
            <w:noProof/>
            <w:webHidden/>
          </w:rPr>
          <w:tab/>
        </w:r>
        <w:r w:rsidR="00B66237">
          <w:rPr>
            <w:noProof/>
            <w:webHidden/>
          </w:rPr>
          <w:fldChar w:fldCharType="begin"/>
        </w:r>
        <w:r w:rsidR="00B66237">
          <w:rPr>
            <w:noProof/>
            <w:webHidden/>
          </w:rPr>
          <w:instrText xml:space="preserve"> PAGEREF _Toc191451006 \h </w:instrText>
        </w:r>
        <w:r w:rsidR="00B66237">
          <w:rPr>
            <w:noProof/>
            <w:webHidden/>
          </w:rPr>
        </w:r>
        <w:r w:rsidR="00B66237">
          <w:rPr>
            <w:noProof/>
            <w:webHidden/>
          </w:rPr>
          <w:fldChar w:fldCharType="separate"/>
        </w:r>
        <w:r>
          <w:rPr>
            <w:noProof/>
            <w:webHidden/>
          </w:rPr>
          <w:t>13</w:t>
        </w:r>
        <w:r w:rsidR="00B66237">
          <w:rPr>
            <w:noProof/>
            <w:webHidden/>
          </w:rPr>
          <w:fldChar w:fldCharType="end"/>
        </w:r>
      </w:hyperlink>
    </w:p>
    <w:p w14:paraId="35C0B541" w14:textId="1EE4BC1F" w:rsidR="00B66237" w:rsidRDefault="001407D4">
      <w:pPr>
        <w:pStyle w:val="TOC3"/>
        <w:rPr>
          <w:rFonts w:eastAsiaTheme="minorEastAsia"/>
          <w:noProof/>
          <w:color w:val="auto"/>
          <w:lang w:eastAsia="en-AU"/>
        </w:rPr>
      </w:pPr>
      <w:hyperlink w:anchor="_Toc191451007" w:history="1">
        <w:r w:rsidR="00B66237" w:rsidRPr="00AB5E2C">
          <w:rPr>
            <w:rStyle w:val="Hyperlink"/>
            <w:noProof/>
          </w:rPr>
          <w:t>5.1.1</w:t>
        </w:r>
        <w:r w:rsidR="00B66237">
          <w:rPr>
            <w:rFonts w:eastAsiaTheme="minorEastAsia"/>
            <w:noProof/>
            <w:color w:val="auto"/>
            <w:lang w:eastAsia="en-AU"/>
          </w:rPr>
          <w:tab/>
        </w:r>
        <w:r w:rsidR="00B66237" w:rsidRPr="00AB5E2C">
          <w:rPr>
            <w:rStyle w:val="Hyperlink"/>
            <w:noProof/>
          </w:rPr>
          <w:t>Sponsorship limit</w:t>
        </w:r>
        <w:r w:rsidR="00B66237">
          <w:rPr>
            <w:noProof/>
            <w:webHidden/>
          </w:rPr>
          <w:tab/>
        </w:r>
        <w:r w:rsidR="00B66237">
          <w:rPr>
            <w:noProof/>
            <w:webHidden/>
          </w:rPr>
          <w:fldChar w:fldCharType="begin"/>
        </w:r>
        <w:r w:rsidR="00B66237">
          <w:rPr>
            <w:noProof/>
            <w:webHidden/>
          </w:rPr>
          <w:instrText xml:space="preserve"> PAGEREF _Toc191451007 \h </w:instrText>
        </w:r>
        <w:r w:rsidR="00B66237">
          <w:rPr>
            <w:noProof/>
            <w:webHidden/>
          </w:rPr>
        </w:r>
        <w:r w:rsidR="00B66237">
          <w:rPr>
            <w:noProof/>
            <w:webHidden/>
          </w:rPr>
          <w:fldChar w:fldCharType="separate"/>
        </w:r>
        <w:r>
          <w:rPr>
            <w:noProof/>
            <w:webHidden/>
          </w:rPr>
          <w:t>13</w:t>
        </w:r>
        <w:r w:rsidR="00B66237">
          <w:rPr>
            <w:noProof/>
            <w:webHidden/>
          </w:rPr>
          <w:fldChar w:fldCharType="end"/>
        </w:r>
      </w:hyperlink>
    </w:p>
    <w:p w14:paraId="3CF645CC" w14:textId="6B0BB43F" w:rsidR="00B66237" w:rsidRDefault="001407D4">
      <w:pPr>
        <w:pStyle w:val="TOC3"/>
        <w:rPr>
          <w:rFonts w:eastAsiaTheme="minorEastAsia"/>
          <w:noProof/>
          <w:color w:val="auto"/>
          <w:lang w:eastAsia="en-AU"/>
        </w:rPr>
      </w:pPr>
      <w:hyperlink w:anchor="_Toc191451008" w:history="1">
        <w:r w:rsidR="00B66237" w:rsidRPr="00AB5E2C">
          <w:rPr>
            <w:rStyle w:val="Hyperlink"/>
            <w:noProof/>
          </w:rPr>
          <w:t>5.1.2</w:t>
        </w:r>
        <w:r w:rsidR="00B66237">
          <w:rPr>
            <w:rFonts w:eastAsiaTheme="minorEastAsia"/>
            <w:noProof/>
            <w:color w:val="auto"/>
            <w:lang w:eastAsia="en-AU"/>
          </w:rPr>
          <w:tab/>
        </w:r>
        <w:r w:rsidR="00B66237" w:rsidRPr="00AB5E2C">
          <w:rPr>
            <w:rStyle w:val="Hyperlink"/>
            <w:noProof/>
          </w:rPr>
          <w:t>Definition of ‘sponsorship’ and associated terms</w:t>
        </w:r>
        <w:r w:rsidR="00B66237">
          <w:rPr>
            <w:noProof/>
            <w:webHidden/>
          </w:rPr>
          <w:tab/>
        </w:r>
        <w:r w:rsidR="00B66237">
          <w:rPr>
            <w:noProof/>
            <w:webHidden/>
          </w:rPr>
          <w:fldChar w:fldCharType="begin"/>
        </w:r>
        <w:r w:rsidR="00B66237">
          <w:rPr>
            <w:noProof/>
            <w:webHidden/>
          </w:rPr>
          <w:instrText xml:space="preserve"> PAGEREF _Toc191451008 \h </w:instrText>
        </w:r>
        <w:r w:rsidR="00B66237">
          <w:rPr>
            <w:noProof/>
            <w:webHidden/>
          </w:rPr>
        </w:r>
        <w:r w:rsidR="00B66237">
          <w:rPr>
            <w:noProof/>
            <w:webHidden/>
          </w:rPr>
          <w:fldChar w:fldCharType="separate"/>
        </w:r>
        <w:r>
          <w:rPr>
            <w:noProof/>
            <w:webHidden/>
          </w:rPr>
          <w:t>14</w:t>
        </w:r>
        <w:r w:rsidR="00B66237">
          <w:rPr>
            <w:noProof/>
            <w:webHidden/>
          </w:rPr>
          <w:fldChar w:fldCharType="end"/>
        </w:r>
      </w:hyperlink>
    </w:p>
    <w:p w14:paraId="4EE06C04" w14:textId="432B83DD" w:rsidR="00B66237" w:rsidRDefault="001407D4">
      <w:pPr>
        <w:pStyle w:val="TOC3"/>
        <w:rPr>
          <w:rFonts w:eastAsiaTheme="minorEastAsia"/>
          <w:noProof/>
          <w:color w:val="auto"/>
          <w:lang w:eastAsia="en-AU"/>
        </w:rPr>
      </w:pPr>
      <w:hyperlink w:anchor="_Toc191451009" w:history="1">
        <w:r w:rsidR="00B66237" w:rsidRPr="00AB5E2C">
          <w:rPr>
            <w:rStyle w:val="Hyperlink"/>
            <w:noProof/>
          </w:rPr>
          <w:t>5.1.3</w:t>
        </w:r>
        <w:r w:rsidR="00B66237">
          <w:rPr>
            <w:rFonts w:eastAsiaTheme="minorEastAsia"/>
            <w:noProof/>
            <w:color w:val="auto"/>
            <w:lang w:eastAsia="en-AU"/>
          </w:rPr>
          <w:tab/>
        </w:r>
        <w:r w:rsidR="00B66237" w:rsidRPr="00AB5E2C">
          <w:rPr>
            <w:rStyle w:val="Hyperlink"/>
            <w:noProof/>
          </w:rPr>
          <w:t>Definition of ‘community participation’ and associated terms</w:t>
        </w:r>
        <w:r w:rsidR="00B66237">
          <w:rPr>
            <w:noProof/>
            <w:webHidden/>
          </w:rPr>
          <w:tab/>
        </w:r>
        <w:r w:rsidR="00B66237">
          <w:rPr>
            <w:noProof/>
            <w:webHidden/>
          </w:rPr>
          <w:fldChar w:fldCharType="begin"/>
        </w:r>
        <w:r w:rsidR="00B66237">
          <w:rPr>
            <w:noProof/>
            <w:webHidden/>
          </w:rPr>
          <w:instrText xml:space="preserve"> PAGEREF _Toc191451009 \h </w:instrText>
        </w:r>
        <w:r w:rsidR="00B66237">
          <w:rPr>
            <w:noProof/>
            <w:webHidden/>
          </w:rPr>
        </w:r>
        <w:r w:rsidR="00B66237">
          <w:rPr>
            <w:noProof/>
            <w:webHidden/>
          </w:rPr>
          <w:fldChar w:fldCharType="separate"/>
        </w:r>
        <w:r>
          <w:rPr>
            <w:noProof/>
            <w:webHidden/>
          </w:rPr>
          <w:t>14</w:t>
        </w:r>
        <w:r w:rsidR="00B66237">
          <w:rPr>
            <w:noProof/>
            <w:webHidden/>
          </w:rPr>
          <w:fldChar w:fldCharType="end"/>
        </w:r>
      </w:hyperlink>
    </w:p>
    <w:p w14:paraId="129CA52E" w14:textId="67952EDF" w:rsidR="00B66237" w:rsidRDefault="001407D4">
      <w:pPr>
        <w:pStyle w:val="TOC3"/>
        <w:rPr>
          <w:rFonts w:eastAsiaTheme="minorEastAsia"/>
          <w:noProof/>
          <w:color w:val="auto"/>
          <w:lang w:eastAsia="en-AU"/>
        </w:rPr>
      </w:pPr>
      <w:hyperlink w:anchor="_Toc191451010" w:history="1">
        <w:r w:rsidR="00B66237" w:rsidRPr="00AB5E2C">
          <w:rPr>
            <w:rStyle w:val="Hyperlink"/>
            <w:noProof/>
          </w:rPr>
          <w:t>5.1.4</w:t>
        </w:r>
        <w:r w:rsidR="00B66237">
          <w:rPr>
            <w:rFonts w:eastAsiaTheme="minorEastAsia"/>
            <w:noProof/>
            <w:color w:val="auto"/>
            <w:lang w:eastAsia="en-AU"/>
          </w:rPr>
          <w:tab/>
        </w:r>
        <w:r w:rsidR="00B66237" w:rsidRPr="00AB5E2C">
          <w:rPr>
            <w:rStyle w:val="Hyperlink"/>
            <w:noProof/>
          </w:rPr>
          <w:t>Definition of ‘not-for-profit’ and associated terms</w:t>
        </w:r>
        <w:r w:rsidR="00B66237">
          <w:rPr>
            <w:noProof/>
            <w:webHidden/>
          </w:rPr>
          <w:tab/>
        </w:r>
        <w:r w:rsidR="00B66237">
          <w:rPr>
            <w:noProof/>
            <w:webHidden/>
          </w:rPr>
          <w:fldChar w:fldCharType="begin"/>
        </w:r>
        <w:r w:rsidR="00B66237">
          <w:rPr>
            <w:noProof/>
            <w:webHidden/>
          </w:rPr>
          <w:instrText xml:space="preserve"> PAGEREF _Toc191451010 \h </w:instrText>
        </w:r>
        <w:r w:rsidR="00B66237">
          <w:rPr>
            <w:noProof/>
            <w:webHidden/>
          </w:rPr>
        </w:r>
        <w:r w:rsidR="00B66237">
          <w:rPr>
            <w:noProof/>
            <w:webHidden/>
          </w:rPr>
          <w:fldChar w:fldCharType="separate"/>
        </w:r>
        <w:r>
          <w:rPr>
            <w:noProof/>
            <w:webHidden/>
          </w:rPr>
          <w:t>15</w:t>
        </w:r>
        <w:r w:rsidR="00B66237">
          <w:rPr>
            <w:noProof/>
            <w:webHidden/>
          </w:rPr>
          <w:fldChar w:fldCharType="end"/>
        </w:r>
      </w:hyperlink>
    </w:p>
    <w:p w14:paraId="1E799361" w14:textId="26D15954" w:rsidR="00B66237" w:rsidRDefault="001407D4">
      <w:pPr>
        <w:pStyle w:val="TOC2"/>
        <w:tabs>
          <w:tab w:val="right" w:pos="9854"/>
        </w:tabs>
        <w:rPr>
          <w:rFonts w:eastAsiaTheme="minorEastAsia"/>
          <w:noProof/>
          <w:color w:val="auto"/>
          <w:lang w:eastAsia="en-AU"/>
        </w:rPr>
      </w:pPr>
      <w:hyperlink w:anchor="_Toc191451011" w:history="1">
        <w:r w:rsidR="00B66237" w:rsidRPr="00AB5E2C">
          <w:rPr>
            <w:rStyle w:val="Hyperlink"/>
            <w:noProof/>
          </w:rPr>
          <w:t>5.2</w:t>
        </w:r>
        <w:r w:rsidR="00B66237">
          <w:rPr>
            <w:rFonts w:eastAsiaTheme="minorEastAsia"/>
            <w:noProof/>
            <w:color w:val="auto"/>
            <w:lang w:eastAsia="en-AU"/>
          </w:rPr>
          <w:tab/>
        </w:r>
        <w:r w:rsidR="00B66237" w:rsidRPr="00AB5E2C">
          <w:rPr>
            <w:rStyle w:val="Hyperlink"/>
            <w:noProof/>
          </w:rPr>
          <w:t>Licensing processes</w:t>
        </w:r>
        <w:r w:rsidR="00B66237">
          <w:rPr>
            <w:noProof/>
            <w:webHidden/>
          </w:rPr>
          <w:tab/>
        </w:r>
        <w:r w:rsidR="00B66237">
          <w:rPr>
            <w:noProof/>
            <w:webHidden/>
          </w:rPr>
          <w:fldChar w:fldCharType="begin"/>
        </w:r>
        <w:r w:rsidR="00B66237">
          <w:rPr>
            <w:noProof/>
            <w:webHidden/>
          </w:rPr>
          <w:instrText xml:space="preserve"> PAGEREF _Toc191451011 \h </w:instrText>
        </w:r>
        <w:r w:rsidR="00B66237">
          <w:rPr>
            <w:noProof/>
            <w:webHidden/>
          </w:rPr>
        </w:r>
        <w:r w:rsidR="00B66237">
          <w:rPr>
            <w:noProof/>
            <w:webHidden/>
          </w:rPr>
          <w:fldChar w:fldCharType="separate"/>
        </w:r>
        <w:r>
          <w:rPr>
            <w:noProof/>
            <w:webHidden/>
          </w:rPr>
          <w:t>15</w:t>
        </w:r>
        <w:r w:rsidR="00B66237">
          <w:rPr>
            <w:noProof/>
            <w:webHidden/>
          </w:rPr>
          <w:fldChar w:fldCharType="end"/>
        </w:r>
      </w:hyperlink>
    </w:p>
    <w:p w14:paraId="3917B686" w14:textId="274325CE" w:rsidR="00B66237" w:rsidRDefault="001407D4">
      <w:pPr>
        <w:pStyle w:val="TOC1"/>
        <w:rPr>
          <w:rFonts w:eastAsiaTheme="minorEastAsia"/>
          <w:b w:val="0"/>
          <w:noProof/>
          <w:color w:val="auto"/>
          <w:sz w:val="22"/>
          <w:u w:val="none"/>
          <w:lang w:eastAsia="en-AU"/>
        </w:rPr>
      </w:pPr>
      <w:hyperlink w:anchor="_Toc191451012" w:history="1">
        <w:r w:rsidR="00B66237" w:rsidRPr="00AB5E2C">
          <w:rPr>
            <w:rStyle w:val="Hyperlink"/>
            <w:noProof/>
          </w:rPr>
          <w:t>6.</w:t>
        </w:r>
        <w:r w:rsidR="00B66237">
          <w:rPr>
            <w:rFonts w:eastAsiaTheme="minorEastAsia"/>
            <w:b w:val="0"/>
            <w:noProof/>
            <w:color w:val="auto"/>
            <w:sz w:val="22"/>
            <w:u w:val="none"/>
            <w:lang w:eastAsia="en-AU"/>
          </w:rPr>
          <w:tab/>
        </w:r>
        <w:r w:rsidR="00B66237" w:rsidRPr="00AB5E2C">
          <w:rPr>
            <w:rStyle w:val="Hyperlink"/>
            <w:noProof/>
          </w:rPr>
          <w:t>Priority Area 3: First Nations funding and licensing</w:t>
        </w:r>
        <w:r w:rsidR="00B66237">
          <w:rPr>
            <w:noProof/>
            <w:webHidden/>
          </w:rPr>
          <w:tab/>
        </w:r>
        <w:r w:rsidR="00B66237">
          <w:rPr>
            <w:noProof/>
            <w:webHidden/>
          </w:rPr>
          <w:fldChar w:fldCharType="begin"/>
        </w:r>
        <w:r w:rsidR="00B66237">
          <w:rPr>
            <w:noProof/>
            <w:webHidden/>
          </w:rPr>
          <w:instrText xml:space="preserve"> PAGEREF _Toc191451012 \h </w:instrText>
        </w:r>
        <w:r w:rsidR="00B66237">
          <w:rPr>
            <w:noProof/>
            <w:webHidden/>
          </w:rPr>
        </w:r>
        <w:r w:rsidR="00B66237">
          <w:rPr>
            <w:noProof/>
            <w:webHidden/>
          </w:rPr>
          <w:fldChar w:fldCharType="separate"/>
        </w:r>
        <w:r>
          <w:rPr>
            <w:noProof/>
            <w:webHidden/>
          </w:rPr>
          <w:t>16</w:t>
        </w:r>
        <w:r w:rsidR="00B66237">
          <w:rPr>
            <w:noProof/>
            <w:webHidden/>
          </w:rPr>
          <w:fldChar w:fldCharType="end"/>
        </w:r>
      </w:hyperlink>
    </w:p>
    <w:p w14:paraId="5DC1F4B1" w14:textId="763F7C17" w:rsidR="00B66237" w:rsidRDefault="001407D4">
      <w:pPr>
        <w:pStyle w:val="TOC2"/>
        <w:tabs>
          <w:tab w:val="right" w:pos="9854"/>
        </w:tabs>
        <w:rPr>
          <w:rFonts w:eastAsiaTheme="minorEastAsia"/>
          <w:noProof/>
          <w:color w:val="auto"/>
          <w:lang w:eastAsia="en-AU"/>
        </w:rPr>
      </w:pPr>
      <w:hyperlink w:anchor="_Toc191451013" w:history="1">
        <w:r w:rsidR="00B66237" w:rsidRPr="00AB5E2C">
          <w:rPr>
            <w:rStyle w:val="Hyperlink"/>
            <w:noProof/>
          </w:rPr>
          <w:t>6.1</w:t>
        </w:r>
        <w:r w:rsidR="00B66237">
          <w:rPr>
            <w:rFonts w:eastAsiaTheme="minorEastAsia"/>
            <w:noProof/>
            <w:color w:val="auto"/>
            <w:lang w:eastAsia="en-AU"/>
          </w:rPr>
          <w:tab/>
        </w:r>
        <w:r w:rsidR="00B66237" w:rsidRPr="00AB5E2C">
          <w:rPr>
            <w:rStyle w:val="Hyperlink"/>
            <w:noProof/>
          </w:rPr>
          <w:t>Indigenous Broadcasting and Media Program</w:t>
        </w:r>
        <w:r w:rsidR="00B66237">
          <w:rPr>
            <w:noProof/>
            <w:webHidden/>
          </w:rPr>
          <w:tab/>
        </w:r>
        <w:r w:rsidR="00B66237">
          <w:rPr>
            <w:noProof/>
            <w:webHidden/>
          </w:rPr>
          <w:fldChar w:fldCharType="begin"/>
        </w:r>
        <w:r w:rsidR="00B66237">
          <w:rPr>
            <w:noProof/>
            <w:webHidden/>
          </w:rPr>
          <w:instrText xml:space="preserve"> PAGEREF _Toc191451013 \h </w:instrText>
        </w:r>
        <w:r w:rsidR="00B66237">
          <w:rPr>
            <w:noProof/>
            <w:webHidden/>
          </w:rPr>
        </w:r>
        <w:r w:rsidR="00B66237">
          <w:rPr>
            <w:noProof/>
            <w:webHidden/>
          </w:rPr>
          <w:fldChar w:fldCharType="separate"/>
        </w:r>
        <w:r>
          <w:rPr>
            <w:noProof/>
            <w:webHidden/>
          </w:rPr>
          <w:t>16</w:t>
        </w:r>
        <w:r w:rsidR="00B66237">
          <w:rPr>
            <w:noProof/>
            <w:webHidden/>
          </w:rPr>
          <w:fldChar w:fldCharType="end"/>
        </w:r>
      </w:hyperlink>
    </w:p>
    <w:p w14:paraId="74D5051C" w14:textId="17F6AD88" w:rsidR="00B66237" w:rsidRDefault="001407D4">
      <w:pPr>
        <w:pStyle w:val="TOC3"/>
        <w:rPr>
          <w:rFonts w:eastAsiaTheme="minorEastAsia"/>
          <w:noProof/>
          <w:color w:val="auto"/>
          <w:lang w:eastAsia="en-AU"/>
        </w:rPr>
      </w:pPr>
      <w:hyperlink w:anchor="_Toc191451014" w:history="1">
        <w:r w:rsidR="00B66237" w:rsidRPr="00AB5E2C">
          <w:rPr>
            <w:rStyle w:val="Hyperlink"/>
            <w:noProof/>
          </w:rPr>
          <w:t>6.1.1</w:t>
        </w:r>
        <w:r w:rsidR="00B66237">
          <w:rPr>
            <w:rFonts w:eastAsiaTheme="minorEastAsia"/>
            <w:noProof/>
            <w:color w:val="auto"/>
            <w:lang w:eastAsia="en-AU"/>
          </w:rPr>
          <w:tab/>
        </w:r>
        <w:r w:rsidR="00B66237" w:rsidRPr="00AB5E2C">
          <w:rPr>
            <w:rStyle w:val="Hyperlink"/>
            <w:noProof/>
          </w:rPr>
          <w:t>Funding</w:t>
        </w:r>
        <w:r w:rsidR="00B66237">
          <w:rPr>
            <w:noProof/>
            <w:webHidden/>
          </w:rPr>
          <w:tab/>
        </w:r>
        <w:r w:rsidR="00B66237">
          <w:rPr>
            <w:noProof/>
            <w:webHidden/>
          </w:rPr>
          <w:fldChar w:fldCharType="begin"/>
        </w:r>
        <w:r w:rsidR="00B66237">
          <w:rPr>
            <w:noProof/>
            <w:webHidden/>
          </w:rPr>
          <w:instrText xml:space="preserve"> PAGEREF _Toc191451014 \h </w:instrText>
        </w:r>
        <w:r w:rsidR="00B66237">
          <w:rPr>
            <w:noProof/>
            <w:webHidden/>
          </w:rPr>
        </w:r>
        <w:r w:rsidR="00B66237">
          <w:rPr>
            <w:noProof/>
            <w:webHidden/>
          </w:rPr>
          <w:fldChar w:fldCharType="separate"/>
        </w:r>
        <w:r>
          <w:rPr>
            <w:noProof/>
            <w:webHidden/>
          </w:rPr>
          <w:t>16</w:t>
        </w:r>
        <w:r w:rsidR="00B66237">
          <w:rPr>
            <w:noProof/>
            <w:webHidden/>
          </w:rPr>
          <w:fldChar w:fldCharType="end"/>
        </w:r>
      </w:hyperlink>
    </w:p>
    <w:p w14:paraId="2B320912" w14:textId="620D37B3" w:rsidR="00B66237" w:rsidRDefault="001407D4">
      <w:pPr>
        <w:pStyle w:val="TOC3"/>
        <w:rPr>
          <w:rFonts w:eastAsiaTheme="minorEastAsia"/>
          <w:noProof/>
          <w:color w:val="auto"/>
          <w:lang w:eastAsia="en-AU"/>
        </w:rPr>
      </w:pPr>
      <w:hyperlink w:anchor="_Toc191451015" w:history="1">
        <w:r w:rsidR="00B66237" w:rsidRPr="00AB5E2C">
          <w:rPr>
            <w:rStyle w:val="Hyperlink"/>
            <w:noProof/>
          </w:rPr>
          <w:t>6.1.2</w:t>
        </w:r>
        <w:r w:rsidR="00B66237">
          <w:rPr>
            <w:rFonts w:eastAsiaTheme="minorEastAsia"/>
            <w:noProof/>
            <w:color w:val="auto"/>
            <w:lang w:eastAsia="en-AU"/>
          </w:rPr>
          <w:tab/>
        </w:r>
        <w:r w:rsidR="00B66237" w:rsidRPr="00AB5E2C">
          <w:rPr>
            <w:rStyle w:val="Hyperlink"/>
            <w:noProof/>
          </w:rPr>
          <w:t>Priorities</w:t>
        </w:r>
        <w:r w:rsidR="00B66237">
          <w:rPr>
            <w:noProof/>
            <w:webHidden/>
          </w:rPr>
          <w:tab/>
        </w:r>
        <w:r w:rsidR="00B66237">
          <w:rPr>
            <w:noProof/>
            <w:webHidden/>
          </w:rPr>
          <w:fldChar w:fldCharType="begin"/>
        </w:r>
        <w:r w:rsidR="00B66237">
          <w:rPr>
            <w:noProof/>
            <w:webHidden/>
          </w:rPr>
          <w:instrText xml:space="preserve"> PAGEREF _Toc191451015 \h </w:instrText>
        </w:r>
        <w:r w:rsidR="00B66237">
          <w:rPr>
            <w:noProof/>
            <w:webHidden/>
          </w:rPr>
        </w:r>
        <w:r w:rsidR="00B66237">
          <w:rPr>
            <w:noProof/>
            <w:webHidden/>
          </w:rPr>
          <w:fldChar w:fldCharType="separate"/>
        </w:r>
        <w:r>
          <w:rPr>
            <w:noProof/>
            <w:webHidden/>
          </w:rPr>
          <w:t>16</w:t>
        </w:r>
        <w:r w:rsidR="00B66237">
          <w:rPr>
            <w:noProof/>
            <w:webHidden/>
          </w:rPr>
          <w:fldChar w:fldCharType="end"/>
        </w:r>
      </w:hyperlink>
    </w:p>
    <w:p w14:paraId="3992C1CB" w14:textId="27C68B86" w:rsidR="00B66237" w:rsidRDefault="001407D4">
      <w:pPr>
        <w:pStyle w:val="TOC3"/>
        <w:rPr>
          <w:rFonts w:eastAsiaTheme="minorEastAsia"/>
          <w:noProof/>
          <w:color w:val="auto"/>
          <w:lang w:eastAsia="en-AU"/>
        </w:rPr>
      </w:pPr>
      <w:hyperlink w:anchor="_Toc191451016" w:history="1">
        <w:r w:rsidR="00B66237" w:rsidRPr="00AB5E2C">
          <w:rPr>
            <w:rStyle w:val="Hyperlink"/>
            <w:noProof/>
          </w:rPr>
          <w:t>6.1.3</w:t>
        </w:r>
        <w:r w:rsidR="00B66237">
          <w:rPr>
            <w:rFonts w:eastAsiaTheme="minorEastAsia"/>
            <w:noProof/>
            <w:color w:val="auto"/>
            <w:lang w:eastAsia="en-AU"/>
          </w:rPr>
          <w:tab/>
        </w:r>
        <w:r w:rsidR="00B66237" w:rsidRPr="00AB5E2C">
          <w:rPr>
            <w:rStyle w:val="Hyperlink"/>
            <w:noProof/>
          </w:rPr>
          <w:t>Program structure</w:t>
        </w:r>
        <w:r w:rsidR="00B66237">
          <w:rPr>
            <w:noProof/>
            <w:webHidden/>
          </w:rPr>
          <w:tab/>
        </w:r>
        <w:r w:rsidR="00B66237">
          <w:rPr>
            <w:noProof/>
            <w:webHidden/>
          </w:rPr>
          <w:fldChar w:fldCharType="begin"/>
        </w:r>
        <w:r w:rsidR="00B66237">
          <w:rPr>
            <w:noProof/>
            <w:webHidden/>
          </w:rPr>
          <w:instrText xml:space="preserve"> PAGEREF _Toc191451016 \h </w:instrText>
        </w:r>
        <w:r w:rsidR="00B66237">
          <w:rPr>
            <w:noProof/>
            <w:webHidden/>
          </w:rPr>
        </w:r>
        <w:r w:rsidR="00B66237">
          <w:rPr>
            <w:noProof/>
            <w:webHidden/>
          </w:rPr>
          <w:fldChar w:fldCharType="separate"/>
        </w:r>
        <w:r>
          <w:rPr>
            <w:noProof/>
            <w:webHidden/>
          </w:rPr>
          <w:t>17</w:t>
        </w:r>
        <w:r w:rsidR="00B66237">
          <w:rPr>
            <w:noProof/>
            <w:webHidden/>
          </w:rPr>
          <w:fldChar w:fldCharType="end"/>
        </w:r>
      </w:hyperlink>
    </w:p>
    <w:p w14:paraId="4E2162CF" w14:textId="59E84749" w:rsidR="00B66237" w:rsidRDefault="001407D4">
      <w:pPr>
        <w:pStyle w:val="TOC2"/>
        <w:tabs>
          <w:tab w:val="right" w:pos="9854"/>
        </w:tabs>
        <w:rPr>
          <w:rFonts w:eastAsiaTheme="minorEastAsia"/>
          <w:noProof/>
          <w:color w:val="auto"/>
          <w:lang w:eastAsia="en-AU"/>
        </w:rPr>
      </w:pPr>
      <w:hyperlink w:anchor="_Toc191451017" w:history="1">
        <w:r w:rsidR="00B66237" w:rsidRPr="00AB5E2C">
          <w:rPr>
            <w:rStyle w:val="Hyperlink"/>
            <w:noProof/>
          </w:rPr>
          <w:t>6.2</w:t>
        </w:r>
        <w:r w:rsidR="00B66237">
          <w:rPr>
            <w:rFonts w:eastAsiaTheme="minorEastAsia"/>
            <w:noProof/>
            <w:color w:val="auto"/>
            <w:lang w:eastAsia="en-AU"/>
          </w:rPr>
          <w:tab/>
        </w:r>
        <w:r w:rsidR="00B66237" w:rsidRPr="00AB5E2C">
          <w:rPr>
            <w:rStyle w:val="Hyperlink"/>
            <w:noProof/>
          </w:rPr>
          <w:t>Licensing</w:t>
        </w:r>
        <w:r w:rsidR="00B66237">
          <w:rPr>
            <w:noProof/>
            <w:webHidden/>
          </w:rPr>
          <w:tab/>
        </w:r>
        <w:r w:rsidR="00B66237">
          <w:rPr>
            <w:noProof/>
            <w:webHidden/>
          </w:rPr>
          <w:fldChar w:fldCharType="begin"/>
        </w:r>
        <w:r w:rsidR="00B66237">
          <w:rPr>
            <w:noProof/>
            <w:webHidden/>
          </w:rPr>
          <w:instrText xml:space="preserve"> PAGEREF _Toc191451017 \h </w:instrText>
        </w:r>
        <w:r w:rsidR="00B66237">
          <w:rPr>
            <w:noProof/>
            <w:webHidden/>
          </w:rPr>
        </w:r>
        <w:r w:rsidR="00B66237">
          <w:rPr>
            <w:noProof/>
            <w:webHidden/>
          </w:rPr>
          <w:fldChar w:fldCharType="separate"/>
        </w:r>
        <w:r>
          <w:rPr>
            <w:noProof/>
            <w:webHidden/>
          </w:rPr>
          <w:t>18</w:t>
        </w:r>
        <w:r w:rsidR="00B66237">
          <w:rPr>
            <w:noProof/>
            <w:webHidden/>
          </w:rPr>
          <w:fldChar w:fldCharType="end"/>
        </w:r>
      </w:hyperlink>
    </w:p>
    <w:p w14:paraId="51DEB885" w14:textId="3C683D84" w:rsidR="003B61DB" w:rsidRPr="004C0EEA" w:rsidRDefault="00A95970" w:rsidP="0051514D">
      <w:pPr>
        <w:spacing w:before="60" w:after="60"/>
        <w:rPr>
          <w:rFonts w:asciiTheme="majorHAnsi" w:eastAsiaTheme="majorEastAsia" w:hAnsiTheme="majorHAnsi" w:cstheme="majorBidi"/>
          <w:color w:val="081E3E" w:themeColor="text2"/>
          <w:sz w:val="2"/>
          <w:szCs w:val="2"/>
        </w:rPr>
      </w:pPr>
      <w:r w:rsidRPr="004C0EEA">
        <w:fldChar w:fldCharType="end"/>
      </w:r>
    </w:p>
    <w:p w14:paraId="6859A540" w14:textId="77777777" w:rsidR="005F794B" w:rsidRPr="004C0EEA" w:rsidRDefault="008F5C03" w:rsidP="00DE2C51">
      <w:pPr>
        <w:pStyle w:val="Heading1"/>
        <w:spacing w:before="0"/>
      </w:pPr>
      <w:bookmarkStart w:id="6" w:name="_Toc191450981"/>
      <w:r w:rsidRPr="004C0EEA">
        <w:lastRenderedPageBreak/>
        <w:t>Introduction</w:t>
      </w:r>
      <w:bookmarkEnd w:id="6"/>
    </w:p>
    <w:p w14:paraId="52256768" w14:textId="77777777" w:rsidR="001C20E8" w:rsidRPr="004C0EEA" w:rsidRDefault="001C20E8" w:rsidP="00E700C7">
      <w:pPr>
        <w:pStyle w:val="Heading2"/>
      </w:pPr>
      <w:bookmarkStart w:id="7" w:name="_Toc191450982"/>
      <w:r w:rsidRPr="004C0EEA">
        <w:t xml:space="preserve">About the </w:t>
      </w:r>
      <w:r w:rsidR="0011634C" w:rsidRPr="004C0EEA">
        <w:t>sustainability</w:t>
      </w:r>
      <w:r w:rsidRPr="004C0EEA">
        <w:t xml:space="preserve"> review</w:t>
      </w:r>
      <w:bookmarkEnd w:id="7"/>
    </w:p>
    <w:p w14:paraId="7FFCF4D7" w14:textId="377B5362" w:rsidR="008F5C03" w:rsidRPr="004C0EEA" w:rsidRDefault="008F5C03" w:rsidP="008F5C03">
      <w:r w:rsidRPr="004C0EEA">
        <w:t xml:space="preserve">This findings report is part of the Community Broadcasting Sector Sustainability Review </w:t>
      </w:r>
      <w:r w:rsidR="00D559A6" w:rsidRPr="004C0EEA">
        <w:t xml:space="preserve">(sustainability review) </w:t>
      </w:r>
      <w:r w:rsidRPr="004C0EEA">
        <w:t>conducted by the Department of Infrastructure, Transport, Regional Development, Communications and the Arts (</w:t>
      </w:r>
      <w:r w:rsidR="00E568E5">
        <w:t xml:space="preserve">the </w:t>
      </w:r>
      <w:r w:rsidRPr="004C0EEA">
        <w:t>department)</w:t>
      </w:r>
      <w:r w:rsidR="002876E6" w:rsidRPr="004C0EEA">
        <w:t xml:space="preserve"> based on the T</w:t>
      </w:r>
      <w:r w:rsidR="00AF5582" w:rsidRPr="004C0EEA">
        <w:t xml:space="preserve">erms </w:t>
      </w:r>
      <w:r w:rsidR="002876E6" w:rsidRPr="004C0EEA">
        <w:t>o</w:t>
      </w:r>
      <w:r w:rsidR="00AF5582" w:rsidRPr="004C0EEA">
        <w:t xml:space="preserve">f </w:t>
      </w:r>
      <w:r w:rsidR="002876E6" w:rsidRPr="004C0EEA">
        <w:t>R</w:t>
      </w:r>
      <w:r w:rsidR="00AF5582" w:rsidRPr="004C0EEA">
        <w:t>eference</w:t>
      </w:r>
      <w:r w:rsidR="002876E6" w:rsidRPr="004C0EEA">
        <w:t>.</w:t>
      </w:r>
      <w:r w:rsidR="002876E6" w:rsidRPr="004C0EEA">
        <w:rPr>
          <w:rStyle w:val="FootnoteReference"/>
        </w:rPr>
        <w:footnoteReference w:id="2"/>
      </w:r>
      <w:r w:rsidR="002876E6" w:rsidRPr="004C0EEA" w:rsidDel="003D3B16">
        <w:t xml:space="preserve"> </w:t>
      </w:r>
      <w:r w:rsidR="002876E6" w:rsidRPr="004C0EEA">
        <w:t xml:space="preserve">The department’s overall objectives were to deliver advice to </w:t>
      </w:r>
      <w:r w:rsidR="00C63502">
        <w:t>the Australian Government</w:t>
      </w:r>
      <w:r w:rsidR="00E568E5">
        <w:t xml:space="preserve"> (the government)</w:t>
      </w:r>
      <w:r w:rsidR="002876E6" w:rsidRPr="004C0EEA">
        <w:t xml:space="preserve"> about the effectiveness of the </w:t>
      </w:r>
      <w:r w:rsidR="00C20205" w:rsidRPr="004C0EEA">
        <w:t>Community Broadcasting Program (</w:t>
      </w:r>
      <w:r w:rsidR="002876E6" w:rsidRPr="004C0EEA">
        <w:t>CBP</w:t>
      </w:r>
      <w:r w:rsidR="00C20205" w:rsidRPr="004C0EEA">
        <w:t>)</w:t>
      </w:r>
      <w:r w:rsidR="009F7A2F">
        <w:t xml:space="preserve"> and</w:t>
      </w:r>
      <w:r w:rsidR="002876E6" w:rsidRPr="004C0EEA">
        <w:t xml:space="preserve"> options for consolidation of First Nations funding across government, and to identify options to support the </w:t>
      </w:r>
      <w:r w:rsidR="003F1874">
        <w:t xml:space="preserve">sustainability of the </w:t>
      </w:r>
      <w:r w:rsidR="002876E6" w:rsidRPr="004C0EEA">
        <w:t xml:space="preserve">community broadcasting and First Nations media sector </w:t>
      </w:r>
      <w:r w:rsidR="009F7A2F">
        <w:t>(the sector)</w:t>
      </w:r>
      <w:r w:rsidR="003C4EE6">
        <w:t>.</w:t>
      </w:r>
      <w:r w:rsidRPr="004C0EEA" w:rsidDel="003D3B16">
        <w:t xml:space="preserve"> </w:t>
      </w:r>
    </w:p>
    <w:p w14:paraId="2EA61D70" w14:textId="77777777" w:rsidR="003F1874" w:rsidRPr="004C0EEA" w:rsidRDefault="003F1874" w:rsidP="003F1874">
      <w:r w:rsidRPr="004C0EEA">
        <w:t>Sustainability is the ability of the community broadcasting sector (sector) to stabilise its operations through reduced reliance on CBP and Indigenous Broadcasting and Media Program (IBMP) funding so it can achieve greater financial stability</w:t>
      </w:r>
      <w:r>
        <w:t>,</w:t>
      </w:r>
      <w:r w:rsidRPr="004C0EEA">
        <w:t xml:space="preserve"> and </w:t>
      </w:r>
      <w:r>
        <w:t>be</w:t>
      </w:r>
      <w:r w:rsidRPr="004C0EEA">
        <w:t xml:space="preserve"> less vulnerable to any future policy and funding changes.</w:t>
      </w:r>
    </w:p>
    <w:p w14:paraId="74FF36CD" w14:textId="00231B36" w:rsidR="00AD6AF0" w:rsidRPr="004C0EEA" w:rsidRDefault="00AD6AF0" w:rsidP="008F5C03">
      <w:r w:rsidRPr="004C0EEA">
        <w:t xml:space="preserve">The </w:t>
      </w:r>
      <w:r w:rsidR="00C63502">
        <w:t>government</w:t>
      </w:r>
      <w:r w:rsidRPr="004C0EEA">
        <w:t xml:space="preserve"> acknowledges the vital role of the sector in promoting a diverse Australian media landscape, and </w:t>
      </w:r>
      <w:r w:rsidR="003F1874">
        <w:t xml:space="preserve">amplifying </w:t>
      </w:r>
      <w:r w:rsidRPr="004C0EEA">
        <w:t xml:space="preserve">stories that are not captured </w:t>
      </w:r>
      <w:r w:rsidR="004231CB" w:rsidRPr="004C0EEA">
        <w:t>elsewhere.</w:t>
      </w:r>
      <w:r w:rsidR="0011634C" w:rsidRPr="004C0EEA">
        <w:t xml:space="preserve"> </w:t>
      </w:r>
      <w:r w:rsidRPr="004C0EEA">
        <w:t xml:space="preserve">The </w:t>
      </w:r>
      <w:r w:rsidR="00C63502">
        <w:t>government</w:t>
      </w:r>
      <w:r w:rsidRPr="004C0EEA">
        <w:t xml:space="preserve"> and the sector </w:t>
      </w:r>
      <w:r w:rsidR="00B00FA4" w:rsidRPr="004C0EEA">
        <w:t xml:space="preserve">should </w:t>
      </w:r>
      <w:r w:rsidRPr="004C0EEA">
        <w:t xml:space="preserve">consider how to maximise the impact of the CBP (section </w:t>
      </w:r>
      <w:r w:rsidRPr="00607AD3">
        <w:rPr>
          <w:b/>
        </w:rPr>
        <w:t>4</w:t>
      </w:r>
      <w:r w:rsidRPr="004C0EEA">
        <w:rPr>
          <w:b/>
        </w:rPr>
        <w:t xml:space="preserve"> </w:t>
      </w:r>
      <w:r w:rsidRPr="004C0EEA">
        <w:t>refers) and the</w:t>
      </w:r>
      <w:r w:rsidR="000C18B3" w:rsidRPr="000C18B3">
        <w:t xml:space="preserve"> </w:t>
      </w:r>
      <w:r w:rsidR="000C18B3" w:rsidRPr="004C0EEA">
        <w:t>Indigenous Broadcasting and Media Program</w:t>
      </w:r>
      <w:r w:rsidR="000C18B3">
        <w:t xml:space="preserve"> (I</w:t>
      </w:r>
      <w:r w:rsidRPr="004C0EEA">
        <w:t>BMP</w:t>
      </w:r>
      <w:r w:rsidR="000C18B3">
        <w:t xml:space="preserve">, </w:t>
      </w:r>
      <w:r w:rsidRPr="004C0EEA">
        <w:t>section</w:t>
      </w:r>
      <w:r w:rsidR="000B2978" w:rsidRPr="004C0EEA">
        <w:t> </w:t>
      </w:r>
      <w:r w:rsidRPr="00607AD3">
        <w:rPr>
          <w:b/>
        </w:rPr>
        <w:t>6</w:t>
      </w:r>
      <w:r w:rsidRPr="004C0EEA">
        <w:t xml:space="preserve"> refers) while ensuring cost-effective investment. </w:t>
      </w:r>
    </w:p>
    <w:p w14:paraId="7DE65732" w14:textId="426B4966" w:rsidR="00284453" w:rsidRPr="004C0EEA" w:rsidRDefault="004E291E" w:rsidP="008F5C03">
      <w:r w:rsidRPr="004C0EEA">
        <w:t>In the 2022-23 Budget, the</w:t>
      </w:r>
      <w:r w:rsidR="008F5C03" w:rsidRPr="004C0EEA">
        <w:t xml:space="preserve"> </w:t>
      </w:r>
      <w:r w:rsidR="00C63502">
        <w:t>government</w:t>
      </w:r>
      <w:r w:rsidR="008F5C03" w:rsidRPr="004C0EEA">
        <w:t xml:space="preserve"> committed to working with </w:t>
      </w:r>
      <w:r w:rsidR="00043C14" w:rsidRPr="004C0EEA">
        <w:t>the sector</w:t>
      </w:r>
      <w:r w:rsidR="008F5C03" w:rsidRPr="004C0EEA">
        <w:t xml:space="preserve"> to identify a sustainable funding base for the future</w:t>
      </w:r>
      <w:r w:rsidRPr="004C0EEA">
        <w:t>.</w:t>
      </w:r>
      <w:r w:rsidR="008F5C03" w:rsidRPr="004C0EEA">
        <w:t xml:space="preserve"> The </w:t>
      </w:r>
      <w:r w:rsidRPr="004C0EEA">
        <w:t xml:space="preserve">government announced the sustainability review </w:t>
      </w:r>
      <w:r w:rsidR="008F5C03" w:rsidRPr="004C0EEA">
        <w:t>in October</w:t>
      </w:r>
      <w:r w:rsidR="001775B4" w:rsidRPr="004C0EEA">
        <w:t> </w:t>
      </w:r>
      <w:r w:rsidR="008F5C03" w:rsidRPr="004C0EEA">
        <w:t>2022</w:t>
      </w:r>
      <w:r w:rsidR="00D559A6" w:rsidRPr="004C0EEA">
        <w:t>,</w:t>
      </w:r>
      <w:r w:rsidR="008F5C03" w:rsidRPr="004C0EEA">
        <w:rPr>
          <w:vertAlign w:val="superscript"/>
        </w:rPr>
        <w:t xml:space="preserve"> </w:t>
      </w:r>
      <w:r w:rsidR="008F5C03" w:rsidRPr="004C0EEA">
        <w:t xml:space="preserve">and </w:t>
      </w:r>
      <w:r w:rsidRPr="004C0EEA">
        <w:t xml:space="preserve">the department </w:t>
      </w:r>
      <w:r w:rsidR="00BD0831" w:rsidRPr="004C0EEA">
        <w:t xml:space="preserve">has undertaken </w:t>
      </w:r>
      <w:r w:rsidR="008B6322">
        <w:t>this review</w:t>
      </w:r>
      <w:r w:rsidRPr="004C0EEA">
        <w:t xml:space="preserve"> in 2 phases.</w:t>
      </w:r>
      <w:r w:rsidR="008F5C03" w:rsidRPr="004C0EEA">
        <w:t xml:space="preserve"> </w:t>
      </w:r>
      <w:r w:rsidR="000A11EB" w:rsidRPr="004C0EEA">
        <w:t>Next steps following the c</w:t>
      </w:r>
      <w:r w:rsidR="00284453" w:rsidRPr="004C0EEA">
        <w:t xml:space="preserve">onsideration of the findings </w:t>
      </w:r>
      <w:r w:rsidR="000A11EB" w:rsidRPr="004C0EEA">
        <w:t>and</w:t>
      </w:r>
      <w:r w:rsidR="00284453" w:rsidRPr="004C0EEA">
        <w:t xml:space="preserve"> recommendations</w:t>
      </w:r>
      <w:r w:rsidR="000A11EB" w:rsidRPr="004C0EEA">
        <w:t xml:space="preserve"> in this report</w:t>
      </w:r>
      <w:r w:rsidR="00284453" w:rsidRPr="004C0EEA">
        <w:t xml:space="preserve"> </w:t>
      </w:r>
      <w:r w:rsidR="000A11EB" w:rsidRPr="004C0EEA">
        <w:t>will be</w:t>
      </w:r>
      <w:r w:rsidR="00284453" w:rsidRPr="004C0EEA">
        <w:t xml:space="preserve"> a matter for </w:t>
      </w:r>
      <w:r w:rsidR="00C63502">
        <w:t>government</w:t>
      </w:r>
      <w:r w:rsidR="00284453" w:rsidRPr="004C0EEA">
        <w:t>.</w:t>
      </w:r>
    </w:p>
    <w:p w14:paraId="08AC1BC5" w14:textId="77777777" w:rsidR="00E700C7" w:rsidRPr="004C0EEA" w:rsidRDefault="00E700C7" w:rsidP="00E700C7">
      <w:pPr>
        <w:pStyle w:val="Heading3"/>
      </w:pPr>
      <w:bookmarkStart w:id="8" w:name="_Toc191450983"/>
      <w:r w:rsidRPr="004C0EEA">
        <w:t>Phase 1: independent evaluation</w:t>
      </w:r>
      <w:bookmarkEnd w:id="8"/>
    </w:p>
    <w:p w14:paraId="4DB1F8C2" w14:textId="77777777" w:rsidR="00E700C7" w:rsidRPr="004C0EEA" w:rsidRDefault="00E700C7" w:rsidP="00E700C7">
      <w:r w:rsidRPr="004C0EEA">
        <w:t>Phase 1 commenced in March 2023 with an independent evaluation of the CBP, commissioned by the department and undertaken by the Social Research Centre</w:t>
      </w:r>
      <w:r w:rsidR="002B75E5" w:rsidRPr="004C0EEA">
        <w:t xml:space="preserve"> (SRC)</w:t>
      </w:r>
      <w:r w:rsidRPr="004C0EEA">
        <w:t>.</w:t>
      </w:r>
      <w:r w:rsidRPr="004C0EEA">
        <w:rPr>
          <w:rStyle w:val="FootnoteReference"/>
        </w:rPr>
        <w:footnoteReference w:id="3"/>
      </w:r>
      <w:r w:rsidRPr="004C0EEA">
        <w:t xml:space="preserve"> The evaluation found that while the CBP is mostly effective, has a range of positive impacts and funding has been vital for continuation of operation</w:t>
      </w:r>
      <w:r w:rsidR="00C63502">
        <w:t>s</w:t>
      </w:r>
      <w:r w:rsidRPr="004C0EEA">
        <w:t xml:space="preserve">, it has not </w:t>
      </w:r>
      <w:r w:rsidR="004231CB" w:rsidRPr="004C0EEA">
        <w:t>promoted</w:t>
      </w:r>
      <w:r w:rsidRPr="004C0EEA">
        <w:t xml:space="preserve"> sustainability through reducing reliance on grant funding and building station resilience. </w:t>
      </w:r>
    </w:p>
    <w:p w14:paraId="1DA59AD1" w14:textId="77777777" w:rsidR="00E700C7" w:rsidRPr="004C0EEA" w:rsidRDefault="00E700C7" w:rsidP="00E700C7">
      <w:r w:rsidRPr="004C0EEA">
        <w:t xml:space="preserve">The evaluation found that the CBP </w:t>
      </w:r>
      <w:r w:rsidR="00DF3E0B" w:rsidRPr="004C0EEA">
        <w:t xml:space="preserve">is </w:t>
      </w:r>
      <w:r w:rsidRPr="004C0EEA">
        <w:t>only partially achieving its objectives. This includes that:</w:t>
      </w:r>
    </w:p>
    <w:p w14:paraId="75311273" w14:textId="522E3E38" w:rsidR="00E700C7" w:rsidRPr="004C0EEA" w:rsidRDefault="00E700C7" w:rsidP="00E700C7">
      <w:pPr>
        <w:pStyle w:val="Bullet1"/>
        <w:rPr>
          <w:lang w:val="en-AU"/>
        </w:rPr>
      </w:pPr>
      <w:r w:rsidRPr="004C0EEA">
        <w:rPr>
          <w:lang w:val="en-AU"/>
        </w:rPr>
        <w:t xml:space="preserve">the CBP can more effectively help grantees undertake day-to-day operations, development, capacity building and </w:t>
      </w:r>
      <w:r w:rsidR="009F7A2F" w:rsidRPr="004C0EEA">
        <w:rPr>
          <w:lang w:val="en-AU"/>
        </w:rPr>
        <w:t>sector</w:t>
      </w:r>
      <w:r w:rsidR="009F7A2F">
        <w:rPr>
          <w:lang w:val="en-AU"/>
        </w:rPr>
        <w:t>-</w:t>
      </w:r>
      <w:r w:rsidRPr="004C0EEA">
        <w:rPr>
          <w:lang w:val="en-AU"/>
        </w:rPr>
        <w:t xml:space="preserve">wide projects </w:t>
      </w:r>
    </w:p>
    <w:p w14:paraId="769DAD66" w14:textId="77777777" w:rsidR="002E360B" w:rsidRPr="004C0EEA" w:rsidRDefault="00E700C7" w:rsidP="00E700C7">
      <w:pPr>
        <w:pStyle w:val="Bullet1"/>
        <w:rPr>
          <w:lang w:val="en-AU"/>
        </w:rPr>
      </w:pPr>
      <w:r w:rsidRPr="004C0EEA">
        <w:rPr>
          <w:lang w:val="en-AU"/>
        </w:rPr>
        <w:t>the CBP can better identify and address emerging and unmet needs in the sector (e.g. operational costs, capacity building, self-sufficiency, community engagement, digital transformation and infrastructure</w:t>
      </w:r>
      <w:r w:rsidR="00C63502">
        <w:rPr>
          <w:lang w:val="en-AU"/>
        </w:rPr>
        <w:t>)</w:t>
      </w:r>
    </w:p>
    <w:p w14:paraId="1A122A5A" w14:textId="101DDE6B" w:rsidR="002E360B" w:rsidRPr="004C0EEA" w:rsidRDefault="002E360B" w:rsidP="002E360B">
      <w:pPr>
        <w:pStyle w:val="Bullet1"/>
        <w:rPr>
          <w:lang w:val="en-AU"/>
        </w:rPr>
      </w:pPr>
      <w:r w:rsidRPr="004C0EEA">
        <w:rPr>
          <w:lang w:val="en-AU"/>
        </w:rPr>
        <w:t>the grants assessment and decision-making processes could be more effective</w:t>
      </w:r>
    </w:p>
    <w:p w14:paraId="45EF81C2" w14:textId="77777777" w:rsidR="00E700C7" w:rsidRPr="004C0EEA" w:rsidRDefault="002E360B" w:rsidP="002E360B">
      <w:pPr>
        <w:pStyle w:val="Bullet1"/>
        <w:rPr>
          <w:lang w:val="en-AU"/>
        </w:rPr>
      </w:pPr>
      <w:r w:rsidRPr="004C0EEA">
        <w:rPr>
          <w:lang w:val="en-AU"/>
        </w:rPr>
        <w:t>funding can be tailored</w:t>
      </w:r>
      <w:r w:rsidR="00E700C7" w:rsidRPr="004C0EEA">
        <w:rPr>
          <w:lang w:val="en-AU"/>
        </w:rPr>
        <w:t xml:space="preserve"> to organisational needs</w:t>
      </w:r>
      <w:r w:rsidRPr="004C0EEA">
        <w:rPr>
          <w:lang w:val="en-AU"/>
        </w:rPr>
        <w:t xml:space="preserve">, and </w:t>
      </w:r>
      <w:r w:rsidR="00E700C7" w:rsidRPr="004C0EEA">
        <w:rPr>
          <w:lang w:val="en-AU"/>
        </w:rPr>
        <w:t>focus on partnerships and networking to support content, knowledge and skill</w:t>
      </w:r>
      <w:r w:rsidR="00C63502">
        <w:rPr>
          <w:lang w:val="en-AU"/>
        </w:rPr>
        <w:t>-</w:t>
      </w:r>
      <w:r w:rsidR="00E700C7" w:rsidRPr="004C0EEA">
        <w:rPr>
          <w:lang w:val="en-AU"/>
        </w:rPr>
        <w:t>sharing in the sector.</w:t>
      </w:r>
    </w:p>
    <w:p w14:paraId="1051B8C2" w14:textId="77777777" w:rsidR="00E700C7" w:rsidRPr="004C0EEA" w:rsidRDefault="00E700C7" w:rsidP="00E700C7">
      <w:pPr>
        <w:pStyle w:val="Heading3"/>
      </w:pPr>
      <w:bookmarkStart w:id="9" w:name="_Toc191450984"/>
      <w:r w:rsidRPr="004C0EEA">
        <w:t>Phase 2: public consultation</w:t>
      </w:r>
      <w:bookmarkEnd w:id="9"/>
    </w:p>
    <w:p w14:paraId="2A29B6AE" w14:textId="3AAAB4AE" w:rsidR="00E539DD" w:rsidRPr="004C0EEA" w:rsidRDefault="001C20E8" w:rsidP="00A3158C">
      <w:pPr>
        <w:spacing w:after="0"/>
      </w:pPr>
      <w:r w:rsidRPr="004C0EEA">
        <w:t>Phase 2 was a public consultation led by a Discussion Paper</w:t>
      </w:r>
      <w:r w:rsidR="00A41076">
        <w:t xml:space="preserve"> between June and September 2024</w:t>
      </w:r>
      <w:r w:rsidR="00A3158C">
        <w:t>.</w:t>
      </w:r>
      <w:r w:rsidRPr="004C0EEA">
        <w:rPr>
          <w:rStyle w:val="FootnoteReference"/>
        </w:rPr>
        <w:footnoteReference w:id="4"/>
      </w:r>
      <w:r w:rsidRPr="004C0EEA">
        <w:t xml:space="preserve"> </w:t>
      </w:r>
      <w:r w:rsidR="00A3158C">
        <w:t xml:space="preserve">The Discussion Paper was </w:t>
      </w:r>
      <w:r w:rsidRPr="004C0EEA">
        <w:t>supported by workshops and one-on-one meetings with community broadcasters, sector peak bodies, Remote Indigenous Media Organisations and</w:t>
      </w:r>
      <w:r w:rsidR="001F74F6" w:rsidRPr="004C0EEA">
        <w:t xml:space="preserve"> First Nations</w:t>
      </w:r>
      <w:r w:rsidRPr="004C0EEA">
        <w:t xml:space="preserve"> media services. </w:t>
      </w:r>
      <w:r w:rsidR="00E700C7" w:rsidRPr="004C0EEA">
        <w:t xml:space="preserve">The department </w:t>
      </w:r>
      <w:r w:rsidR="008B6322">
        <w:t>promoted this</w:t>
      </w:r>
      <w:r w:rsidR="008B6322" w:rsidRPr="004C0EEA">
        <w:t xml:space="preserve"> </w:t>
      </w:r>
      <w:r w:rsidR="00E539DD" w:rsidRPr="004C0EEA">
        <w:t>via its website</w:t>
      </w:r>
      <w:r w:rsidR="00166C87" w:rsidRPr="004C0EEA">
        <w:t xml:space="preserve"> and </w:t>
      </w:r>
      <w:r w:rsidR="00E539DD" w:rsidRPr="004C0EEA">
        <w:t xml:space="preserve">the </w:t>
      </w:r>
      <w:r w:rsidR="00C20205" w:rsidRPr="004C0EEA">
        <w:t>National Indigenous Australians Agency</w:t>
      </w:r>
      <w:r w:rsidR="00E539DD" w:rsidRPr="004C0EEA">
        <w:t xml:space="preserve"> </w:t>
      </w:r>
      <w:r w:rsidR="00C20205" w:rsidRPr="004C0EEA">
        <w:t>(</w:t>
      </w:r>
      <w:r w:rsidR="00E539DD" w:rsidRPr="004C0EEA">
        <w:t>NIAA</w:t>
      </w:r>
      <w:r w:rsidR="00C20205" w:rsidRPr="004C0EEA">
        <w:t>)</w:t>
      </w:r>
      <w:r w:rsidR="00E539DD" w:rsidRPr="004C0EEA">
        <w:t xml:space="preserve">, the </w:t>
      </w:r>
      <w:r w:rsidR="00C20205" w:rsidRPr="00A3158C">
        <w:t>Community Broadcasting Foundation (</w:t>
      </w:r>
      <w:r w:rsidR="00E539DD" w:rsidRPr="00A3158C">
        <w:t>CBF</w:t>
      </w:r>
      <w:r w:rsidR="00C20205" w:rsidRPr="00A3158C">
        <w:t>)</w:t>
      </w:r>
      <w:r w:rsidR="00E539DD" w:rsidRPr="00A3158C">
        <w:t>, the Community Broadcasting Association of Australia, and First Nations Media Australia (FNMA)</w:t>
      </w:r>
      <w:r w:rsidR="00166C87" w:rsidRPr="00A3158C">
        <w:t xml:space="preserve">. </w:t>
      </w:r>
      <w:r w:rsidR="00DB69FD" w:rsidRPr="00A3158C">
        <w:t>Participation was voluntary.</w:t>
      </w:r>
    </w:p>
    <w:p w14:paraId="6DEF355E" w14:textId="606350DC" w:rsidR="001C20E8" w:rsidRPr="004C0EEA" w:rsidRDefault="00E700C7" w:rsidP="001C20E8">
      <w:r w:rsidRPr="004C0EEA">
        <w:lastRenderedPageBreak/>
        <w:t>T</w:t>
      </w:r>
      <w:r w:rsidR="001C20E8" w:rsidRPr="004C0EEA">
        <w:t>he department received 31 submissions, with 26 of these public</w:t>
      </w:r>
      <w:r w:rsidR="00BD35CE" w:rsidRPr="004C0EEA">
        <w:t xml:space="preserve">, </w:t>
      </w:r>
      <w:r w:rsidR="001C20E8" w:rsidRPr="004C0EEA">
        <w:t>consulted with representatives from 73 organisations through 11 workshops</w:t>
      </w:r>
      <w:r w:rsidR="00E568E5">
        <w:t>,</w:t>
      </w:r>
      <w:r w:rsidR="001C20E8" w:rsidRPr="004C0EEA">
        <w:t xml:space="preserve"> and 42 organisations through one-on-one meetings. </w:t>
      </w:r>
      <w:r w:rsidR="00BD35CE" w:rsidRPr="004C0EEA">
        <w:t>All participating organisations</w:t>
      </w:r>
      <w:r w:rsidR="001C20E8" w:rsidRPr="004C0EEA">
        <w:t xml:space="preserve"> were eligible for </w:t>
      </w:r>
      <w:r w:rsidR="009A33A6">
        <w:t>the CBP</w:t>
      </w:r>
      <w:r w:rsidR="001C20E8" w:rsidRPr="004C0EEA">
        <w:t xml:space="preserve">, and 9 were eligible for </w:t>
      </w:r>
      <w:r w:rsidR="000C18B3">
        <w:t xml:space="preserve">the </w:t>
      </w:r>
      <w:r w:rsidR="0037600C" w:rsidRPr="004C0EEA">
        <w:t>IBMP</w:t>
      </w:r>
      <w:r w:rsidR="001C20E8" w:rsidRPr="004C0EEA">
        <w:t>. The department has published all public submissions and group workshop summaries on its website.</w:t>
      </w:r>
      <w:r w:rsidR="001C20E8" w:rsidRPr="004C0EEA">
        <w:rPr>
          <w:rStyle w:val="FootnoteReference"/>
        </w:rPr>
        <w:footnoteReference w:id="5"/>
      </w:r>
      <w:r w:rsidR="001C20E8" w:rsidRPr="004C0EEA">
        <w:t xml:space="preserve"> The Minister for Communications, the Hon Michelle Rowland MP, also visited 3 community broadcasters. </w:t>
      </w:r>
    </w:p>
    <w:p w14:paraId="6EB10ED1" w14:textId="77777777" w:rsidR="001C20E8" w:rsidRPr="004C0EEA" w:rsidRDefault="001C20E8" w:rsidP="00E700C7">
      <w:pPr>
        <w:pStyle w:val="Heading2"/>
      </w:pPr>
      <w:bookmarkStart w:id="10" w:name="_Toc191450985"/>
      <w:bookmarkStart w:id="11" w:name="_Toc169789846"/>
      <w:r w:rsidRPr="004C0EEA">
        <w:t>Context</w:t>
      </w:r>
      <w:bookmarkEnd w:id="10"/>
    </w:p>
    <w:p w14:paraId="19925EC4" w14:textId="77777777" w:rsidR="001C20E8" w:rsidRPr="004C0EEA" w:rsidRDefault="001C20E8" w:rsidP="001C20E8">
      <w:pPr>
        <w:pStyle w:val="Heading3"/>
      </w:pPr>
      <w:bookmarkStart w:id="12" w:name="_Toc191450986"/>
      <w:r w:rsidRPr="004C0EEA">
        <w:t>Community broadcasting</w:t>
      </w:r>
      <w:bookmarkEnd w:id="11"/>
      <w:bookmarkEnd w:id="12"/>
    </w:p>
    <w:p w14:paraId="1F4A3BFA" w14:textId="77777777" w:rsidR="00DB69FD" w:rsidRPr="004C0EEA" w:rsidRDefault="001C20E8" w:rsidP="00DB69FD">
      <w:r w:rsidRPr="004C0EEA">
        <w:t xml:space="preserve">The </w:t>
      </w:r>
      <w:r w:rsidR="00F807BA" w:rsidRPr="004C0EEA">
        <w:rPr>
          <w:i/>
        </w:rPr>
        <w:t>Broadcasting Services Act 1992</w:t>
      </w:r>
      <w:r w:rsidR="00F807BA" w:rsidRPr="004C0EEA">
        <w:t xml:space="preserve"> (</w:t>
      </w:r>
      <w:r w:rsidRPr="004C0EEA">
        <w:t>BSA</w:t>
      </w:r>
      <w:r w:rsidR="00F807BA" w:rsidRPr="004C0EEA">
        <w:t>)</w:t>
      </w:r>
      <w:r w:rsidRPr="004C0EEA">
        <w:t xml:space="preserve"> </w:t>
      </w:r>
      <w:r w:rsidR="00DB69FD" w:rsidRPr="004C0EEA">
        <w:t xml:space="preserve">is the primary legislation that governs </w:t>
      </w:r>
      <w:r w:rsidR="00043C14" w:rsidRPr="004C0EEA">
        <w:t>the sector</w:t>
      </w:r>
      <w:r w:rsidRPr="004C0EEA">
        <w:t xml:space="preserve">. </w:t>
      </w:r>
      <w:r w:rsidR="00DB69FD" w:rsidRPr="004C0EEA">
        <w:t>There are over 450</w:t>
      </w:r>
      <w:r w:rsidR="00BF23DE" w:rsidRPr="004C0EEA">
        <w:t> </w:t>
      </w:r>
      <w:r w:rsidR="00DB69FD" w:rsidRPr="004C0EEA">
        <w:t>community radio services, 3 community television</w:t>
      </w:r>
      <w:r w:rsidR="00344E27" w:rsidRPr="004C0EEA">
        <w:t xml:space="preserve"> </w:t>
      </w:r>
      <w:r w:rsidR="00DB69FD" w:rsidRPr="004C0EEA">
        <w:t>services, 9 sector peak bodies and one First</w:t>
      </w:r>
      <w:r w:rsidR="00BF23DE" w:rsidRPr="004C0EEA">
        <w:t> </w:t>
      </w:r>
      <w:r w:rsidR="00DB69FD" w:rsidRPr="004C0EEA">
        <w:t xml:space="preserve">Nations media organisation operating across Australia. </w:t>
      </w:r>
    </w:p>
    <w:p w14:paraId="7DEBB730" w14:textId="77777777" w:rsidR="001C20E8" w:rsidRPr="004C0EEA" w:rsidRDefault="001C20E8" w:rsidP="00AD6AF0">
      <w:r w:rsidRPr="004C0EEA">
        <w:t>Community broadcasting services</w:t>
      </w:r>
      <w:r w:rsidR="00AD6AF0" w:rsidRPr="004C0EEA">
        <w:t xml:space="preserve"> </w:t>
      </w:r>
      <w:r w:rsidRPr="004C0EEA">
        <w:t>are provided for community purposes</w:t>
      </w:r>
      <w:r w:rsidR="00AD6AF0" w:rsidRPr="004C0EEA">
        <w:t xml:space="preserve">, </w:t>
      </w:r>
      <w:r w:rsidRPr="004C0EEA">
        <w:t>are not operated for profit or as part of a profit</w:t>
      </w:r>
      <w:r w:rsidRPr="004C0EEA">
        <w:rPr>
          <w:rFonts w:ascii="Cambria Math" w:hAnsi="Cambria Math" w:cs="Cambria Math"/>
        </w:rPr>
        <w:t>‑</w:t>
      </w:r>
      <w:r w:rsidRPr="004C0EEA">
        <w:t>making enterprise</w:t>
      </w:r>
      <w:r w:rsidR="00AD6AF0" w:rsidRPr="004C0EEA">
        <w:t xml:space="preserve">, </w:t>
      </w:r>
      <w:r w:rsidRPr="004C0EEA">
        <w:t>provide programs that</w:t>
      </w:r>
      <w:r w:rsidR="00DB69FD" w:rsidRPr="004C0EEA">
        <w:t xml:space="preserve"> </w:t>
      </w:r>
      <w:r w:rsidRPr="004C0EEA">
        <w:t>are able to be received by commonly available equipment</w:t>
      </w:r>
      <w:r w:rsidR="00AD6AF0" w:rsidRPr="004C0EEA">
        <w:t xml:space="preserve">, </w:t>
      </w:r>
      <w:r w:rsidRPr="004C0EEA">
        <w:t>are made available free to the general public</w:t>
      </w:r>
      <w:r w:rsidR="00AD6AF0" w:rsidRPr="004C0EEA">
        <w:t xml:space="preserve">, and </w:t>
      </w:r>
      <w:r w:rsidRPr="004C0EEA">
        <w:t xml:space="preserve">comply with any determinations or clarifications under section 19 </w:t>
      </w:r>
      <w:r w:rsidR="00C63502">
        <w:t xml:space="preserve">of the BSA </w:t>
      </w:r>
      <w:r w:rsidRPr="004C0EEA">
        <w:t>in relation to community broadcasting services.</w:t>
      </w:r>
    </w:p>
    <w:p w14:paraId="56DFB6AE" w14:textId="77777777" w:rsidR="001C20E8" w:rsidRPr="004C0EEA" w:rsidRDefault="001C20E8" w:rsidP="001C20E8">
      <w:pPr>
        <w:pStyle w:val="Heading3"/>
      </w:pPr>
      <w:bookmarkStart w:id="13" w:name="_Toc191450987"/>
      <w:bookmarkStart w:id="14" w:name="_Hlk184193982"/>
      <w:r w:rsidRPr="004C0EEA">
        <w:t>The C</w:t>
      </w:r>
      <w:r w:rsidR="00B22010" w:rsidRPr="004C0EEA">
        <w:t xml:space="preserve">ommunity </w:t>
      </w:r>
      <w:r w:rsidRPr="004C0EEA">
        <w:t>B</w:t>
      </w:r>
      <w:r w:rsidR="00B22010" w:rsidRPr="004C0EEA">
        <w:t xml:space="preserve">roadcasting </w:t>
      </w:r>
      <w:r w:rsidRPr="004C0EEA">
        <w:t>P</w:t>
      </w:r>
      <w:r w:rsidR="00B22010" w:rsidRPr="004C0EEA">
        <w:t>rogram</w:t>
      </w:r>
      <w:bookmarkEnd w:id="13"/>
    </w:p>
    <w:p w14:paraId="5F700FFE" w14:textId="1E441025" w:rsidR="001C20E8" w:rsidRDefault="001C20E8" w:rsidP="001C20E8">
      <w:r w:rsidRPr="004C0EEA">
        <w:t xml:space="preserve">The CBP is the </w:t>
      </w:r>
      <w:r w:rsidR="00C63502">
        <w:t xml:space="preserve">government’s </w:t>
      </w:r>
      <w:r w:rsidRPr="004C0EEA">
        <w:t xml:space="preserve">grants program to support a diverse, innovative and resilient community broadcasting sector. Since 1984, the </w:t>
      </w:r>
      <w:r w:rsidR="00997076" w:rsidRPr="004C0EEA">
        <w:t>CBF</w:t>
      </w:r>
      <w:r w:rsidRPr="004C0EEA">
        <w:t xml:space="preserve"> has distributed CBP funding to </w:t>
      </w:r>
      <w:r w:rsidR="00C63502">
        <w:t>the sector</w:t>
      </w:r>
      <w:r w:rsidRPr="004C0EEA">
        <w:t xml:space="preserve"> through merit</w:t>
      </w:r>
      <w:r w:rsidR="00BF23DE" w:rsidRPr="004C0EEA">
        <w:noBreakHyphen/>
      </w:r>
      <w:r w:rsidRPr="004C0EEA">
        <w:t>based grants process</w:t>
      </w:r>
      <w:r w:rsidR="00C63502">
        <w:t>es</w:t>
      </w:r>
      <w:r w:rsidRPr="004C0EEA">
        <w:t xml:space="preserve">. </w:t>
      </w:r>
      <w:r w:rsidR="00B24652" w:rsidRPr="004C0EEA">
        <w:t xml:space="preserve">In the 2022-23 Budget, the </w:t>
      </w:r>
      <w:r w:rsidR="00C63502">
        <w:t xml:space="preserve">government </w:t>
      </w:r>
      <w:r w:rsidR="00B24652" w:rsidRPr="004C0EEA">
        <w:t>committed an additional $4</w:t>
      </w:r>
      <w:r w:rsidR="00BF23DE" w:rsidRPr="004C0EEA">
        <w:t> </w:t>
      </w:r>
      <w:r w:rsidR="00B24652" w:rsidRPr="004C0EEA">
        <w:t xml:space="preserve">million per year over the forward estimates to the CBP, and reintroduced ongoing indexation. In 2024-25, </w:t>
      </w:r>
      <w:r w:rsidR="0007573E">
        <w:t xml:space="preserve">ongoing </w:t>
      </w:r>
      <w:r w:rsidR="00B24652" w:rsidRPr="004C0EEA">
        <w:t>CBP funding was $22.6</w:t>
      </w:r>
      <w:r w:rsidR="00C63502">
        <w:t> </w:t>
      </w:r>
      <w:r w:rsidR="00B24652" w:rsidRPr="004C0EEA">
        <w:t>million and will increase to $24.1 million in 2027-28</w:t>
      </w:r>
      <w:r w:rsidR="00E26471" w:rsidRPr="004C0EEA">
        <w:t>.</w:t>
      </w:r>
      <w:r w:rsidR="00B24652" w:rsidRPr="004C0EEA">
        <w:rPr>
          <w:rStyle w:val="FootnoteReference"/>
        </w:rPr>
        <w:footnoteReference w:id="6"/>
      </w:r>
    </w:p>
    <w:p w14:paraId="342C1E81" w14:textId="3B20399A" w:rsidR="0007573E" w:rsidRPr="004C0EEA" w:rsidRDefault="0007573E" w:rsidP="001C20E8">
      <w:r>
        <w:t xml:space="preserve">In December 2024, </w:t>
      </w:r>
      <w:r w:rsidR="00C244FC">
        <w:t>the government announced that the CBP will receive additional, non-ongoing funding of $15 million over 3 years from 2025-26 to 2027-28. This includes $3 million for community television.</w:t>
      </w:r>
      <w:r w:rsidR="00C244FC">
        <w:rPr>
          <w:rStyle w:val="FootnoteReference"/>
        </w:rPr>
        <w:footnoteReference w:id="7"/>
      </w:r>
      <w:r w:rsidR="00C244FC">
        <w:t xml:space="preserve"> This will take CBP funding to $85.</w:t>
      </w:r>
      <w:r w:rsidR="007A5237">
        <w:t>8</w:t>
      </w:r>
      <w:r w:rsidR="00C244FC">
        <w:t xml:space="preserve"> million over 3 years.</w:t>
      </w:r>
    </w:p>
    <w:p w14:paraId="6AD01FDD" w14:textId="77777777" w:rsidR="0070505C" w:rsidRPr="004C0EEA" w:rsidRDefault="001C20E8" w:rsidP="001C20E8">
      <w:r w:rsidRPr="004C0EEA">
        <w:t>There are 3 grant streams under the CBP:</w:t>
      </w:r>
      <w:r w:rsidR="0070505C" w:rsidRPr="004C0EEA">
        <w:t xml:space="preserve"> </w:t>
      </w:r>
      <w:r w:rsidRPr="004C0EEA">
        <w:t>content</w:t>
      </w:r>
      <w:r w:rsidR="0070505C" w:rsidRPr="004C0EEA">
        <w:t xml:space="preserve">, </w:t>
      </w:r>
      <w:r w:rsidRPr="004C0EEA">
        <w:t>development and operations, and</w:t>
      </w:r>
      <w:r w:rsidR="0070505C" w:rsidRPr="004C0EEA">
        <w:t xml:space="preserve"> </w:t>
      </w:r>
      <w:r w:rsidRPr="004C0EEA">
        <w:t>sector investment</w:t>
      </w:r>
      <w:r w:rsidR="00C63502">
        <w:t xml:space="preserve"> grants</w:t>
      </w:r>
      <w:r w:rsidRPr="004C0EEA">
        <w:t xml:space="preserve"> to support sector coordination and sector-wide development projects.</w:t>
      </w:r>
      <w:r w:rsidR="0070505C" w:rsidRPr="004C0EEA">
        <w:t xml:space="preserve"> </w:t>
      </w:r>
      <w:r w:rsidRPr="004C0EEA">
        <w:t>There is</w:t>
      </w:r>
      <w:r w:rsidR="0070505C" w:rsidRPr="004C0EEA">
        <w:t xml:space="preserve"> also</w:t>
      </w:r>
      <w:r w:rsidRPr="004C0EEA">
        <w:t xml:space="preserve"> a First Nations Community Broadcasting Fund in the CBP, which </w:t>
      </w:r>
      <w:r w:rsidR="00C63502">
        <w:t xml:space="preserve">accounts for </w:t>
      </w:r>
      <w:r w:rsidRPr="004C0EEA">
        <w:t>$1.4 million of overall funding.</w:t>
      </w:r>
      <w:r w:rsidR="00AD6AF0" w:rsidRPr="004C0EEA">
        <w:t xml:space="preserve"> This supports the production, broadcasting and dissemination of First Nations content.</w:t>
      </w:r>
    </w:p>
    <w:p w14:paraId="4D63483C" w14:textId="6B59D684" w:rsidR="0070505C" w:rsidRPr="004C0EEA" w:rsidRDefault="0070505C" w:rsidP="001C20E8">
      <w:r w:rsidRPr="004C0EEA">
        <w:t xml:space="preserve">The current granting arrangements with the CBF will end on 30 June 2025, and the </w:t>
      </w:r>
      <w:r w:rsidR="00C63502">
        <w:t xml:space="preserve">government </w:t>
      </w:r>
      <w:r w:rsidR="00B00FA4" w:rsidRPr="004C0EEA">
        <w:t xml:space="preserve">will </w:t>
      </w:r>
      <w:r w:rsidRPr="004C0EEA">
        <w:t>establish new grant guidelines and a new grant agreement with the CBF to deliver the CBP from 1</w:t>
      </w:r>
      <w:r w:rsidR="00BF23DE" w:rsidRPr="004C0EEA">
        <w:t> </w:t>
      </w:r>
      <w:r w:rsidRPr="004C0EEA">
        <w:t>July</w:t>
      </w:r>
      <w:r w:rsidR="00BF23DE" w:rsidRPr="004C0EEA">
        <w:t> </w:t>
      </w:r>
      <w:r w:rsidRPr="004C0EEA">
        <w:t>2025 onwards. Th</w:t>
      </w:r>
      <w:r w:rsidR="00DA5503" w:rsidRPr="004C0EEA">
        <w:t xml:space="preserve">e </w:t>
      </w:r>
      <w:r w:rsidRPr="004C0EEA">
        <w:t>sustainability review, Roadmap 2033, the Australian Government Grants Framework</w:t>
      </w:r>
      <w:r w:rsidRPr="004C0EEA">
        <w:rPr>
          <w:rStyle w:val="FootnoteReference"/>
        </w:rPr>
        <w:footnoteReference w:id="8"/>
      </w:r>
      <w:r w:rsidRPr="004C0EEA">
        <w:t xml:space="preserve"> and the </w:t>
      </w:r>
      <w:r w:rsidRPr="004C0EEA">
        <w:rPr>
          <w:i/>
        </w:rPr>
        <w:t>Public</w:t>
      </w:r>
      <w:r w:rsidR="00E568E5">
        <w:rPr>
          <w:i/>
        </w:rPr>
        <w:t> </w:t>
      </w:r>
      <w:r w:rsidRPr="004C0EEA">
        <w:rPr>
          <w:i/>
        </w:rPr>
        <w:t>Governance, Performance and Accountability Act 2013</w:t>
      </w:r>
      <w:r w:rsidR="00DA5503" w:rsidRPr="004C0EEA">
        <w:t xml:space="preserve"> </w:t>
      </w:r>
      <w:r w:rsidR="00F045D3" w:rsidRPr="004C0EEA">
        <w:t xml:space="preserve">(PGPA Act) </w:t>
      </w:r>
      <w:r w:rsidR="00DA5503" w:rsidRPr="004C0EEA">
        <w:t>will inform this process.</w:t>
      </w:r>
    </w:p>
    <w:p w14:paraId="7A6CBB9A" w14:textId="77777777" w:rsidR="001C20E8" w:rsidRPr="004C0EEA" w:rsidRDefault="001C20E8" w:rsidP="001C20E8">
      <w:pPr>
        <w:pStyle w:val="Heading3"/>
      </w:pPr>
      <w:bookmarkStart w:id="15" w:name="_Toc191450988"/>
      <w:r w:rsidRPr="004C0EEA">
        <w:t xml:space="preserve">The </w:t>
      </w:r>
      <w:r w:rsidR="00896C46" w:rsidRPr="004C0EEA">
        <w:t>Indigenous Broadcasting and Media Program</w:t>
      </w:r>
      <w:bookmarkEnd w:id="15"/>
      <w:r w:rsidR="00896C46" w:rsidRPr="004C0EEA">
        <w:t xml:space="preserve"> </w:t>
      </w:r>
    </w:p>
    <w:p w14:paraId="38660AA4" w14:textId="14A61EAD" w:rsidR="003B61DB" w:rsidRDefault="003B61DB" w:rsidP="00D81149">
      <w:pPr>
        <w:spacing w:after="120"/>
      </w:pPr>
      <w:r w:rsidRPr="004C0EEA">
        <w:t xml:space="preserve">The IBMP is the </w:t>
      </w:r>
      <w:r w:rsidR="00C63502">
        <w:t>government’s</w:t>
      </w:r>
      <w:r w:rsidRPr="004C0EEA">
        <w:t xml:space="preserve"> grants program to support the First Nations broadcasting and media sector. </w:t>
      </w:r>
      <w:r w:rsidR="002E360B" w:rsidRPr="004C0EEA">
        <w:t>The IBMP helps</w:t>
      </w:r>
      <w:r w:rsidRPr="004C0EEA">
        <w:t xml:space="preserve"> the sector to remain an important communication mechanism in achieving Closing the Gap priorities, and </w:t>
      </w:r>
      <w:r w:rsidR="007F59E1">
        <w:t xml:space="preserve">to </w:t>
      </w:r>
      <w:r w:rsidRPr="004C0EEA">
        <w:t>deliver culturally appropriate and accessible information. The IBMP is part of the Indigenous Advancement Strategy (IAS).</w:t>
      </w:r>
      <w:r w:rsidRPr="004C0EEA">
        <w:rPr>
          <w:rStyle w:val="FootnoteReference"/>
        </w:rPr>
        <w:footnoteReference w:id="9"/>
      </w:r>
    </w:p>
    <w:p w14:paraId="191E50A6" w14:textId="07A1559A" w:rsidR="00C33CB4" w:rsidRDefault="003B61DB" w:rsidP="00D81149">
      <w:pPr>
        <w:spacing w:after="120"/>
      </w:pPr>
      <w:r w:rsidRPr="004C0EEA">
        <w:t xml:space="preserve">Since </w:t>
      </w:r>
      <w:r w:rsidR="00D81149" w:rsidRPr="004C0EEA">
        <w:t>2019</w:t>
      </w:r>
      <w:r w:rsidRPr="004C0EEA">
        <w:t xml:space="preserve">, the NIAA has distributed IBMP funding to the </w:t>
      </w:r>
      <w:r w:rsidR="008E69B2" w:rsidRPr="004C0EEA">
        <w:t>First Nations</w:t>
      </w:r>
      <w:r w:rsidR="00E568E5">
        <w:t xml:space="preserve"> broadcasting and media</w:t>
      </w:r>
      <w:r w:rsidR="008E69B2" w:rsidRPr="004C0EEA">
        <w:t xml:space="preserve"> </w:t>
      </w:r>
      <w:r w:rsidRPr="004C0EEA">
        <w:t xml:space="preserve">sector. In 2024-25, </w:t>
      </w:r>
      <w:r w:rsidR="00D81149" w:rsidRPr="004C0EEA">
        <w:t>around</w:t>
      </w:r>
      <w:r w:rsidRPr="004C0EEA">
        <w:t xml:space="preserve"> </w:t>
      </w:r>
      <w:r w:rsidR="00C33CB4" w:rsidRPr="004C0EEA">
        <w:t>$22 million</w:t>
      </w:r>
      <w:r w:rsidRPr="004C0EEA">
        <w:t xml:space="preserve"> will </w:t>
      </w:r>
      <w:r w:rsidR="00D81149" w:rsidRPr="004C0EEA">
        <w:t>be delivered through the IBMP to</w:t>
      </w:r>
      <w:r w:rsidRPr="004C0EEA">
        <w:t xml:space="preserve"> 49 services that support First Nations broadcasting and media</w:t>
      </w:r>
      <w:r w:rsidR="00D81149" w:rsidRPr="004C0EEA">
        <w:t>.</w:t>
      </w:r>
      <w:r w:rsidR="00C33CB4" w:rsidRPr="004C0EEA">
        <w:t xml:space="preserve"> The current granting arrangements between NIAA and the grantees are </w:t>
      </w:r>
      <w:r w:rsidR="00D81149" w:rsidRPr="004C0EEA">
        <w:t>multi-year</w:t>
      </w:r>
      <w:r w:rsidR="00C33CB4" w:rsidRPr="004C0EEA">
        <w:t xml:space="preserve"> arrangements </w:t>
      </w:r>
      <w:r w:rsidR="00D81149" w:rsidRPr="004C0EEA">
        <w:t>ending</w:t>
      </w:r>
      <w:r w:rsidR="00DA5503" w:rsidRPr="004C0EEA">
        <w:t xml:space="preserve"> on </w:t>
      </w:r>
      <w:r w:rsidR="00D81149" w:rsidRPr="004C0EEA">
        <w:t>30</w:t>
      </w:r>
      <w:r w:rsidR="00C63502">
        <w:t> </w:t>
      </w:r>
      <w:r w:rsidR="00D81149" w:rsidRPr="004C0EEA">
        <w:t>June 2025</w:t>
      </w:r>
      <w:r w:rsidR="00DA5503" w:rsidRPr="004C0EEA">
        <w:t xml:space="preserve">, and the </w:t>
      </w:r>
      <w:r w:rsidR="00C63502">
        <w:t>government</w:t>
      </w:r>
      <w:r w:rsidR="00DA5503" w:rsidRPr="004C0EEA">
        <w:t xml:space="preserve"> </w:t>
      </w:r>
      <w:r w:rsidR="00B00FA4" w:rsidRPr="004C0EEA">
        <w:t>will</w:t>
      </w:r>
      <w:r w:rsidR="00DA5503" w:rsidRPr="004C0EEA">
        <w:t xml:space="preserve"> establish new grant guidelines and</w:t>
      </w:r>
      <w:r w:rsidR="00C63502">
        <w:t>/or</w:t>
      </w:r>
      <w:r w:rsidR="00DA5503" w:rsidRPr="004C0EEA">
        <w:t xml:space="preserve"> new </w:t>
      </w:r>
      <w:r w:rsidR="00DA5503" w:rsidRPr="004C0EEA">
        <w:lastRenderedPageBreak/>
        <w:t xml:space="preserve">grant agreements </w:t>
      </w:r>
      <w:r w:rsidR="00D81149" w:rsidRPr="004C0EEA">
        <w:t>from 1</w:t>
      </w:r>
      <w:r w:rsidR="00C63502">
        <w:t> </w:t>
      </w:r>
      <w:r w:rsidR="00D81149" w:rsidRPr="004C0EEA">
        <w:t>July 2025 onwards.</w:t>
      </w:r>
      <w:r w:rsidR="00DA5503" w:rsidRPr="004C0EEA">
        <w:t xml:space="preserve"> The sustainability review, </w:t>
      </w:r>
      <w:r w:rsidR="009F265E" w:rsidRPr="004C0EEA">
        <w:t>digital inclusion strategies</w:t>
      </w:r>
      <w:r w:rsidR="00DA5503" w:rsidRPr="004C0EEA">
        <w:t xml:space="preserve">, the </w:t>
      </w:r>
      <w:r w:rsidR="009F265E" w:rsidRPr="004C0EEA">
        <w:t xml:space="preserve">National Agreement on Closing the Gap, </w:t>
      </w:r>
      <w:r w:rsidR="00DA5503" w:rsidRPr="004C0EEA">
        <w:t xml:space="preserve">the Australian Government Grants Framework and the </w:t>
      </w:r>
      <w:r w:rsidR="00F045D3" w:rsidRPr="004C0EEA">
        <w:t>PGPA Ac</w:t>
      </w:r>
      <w:r w:rsidR="00CE2E41" w:rsidRPr="004C0EEA">
        <w:t>t</w:t>
      </w:r>
      <w:r w:rsidR="00DA5503" w:rsidRPr="004C0EEA">
        <w:t xml:space="preserve"> will inform this process.</w:t>
      </w:r>
    </w:p>
    <w:p w14:paraId="535D9FE1" w14:textId="3AE3C983" w:rsidR="00C244FC" w:rsidRPr="004C0EEA" w:rsidRDefault="00C244FC" w:rsidP="006373D8">
      <w:r>
        <w:t>In December 2024, the government announced that the IBMP will receive additional, non-ongoing funding of $12 million over 3 years from 2025-26 to 2027-28.</w:t>
      </w:r>
      <w:r>
        <w:rPr>
          <w:vertAlign w:val="superscript"/>
        </w:rPr>
        <w:t>6</w:t>
      </w:r>
      <w:r>
        <w:t xml:space="preserve"> This will take IBMP funding to $81 million over 3 years.</w:t>
      </w:r>
    </w:p>
    <w:p w14:paraId="3B08B983" w14:textId="77777777" w:rsidR="001C20E8" w:rsidRPr="004C0EEA" w:rsidRDefault="001C20E8" w:rsidP="001C20E8">
      <w:pPr>
        <w:pStyle w:val="Heading3"/>
      </w:pPr>
      <w:bookmarkStart w:id="16" w:name="_Toc169789849"/>
      <w:bookmarkStart w:id="17" w:name="_Toc191450989"/>
      <w:bookmarkEnd w:id="14"/>
      <w:r w:rsidRPr="004C0EEA">
        <w:t>Roadmap 2033</w:t>
      </w:r>
      <w:bookmarkEnd w:id="16"/>
      <w:bookmarkEnd w:id="17"/>
    </w:p>
    <w:p w14:paraId="58C19BD3" w14:textId="77777777" w:rsidR="00DB69FD" w:rsidRPr="004C0EEA" w:rsidRDefault="00043C14" w:rsidP="00DB69FD">
      <w:r w:rsidRPr="004C0EEA">
        <w:t>The sector</w:t>
      </w:r>
      <w:r w:rsidR="001C20E8" w:rsidRPr="004C0EEA">
        <w:t xml:space="preserve"> released its own roadmap</w:t>
      </w:r>
      <w:r w:rsidR="00997076" w:rsidRPr="004C0EEA">
        <w:t xml:space="preserve"> in 2023</w:t>
      </w:r>
      <w:r w:rsidR="001C20E8" w:rsidRPr="004C0EEA">
        <w:t>, which identifies 4 key priorities:</w:t>
      </w:r>
      <w:r w:rsidR="0070505C" w:rsidRPr="004C0EEA">
        <w:t xml:space="preserve"> </w:t>
      </w:r>
      <w:r w:rsidR="001C20E8" w:rsidRPr="004C0EEA">
        <w:t>grow the sector’s capability</w:t>
      </w:r>
      <w:r w:rsidR="0070505C" w:rsidRPr="004C0EEA">
        <w:t xml:space="preserve">, </w:t>
      </w:r>
      <w:r w:rsidR="001C20E8" w:rsidRPr="004C0EEA">
        <w:t>celebrate the sector’s identity and demonstrate impact</w:t>
      </w:r>
      <w:r w:rsidR="0070505C" w:rsidRPr="004C0EEA">
        <w:t xml:space="preserve">, </w:t>
      </w:r>
      <w:r w:rsidR="001C20E8" w:rsidRPr="004C0EEA">
        <w:t>amplify diverse voices</w:t>
      </w:r>
      <w:r w:rsidR="0070505C" w:rsidRPr="004C0EEA">
        <w:t xml:space="preserve">, and </w:t>
      </w:r>
      <w:r w:rsidR="001C20E8" w:rsidRPr="004C0EEA">
        <w:t>secure capacity to meet community need.</w:t>
      </w:r>
      <w:r w:rsidR="00DB69FD" w:rsidRPr="004C0EEA">
        <w:t xml:space="preserve"> </w:t>
      </w:r>
      <w:r w:rsidR="00997076" w:rsidRPr="004C0EEA">
        <w:t>Many</w:t>
      </w:r>
      <w:r w:rsidR="00DB69FD" w:rsidRPr="004C0EEA">
        <w:t xml:space="preserve"> of the submissions received in Phase 2 referenced Roadmap 2033’s key strategic pr</w:t>
      </w:r>
      <w:r w:rsidR="005E0A46" w:rsidRPr="004C0EEA">
        <w:t>i</w:t>
      </w:r>
      <w:r w:rsidR="00DB69FD" w:rsidRPr="004C0EEA">
        <w:t>orities, including:</w:t>
      </w:r>
    </w:p>
    <w:p w14:paraId="1683C133" w14:textId="77777777" w:rsidR="001C20E8" w:rsidRPr="004C0EEA" w:rsidRDefault="001C20E8" w:rsidP="00DB69FD">
      <w:pPr>
        <w:pStyle w:val="Bullet1"/>
        <w:rPr>
          <w:lang w:val="en-AU"/>
        </w:rPr>
      </w:pPr>
      <w:r w:rsidRPr="004C0EEA">
        <w:rPr>
          <w:lang w:val="en-AU"/>
        </w:rPr>
        <w:t>community broadcasting infrastructure being able to withstand disruption and natural disasters</w:t>
      </w:r>
    </w:p>
    <w:p w14:paraId="5797894F" w14:textId="77777777" w:rsidR="001C20E8" w:rsidRPr="004C0EEA" w:rsidRDefault="001C20E8" w:rsidP="001C20E8">
      <w:pPr>
        <w:pStyle w:val="Bullet1"/>
        <w:rPr>
          <w:lang w:val="en-AU"/>
        </w:rPr>
      </w:pPr>
      <w:r w:rsidRPr="004C0EEA">
        <w:rPr>
          <w:lang w:val="en-AU"/>
        </w:rPr>
        <w:t>increasing the prominence of First Nations media</w:t>
      </w:r>
    </w:p>
    <w:p w14:paraId="6B7B75FC" w14:textId="77777777" w:rsidR="001C20E8" w:rsidRPr="004C0EEA" w:rsidRDefault="001C20E8" w:rsidP="001C20E8">
      <w:pPr>
        <w:pStyle w:val="Bullet1"/>
        <w:rPr>
          <w:lang w:val="en-AU"/>
        </w:rPr>
      </w:pPr>
      <w:r w:rsidRPr="004C0EEA">
        <w:rPr>
          <w:lang w:val="en-AU"/>
        </w:rPr>
        <w:t>utilising community media to counter the rise of misinformation and disinformation</w:t>
      </w:r>
    </w:p>
    <w:p w14:paraId="7A6A4007" w14:textId="77777777" w:rsidR="001C20E8" w:rsidRPr="004C0EEA" w:rsidRDefault="001C20E8" w:rsidP="001C20E8">
      <w:pPr>
        <w:pStyle w:val="Bullet1"/>
        <w:rPr>
          <w:lang w:val="en-AU"/>
        </w:rPr>
      </w:pPr>
      <w:r w:rsidRPr="004C0EEA">
        <w:rPr>
          <w:lang w:val="en-AU"/>
        </w:rPr>
        <w:t>increasing collaborative capability and capacity to secure sponsorship, fundraising and other revenue</w:t>
      </w:r>
    </w:p>
    <w:p w14:paraId="59273391" w14:textId="77777777" w:rsidR="001C20E8" w:rsidRPr="004C0EEA" w:rsidRDefault="001C20E8" w:rsidP="001C20E8">
      <w:pPr>
        <w:pStyle w:val="Bullet1"/>
        <w:rPr>
          <w:lang w:val="en-AU"/>
        </w:rPr>
      </w:pPr>
      <w:r w:rsidRPr="004C0EEA">
        <w:rPr>
          <w:lang w:val="en-AU"/>
        </w:rPr>
        <w:t>increasing access to technology, resources and skills to deliver content across platforms</w:t>
      </w:r>
    </w:p>
    <w:p w14:paraId="4FF23896" w14:textId="2C20D9AA" w:rsidR="001C20E8" w:rsidRPr="004C0EEA" w:rsidRDefault="001C20E8" w:rsidP="001C20E8">
      <w:pPr>
        <w:pStyle w:val="Bullet1"/>
        <w:rPr>
          <w:lang w:val="en-AU"/>
        </w:rPr>
      </w:pPr>
      <w:r w:rsidRPr="004C0EEA">
        <w:rPr>
          <w:lang w:val="en-AU"/>
        </w:rPr>
        <w:t>a clear, evidence-based case for funding shifting from activities to outcomes</w:t>
      </w:r>
    </w:p>
    <w:p w14:paraId="1A71B673" w14:textId="77777777" w:rsidR="001C20E8" w:rsidRPr="004C0EEA" w:rsidRDefault="001C20E8" w:rsidP="001C20E8">
      <w:pPr>
        <w:pStyle w:val="Bullet1"/>
        <w:rPr>
          <w:lang w:val="en-AU"/>
        </w:rPr>
      </w:pPr>
      <w:r w:rsidRPr="004C0EEA">
        <w:rPr>
          <w:lang w:val="en-AU"/>
        </w:rPr>
        <w:t>developing a skilled and sustainable workforce that can adapt to evolving community needs.</w:t>
      </w:r>
      <w:r w:rsidRPr="004C0EEA">
        <w:rPr>
          <w:rStyle w:val="FootnoteReference"/>
          <w:lang w:val="en-AU"/>
        </w:rPr>
        <w:footnoteReference w:id="10"/>
      </w:r>
    </w:p>
    <w:p w14:paraId="68DC73D9" w14:textId="77777777" w:rsidR="0070505C" w:rsidRPr="004C0EEA" w:rsidRDefault="0070505C" w:rsidP="00E700C7">
      <w:pPr>
        <w:pStyle w:val="Heading2"/>
      </w:pPr>
      <w:bookmarkStart w:id="18" w:name="_Toc191450990"/>
      <w:r w:rsidRPr="004C0EEA">
        <w:t>Scope</w:t>
      </w:r>
      <w:bookmarkEnd w:id="18"/>
    </w:p>
    <w:p w14:paraId="6C554CA2" w14:textId="6ADC2B00" w:rsidR="0070505C" w:rsidRPr="004C0EEA" w:rsidRDefault="0070505C" w:rsidP="0070505C">
      <w:r w:rsidRPr="004C0EEA">
        <w:rPr>
          <w:shd w:val="clear" w:color="auto" w:fill="FFFFFF"/>
        </w:rPr>
        <w:t xml:space="preserve">The scope </w:t>
      </w:r>
      <w:r w:rsidR="00BF23DE" w:rsidRPr="004C0EEA">
        <w:rPr>
          <w:shd w:val="clear" w:color="auto" w:fill="FFFFFF"/>
        </w:rPr>
        <w:t>of</w:t>
      </w:r>
      <w:r w:rsidRPr="004C0EEA">
        <w:rPr>
          <w:shd w:val="clear" w:color="auto" w:fill="FFFFFF"/>
        </w:rPr>
        <w:t xml:space="preserve"> the sustainability review was limited to topics in the </w:t>
      </w:r>
      <w:r w:rsidR="00C63502">
        <w:rPr>
          <w:shd w:val="clear" w:color="auto" w:fill="FFFFFF"/>
        </w:rPr>
        <w:t>government’s</w:t>
      </w:r>
      <w:r w:rsidRPr="004C0EEA">
        <w:rPr>
          <w:shd w:val="clear" w:color="auto" w:fill="FFFFFF"/>
        </w:rPr>
        <w:t xml:space="preserve"> Communications portfolio and the Indigenous Australians portfolio, as related to community broadcasting</w:t>
      </w:r>
      <w:r w:rsidR="00402782">
        <w:rPr>
          <w:shd w:val="clear" w:color="auto" w:fill="FFFFFF"/>
        </w:rPr>
        <w:t>, including</w:t>
      </w:r>
      <w:r w:rsidRPr="004C0EEA">
        <w:rPr>
          <w:shd w:val="clear" w:color="auto" w:fill="FFFFFF"/>
        </w:rPr>
        <w:t>:</w:t>
      </w:r>
    </w:p>
    <w:p w14:paraId="1F69C5E9" w14:textId="77777777" w:rsidR="0070505C" w:rsidRPr="004C0EEA" w:rsidRDefault="0070505C" w:rsidP="0070505C">
      <w:pPr>
        <w:pStyle w:val="Bullet1"/>
        <w:rPr>
          <w:lang w:val="en-AU"/>
        </w:rPr>
      </w:pPr>
      <w:r w:rsidRPr="004C0EEA">
        <w:rPr>
          <w:lang w:val="en-AU"/>
        </w:rPr>
        <w:t>the effectiveness of the CBP</w:t>
      </w:r>
    </w:p>
    <w:p w14:paraId="37DA3437" w14:textId="77777777" w:rsidR="0070505C" w:rsidRPr="004C0EEA" w:rsidRDefault="0070505C" w:rsidP="0070505C">
      <w:pPr>
        <w:pStyle w:val="Bullet1"/>
        <w:rPr>
          <w:lang w:val="en-AU"/>
        </w:rPr>
      </w:pPr>
      <w:r w:rsidRPr="004C0EEA">
        <w:rPr>
          <w:lang w:val="en-AU"/>
        </w:rPr>
        <w:t>how to increase sector sustainability, capability and capacity</w:t>
      </w:r>
    </w:p>
    <w:p w14:paraId="49120124" w14:textId="77777777" w:rsidR="0070505C" w:rsidRPr="004C0EEA" w:rsidRDefault="0070505C" w:rsidP="0070505C">
      <w:pPr>
        <w:pStyle w:val="Bullet1"/>
        <w:rPr>
          <w:lang w:val="en-AU"/>
        </w:rPr>
      </w:pPr>
      <w:r w:rsidRPr="004C0EEA">
        <w:rPr>
          <w:lang w:val="en-AU"/>
        </w:rPr>
        <w:t>identifying emerging needs</w:t>
      </w:r>
      <w:r w:rsidR="00C63502">
        <w:rPr>
          <w:lang w:val="en-AU"/>
        </w:rPr>
        <w:t xml:space="preserve"> (e.g. </w:t>
      </w:r>
      <w:r w:rsidRPr="004C0EEA">
        <w:rPr>
          <w:lang w:val="en-AU"/>
        </w:rPr>
        <w:t>local news and disaster response</w:t>
      </w:r>
      <w:r w:rsidR="00C63502">
        <w:rPr>
          <w:lang w:val="en-AU"/>
        </w:rPr>
        <w:t>)</w:t>
      </w:r>
    </w:p>
    <w:p w14:paraId="52C28FC7" w14:textId="77777777" w:rsidR="0070505C" w:rsidRPr="004C0EEA" w:rsidRDefault="0070505C" w:rsidP="0070505C">
      <w:pPr>
        <w:pStyle w:val="Bullet1"/>
        <w:rPr>
          <w:lang w:val="en-AU"/>
        </w:rPr>
      </w:pPr>
      <w:r w:rsidRPr="004C0EEA">
        <w:rPr>
          <w:lang w:val="en-AU"/>
        </w:rPr>
        <w:t>a shared outcomes framework to help measure impact and inform decisions</w:t>
      </w:r>
    </w:p>
    <w:p w14:paraId="0D12ACFF" w14:textId="50AE2218" w:rsidR="0070505C" w:rsidRPr="004C0EEA" w:rsidRDefault="0070505C" w:rsidP="0070505C">
      <w:pPr>
        <w:pStyle w:val="Bullet1"/>
        <w:rPr>
          <w:lang w:val="en-AU"/>
        </w:rPr>
      </w:pPr>
      <w:r w:rsidRPr="004C0EEA">
        <w:rPr>
          <w:lang w:val="en-AU"/>
        </w:rPr>
        <w:t>consideration of regulatory issues under the BSA</w:t>
      </w:r>
    </w:p>
    <w:p w14:paraId="2083751A" w14:textId="77777777" w:rsidR="0070505C" w:rsidRPr="004C0EEA" w:rsidRDefault="0070505C" w:rsidP="0070505C">
      <w:pPr>
        <w:pStyle w:val="Bullet1"/>
        <w:rPr>
          <w:lang w:val="en-AU"/>
        </w:rPr>
      </w:pPr>
      <w:r w:rsidRPr="004C0EEA">
        <w:rPr>
          <w:lang w:val="en-AU"/>
        </w:rPr>
        <w:t>First Nations broadcasting funding and licensing.</w:t>
      </w:r>
    </w:p>
    <w:p w14:paraId="6E301E57" w14:textId="77777777" w:rsidR="0070505C" w:rsidRPr="004C0EEA" w:rsidRDefault="0070505C" w:rsidP="0070505C">
      <w:r w:rsidRPr="004C0EEA">
        <w:t>The department grouped these topics into 3 key priority areas:</w:t>
      </w:r>
    </w:p>
    <w:p w14:paraId="4708DCC7" w14:textId="77777777" w:rsidR="002B75E5" w:rsidRPr="004C0EEA" w:rsidRDefault="0070505C" w:rsidP="00957DD6">
      <w:pPr>
        <w:pStyle w:val="Bullet1"/>
        <w:rPr>
          <w:lang w:val="en-AU"/>
        </w:rPr>
      </w:pPr>
      <w:r w:rsidRPr="004C0EEA">
        <w:rPr>
          <w:lang w:val="en-AU"/>
        </w:rPr>
        <w:t>CBP funding, structure and outcomes</w:t>
      </w:r>
    </w:p>
    <w:p w14:paraId="3A0A8ACC" w14:textId="54B808CF" w:rsidR="002B75E5" w:rsidRPr="004C0EEA" w:rsidRDefault="0070505C" w:rsidP="00957DD6">
      <w:pPr>
        <w:pStyle w:val="Bullet1"/>
        <w:rPr>
          <w:lang w:val="en-AU"/>
        </w:rPr>
      </w:pPr>
      <w:r w:rsidRPr="004C0EEA">
        <w:rPr>
          <w:lang w:val="en-AU"/>
        </w:rPr>
        <w:t>Legislative and regulatory issues</w:t>
      </w:r>
    </w:p>
    <w:p w14:paraId="417B790B" w14:textId="77777777" w:rsidR="0070505C" w:rsidRPr="004C0EEA" w:rsidRDefault="0070505C" w:rsidP="00957DD6">
      <w:pPr>
        <w:pStyle w:val="Bullet1"/>
        <w:rPr>
          <w:lang w:val="en-AU"/>
        </w:rPr>
      </w:pPr>
      <w:r w:rsidRPr="004C0EEA">
        <w:rPr>
          <w:lang w:val="en-AU"/>
        </w:rPr>
        <w:t>Fi</w:t>
      </w:r>
      <w:r w:rsidR="00BF0A45" w:rsidRPr="004C0EEA">
        <w:rPr>
          <w:lang w:val="en-AU"/>
        </w:rPr>
        <w:t>r</w:t>
      </w:r>
      <w:r w:rsidRPr="004C0EEA">
        <w:rPr>
          <w:lang w:val="en-AU"/>
        </w:rPr>
        <w:t>st Nations funding and licensing.</w:t>
      </w:r>
    </w:p>
    <w:p w14:paraId="38DF7908" w14:textId="77777777" w:rsidR="0070505C" w:rsidRPr="004C0EEA" w:rsidRDefault="0070505C" w:rsidP="0070505C">
      <w:r w:rsidRPr="004C0EEA">
        <w:t xml:space="preserve">For topics that have touchpoints with </w:t>
      </w:r>
      <w:r w:rsidR="00043C14" w:rsidRPr="004C0EEA">
        <w:t>the sector</w:t>
      </w:r>
      <w:r w:rsidRPr="004C0EEA">
        <w:t xml:space="preserve"> but are not within the remit of the Communications and Indigenous Australians portfolios, the department determined these to be out of scope. These are:</w:t>
      </w:r>
    </w:p>
    <w:p w14:paraId="7033002B" w14:textId="77777777" w:rsidR="0070505C" w:rsidRPr="004C0EEA" w:rsidRDefault="0070505C" w:rsidP="0070505C">
      <w:pPr>
        <w:pStyle w:val="Bullet1"/>
        <w:rPr>
          <w:lang w:val="en-AU"/>
        </w:rPr>
      </w:pPr>
      <w:r w:rsidRPr="004C0EEA">
        <w:rPr>
          <w:lang w:val="en-AU"/>
        </w:rPr>
        <w:t>the sector’s implementation of Roadmap 2033</w:t>
      </w:r>
    </w:p>
    <w:p w14:paraId="6F9A70C6" w14:textId="77777777" w:rsidR="0070505C" w:rsidRPr="004C0EEA" w:rsidRDefault="0070505C" w:rsidP="0070505C">
      <w:pPr>
        <w:pStyle w:val="Bullet1"/>
        <w:rPr>
          <w:lang w:val="en-AU"/>
        </w:rPr>
      </w:pPr>
      <w:r w:rsidRPr="004C0EEA">
        <w:rPr>
          <w:lang w:val="en-AU"/>
        </w:rPr>
        <w:t>state and territory laws regarding incorporated associations and deductible gift recipient (DGR) status</w:t>
      </w:r>
    </w:p>
    <w:p w14:paraId="12E53F36" w14:textId="77777777" w:rsidR="0070505C" w:rsidRPr="004C0EEA" w:rsidRDefault="0070505C" w:rsidP="0070505C">
      <w:pPr>
        <w:pStyle w:val="Bullet1"/>
        <w:rPr>
          <w:lang w:val="en-AU"/>
        </w:rPr>
      </w:pPr>
      <w:r w:rsidRPr="004C0EEA">
        <w:rPr>
          <w:lang w:val="en-AU"/>
        </w:rPr>
        <w:t>the Australian Charities and Not-for-profits Commission’s</w:t>
      </w:r>
      <w:r w:rsidR="00C63502">
        <w:rPr>
          <w:lang w:val="en-AU"/>
        </w:rPr>
        <w:t xml:space="preserve"> (ACNC)</w:t>
      </w:r>
      <w:r w:rsidRPr="004C0EEA">
        <w:rPr>
          <w:lang w:val="en-AU"/>
        </w:rPr>
        <w:t xml:space="preserve"> review of charity size thresholds, reporting and compliance obligations</w:t>
      </w:r>
    </w:p>
    <w:p w14:paraId="7FB6C804" w14:textId="77777777" w:rsidR="0070505C" w:rsidRPr="004C0EEA" w:rsidRDefault="0070505C" w:rsidP="0070505C">
      <w:pPr>
        <w:pStyle w:val="Bullet1"/>
        <w:rPr>
          <w:lang w:val="en-AU"/>
        </w:rPr>
      </w:pPr>
      <w:r w:rsidRPr="004C0EEA">
        <w:rPr>
          <w:lang w:val="en-AU"/>
        </w:rPr>
        <w:t>the Productivity Commission’s public inquiry into philanthropy</w:t>
      </w:r>
    </w:p>
    <w:p w14:paraId="222433A5" w14:textId="44E4E250" w:rsidR="0070505C" w:rsidRPr="004C0EEA" w:rsidRDefault="0070505C" w:rsidP="0070505C">
      <w:pPr>
        <w:pStyle w:val="Bullet1"/>
        <w:rPr>
          <w:lang w:val="en-AU"/>
        </w:rPr>
      </w:pPr>
      <w:r w:rsidRPr="004C0EEA">
        <w:rPr>
          <w:lang w:val="en-AU"/>
        </w:rPr>
        <w:t xml:space="preserve">the Department of Finance’s review of the Australian Government advertising guidelines </w:t>
      </w:r>
    </w:p>
    <w:p w14:paraId="61DE13E3" w14:textId="77777777" w:rsidR="0070505C" w:rsidRPr="004C0EEA" w:rsidRDefault="0070505C" w:rsidP="00730B2C">
      <w:pPr>
        <w:pStyle w:val="Bullet1"/>
        <w:spacing w:after="0"/>
        <w:rPr>
          <w:lang w:val="en-AU"/>
        </w:rPr>
      </w:pPr>
      <w:r w:rsidRPr="004C0EEA">
        <w:rPr>
          <w:lang w:val="en-AU"/>
        </w:rPr>
        <w:t>the Treasury’s review of the DGR Register to streamline reporting arrangements</w:t>
      </w:r>
      <w:r w:rsidRPr="004C0EEA">
        <w:rPr>
          <w:rFonts w:cstheme="minorHAnsi"/>
          <w:lang w:val="en-AU"/>
        </w:rPr>
        <w:t>.</w:t>
      </w:r>
    </w:p>
    <w:p w14:paraId="1FADC83A" w14:textId="77777777" w:rsidR="00AB305C" w:rsidRPr="004C0EEA" w:rsidRDefault="00AB305C">
      <w:pPr>
        <w:suppressAutoHyphens w:val="0"/>
      </w:pPr>
      <w:r w:rsidRPr="004C0EEA">
        <w:br w:type="page"/>
      </w:r>
    </w:p>
    <w:p w14:paraId="68E72DF6" w14:textId="77777777" w:rsidR="00F72ABB" w:rsidRPr="004C0EEA" w:rsidRDefault="00F72ABB" w:rsidP="00F72ABB">
      <w:pPr>
        <w:pStyle w:val="Heading1"/>
      </w:pPr>
      <w:bookmarkStart w:id="19" w:name="_Toc183704106"/>
      <w:bookmarkStart w:id="20" w:name="_Toc183705716"/>
      <w:bookmarkStart w:id="21" w:name="_Toc191450991"/>
      <w:bookmarkEnd w:id="19"/>
      <w:bookmarkEnd w:id="20"/>
      <w:r w:rsidRPr="004C0EEA">
        <w:lastRenderedPageBreak/>
        <w:t>Recommendations</w:t>
      </w:r>
      <w:bookmarkEnd w:id="21"/>
    </w:p>
    <w:p w14:paraId="07DB2EDB" w14:textId="77777777" w:rsidR="008E69B2" w:rsidRPr="004C0EEA" w:rsidRDefault="008E69B2" w:rsidP="008E69B2">
      <w:pPr>
        <w:pStyle w:val="Heading2"/>
      </w:pPr>
      <w:bookmarkStart w:id="22" w:name="_Toc191450992"/>
      <w:r w:rsidRPr="004C0EEA">
        <w:t>For Australian Government consideration</w:t>
      </w:r>
      <w:bookmarkEnd w:id="22"/>
    </w:p>
    <w:p w14:paraId="7EA13E07" w14:textId="4F185B92" w:rsidR="000A11EB" w:rsidRPr="004C0EEA" w:rsidRDefault="00F05FA4" w:rsidP="00033C58">
      <w:r w:rsidRPr="004C0EEA">
        <w:t>Following its review, the</w:t>
      </w:r>
      <w:r w:rsidR="00F72ABB" w:rsidRPr="004C0EEA">
        <w:t xml:space="preserve"> department has made </w:t>
      </w:r>
      <w:r w:rsidR="00B97EBD" w:rsidRPr="004C0EEA">
        <w:rPr>
          <w:color w:val="auto"/>
        </w:rPr>
        <w:t>4</w:t>
      </w:r>
      <w:r w:rsidR="00113147" w:rsidRPr="004C0EEA">
        <w:rPr>
          <w:color w:val="auto"/>
        </w:rPr>
        <w:t> </w:t>
      </w:r>
      <w:r w:rsidR="00F72ABB" w:rsidRPr="004C0EEA">
        <w:t>recommendations</w:t>
      </w:r>
      <w:r w:rsidR="000A11EB" w:rsidRPr="004C0EEA">
        <w:t xml:space="preserve"> across the 3 priority areas</w:t>
      </w:r>
      <w:r w:rsidR="00093228" w:rsidRPr="004C0EEA">
        <w:t xml:space="preserve"> for the </w:t>
      </w:r>
      <w:r w:rsidR="000E0C72">
        <w:t>government</w:t>
      </w:r>
      <w:r w:rsidR="00203F0C" w:rsidRPr="004C0EEA">
        <w:t xml:space="preserve"> to consider</w:t>
      </w:r>
      <w:r w:rsidR="00A41076">
        <w:t xml:space="preserve"> (</w:t>
      </w:r>
      <w:r w:rsidR="00A41076" w:rsidRPr="00A41076">
        <w:rPr>
          <w:b/>
        </w:rPr>
        <w:t>Table 1</w:t>
      </w:r>
      <w:r w:rsidR="00A41076">
        <w:rPr>
          <w:b/>
        </w:rPr>
        <w:t xml:space="preserve"> </w:t>
      </w:r>
      <w:r w:rsidR="00A41076">
        <w:t>refers)</w:t>
      </w:r>
      <w:r w:rsidR="000A11EB" w:rsidRPr="004C0EEA">
        <w:t>. This has been informed by</w:t>
      </w:r>
      <w:r w:rsidR="0041059C" w:rsidRPr="004C0EEA">
        <w:t xml:space="preserve"> the Phase 1 independent evaluation report</w:t>
      </w:r>
      <w:r w:rsidR="00402782">
        <w:t>,</w:t>
      </w:r>
      <w:r w:rsidR="00033C58" w:rsidRPr="004C0EEA">
        <w:t xml:space="preserve"> </w:t>
      </w:r>
      <w:r w:rsidR="0041059C" w:rsidRPr="004C0EEA">
        <w:t xml:space="preserve">the Phase 2 </w:t>
      </w:r>
      <w:r w:rsidR="000A11EB" w:rsidRPr="004C0EEA">
        <w:t>consultation</w:t>
      </w:r>
      <w:r w:rsidR="00402782">
        <w:t>,</w:t>
      </w:r>
      <w:r w:rsidR="00033C58" w:rsidRPr="004C0EEA">
        <w:t xml:space="preserve"> </w:t>
      </w:r>
      <w:r w:rsidR="0041059C" w:rsidRPr="004C0EEA">
        <w:t>the First Nations Digital Inclusion Advisory Group Initial Report</w:t>
      </w:r>
      <w:r w:rsidR="00A7550B" w:rsidRPr="004C0EEA">
        <w:t>,</w:t>
      </w:r>
      <w:r w:rsidR="00A7550B" w:rsidRPr="004C0EEA">
        <w:rPr>
          <w:rStyle w:val="FootnoteReference"/>
        </w:rPr>
        <w:footnoteReference w:id="11"/>
      </w:r>
      <w:r w:rsidR="00A7550B" w:rsidRPr="004C0EEA">
        <w:t xml:space="preserve"> FNMA’s 10 Calls to Action</w:t>
      </w:r>
      <w:r w:rsidR="00541A23" w:rsidRPr="004C0EEA">
        <w:t>,</w:t>
      </w:r>
      <w:r w:rsidR="00A7550B" w:rsidRPr="004C0EEA">
        <w:rPr>
          <w:rStyle w:val="FootnoteReference"/>
        </w:rPr>
        <w:footnoteReference w:id="12"/>
      </w:r>
      <w:r w:rsidR="00A7550B" w:rsidRPr="004C0EEA">
        <w:t xml:space="preserve"> and Roadmap 2033</w:t>
      </w:r>
      <w:r w:rsidR="00033C58" w:rsidRPr="004C0EEA">
        <w:t>.</w:t>
      </w:r>
      <w:r w:rsidR="00203F0C" w:rsidRPr="004C0EEA">
        <w:t xml:space="preserve"> </w:t>
      </w:r>
    </w:p>
    <w:p w14:paraId="5DCFB2A0" w14:textId="38BA74A1" w:rsidR="008E69B2" w:rsidRPr="004C0EEA" w:rsidRDefault="008E69B2" w:rsidP="008E69B2">
      <w:pPr>
        <w:pStyle w:val="Caption"/>
        <w:keepNext/>
      </w:pPr>
      <w:r w:rsidRPr="004C0EEA">
        <w:t xml:space="preserve">Table </w:t>
      </w:r>
      <w:fldSimple w:instr=" SEQ Table \* ARABIC ">
        <w:r w:rsidR="001407D4">
          <w:rPr>
            <w:noProof/>
          </w:rPr>
          <w:t>1</w:t>
        </w:r>
      </w:fldSimple>
      <w:r w:rsidRPr="004C0EEA">
        <w:t>: Recommendations for Australian Government consideration</w:t>
      </w:r>
    </w:p>
    <w:tbl>
      <w:tblPr>
        <w:tblStyle w:val="DefaultTable1"/>
        <w:tblW w:w="0" w:type="auto"/>
        <w:tblBorders>
          <w:top w:val="none" w:sz="0" w:space="0" w:color="auto"/>
          <w:bottom w:val="single" w:sz="4" w:space="0" w:color="auto"/>
        </w:tblBorders>
        <w:tblLook w:val="04A0" w:firstRow="1" w:lastRow="0" w:firstColumn="1" w:lastColumn="0" w:noHBand="0" w:noVBand="1"/>
      </w:tblPr>
      <w:tblGrid>
        <w:gridCol w:w="8974"/>
        <w:gridCol w:w="890"/>
      </w:tblGrid>
      <w:tr w:rsidR="0031358D" w:rsidRPr="004C0EEA" w14:paraId="29B5D10B" w14:textId="77777777" w:rsidTr="008155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04049A97" w14:textId="77777777" w:rsidR="0031358D" w:rsidRPr="004C0EEA" w:rsidRDefault="0031358D" w:rsidP="00BB30A3">
            <w:pPr>
              <w:spacing w:before="60" w:after="60"/>
              <w:rPr>
                <w:rFonts w:asciiTheme="majorHAnsi" w:hAnsiTheme="majorHAnsi" w:cstheme="majorHAnsi"/>
              </w:rPr>
            </w:pPr>
            <w:bookmarkStart w:id="23" w:name="_Hlk184129097"/>
            <w:r w:rsidRPr="004C0EEA">
              <w:rPr>
                <w:rFonts w:asciiTheme="majorHAnsi" w:hAnsiTheme="majorHAnsi" w:cstheme="majorHAnsi"/>
              </w:rPr>
              <w:t>Recommendation</w:t>
            </w:r>
          </w:p>
        </w:tc>
        <w:tc>
          <w:tcPr>
            <w:tcW w:w="0" w:type="auto"/>
            <w:tcBorders>
              <w:top w:val="none" w:sz="0" w:space="0" w:color="auto"/>
              <w:bottom w:val="none" w:sz="0" w:space="0" w:color="auto"/>
            </w:tcBorders>
          </w:tcPr>
          <w:p w14:paraId="3FAB4D00" w14:textId="77777777" w:rsidR="0031358D" w:rsidRPr="004C0EEA" w:rsidRDefault="0031358D" w:rsidP="00BB30A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C0EEA">
              <w:rPr>
                <w:rFonts w:asciiTheme="majorHAnsi" w:hAnsiTheme="majorHAnsi" w:cstheme="majorHAnsi"/>
              </w:rPr>
              <w:t>Section</w:t>
            </w:r>
          </w:p>
        </w:tc>
      </w:tr>
      <w:tr w:rsidR="0081551D" w:rsidRPr="004C0EEA" w14:paraId="3F7FCCEF" w14:textId="77777777" w:rsidTr="0081551D">
        <w:tc>
          <w:tcPr>
            <w:cnfStyle w:val="001000000000" w:firstRow="0" w:lastRow="0" w:firstColumn="1" w:lastColumn="0" w:oddVBand="0" w:evenVBand="0" w:oddHBand="0" w:evenHBand="0" w:firstRowFirstColumn="0" w:firstRowLastColumn="0" w:lastRowFirstColumn="0" w:lastRowLastColumn="0"/>
            <w:tcW w:w="0" w:type="auto"/>
            <w:shd w:val="clear" w:color="auto" w:fill="E5EDD2" w:themeFill="accent5" w:themeFillTint="66"/>
          </w:tcPr>
          <w:p w14:paraId="3F2156E2" w14:textId="77777777" w:rsidR="0081551D" w:rsidRPr="004C0EEA" w:rsidRDefault="0081551D" w:rsidP="00F93069">
            <w:pPr>
              <w:spacing w:before="40" w:after="40"/>
              <w:rPr>
                <w:rFonts w:asciiTheme="majorHAnsi" w:hAnsiTheme="majorHAnsi" w:cstheme="majorHAnsi"/>
                <w:b w:val="0"/>
                <w:color w:val="auto"/>
              </w:rPr>
            </w:pPr>
            <w:r w:rsidRPr="004C0EEA">
              <w:rPr>
                <w:rFonts w:asciiTheme="majorHAnsi" w:hAnsiTheme="majorHAnsi" w:cstheme="majorHAnsi"/>
                <w:color w:val="auto"/>
              </w:rPr>
              <w:t>Priority Area 1: CBP funding, structure and outcomes</w:t>
            </w:r>
          </w:p>
        </w:tc>
        <w:tc>
          <w:tcPr>
            <w:tcW w:w="0" w:type="auto"/>
            <w:shd w:val="clear" w:color="auto" w:fill="E5EDD2" w:themeFill="accent5" w:themeFillTint="66"/>
          </w:tcPr>
          <w:p w14:paraId="7D0EE54E" w14:textId="77777777" w:rsidR="0081551D" w:rsidRPr="004C0EEA" w:rsidRDefault="0081551D" w:rsidP="00F93069">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p>
        </w:tc>
      </w:tr>
      <w:tr w:rsidR="0031358D" w:rsidRPr="004C0EEA" w14:paraId="32F29BE4" w14:textId="77777777" w:rsidTr="008155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E5C05F" w14:textId="2D5E2448" w:rsidR="0031358D" w:rsidRPr="004C0EEA" w:rsidRDefault="009C180D" w:rsidP="00BB30A3">
            <w:pPr>
              <w:pStyle w:val="ListNumbered1"/>
              <w:numPr>
                <w:ilvl w:val="0"/>
                <w:numId w:val="31"/>
              </w:numPr>
              <w:spacing w:before="60" w:after="60"/>
              <w:rPr>
                <w:rFonts w:asciiTheme="majorHAnsi" w:hAnsiTheme="majorHAnsi" w:cstheme="majorHAnsi"/>
                <w:b w:val="0"/>
                <w:lang w:val="en-AU"/>
              </w:rPr>
            </w:pPr>
            <w:r w:rsidRPr="004C0EEA">
              <w:rPr>
                <w:rFonts w:asciiTheme="majorHAnsi" w:hAnsiTheme="majorHAnsi" w:cstheme="majorHAnsi"/>
                <w:b w:val="0"/>
                <w:lang w:val="en-AU"/>
              </w:rPr>
              <w:t xml:space="preserve">The Australian Government to consider the findings of this report regarding </w:t>
            </w:r>
            <w:r w:rsidR="0031358D" w:rsidRPr="004C0EEA">
              <w:rPr>
                <w:rFonts w:asciiTheme="majorHAnsi" w:hAnsiTheme="majorHAnsi" w:cstheme="majorHAnsi"/>
                <w:b w:val="0"/>
                <w:lang w:val="en-AU"/>
              </w:rPr>
              <w:t>CBP granting arrangements</w:t>
            </w:r>
            <w:r w:rsidRPr="004C0EEA">
              <w:rPr>
                <w:rFonts w:asciiTheme="majorHAnsi" w:hAnsiTheme="majorHAnsi" w:cstheme="majorHAnsi"/>
                <w:b w:val="0"/>
                <w:lang w:val="en-AU"/>
              </w:rPr>
              <w:t>,</w:t>
            </w:r>
            <w:r w:rsidR="0031358D" w:rsidRPr="004C0EEA">
              <w:rPr>
                <w:rFonts w:asciiTheme="majorHAnsi" w:hAnsiTheme="majorHAnsi" w:cstheme="majorHAnsi"/>
                <w:b w:val="0"/>
                <w:lang w:val="en-AU"/>
              </w:rPr>
              <w:t xml:space="preserve"> </w:t>
            </w:r>
            <w:r w:rsidR="00FF3EB9" w:rsidRPr="004C0EEA">
              <w:rPr>
                <w:rFonts w:asciiTheme="majorHAnsi" w:hAnsiTheme="majorHAnsi" w:cstheme="majorHAnsi"/>
                <w:b w:val="0"/>
                <w:lang w:val="en-AU"/>
              </w:rPr>
              <w:t>funding priorities, granting streams</w:t>
            </w:r>
            <w:r w:rsidR="009B1DE0" w:rsidRPr="004C0EEA">
              <w:rPr>
                <w:rFonts w:asciiTheme="majorHAnsi" w:hAnsiTheme="majorHAnsi" w:cstheme="majorHAnsi"/>
                <w:b w:val="0"/>
                <w:lang w:val="en-AU"/>
              </w:rPr>
              <w:t>,</w:t>
            </w:r>
            <w:r w:rsidR="00FF3EB9" w:rsidRPr="004C0EEA">
              <w:rPr>
                <w:rFonts w:asciiTheme="majorHAnsi" w:hAnsiTheme="majorHAnsi" w:cstheme="majorHAnsi"/>
                <w:b w:val="0"/>
                <w:lang w:val="en-AU"/>
              </w:rPr>
              <w:t xml:space="preserve"> processes</w:t>
            </w:r>
            <w:r w:rsidR="009B1DE0" w:rsidRPr="004C0EEA">
              <w:rPr>
                <w:rFonts w:asciiTheme="majorHAnsi" w:hAnsiTheme="majorHAnsi" w:cstheme="majorHAnsi"/>
                <w:b w:val="0"/>
                <w:lang w:val="en-AU"/>
              </w:rPr>
              <w:t xml:space="preserve"> and outcomes.</w:t>
            </w:r>
          </w:p>
        </w:tc>
        <w:tc>
          <w:tcPr>
            <w:tcW w:w="0" w:type="auto"/>
          </w:tcPr>
          <w:p w14:paraId="1D11C44C" w14:textId="77777777" w:rsidR="0031358D" w:rsidRPr="004C0EEA" w:rsidRDefault="0031358D" w:rsidP="00BB30A3">
            <w:pPr>
              <w:spacing w:before="60" w:after="6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4C0EEA">
              <w:rPr>
                <w:rFonts w:asciiTheme="majorHAnsi" w:hAnsiTheme="majorHAnsi" w:cstheme="majorHAnsi"/>
              </w:rPr>
              <w:t>4.2</w:t>
            </w:r>
          </w:p>
          <w:p w14:paraId="4DA44B89" w14:textId="77777777" w:rsidR="0031358D" w:rsidRPr="004C0EEA" w:rsidRDefault="0031358D" w:rsidP="00BB30A3">
            <w:pPr>
              <w:spacing w:before="60" w:after="6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4C0EEA">
              <w:rPr>
                <w:rFonts w:asciiTheme="majorHAnsi" w:hAnsiTheme="majorHAnsi" w:cstheme="majorHAnsi"/>
              </w:rPr>
              <w:t>4.3</w:t>
            </w:r>
          </w:p>
        </w:tc>
      </w:tr>
      <w:tr w:rsidR="0081551D" w:rsidRPr="004C0EEA" w14:paraId="433081DF" w14:textId="77777777" w:rsidTr="0081551D">
        <w:tc>
          <w:tcPr>
            <w:cnfStyle w:val="001000000000" w:firstRow="0" w:lastRow="0" w:firstColumn="1" w:lastColumn="0" w:oddVBand="0" w:evenVBand="0" w:oddHBand="0" w:evenHBand="0" w:firstRowFirstColumn="0" w:firstRowLastColumn="0" w:lastRowFirstColumn="0" w:lastRowLastColumn="0"/>
            <w:tcW w:w="0" w:type="auto"/>
            <w:shd w:val="clear" w:color="auto" w:fill="E5EDD2" w:themeFill="accent5" w:themeFillTint="66"/>
          </w:tcPr>
          <w:p w14:paraId="20533A7E" w14:textId="77777777" w:rsidR="0081551D" w:rsidRPr="004C0EEA" w:rsidRDefault="0081551D" w:rsidP="00F93069">
            <w:pPr>
              <w:spacing w:before="40" w:after="40"/>
              <w:rPr>
                <w:rFonts w:asciiTheme="majorHAnsi" w:hAnsiTheme="majorHAnsi" w:cstheme="majorHAnsi"/>
                <w:b w:val="0"/>
              </w:rPr>
            </w:pPr>
            <w:r w:rsidRPr="004C0EEA">
              <w:rPr>
                <w:rFonts w:asciiTheme="majorHAnsi" w:hAnsiTheme="majorHAnsi" w:cstheme="majorHAnsi"/>
              </w:rPr>
              <w:t>Priority Area 2: Legislative and regulatory changes</w:t>
            </w:r>
          </w:p>
        </w:tc>
        <w:tc>
          <w:tcPr>
            <w:tcW w:w="0" w:type="auto"/>
            <w:shd w:val="clear" w:color="auto" w:fill="E5EDD2" w:themeFill="accent5" w:themeFillTint="66"/>
          </w:tcPr>
          <w:p w14:paraId="33F7C43F" w14:textId="77777777" w:rsidR="0081551D" w:rsidRPr="004C0EEA" w:rsidRDefault="0081551D" w:rsidP="00F93069">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1358D" w:rsidRPr="004C0EEA" w14:paraId="388BF00C" w14:textId="77777777" w:rsidTr="0081551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6F331D0" w14:textId="77777777" w:rsidR="0031358D" w:rsidRPr="004C0EEA" w:rsidRDefault="009C180D" w:rsidP="00BB30A3">
            <w:pPr>
              <w:pStyle w:val="ListNumbered1"/>
              <w:numPr>
                <w:ilvl w:val="0"/>
                <w:numId w:val="31"/>
              </w:numPr>
              <w:spacing w:before="60" w:after="60"/>
              <w:rPr>
                <w:rFonts w:asciiTheme="majorHAnsi" w:hAnsiTheme="majorHAnsi" w:cstheme="majorHAnsi"/>
                <w:b w:val="0"/>
                <w:lang w:val="en-AU"/>
              </w:rPr>
            </w:pPr>
            <w:r w:rsidRPr="004C0EEA">
              <w:rPr>
                <w:rFonts w:asciiTheme="majorHAnsi" w:hAnsiTheme="majorHAnsi" w:cstheme="majorHAnsi"/>
                <w:b w:val="0"/>
                <w:lang w:val="en-AU"/>
              </w:rPr>
              <w:t>The Australian Government</w:t>
            </w:r>
            <w:r w:rsidR="006B5A0D" w:rsidRPr="004C0EEA">
              <w:rPr>
                <w:rFonts w:asciiTheme="majorHAnsi" w:hAnsiTheme="majorHAnsi" w:cstheme="majorHAnsi"/>
                <w:b w:val="0"/>
                <w:lang w:val="en-AU"/>
              </w:rPr>
              <w:t xml:space="preserve"> to</w:t>
            </w:r>
            <w:r w:rsidRPr="004C0EEA">
              <w:rPr>
                <w:rFonts w:asciiTheme="majorHAnsi" w:hAnsiTheme="majorHAnsi" w:cstheme="majorHAnsi"/>
                <w:b w:val="0"/>
                <w:lang w:val="en-AU"/>
              </w:rPr>
              <w:t xml:space="preserve"> consider the findings of this report regarding </w:t>
            </w:r>
            <w:r w:rsidR="0031358D" w:rsidRPr="004C0EEA">
              <w:rPr>
                <w:rFonts w:asciiTheme="majorHAnsi" w:hAnsiTheme="majorHAnsi" w:cstheme="majorHAnsi"/>
                <w:b w:val="0"/>
                <w:lang w:val="en-AU"/>
              </w:rPr>
              <w:t xml:space="preserve">reforms to the </w:t>
            </w:r>
            <w:r w:rsidR="0031358D" w:rsidRPr="004C0EEA">
              <w:rPr>
                <w:rFonts w:asciiTheme="majorHAnsi" w:hAnsiTheme="majorHAnsi" w:cstheme="majorHAnsi"/>
                <w:b w:val="0"/>
                <w:i/>
                <w:lang w:val="en-AU"/>
              </w:rPr>
              <w:t>Broadcasting</w:t>
            </w:r>
            <w:r w:rsidR="0031358D" w:rsidRPr="004C0EEA">
              <w:rPr>
                <w:rFonts w:asciiTheme="majorHAnsi" w:hAnsiTheme="majorHAnsi" w:cstheme="majorHAnsi"/>
                <w:b w:val="0"/>
                <w:lang w:val="en-AU"/>
              </w:rPr>
              <w:t xml:space="preserve"> </w:t>
            </w:r>
            <w:r w:rsidR="0031358D" w:rsidRPr="00377508">
              <w:rPr>
                <w:rFonts w:asciiTheme="majorHAnsi" w:hAnsiTheme="majorHAnsi" w:cstheme="majorHAnsi"/>
                <w:b w:val="0"/>
                <w:i/>
                <w:lang w:val="en-AU"/>
              </w:rPr>
              <w:t>Services</w:t>
            </w:r>
            <w:r w:rsidR="0031358D" w:rsidRPr="00377508">
              <w:rPr>
                <w:rFonts w:asciiTheme="majorHAnsi" w:hAnsiTheme="majorHAnsi" w:cstheme="majorHAnsi"/>
                <w:i/>
                <w:lang w:val="en-AU"/>
              </w:rPr>
              <w:t xml:space="preserve"> </w:t>
            </w:r>
            <w:r w:rsidR="0031358D" w:rsidRPr="004C0EEA">
              <w:rPr>
                <w:rFonts w:asciiTheme="majorHAnsi" w:hAnsiTheme="majorHAnsi" w:cstheme="majorHAnsi"/>
                <w:b w:val="0"/>
                <w:i/>
                <w:lang w:val="en-AU"/>
              </w:rPr>
              <w:t>Act 1992</w:t>
            </w:r>
            <w:r w:rsidR="0031358D" w:rsidRPr="004C0EEA">
              <w:rPr>
                <w:rFonts w:asciiTheme="majorHAnsi" w:hAnsiTheme="majorHAnsi" w:cstheme="majorHAnsi"/>
                <w:b w:val="0"/>
                <w:lang w:val="en-AU"/>
              </w:rPr>
              <w:t xml:space="preserve"> (BSA) to allow the sector to stabilise and modernise its operations</w:t>
            </w:r>
            <w:r w:rsidR="003C31E8" w:rsidRPr="004C0EEA">
              <w:rPr>
                <w:rFonts w:asciiTheme="majorHAnsi" w:hAnsiTheme="majorHAnsi" w:cstheme="majorHAnsi"/>
                <w:b w:val="0"/>
                <w:lang w:val="en-AU"/>
              </w:rPr>
              <w:t>, and</w:t>
            </w:r>
            <w:r w:rsidR="007465E5" w:rsidRPr="004C0EEA">
              <w:rPr>
                <w:rFonts w:asciiTheme="majorHAnsi" w:hAnsiTheme="majorHAnsi" w:cstheme="majorHAnsi"/>
                <w:b w:val="0"/>
                <w:lang w:val="en-AU"/>
              </w:rPr>
              <w:t xml:space="preserve"> </w:t>
            </w:r>
            <w:r w:rsidR="003C31E8" w:rsidRPr="004C0EEA">
              <w:rPr>
                <w:rFonts w:asciiTheme="majorHAnsi" w:hAnsiTheme="majorHAnsi" w:cstheme="majorHAnsi"/>
                <w:b w:val="0"/>
                <w:lang w:val="en-AU"/>
              </w:rPr>
              <w:t>any updates to relevant community broadcasting guidelines and processes</w:t>
            </w:r>
            <w:r w:rsidR="0031358D" w:rsidRPr="004C0EEA">
              <w:rPr>
                <w:rFonts w:asciiTheme="majorHAnsi" w:hAnsiTheme="majorHAnsi" w:cstheme="majorHAnsi"/>
                <w:b w:val="0"/>
                <w:lang w:val="en-AU"/>
              </w:rPr>
              <w:t>.</w:t>
            </w:r>
          </w:p>
        </w:tc>
        <w:tc>
          <w:tcPr>
            <w:tcW w:w="0" w:type="auto"/>
            <w:shd w:val="clear" w:color="auto" w:fill="auto"/>
          </w:tcPr>
          <w:p w14:paraId="2ACABE53" w14:textId="77777777" w:rsidR="0031358D" w:rsidRPr="004C0EEA" w:rsidRDefault="0031358D" w:rsidP="00BB30A3">
            <w:pPr>
              <w:spacing w:before="60" w:after="6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4C0EEA">
              <w:rPr>
                <w:rFonts w:asciiTheme="majorHAnsi" w:hAnsiTheme="majorHAnsi" w:cstheme="majorHAnsi"/>
              </w:rPr>
              <w:t>5.1</w:t>
            </w:r>
          </w:p>
          <w:p w14:paraId="3EF42DC0" w14:textId="77777777" w:rsidR="0031358D" w:rsidRPr="004C0EEA" w:rsidRDefault="003C31E8" w:rsidP="00BB30A3">
            <w:pPr>
              <w:spacing w:before="60" w:after="6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4C0EEA">
              <w:rPr>
                <w:rFonts w:asciiTheme="majorHAnsi" w:hAnsiTheme="majorHAnsi" w:cstheme="majorHAnsi"/>
              </w:rPr>
              <w:t>5.2</w:t>
            </w:r>
          </w:p>
        </w:tc>
      </w:tr>
      <w:tr w:rsidR="0081551D" w:rsidRPr="004C0EEA" w14:paraId="4B985782" w14:textId="77777777" w:rsidTr="0081551D">
        <w:tc>
          <w:tcPr>
            <w:cnfStyle w:val="001000000000" w:firstRow="0" w:lastRow="0" w:firstColumn="1" w:lastColumn="0" w:oddVBand="0" w:evenVBand="0" w:oddHBand="0" w:evenHBand="0" w:firstRowFirstColumn="0" w:firstRowLastColumn="0" w:lastRowFirstColumn="0" w:lastRowLastColumn="0"/>
            <w:tcW w:w="0" w:type="auto"/>
            <w:shd w:val="clear" w:color="auto" w:fill="E5EDD2" w:themeFill="accent5" w:themeFillTint="66"/>
          </w:tcPr>
          <w:p w14:paraId="6B84D945" w14:textId="77777777" w:rsidR="0081551D" w:rsidRPr="004C0EEA" w:rsidRDefault="0081551D" w:rsidP="00F93069">
            <w:pPr>
              <w:spacing w:before="40" w:after="40"/>
              <w:rPr>
                <w:rFonts w:asciiTheme="majorHAnsi" w:hAnsiTheme="majorHAnsi" w:cstheme="majorHAnsi"/>
                <w:b w:val="0"/>
              </w:rPr>
            </w:pPr>
            <w:r w:rsidRPr="004C0EEA">
              <w:rPr>
                <w:rFonts w:asciiTheme="majorHAnsi" w:hAnsiTheme="majorHAnsi" w:cstheme="majorHAnsi"/>
              </w:rPr>
              <w:t>Priority Area 3: First Nations funding and licensing</w:t>
            </w:r>
          </w:p>
        </w:tc>
        <w:tc>
          <w:tcPr>
            <w:tcW w:w="0" w:type="auto"/>
            <w:shd w:val="clear" w:color="auto" w:fill="E5EDD2" w:themeFill="accent5" w:themeFillTint="66"/>
          </w:tcPr>
          <w:p w14:paraId="62900EE5" w14:textId="77777777" w:rsidR="0081551D" w:rsidRPr="004C0EEA" w:rsidRDefault="0081551D" w:rsidP="00F93069">
            <w:pPr>
              <w:spacing w:before="40" w:after="4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31358D" w:rsidRPr="004C0EEA" w14:paraId="19FABD97" w14:textId="77777777" w:rsidTr="000E0C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008089" w:themeColor="accent2"/>
            </w:tcBorders>
          </w:tcPr>
          <w:p w14:paraId="2E61FAC8" w14:textId="77777777" w:rsidR="0031358D" w:rsidRPr="004C0EEA" w:rsidRDefault="002C75A4" w:rsidP="00BB30A3">
            <w:pPr>
              <w:pStyle w:val="ListNumbered1"/>
              <w:numPr>
                <w:ilvl w:val="0"/>
                <w:numId w:val="31"/>
              </w:numPr>
              <w:spacing w:before="60" w:after="60"/>
              <w:rPr>
                <w:rFonts w:asciiTheme="majorHAnsi" w:hAnsiTheme="majorHAnsi" w:cstheme="majorHAnsi"/>
                <w:b w:val="0"/>
                <w:lang w:val="en-AU"/>
              </w:rPr>
            </w:pPr>
            <w:r w:rsidRPr="004C0EEA">
              <w:rPr>
                <w:b w:val="0"/>
                <w:color w:val="auto"/>
              </w:rPr>
              <w:t xml:space="preserve">In alignment with the National Agreement on Closing the Gap Priority Reforms, </w:t>
            </w:r>
            <w:r w:rsidR="006B5A0D" w:rsidRPr="004C0EEA">
              <w:rPr>
                <w:b w:val="0"/>
                <w:color w:val="auto"/>
              </w:rPr>
              <w:t>t</w:t>
            </w:r>
            <w:r w:rsidR="006B5A0D" w:rsidRPr="004C0EEA">
              <w:rPr>
                <w:rFonts w:asciiTheme="majorHAnsi" w:hAnsiTheme="majorHAnsi" w:cstheme="majorHAnsi"/>
                <w:b w:val="0"/>
                <w:lang w:val="en-AU"/>
              </w:rPr>
              <w:t xml:space="preserve">he Australian Government to </w:t>
            </w:r>
            <w:r w:rsidRPr="004C0EEA">
              <w:rPr>
                <w:b w:val="0"/>
                <w:color w:val="auto"/>
              </w:rPr>
              <w:t xml:space="preserve">work in partnership to develop a First Nations broadcasting strategy that identifies the most appropriate portfolio lead and </w:t>
            </w:r>
            <w:r w:rsidR="00AC156E" w:rsidRPr="004C0EEA">
              <w:rPr>
                <w:b w:val="0"/>
                <w:color w:val="auto"/>
              </w:rPr>
              <w:t>model</w:t>
            </w:r>
            <w:r w:rsidRPr="004C0EEA">
              <w:rPr>
                <w:b w:val="0"/>
                <w:color w:val="auto"/>
              </w:rPr>
              <w:t xml:space="preserve"> to deliver </w:t>
            </w:r>
            <w:r w:rsidR="00AC156E" w:rsidRPr="004C0EEA">
              <w:rPr>
                <w:b w:val="0"/>
                <w:color w:val="auto"/>
              </w:rPr>
              <w:t xml:space="preserve">IBMP </w:t>
            </w:r>
            <w:r w:rsidRPr="004C0EEA">
              <w:rPr>
                <w:b w:val="0"/>
                <w:color w:val="auto"/>
              </w:rPr>
              <w:t>funding.</w:t>
            </w:r>
          </w:p>
        </w:tc>
        <w:tc>
          <w:tcPr>
            <w:tcW w:w="0" w:type="auto"/>
            <w:tcBorders>
              <w:bottom w:val="single" w:sz="4" w:space="0" w:color="008089" w:themeColor="accent2"/>
            </w:tcBorders>
          </w:tcPr>
          <w:p w14:paraId="7FDE9B5A" w14:textId="77777777" w:rsidR="0031358D" w:rsidRPr="004C0EEA" w:rsidRDefault="00CB57AA" w:rsidP="00BB30A3">
            <w:pPr>
              <w:spacing w:before="60" w:after="60"/>
              <w:jc w:val="cente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4C0EEA">
              <w:rPr>
                <w:rFonts w:asciiTheme="majorHAnsi" w:hAnsiTheme="majorHAnsi" w:cstheme="majorHAnsi"/>
              </w:rPr>
              <w:t>6.1</w:t>
            </w:r>
          </w:p>
        </w:tc>
      </w:tr>
      <w:tr w:rsidR="0031358D" w:rsidRPr="004C0EEA" w14:paraId="2801105E" w14:textId="77777777" w:rsidTr="000E0C72">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008089" w:themeColor="accent2"/>
              <w:bottom w:val="single" w:sz="4" w:space="0" w:color="008089" w:themeColor="accent2"/>
            </w:tcBorders>
            <w:shd w:val="clear" w:color="auto" w:fill="auto"/>
          </w:tcPr>
          <w:p w14:paraId="434800EE" w14:textId="17571471" w:rsidR="0031358D" w:rsidRPr="004C0EEA" w:rsidRDefault="006B5A0D" w:rsidP="00BB30A3">
            <w:pPr>
              <w:pStyle w:val="ListNumbered1"/>
              <w:numPr>
                <w:ilvl w:val="0"/>
                <w:numId w:val="31"/>
              </w:numPr>
              <w:spacing w:before="60" w:after="60"/>
              <w:rPr>
                <w:rFonts w:asciiTheme="majorHAnsi" w:hAnsiTheme="majorHAnsi" w:cstheme="majorHAnsi"/>
                <w:b w:val="0"/>
                <w:lang w:val="en-AU"/>
              </w:rPr>
            </w:pPr>
            <w:r w:rsidRPr="004C0EEA">
              <w:rPr>
                <w:rFonts w:asciiTheme="majorHAnsi" w:hAnsiTheme="majorHAnsi" w:cstheme="majorHAnsi"/>
                <w:b w:val="0"/>
                <w:lang w:val="en-AU"/>
              </w:rPr>
              <w:t xml:space="preserve">The Australian Government to consider the findings of this report regarding </w:t>
            </w:r>
            <w:r w:rsidR="003C31E8" w:rsidRPr="004C0EEA">
              <w:rPr>
                <w:rFonts w:asciiTheme="majorHAnsi" w:hAnsiTheme="majorHAnsi" w:cstheme="majorHAnsi"/>
                <w:b w:val="0"/>
                <w:lang w:val="en-AU"/>
              </w:rPr>
              <w:t>legislative reforms</w:t>
            </w:r>
            <w:r w:rsidR="0031358D" w:rsidRPr="004C0EEA">
              <w:rPr>
                <w:rFonts w:asciiTheme="majorHAnsi" w:hAnsiTheme="majorHAnsi" w:cstheme="majorHAnsi"/>
                <w:b w:val="0"/>
                <w:lang w:val="en-AU"/>
              </w:rPr>
              <w:t xml:space="preserve"> to </w:t>
            </w:r>
            <w:r w:rsidR="005F1438" w:rsidRPr="004C0EEA">
              <w:rPr>
                <w:rFonts w:asciiTheme="majorHAnsi" w:hAnsiTheme="majorHAnsi" w:cstheme="majorHAnsi"/>
                <w:b w:val="0"/>
                <w:lang w:val="en-AU"/>
              </w:rPr>
              <w:t xml:space="preserve">bring a First Nations </w:t>
            </w:r>
            <w:r w:rsidR="00A10A2E" w:rsidRPr="004C0EEA">
              <w:rPr>
                <w:rFonts w:asciiTheme="majorHAnsi" w:hAnsiTheme="majorHAnsi" w:cstheme="majorHAnsi"/>
                <w:b w:val="0"/>
                <w:lang w:val="en-AU"/>
              </w:rPr>
              <w:t xml:space="preserve">broadcaster </w:t>
            </w:r>
            <w:r w:rsidR="0031358D" w:rsidRPr="004C0EEA">
              <w:rPr>
                <w:rFonts w:asciiTheme="majorHAnsi" w:hAnsiTheme="majorHAnsi" w:cstheme="majorHAnsi"/>
                <w:b w:val="0"/>
                <w:lang w:val="en-AU"/>
              </w:rPr>
              <w:t xml:space="preserve">to licence areas </w:t>
            </w:r>
            <w:r w:rsidR="007F59E1">
              <w:rPr>
                <w:rFonts w:asciiTheme="majorHAnsi" w:hAnsiTheme="majorHAnsi" w:cstheme="majorHAnsi"/>
                <w:b w:val="0"/>
                <w:lang w:val="en-AU"/>
              </w:rPr>
              <w:t>that do not have</w:t>
            </w:r>
            <w:r w:rsidR="007F59E1" w:rsidRPr="004C0EEA">
              <w:rPr>
                <w:rFonts w:asciiTheme="majorHAnsi" w:hAnsiTheme="majorHAnsi" w:cstheme="majorHAnsi"/>
                <w:b w:val="0"/>
                <w:lang w:val="en-AU"/>
              </w:rPr>
              <w:t xml:space="preserve"> </w:t>
            </w:r>
            <w:r w:rsidR="00377508">
              <w:rPr>
                <w:rFonts w:asciiTheme="majorHAnsi" w:hAnsiTheme="majorHAnsi" w:cstheme="majorHAnsi"/>
                <w:b w:val="0"/>
                <w:lang w:val="en-AU"/>
              </w:rPr>
              <w:t>one.</w:t>
            </w:r>
          </w:p>
        </w:tc>
        <w:tc>
          <w:tcPr>
            <w:tcW w:w="0" w:type="auto"/>
            <w:tcBorders>
              <w:top w:val="single" w:sz="4" w:space="0" w:color="008089" w:themeColor="accent2"/>
              <w:bottom w:val="single" w:sz="4" w:space="0" w:color="008089" w:themeColor="accent2"/>
            </w:tcBorders>
            <w:shd w:val="clear" w:color="auto" w:fill="auto"/>
          </w:tcPr>
          <w:p w14:paraId="3C587158" w14:textId="77777777" w:rsidR="0031358D" w:rsidRPr="004C0EEA" w:rsidRDefault="0031358D" w:rsidP="00BB30A3">
            <w:pPr>
              <w:spacing w:before="60" w:after="6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0EEA">
              <w:rPr>
                <w:rFonts w:asciiTheme="majorHAnsi" w:hAnsiTheme="majorHAnsi" w:cstheme="majorHAnsi"/>
              </w:rPr>
              <w:t>6.2</w:t>
            </w:r>
          </w:p>
        </w:tc>
      </w:tr>
    </w:tbl>
    <w:p w14:paraId="4BDD9FFE" w14:textId="77777777" w:rsidR="008E69B2" w:rsidRPr="004C0EEA" w:rsidRDefault="006B6FA9" w:rsidP="008E69B2">
      <w:pPr>
        <w:pStyle w:val="Heading2"/>
      </w:pPr>
      <w:bookmarkStart w:id="24" w:name="_Toc191450993"/>
      <w:bookmarkEnd w:id="23"/>
      <w:r w:rsidRPr="004C0EEA">
        <w:t>For</w:t>
      </w:r>
      <w:r w:rsidR="008E69B2" w:rsidRPr="004C0EEA">
        <w:t xml:space="preserve"> community broadcasting sector consideration</w:t>
      </w:r>
      <w:bookmarkEnd w:id="24"/>
    </w:p>
    <w:p w14:paraId="104FB5CF" w14:textId="2D1C9FB5" w:rsidR="004174E8" w:rsidRPr="004C0EEA" w:rsidRDefault="000A11EB" w:rsidP="004174E8">
      <w:r w:rsidRPr="004C0EEA">
        <w:t>This report also identifies further opportunities for sector peak bodies to offer additional support</w:t>
      </w:r>
      <w:r w:rsidR="00A41076">
        <w:t xml:space="preserve"> (</w:t>
      </w:r>
      <w:r w:rsidR="00A41076" w:rsidRPr="00A41076">
        <w:rPr>
          <w:b/>
        </w:rPr>
        <w:t>Table 2</w:t>
      </w:r>
      <w:r w:rsidR="00A41076">
        <w:rPr>
          <w:b/>
        </w:rPr>
        <w:t xml:space="preserve"> </w:t>
      </w:r>
      <w:r w:rsidR="00A41076">
        <w:t>refers)</w:t>
      </w:r>
      <w:r w:rsidR="00BB30A3" w:rsidRPr="004C0EEA">
        <w:t xml:space="preserve">. </w:t>
      </w:r>
      <w:r w:rsidR="0062506D" w:rsidRPr="004C0EEA">
        <w:t>C</w:t>
      </w:r>
      <w:r w:rsidRPr="004C0EEA">
        <w:t xml:space="preserve">onsideration </w:t>
      </w:r>
      <w:r w:rsidR="00025299" w:rsidRPr="004C0EEA">
        <w:t>is</w:t>
      </w:r>
      <w:r w:rsidRPr="004C0EEA">
        <w:t xml:space="preserve"> at the discretion of each sector peak body </w:t>
      </w:r>
      <w:r w:rsidR="000E0C72">
        <w:t>and</w:t>
      </w:r>
      <w:r w:rsidRPr="004C0EEA">
        <w:t xml:space="preserve"> community broadcaster</w:t>
      </w:r>
      <w:r w:rsidR="000E0C72">
        <w:t>s</w:t>
      </w:r>
      <w:r w:rsidRPr="004C0EEA">
        <w:t>.</w:t>
      </w:r>
      <w:r w:rsidR="00B664DF" w:rsidRPr="004C0EEA">
        <w:t xml:space="preserve"> </w:t>
      </w:r>
      <w:r w:rsidR="004174E8" w:rsidRPr="004C0EEA">
        <w:t xml:space="preserve">This reflects the shared responsibility of </w:t>
      </w:r>
      <w:r w:rsidR="000E0C72">
        <w:t>government</w:t>
      </w:r>
      <w:r w:rsidR="004174E8" w:rsidRPr="004C0EEA">
        <w:t xml:space="preserve">, </w:t>
      </w:r>
      <w:r w:rsidR="000E0C72">
        <w:t>funding bodies</w:t>
      </w:r>
      <w:r w:rsidR="004174E8" w:rsidRPr="004C0EEA">
        <w:t xml:space="preserve">, sector peak bodies and community broadcasters </w:t>
      </w:r>
      <w:r w:rsidR="00213DC3" w:rsidRPr="004C0EEA">
        <w:t>to</w:t>
      </w:r>
      <w:r w:rsidR="004174E8" w:rsidRPr="004C0EEA">
        <w:t xml:space="preserve"> support the</w:t>
      </w:r>
      <w:r w:rsidR="003F1874">
        <w:t xml:space="preserve"> sustainability of the</w:t>
      </w:r>
      <w:r w:rsidR="004174E8" w:rsidRPr="004C0EEA">
        <w:t xml:space="preserve"> sector.</w:t>
      </w:r>
    </w:p>
    <w:p w14:paraId="5CFE7434" w14:textId="6448D46B" w:rsidR="008E69B2" w:rsidRPr="004C0EEA" w:rsidRDefault="008E69B2" w:rsidP="008E69B2">
      <w:pPr>
        <w:pStyle w:val="Caption"/>
        <w:keepNext/>
      </w:pPr>
      <w:r w:rsidRPr="004C0EEA">
        <w:t xml:space="preserve">Table </w:t>
      </w:r>
      <w:fldSimple w:instr=" SEQ Table \* ARABIC ">
        <w:r w:rsidR="001407D4">
          <w:rPr>
            <w:noProof/>
          </w:rPr>
          <w:t>2</w:t>
        </w:r>
      </w:fldSimple>
      <w:r w:rsidRPr="004C0EEA">
        <w:t>: Recommendations for community broadcasting sector consideration</w:t>
      </w:r>
    </w:p>
    <w:tbl>
      <w:tblPr>
        <w:tblStyle w:val="DefaultTable1"/>
        <w:tblW w:w="0" w:type="auto"/>
        <w:tblBorders>
          <w:top w:val="none" w:sz="0" w:space="0" w:color="auto"/>
        </w:tblBorders>
        <w:tblLook w:val="04A0" w:firstRow="1" w:lastRow="0" w:firstColumn="1" w:lastColumn="0" w:noHBand="0" w:noVBand="1"/>
      </w:tblPr>
      <w:tblGrid>
        <w:gridCol w:w="8974"/>
        <w:gridCol w:w="890"/>
      </w:tblGrid>
      <w:tr w:rsidR="00435AF3" w:rsidRPr="004C0EEA" w14:paraId="6B08E52D" w14:textId="77777777" w:rsidTr="00531D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28BCDCF6" w14:textId="77777777" w:rsidR="00435AF3" w:rsidRPr="004C0EEA" w:rsidRDefault="00435AF3" w:rsidP="00BB30A3">
            <w:pPr>
              <w:spacing w:before="60" w:after="60"/>
              <w:rPr>
                <w:rFonts w:asciiTheme="majorHAnsi" w:hAnsiTheme="majorHAnsi" w:cstheme="majorHAnsi"/>
              </w:rPr>
            </w:pPr>
            <w:r w:rsidRPr="004C0EEA">
              <w:rPr>
                <w:rFonts w:asciiTheme="majorHAnsi" w:hAnsiTheme="majorHAnsi" w:cstheme="majorHAnsi"/>
              </w:rPr>
              <w:t>Recommendation</w:t>
            </w:r>
          </w:p>
        </w:tc>
        <w:tc>
          <w:tcPr>
            <w:tcW w:w="0" w:type="auto"/>
            <w:tcBorders>
              <w:top w:val="none" w:sz="0" w:space="0" w:color="auto"/>
              <w:bottom w:val="none" w:sz="0" w:space="0" w:color="auto"/>
            </w:tcBorders>
          </w:tcPr>
          <w:p w14:paraId="70759CAF" w14:textId="77777777" w:rsidR="00435AF3" w:rsidRPr="004C0EEA" w:rsidRDefault="00435AF3" w:rsidP="00BB30A3">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4C0EEA">
              <w:rPr>
                <w:rFonts w:asciiTheme="majorHAnsi" w:hAnsiTheme="majorHAnsi" w:cstheme="majorHAnsi"/>
              </w:rPr>
              <w:t>Section</w:t>
            </w:r>
          </w:p>
        </w:tc>
      </w:tr>
      <w:tr w:rsidR="00435AF3" w:rsidRPr="004C0EEA" w14:paraId="6BC8F8A0" w14:textId="77777777" w:rsidTr="00531D14">
        <w:tc>
          <w:tcPr>
            <w:cnfStyle w:val="001000000000" w:firstRow="0" w:lastRow="0" w:firstColumn="1" w:lastColumn="0" w:oddVBand="0" w:evenVBand="0" w:oddHBand="0" w:evenHBand="0" w:firstRowFirstColumn="0" w:firstRowLastColumn="0" w:lastRowFirstColumn="0" w:lastRowLastColumn="0"/>
            <w:tcW w:w="0" w:type="auto"/>
          </w:tcPr>
          <w:p w14:paraId="4F4CD613" w14:textId="77777777" w:rsidR="00435AF3" w:rsidRPr="004C0EEA" w:rsidRDefault="00C51506" w:rsidP="00BB30A3">
            <w:pPr>
              <w:pStyle w:val="ListNumbered1"/>
              <w:numPr>
                <w:ilvl w:val="0"/>
                <w:numId w:val="31"/>
              </w:numPr>
              <w:spacing w:before="60" w:after="60"/>
              <w:rPr>
                <w:rFonts w:asciiTheme="majorHAnsi" w:hAnsiTheme="majorHAnsi" w:cstheme="majorHAnsi"/>
                <w:b w:val="0"/>
                <w:lang w:val="en-AU"/>
              </w:rPr>
            </w:pPr>
            <w:r w:rsidRPr="004C0EEA">
              <w:rPr>
                <w:rFonts w:asciiTheme="majorHAnsi" w:hAnsiTheme="majorHAnsi" w:cstheme="majorHAnsi"/>
                <w:b w:val="0"/>
                <w:lang w:val="en-AU"/>
              </w:rPr>
              <w:t>I</w:t>
            </w:r>
            <w:r w:rsidR="00435AF3" w:rsidRPr="004C0EEA">
              <w:rPr>
                <w:rFonts w:asciiTheme="majorHAnsi" w:hAnsiTheme="majorHAnsi" w:cstheme="majorHAnsi"/>
                <w:b w:val="0"/>
                <w:lang w:val="en-AU"/>
              </w:rPr>
              <w:t>ncrease revenue from other sources, including through selling content, collaboration with other community broadcasters</w:t>
            </w:r>
            <w:r w:rsidR="00F02A11" w:rsidRPr="004C0EEA">
              <w:rPr>
                <w:rFonts w:asciiTheme="majorHAnsi" w:hAnsiTheme="majorHAnsi" w:cstheme="majorHAnsi"/>
                <w:b w:val="0"/>
                <w:lang w:val="en-AU"/>
              </w:rPr>
              <w:t xml:space="preserve"> and </w:t>
            </w:r>
            <w:r w:rsidR="00435AF3" w:rsidRPr="004C0EEA">
              <w:rPr>
                <w:rFonts w:asciiTheme="majorHAnsi" w:hAnsiTheme="majorHAnsi" w:cstheme="majorHAnsi"/>
                <w:b w:val="0"/>
                <w:lang w:val="en-AU"/>
              </w:rPr>
              <w:t>non-broadcasting organisations, and on-air and off-air promotional material.</w:t>
            </w:r>
          </w:p>
        </w:tc>
        <w:tc>
          <w:tcPr>
            <w:tcW w:w="0" w:type="auto"/>
          </w:tcPr>
          <w:p w14:paraId="51BD71F1" w14:textId="77777777" w:rsidR="00435AF3" w:rsidRPr="004C0EEA" w:rsidRDefault="00435AF3" w:rsidP="00BB30A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0EEA">
              <w:rPr>
                <w:rFonts w:asciiTheme="majorHAnsi" w:hAnsiTheme="majorHAnsi" w:cstheme="majorHAnsi"/>
              </w:rPr>
              <w:t>4.1.2</w:t>
            </w:r>
          </w:p>
        </w:tc>
      </w:tr>
      <w:tr w:rsidR="006B6FA9" w:rsidRPr="004C0EEA" w14:paraId="452A2197" w14:textId="77777777" w:rsidTr="00531D1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7F6F64F" w14:textId="77777777" w:rsidR="006B6FA9" w:rsidRPr="004C0EEA" w:rsidRDefault="00C51506" w:rsidP="00BB30A3">
            <w:pPr>
              <w:pStyle w:val="ListNumbered1"/>
              <w:numPr>
                <w:ilvl w:val="0"/>
                <w:numId w:val="31"/>
              </w:numPr>
              <w:spacing w:before="60" w:after="60"/>
              <w:rPr>
                <w:rFonts w:asciiTheme="majorHAnsi" w:hAnsiTheme="majorHAnsi" w:cstheme="majorHAnsi"/>
                <w:lang w:val="en-AU"/>
              </w:rPr>
            </w:pPr>
            <w:r w:rsidRPr="004C0EEA">
              <w:rPr>
                <w:rFonts w:asciiTheme="majorHAnsi" w:hAnsiTheme="majorHAnsi" w:cstheme="majorHAnsi"/>
                <w:b w:val="0"/>
                <w:lang w:val="en-AU"/>
              </w:rPr>
              <w:t>C</w:t>
            </w:r>
            <w:r w:rsidR="006B6FA9" w:rsidRPr="004C0EEA">
              <w:rPr>
                <w:rFonts w:asciiTheme="majorHAnsi" w:hAnsiTheme="majorHAnsi" w:cstheme="majorHAnsi"/>
                <w:b w:val="0"/>
                <w:lang w:val="en-AU"/>
              </w:rPr>
              <w:t>entralise services (e.g. technicians, journalists, data collection) for the benefit of a locality, region or the wider community broadcasting sector</w:t>
            </w:r>
            <w:r w:rsidR="006B6FA9" w:rsidRPr="004C0EEA">
              <w:rPr>
                <w:rFonts w:asciiTheme="majorHAnsi" w:hAnsiTheme="majorHAnsi" w:cstheme="majorHAnsi"/>
                <w:lang w:val="en-AU"/>
              </w:rPr>
              <w:t>.</w:t>
            </w:r>
          </w:p>
        </w:tc>
        <w:tc>
          <w:tcPr>
            <w:tcW w:w="0" w:type="auto"/>
          </w:tcPr>
          <w:p w14:paraId="7853E2A1" w14:textId="77777777" w:rsidR="006B6FA9" w:rsidRPr="004C0EEA" w:rsidRDefault="006B6FA9" w:rsidP="00BB30A3">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r w:rsidRPr="004C0EEA">
              <w:rPr>
                <w:rFonts w:asciiTheme="majorHAnsi" w:hAnsiTheme="majorHAnsi" w:cstheme="majorHAnsi"/>
              </w:rPr>
              <w:t>4.1.7</w:t>
            </w:r>
          </w:p>
        </w:tc>
      </w:tr>
      <w:tr w:rsidR="00435AF3" w:rsidRPr="004C0EEA" w14:paraId="2F975B55" w14:textId="77777777" w:rsidTr="00531D14">
        <w:tc>
          <w:tcPr>
            <w:cnfStyle w:val="001000000000" w:firstRow="0" w:lastRow="0" w:firstColumn="1" w:lastColumn="0" w:oddVBand="0" w:evenVBand="0" w:oddHBand="0" w:evenHBand="0" w:firstRowFirstColumn="0" w:firstRowLastColumn="0" w:lastRowFirstColumn="0" w:lastRowLastColumn="0"/>
            <w:tcW w:w="0" w:type="auto"/>
          </w:tcPr>
          <w:p w14:paraId="7C57754B" w14:textId="77777777" w:rsidR="00435AF3" w:rsidRPr="004C0EEA" w:rsidRDefault="00C51506" w:rsidP="00BB30A3">
            <w:pPr>
              <w:pStyle w:val="ListNumbered1"/>
              <w:numPr>
                <w:ilvl w:val="0"/>
                <w:numId w:val="31"/>
              </w:numPr>
              <w:spacing w:before="60" w:after="60"/>
              <w:rPr>
                <w:rFonts w:asciiTheme="majorHAnsi" w:hAnsiTheme="majorHAnsi" w:cstheme="majorHAnsi"/>
                <w:b w:val="0"/>
                <w:lang w:val="en-AU"/>
              </w:rPr>
            </w:pPr>
            <w:r w:rsidRPr="004C0EEA">
              <w:rPr>
                <w:rFonts w:asciiTheme="majorHAnsi" w:hAnsiTheme="majorHAnsi" w:cstheme="majorHAnsi"/>
                <w:b w:val="0"/>
                <w:lang w:val="en-AU"/>
              </w:rPr>
              <w:t>S</w:t>
            </w:r>
            <w:r w:rsidR="00435AF3" w:rsidRPr="004C0EEA">
              <w:rPr>
                <w:rFonts w:asciiTheme="majorHAnsi" w:hAnsiTheme="majorHAnsi" w:cstheme="majorHAnsi"/>
                <w:b w:val="0"/>
                <w:lang w:val="en-AU"/>
              </w:rPr>
              <w:t xml:space="preserve">upport community broadcasters to understand legislation and licence conditions; and </w:t>
            </w:r>
            <w:r w:rsidR="00F66AB9" w:rsidRPr="004C0EEA">
              <w:rPr>
                <w:rFonts w:asciiTheme="majorHAnsi" w:hAnsiTheme="majorHAnsi" w:cstheme="majorHAnsi"/>
                <w:b w:val="0"/>
                <w:lang w:val="en-AU"/>
              </w:rPr>
              <w:t>with</w:t>
            </w:r>
            <w:r w:rsidR="00435AF3" w:rsidRPr="004C0EEA">
              <w:rPr>
                <w:rFonts w:asciiTheme="majorHAnsi" w:hAnsiTheme="majorHAnsi" w:cstheme="majorHAnsi"/>
                <w:b w:val="0"/>
                <w:lang w:val="en-AU"/>
              </w:rPr>
              <w:t xml:space="preserve"> business development, governance, revenue diversification and other needs to promote sustainability.</w:t>
            </w:r>
          </w:p>
        </w:tc>
        <w:tc>
          <w:tcPr>
            <w:tcW w:w="0" w:type="auto"/>
          </w:tcPr>
          <w:p w14:paraId="423BBD79" w14:textId="77777777" w:rsidR="006B6FA9" w:rsidRPr="004C0EEA" w:rsidRDefault="00435AF3" w:rsidP="00BB30A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C0EEA">
              <w:rPr>
                <w:rFonts w:asciiTheme="majorHAnsi" w:hAnsiTheme="majorHAnsi" w:cstheme="majorHAnsi"/>
              </w:rPr>
              <w:t>5.1</w:t>
            </w:r>
          </w:p>
          <w:p w14:paraId="08E0B549" w14:textId="77777777" w:rsidR="00435AF3" w:rsidRPr="004C0EEA" w:rsidRDefault="00435AF3" w:rsidP="00BB30A3">
            <w:pPr>
              <w:spacing w:before="60" w:after="6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5C978CFD" w14:textId="77777777" w:rsidR="008B3D77" w:rsidRPr="004C0EEA" w:rsidRDefault="007669D5" w:rsidP="000C2875">
      <w:pPr>
        <w:pStyle w:val="Heading1"/>
        <w:ind w:right="-201"/>
      </w:pPr>
      <w:bookmarkStart w:id="25" w:name="_Toc191450994"/>
      <w:r w:rsidRPr="004C0EEA">
        <w:lastRenderedPageBreak/>
        <w:t xml:space="preserve">Priority </w:t>
      </w:r>
      <w:r w:rsidR="004174E8" w:rsidRPr="004C0EEA">
        <w:t>A</w:t>
      </w:r>
      <w:r w:rsidRPr="004C0EEA">
        <w:t xml:space="preserve">rea 1: </w:t>
      </w:r>
      <w:r w:rsidR="009E430F" w:rsidRPr="004C0EEA">
        <w:t>F</w:t>
      </w:r>
      <w:r w:rsidRPr="004C0EEA">
        <w:t>und</w:t>
      </w:r>
      <w:r w:rsidR="000C2875" w:rsidRPr="004C0EEA">
        <w:t>ing</w:t>
      </w:r>
      <w:r w:rsidRPr="004C0EEA">
        <w:t>, structure and outcomes</w:t>
      </w:r>
      <w:bookmarkEnd w:id="25"/>
    </w:p>
    <w:p w14:paraId="3D08C032" w14:textId="7D4A42AC" w:rsidR="004174E8" w:rsidRPr="004C0EEA" w:rsidRDefault="004174E8" w:rsidP="004174E8">
      <w:pPr>
        <w:pStyle w:val="Box2Heading"/>
        <w:rPr>
          <w:lang w:val="en-AU"/>
        </w:rPr>
      </w:pPr>
      <w:r w:rsidRPr="004C0EEA">
        <w:rPr>
          <w:lang w:val="en-AU"/>
        </w:rPr>
        <w:t>Phase 1 found that the sector is over-reliant on CBP funding, and there are limitations to the CBP structure. Phase 2 found that the</w:t>
      </w:r>
      <w:r w:rsidR="003F1874">
        <w:rPr>
          <w:lang w:val="en-AU"/>
        </w:rPr>
        <w:t xml:space="preserve"> sustainability of the</w:t>
      </w:r>
      <w:r w:rsidRPr="004C0EEA">
        <w:rPr>
          <w:lang w:val="en-AU"/>
        </w:rPr>
        <w:t xml:space="preserve"> sector is </w:t>
      </w:r>
      <w:r w:rsidR="003F1874">
        <w:rPr>
          <w:lang w:val="en-AU"/>
        </w:rPr>
        <w:t>impacted by a heavy</w:t>
      </w:r>
      <w:r w:rsidR="00CA0C78" w:rsidRPr="004C0EEA">
        <w:rPr>
          <w:lang w:val="en-AU"/>
        </w:rPr>
        <w:t xml:space="preserve"> </w:t>
      </w:r>
      <w:r w:rsidRPr="004C0EEA">
        <w:rPr>
          <w:lang w:val="en-AU"/>
        </w:rPr>
        <w:t xml:space="preserve">reliance on a volunteer workforce with limited capacity, decreasing revenue streams, a lack of sound governance structures and business practices, and </w:t>
      </w:r>
      <w:r w:rsidR="005048FD">
        <w:rPr>
          <w:lang w:val="en-AU"/>
        </w:rPr>
        <w:t xml:space="preserve">that </w:t>
      </w:r>
      <w:r w:rsidRPr="004C0EEA">
        <w:rPr>
          <w:lang w:val="en-AU"/>
        </w:rPr>
        <w:t>demand for CBP funding exceeds the current funding level.</w:t>
      </w:r>
    </w:p>
    <w:p w14:paraId="58A6C62E" w14:textId="77777777" w:rsidR="00EB5472" w:rsidRDefault="004174E8" w:rsidP="004174E8">
      <w:pPr>
        <w:pStyle w:val="Box2Heading"/>
        <w:rPr>
          <w:lang w:val="en-AU"/>
        </w:rPr>
      </w:pPr>
      <w:r w:rsidRPr="004C0EEA">
        <w:rPr>
          <w:lang w:val="en-AU"/>
        </w:rPr>
        <w:t xml:space="preserve">This does not necessarily reflect that the level of the CBP funding is insufficient for ensuring sustainability, but rather </w:t>
      </w:r>
      <w:r w:rsidR="005048FD">
        <w:rPr>
          <w:lang w:val="en-AU"/>
        </w:rPr>
        <w:t xml:space="preserve">that </w:t>
      </w:r>
      <w:r w:rsidRPr="004C0EEA">
        <w:rPr>
          <w:lang w:val="en-AU"/>
        </w:rPr>
        <w:t xml:space="preserve">the overall revenue available to the sector from all sources has lessened over time, and operational costs are increasing year-on-year. </w:t>
      </w:r>
    </w:p>
    <w:p w14:paraId="13C2026D" w14:textId="5EEA2BFF" w:rsidR="004174E8" w:rsidRPr="004C0EEA" w:rsidRDefault="004174E8" w:rsidP="004174E8">
      <w:pPr>
        <w:pStyle w:val="Box2Heading"/>
        <w:rPr>
          <w:lang w:val="en-AU"/>
        </w:rPr>
      </w:pPr>
      <w:r w:rsidRPr="004C0EEA">
        <w:rPr>
          <w:lang w:val="en-AU"/>
        </w:rPr>
        <w:t xml:space="preserve">There is an urgent need to increase workforce capability, implement sound governance structures and business practices, update the regulatory framework, and allocate the CBP funding in a way that balances short-term operations </w:t>
      </w:r>
      <w:r w:rsidR="005048FD">
        <w:rPr>
          <w:lang w:val="en-AU"/>
        </w:rPr>
        <w:t>with</w:t>
      </w:r>
      <w:r w:rsidR="005048FD" w:rsidRPr="004C0EEA">
        <w:rPr>
          <w:lang w:val="en-AU"/>
        </w:rPr>
        <w:t xml:space="preserve"> </w:t>
      </w:r>
      <w:r w:rsidRPr="004C0EEA">
        <w:rPr>
          <w:lang w:val="en-AU"/>
        </w:rPr>
        <w:t>long-term innovation and sustainability.</w:t>
      </w:r>
    </w:p>
    <w:p w14:paraId="14E3D549" w14:textId="77777777" w:rsidR="0030164A" w:rsidRPr="004C0EEA" w:rsidRDefault="0030164A" w:rsidP="00E700C7">
      <w:pPr>
        <w:pStyle w:val="Heading2"/>
      </w:pPr>
      <w:bookmarkStart w:id="26" w:name="_Toc184289718"/>
      <w:bookmarkStart w:id="27" w:name="_Toc184289778"/>
      <w:bookmarkStart w:id="28" w:name="_Toc191450995"/>
      <w:bookmarkEnd w:id="26"/>
      <w:bookmarkEnd w:id="27"/>
      <w:r w:rsidRPr="004C0EEA">
        <w:t>Funding</w:t>
      </w:r>
      <w:bookmarkEnd w:id="28"/>
      <w:r w:rsidRPr="004C0EEA">
        <w:t xml:space="preserve"> </w:t>
      </w:r>
    </w:p>
    <w:p w14:paraId="037A0227" w14:textId="77777777" w:rsidR="00401532" w:rsidRPr="004C0EEA" w:rsidRDefault="00910206" w:rsidP="007669D5">
      <w:pPr>
        <w:pStyle w:val="Heading3"/>
      </w:pPr>
      <w:bookmarkStart w:id="29" w:name="_Toc191450996"/>
      <w:r w:rsidRPr="004C0EEA">
        <w:t>Reliance on funding</w:t>
      </w:r>
      <w:bookmarkEnd w:id="29"/>
    </w:p>
    <w:p w14:paraId="7AB14138" w14:textId="1752B087" w:rsidR="004805C2" w:rsidRPr="004C0EEA" w:rsidRDefault="006C7617" w:rsidP="002E6FEE">
      <w:pPr>
        <w:tabs>
          <w:tab w:val="left" w:pos="1848"/>
        </w:tabs>
      </w:pPr>
      <w:r w:rsidRPr="004C0EEA">
        <w:t>The evaluation of the CBP found that as</w:t>
      </w:r>
      <w:r w:rsidR="00AD6AF0" w:rsidRPr="004C0EEA">
        <w:t xml:space="preserve"> a whole, </w:t>
      </w:r>
      <w:r w:rsidR="00043C14" w:rsidRPr="004C0EEA">
        <w:t>the sector</w:t>
      </w:r>
      <w:r w:rsidR="00AC03C4" w:rsidRPr="004C0EEA">
        <w:t xml:space="preserve"> is </w:t>
      </w:r>
      <w:r w:rsidR="00AD6AF0" w:rsidRPr="004C0EEA">
        <w:t xml:space="preserve">currently </w:t>
      </w:r>
      <w:r w:rsidR="00AC03C4" w:rsidRPr="004C0EEA">
        <w:t>over-reliant on CBP funding</w:t>
      </w:r>
      <w:r w:rsidR="007D76CE" w:rsidRPr="004C0EEA">
        <w:t xml:space="preserve">, and the CBP funding </w:t>
      </w:r>
      <w:r w:rsidR="00AD6AF0" w:rsidRPr="004C0EEA">
        <w:t>to date has not promoted sustainability</w:t>
      </w:r>
      <w:r w:rsidR="00AC03C4" w:rsidRPr="004C0EEA">
        <w:t xml:space="preserve">. </w:t>
      </w:r>
      <w:r w:rsidR="002E6FEE" w:rsidRPr="004C0EEA">
        <w:t>B</w:t>
      </w:r>
      <w:r w:rsidR="00F2181F" w:rsidRPr="004C0EEA">
        <w:t>etween 2017-18 and 2022-23</w:t>
      </w:r>
      <w:r w:rsidR="00AA3DDC" w:rsidRPr="004C0EEA">
        <w:t>,</w:t>
      </w:r>
      <w:r w:rsidR="00F2181F" w:rsidRPr="004C0EEA">
        <w:t xml:space="preserve"> the sector’s need for CBP grants increased; however,</w:t>
      </w:r>
      <w:r w:rsidR="00AA3DDC" w:rsidRPr="004C0EEA">
        <w:t xml:space="preserve"> the number of CBP grant application</w:t>
      </w:r>
      <w:r w:rsidR="00F2181F" w:rsidRPr="004C0EEA">
        <w:t>s</w:t>
      </w:r>
      <w:r w:rsidR="00AA3DDC" w:rsidRPr="004C0EEA">
        <w:t xml:space="preserve"> decreased. </w:t>
      </w:r>
      <w:r w:rsidR="00F2181F" w:rsidRPr="004C0EEA">
        <w:t xml:space="preserve">Phase 2 found </w:t>
      </w:r>
      <w:r w:rsidR="004805C2" w:rsidRPr="004C0EEA">
        <w:t>that</w:t>
      </w:r>
      <w:r w:rsidR="003C5861" w:rsidRPr="004C0EEA">
        <w:t xml:space="preserve"> some community broadcasters were not applying for </w:t>
      </w:r>
      <w:r w:rsidR="0087303B" w:rsidRPr="004C0EEA">
        <w:t xml:space="preserve">CBP </w:t>
      </w:r>
      <w:r w:rsidR="003C5861" w:rsidRPr="004C0EEA">
        <w:t>grants</w:t>
      </w:r>
      <w:r w:rsidR="004805C2" w:rsidRPr="004C0EEA">
        <w:t xml:space="preserve"> </w:t>
      </w:r>
      <w:r w:rsidR="00F2181F" w:rsidRPr="004C0EEA">
        <w:t>due to the high demand</w:t>
      </w:r>
      <w:r w:rsidR="0087303B" w:rsidRPr="004C0EEA">
        <w:t xml:space="preserve">, </w:t>
      </w:r>
      <w:r w:rsidR="00F2181F" w:rsidRPr="004C0EEA">
        <w:t>and the low likelihood a</w:t>
      </w:r>
      <w:r w:rsidR="005048FD">
        <w:t xml:space="preserve"> grant</w:t>
      </w:r>
      <w:r w:rsidR="00F2181F" w:rsidRPr="004C0EEA">
        <w:t xml:space="preserve"> application would be </w:t>
      </w:r>
      <w:r w:rsidR="005048FD">
        <w:t>successful</w:t>
      </w:r>
      <w:r w:rsidR="00F2181F" w:rsidRPr="004C0EEA">
        <w:t>. Since 2023-24, there has been a 37</w:t>
      </w:r>
      <w:r w:rsidR="005048FD">
        <w:t>%</w:t>
      </w:r>
      <w:r w:rsidR="00F2181F" w:rsidRPr="004C0EEA">
        <w:t xml:space="preserve"> increase in demand for CBP funding year</w:t>
      </w:r>
      <w:r w:rsidR="00925AA0" w:rsidRPr="004C0EEA">
        <w:t>-</w:t>
      </w:r>
      <w:r w:rsidR="00F2181F" w:rsidRPr="004C0EEA">
        <w:t>on</w:t>
      </w:r>
      <w:r w:rsidR="00925AA0" w:rsidRPr="004C0EEA">
        <w:t>-</w:t>
      </w:r>
      <w:r w:rsidR="00F2181F" w:rsidRPr="004C0EEA">
        <w:t>year</w:t>
      </w:r>
      <w:r w:rsidR="00043C14" w:rsidRPr="004C0EEA">
        <w:t>, including from First Nations broadcasters</w:t>
      </w:r>
      <w:r w:rsidR="003D01C6" w:rsidRPr="004C0EEA">
        <w:t xml:space="preserve"> for operational costs</w:t>
      </w:r>
      <w:r w:rsidR="00F2181F" w:rsidRPr="004C0EEA">
        <w:t xml:space="preserve">. </w:t>
      </w:r>
      <w:r w:rsidR="00302A0D" w:rsidRPr="004C0EEA">
        <w:t xml:space="preserve">The CBF reported being </w:t>
      </w:r>
      <w:r w:rsidR="005048FD">
        <w:t>un</w:t>
      </w:r>
      <w:r w:rsidR="00302A0D" w:rsidRPr="004C0EEA">
        <w:t xml:space="preserve">able to fund $10.4 million of grant applications in 2024-25. However, the need for CBP funding is likely much higher, as many </w:t>
      </w:r>
      <w:r w:rsidR="00FD0D42" w:rsidRPr="004C0EEA">
        <w:t>community broadcasters</w:t>
      </w:r>
      <w:r w:rsidR="00302A0D" w:rsidRPr="004C0EEA">
        <w:t xml:space="preserve"> reported not applying to the CBF for a grant despite not having </w:t>
      </w:r>
      <w:r w:rsidR="001163B6" w:rsidRPr="004C0EEA">
        <w:t>an</w:t>
      </w:r>
      <w:r w:rsidR="00302A0D" w:rsidRPr="004C0EEA">
        <w:t xml:space="preserve">other </w:t>
      </w:r>
      <w:r w:rsidR="001163B6" w:rsidRPr="004C0EEA">
        <w:t xml:space="preserve">source of </w:t>
      </w:r>
      <w:r w:rsidR="00302A0D" w:rsidRPr="004C0EEA">
        <w:t>revenue.</w:t>
      </w:r>
      <w:r w:rsidR="00043C14" w:rsidRPr="004C0EEA">
        <w:t xml:space="preserve"> </w:t>
      </w:r>
    </w:p>
    <w:p w14:paraId="7D20043D" w14:textId="77777777" w:rsidR="00C56184" w:rsidRPr="004C0EEA" w:rsidRDefault="00B31228" w:rsidP="0030164A">
      <w:r w:rsidRPr="004C0EEA">
        <w:t>For</w:t>
      </w:r>
      <w:r w:rsidR="00994F2E" w:rsidRPr="004C0EEA">
        <w:t xml:space="preserve"> non-Indigenous community broadcasters</w:t>
      </w:r>
      <w:r w:rsidR="00772954" w:rsidRPr="004C0EEA">
        <w:t>,</w:t>
      </w:r>
      <w:r w:rsidR="0030164A" w:rsidRPr="004C0EEA">
        <w:t xml:space="preserve"> </w:t>
      </w:r>
      <w:r w:rsidR="00C56184" w:rsidRPr="004C0EEA">
        <w:t xml:space="preserve">capacity and capability is inherently linked to its </w:t>
      </w:r>
      <w:r w:rsidR="00AC03C4" w:rsidRPr="004C0EEA">
        <w:t>mostly volunteer workforce, and the availability of funding for paid positions</w:t>
      </w:r>
      <w:r w:rsidR="00772954" w:rsidRPr="004C0EEA">
        <w:t>. First Nations community broadcasters</w:t>
      </w:r>
      <w:r w:rsidR="00C56A6F" w:rsidRPr="004C0EEA">
        <w:t xml:space="preserve"> experience challenges with retaining personnel in paid positions because they are unable to offer competitive wages</w:t>
      </w:r>
      <w:r w:rsidR="00994F2E" w:rsidRPr="004C0EEA">
        <w:t xml:space="preserve">. </w:t>
      </w:r>
      <w:r w:rsidR="00C56184" w:rsidRPr="004C0EEA">
        <w:t xml:space="preserve">While additional CBP funding would enhance the services delivered by community broadcasters and support </w:t>
      </w:r>
      <w:r w:rsidR="000F2543" w:rsidRPr="004C0EEA">
        <w:t xml:space="preserve">an increase in </w:t>
      </w:r>
      <w:r w:rsidR="00C56184" w:rsidRPr="004C0EEA">
        <w:t>paid positions</w:t>
      </w:r>
      <w:r w:rsidR="00387135" w:rsidRPr="004C0EEA">
        <w:t>,</w:t>
      </w:r>
      <w:r w:rsidR="00C56184" w:rsidRPr="004C0EEA">
        <w:t xml:space="preserve"> optimising the use of existing funds is </w:t>
      </w:r>
      <w:r w:rsidR="000F2543" w:rsidRPr="004C0EEA">
        <w:t xml:space="preserve">also </w:t>
      </w:r>
      <w:r w:rsidR="00C56184" w:rsidRPr="004C0EEA">
        <w:t xml:space="preserve">essential for achieving significant longer-term outcomes. </w:t>
      </w:r>
    </w:p>
    <w:p w14:paraId="18D1B1B1" w14:textId="77777777" w:rsidR="003F1874" w:rsidRPr="004C0EEA" w:rsidRDefault="003F1874" w:rsidP="003F1874">
      <w:r w:rsidRPr="004C0EEA">
        <w:t xml:space="preserve">However, there is a risk that increasing CBP funding to make up for the shortfall in non-government revenue may increase sector reliance and decrease the exploration of other revenue (e.g. sponsorship or donations) or sector-wide capacity building initiatives (e.g. governance and business support or centralised services). This would make the sector more vulnerable to changes in CBP funding in the future. There is a risk that increasing </w:t>
      </w:r>
      <w:r>
        <w:t xml:space="preserve">CBP </w:t>
      </w:r>
      <w:r w:rsidRPr="004C0EEA">
        <w:t>funding could also lead to concerns about the sector’s independence and impartiality</w:t>
      </w:r>
      <w:r>
        <w:t xml:space="preserve">, or the responsiveness of </w:t>
      </w:r>
      <w:r w:rsidRPr="004C0EEA">
        <w:t>community broadcasters to the needs and interests of their local communities.</w:t>
      </w:r>
    </w:p>
    <w:p w14:paraId="1A77E3CF" w14:textId="77777777" w:rsidR="00C56184" w:rsidRPr="004C0EEA" w:rsidRDefault="004C3325" w:rsidP="0030164A">
      <w:r w:rsidRPr="004C0EEA">
        <w:t>The</w:t>
      </w:r>
      <w:r w:rsidR="00304A1D" w:rsidRPr="004C0EEA">
        <w:t>se risks could be mitigated by:</w:t>
      </w:r>
    </w:p>
    <w:p w14:paraId="046B3466" w14:textId="546BB98C" w:rsidR="004C3325" w:rsidRPr="004C0EEA" w:rsidRDefault="004C3325" w:rsidP="004C3325">
      <w:pPr>
        <w:pStyle w:val="Bullet1"/>
        <w:rPr>
          <w:lang w:val="en-AU"/>
        </w:rPr>
      </w:pPr>
      <w:r w:rsidRPr="004C0EEA">
        <w:rPr>
          <w:lang w:val="en-AU"/>
        </w:rPr>
        <w:t>increasing CBP</w:t>
      </w:r>
      <w:r w:rsidR="00C56A6F" w:rsidRPr="004C0EEA">
        <w:rPr>
          <w:lang w:val="en-AU"/>
        </w:rPr>
        <w:t xml:space="preserve"> </w:t>
      </w:r>
      <w:r w:rsidR="00304A1D" w:rsidRPr="004C0EEA">
        <w:rPr>
          <w:lang w:val="en-AU"/>
        </w:rPr>
        <w:t>funding</w:t>
      </w:r>
      <w:r w:rsidRPr="004C0EEA">
        <w:rPr>
          <w:lang w:val="en-AU"/>
        </w:rPr>
        <w:t xml:space="preserve"> for a non-ongoing period</w:t>
      </w:r>
      <w:r w:rsidR="00304A1D" w:rsidRPr="004C0EEA">
        <w:rPr>
          <w:lang w:val="en-AU"/>
        </w:rPr>
        <w:t xml:space="preserve"> for set priori</w:t>
      </w:r>
      <w:r w:rsidR="0011733F" w:rsidRPr="004C0EEA">
        <w:rPr>
          <w:lang w:val="en-AU"/>
        </w:rPr>
        <w:t xml:space="preserve">ties (section </w:t>
      </w:r>
      <w:r w:rsidR="004F6C99" w:rsidRPr="004C0EEA">
        <w:rPr>
          <w:b/>
          <w:lang w:val="en-AU"/>
        </w:rPr>
        <w:t>4</w:t>
      </w:r>
      <w:r w:rsidR="005602C2" w:rsidRPr="004C0EEA">
        <w:rPr>
          <w:b/>
          <w:lang w:val="en-AU"/>
        </w:rPr>
        <w:t>.</w:t>
      </w:r>
      <w:r w:rsidR="00A41076">
        <w:rPr>
          <w:b/>
          <w:lang w:val="en-AU"/>
        </w:rPr>
        <w:t>2.1</w:t>
      </w:r>
      <w:r w:rsidR="00FD0245" w:rsidRPr="004C0EEA">
        <w:rPr>
          <w:lang w:val="en-AU"/>
        </w:rPr>
        <w:t xml:space="preserve"> refers</w:t>
      </w:r>
      <w:r w:rsidR="0011733F" w:rsidRPr="004C0EEA">
        <w:rPr>
          <w:lang w:val="en-AU"/>
        </w:rPr>
        <w:t>)</w:t>
      </w:r>
    </w:p>
    <w:p w14:paraId="1FC5E960" w14:textId="429B5693" w:rsidR="004C3325" w:rsidRPr="004C0EEA" w:rsidRDefault="004C3325" w:rsidP="004C3325">
      <w:pPr>
        <w:pStyle w:val="Bullet1"/>
        <w:rPr>
          <w:lang w:val="en-AU"/>
        </w:rPr>
      </w:pPr>
      <w:r w:rsidRPr="004C0EEA">
        <w:rPr>
          <w:lang w:val="en-AU"/>
        </w:rPr>
        <w:t xml:space="preserve">providing </w:t>
      </w:r>
      <w:r w:rsidR="004231CB" w:rsidRPr="004C0EEA">
        <w:rPr>
          <w:lang w:val="en-AU"/>
        </w:rPr>
        <w:t>sector peak bodies</w:t>
      </w:r>
      <w:r w:rsidRPr="004C0EEA">
        <w:rPr>
          <w:lang w:val="en-AU"/>
        </w:rPr>
        <w:t xml:space="preserve"> with increased funding </w:t>
      </w:r>
      <w:r w:rsidR="005048FD">
        <w:rPr>
          <w:lang w:val="en-AU"/>
        </w:rPr>
        <w:t>for</w:t>
      </w:r>
      <w:r w:rsidRPr="004C0EEA">
        <w:rPr>
          <w:lang w:val="en-AU"/>
        </w:rPr>
        <w:t xml:space="preserve"> sector-wide initiatives which can directly support community broadcasters to improve governance, operations, programming and revenue</w:t>
      </w:r>
    </w:p>
    <w:p w14:paraId="0696C3D2" w14:textId="77777777" w:rsidR="0030164A" w:rsidRPr="004C0EEA" w:rsidRDefault="004C3325" w:rsidP="0030164A">
      <w:pPr>
        <w:pStyle w:val="Bullet1"/>
        <w:rPr>
          <w:lang w:val="en-AU"/>
        </w:rPr>
      </w:pPr>
      <w:r w:rsidRPr="004C0EEA">
        <w:rPr>
          <w:lang w:val="en-AU"/>
        </w:rPr>
        <w:t>providing stations with multi-year grants where year-on-year costs reduce over the funding period</w:t>
      </w:r>
      <w:r w:rsidR="00AC03C4" w:rsidRPr="004C0EEA">
        <w:rPr>
          <w:lang w:val="en-AU"/>
        </w:rPr>
        <w:t>, and/or</w:t>
      </w:r>
    </w:p>
    <w:p w14:paraId="60E30EC0" w14:textId="1CBABFE6" w:rsidR="00304A1D" w:rsidRPr="004C0EEA" w:rsidRDefault="004C6955" w:rsidP="00304A1D">
      <w:pPr>
        <w:pStyle w:val="Bullet1"/>
        <w:rPr>
          <w:lang w:val="en-AU"/>
        </w:rPr>
      </w:pPr>
      <w:r w:rsidRPr="004C0EEA">
        <w:rPr>
          <w:lang w:val="en-AU"/>
        </w:rPr>
        <w:t>increas</w:t>
      </w:r>
      <w:r w:rsidR="007A5237">
        <w:rPr>
          <w:lang w:val="en-AU"/>
        </w:rPr>
        <w:t>ing</w:t>
      </w:r>
      <w:r w:rsidRPr="004C0EEA">
        <w:rPr>
          <w:lang w:val="en-AU"/>
        </w:rPr>
        <w:t xml:space="preserve"> funding</w:t>
      </w:r>
      <w:r w:rsidR="00304A1D" w:rsidRPr="004C0EEA">
        <w:rPr>
          <w:lang w:val="en-AU"/>
        </w:rPr>
        <w:t xml:space="preserve"> for loca</w:t>
      </w:r>
      <w:r w:rsidR="00430B23" w:rsidRPr="004C0EEA">
        <w:rPr>
          <w:lang w:val="en-AU"/>
        </w:rPr>
        <w:t xml:space="preserve">l and </w:t>
      </w:r>
      <w:r w:rsidR="00304A1D" w:rsidRPr="004C0EEA">
        <w:rPr>
          <w:lang w:val="en-AU"/>
        </w:rPr>
        <w:t>hyperlocal content relevant to community needs and interests.</w:t>
      </w:r>
    </w:p>
    <w:p w14:paraId="01B9D630" w14:textId="77777777" w:rsidR="00A52B00" w:rsidRPr="004C0EEA" w:rsidRDefault="00A52B00" w:rsidP="00FD0245">
      <w:r w:rsidRPr="004C0EEA">
        <w:t xml:space="preserve">Section </w:t>
      </w:r>
      <w:r w:rsidRPr="004C0EEA">
        <w:rPr>
          <w:b/>
        </w:rPr>
        <w:t>6.1.1</w:t>
      </w:r>
      <w:r w:rsidRPr="004C0EEA">
        <w:t xml:space="preserve"> refers to IBMP funding.</w:t>
      </w:r>
    </w:p>
    <w:p w14:paraId="515A9B45" w14:textId="77777777" w:rsidR="00401532" w:rsidRPr="004C0EEA" w:rsidRDefault="0091713C" w:rsidP="007669D5">
      <w:pPr>
        <w:pStyle w:val="Heading3"/>
      </w:pPr>
      <w:bookmarkStart w:id="30" w:name="_Toc191450997"/>
      <w:r w:rsidRPr="004C0EEA">
        <w:lastRenderedPageBreak/>
        <w:t>Revenue diversification</w:t>
      </w:r>
      <w:bookmarkEnd w:id="30"/>
    </w:p>
    <w:p w14:paraId="1C0389E0" w14:textId="77777777" w:rsidR="00102A22" w:rsidRPr="004C0EEA" w:rsidRDefault="00B31228" w:rsidP="00803DC3">
      <w:r w:rsidRPr="004C0EEA">
        <w:t>Some community broadcasters</w:t>
      </w:r>
      <w:r w:rsidR="00102A22" w:rsidRPr="004C0EEA">
        <w:t xml:space="preserve"> experience challenges with securing revenue</w:t>
      </w:r>
      <w:r w:rsidR="00683661" w:rsidRPr="004C0EEA">
        <w:t xml:space="preserve"> </w:t>
      </w:r>
      <w:r w:rsidR="00A42EBB" w:rsidRPr="004C0EEA">
        <w:t>outside of the CBP</w:t>
      </w:r>
      <w:r w:rsidR="00662ADE" w:rsidRPr="004C0EEA">
        <w:t xml:space="preserve"> </w:t>
      </w:r>
      <w:r w:rsidR="00683661" w:rsidRPr="004C0EEA">
        <w:t xml:space="preserve">due to low general awareness of community broadcasting by sponsors, low organisational capacity in business development, and legislative restrictions around sponsorships and community </w:t>
      </w:r>
      <w:r w:rsidR="00102A22" w:rsidRPr="004C0EEA">
        <w:t>participation</w:t>
      </w:r>
      <w:r w:rsidR="00683661" w:rsidRPr="004C0EEA">
        <w:t xml:space="preserve"> activities.</w:t>
      </w:r>
    </w:p>
    <w:p w14:paraId="4ECD1EC1" w14:textId="77777777" w:rsidR="00102A22" w:rsidRPr="004C0EEA" w:rsidRDefault="00B31228" w:rsidP="00102A22">
      <w:bookmarkStart w:id="31" w:name="_Hlk182840597"/>
      <w:r w:rsidRPr="004C0EEA">
        <w:t>There are also</w:t>
      </w:r>
      <w:r w:rsidR="00102A22" w:rsidRPr="004C0EEA">
        <w:t xml:space="preserve"> limitations to</w:t>
      </w:r>
      <w:r w:rsidR="00994F2E" w:rsidRPr="004C0EEA">
        <w:t xml:space="preserve"> the ability of</w:t>
      </w:r>
      <w:r w:rsidR="00102A22" w:rsidRPr="004C0EEA">
        <w:t xml:space="preserve"> </w:t>
      </w:r>
      <w:r w:rsidR="009772C7" w:rsidRPr="004C0EEA">
        <w:rPr>
          <w:color w:val="auto"/>
        </w:rPr>
        <w:t>some parts of the</w:t>
      </w:r>
      <w:r w:rsidR="00102A22" w:rsidRPr="004C0EEA">
        <w:t xml:space="preserve"> sector</w:t>
      </w:r>
      <w:r w:rsidR="00994F2E" w:rsidRPr="004C0EEA">
        <w:t xml:space="preserve"> </w:t>
      </w:r>
      <w:r w:rsidR="00102A22" w:rsidRPr="004C0EEA">
        <w:t>to diversify its revenue</w:t>
      </w:r>
      <w:r w:rsidR="007B7BAE">
        <w:t>, due to</w:t>
      </w:r>
      <w:r w:rsidR="00102A22" w:rsidRPr="004C0EEA">
        <w:t>:</w:t>
      </w:r>
    </w:p>
    <w:p w14:paraId="2E21BDC9" w14:textId="77777777" w:rsidR="00102A22" w:rsidRPr="004C0EEA" w:rsidRDefault="00102A22" w:rsidP="00102A22">
      <w:pPr>
        <w:pStyle w:val="Bullet1"/>
        <w:rPr>
          <w:lang w:val="en-AU"/>
        </w:rPr>
      </w:pPr>
      <w:r w:rsidRPr="004C0EEA">
        <w:rPr>
          <w:lang w:val="en-AU"/>
        </w:rPr>
        <w:t>not having skilled personnel, or not having the capacity to pay skilled personnel</w:t>
      </w:r>
    </w:p>
    <w:p w14:paraId="5F7AA288" w14:textId="77777777" w:rsidR="00102A22" w:rsidRPr="004C0EEA" w:rsidRDefault="00102A22" w:rsidP="00102A22">
      <w:pPr>
        <w:pStyle w:val="Bullet1"/>
        <w:rPr>
          <w:lang w:val="en-AU"/>
        </w:rPr>
      </w:pPr>
      <w:r w:rsidRPr="004C0EEA">
        <w:rPr>
          <w:lang w:val="en-AU"/>
        </w:rPr>
        <w:t xml:space="preserve">having </w:t>
      </w:r>
      <w:r w:rsidR="00152205" w:rsidRPr="004C0EEA">
        <w:rPr>
          <w:lang w:val="en-AU"/>
        </w:rPr>
        <w:t>reached</w:t>
      </w:r>
      <w:r w:rsidRPr="004C0EEA">
        <w:rPr>
          <w:lang w:val="en-AU"/>
        </w:rPr>
        <w:t xml:space="preserve"> its on-air sponsorship </w:t>
      </w:r>
      <w:r w:rsidR="00152205" w:rsidRPr="004C0EEA">
        <w:rPr>
          <w:lang w:val="en-AU"/>
        </w:rPr>
        <w:t xml:space="preserve">limit </w:t>
      </w:r>
      <w:r w:rsidRPr="004C0EEA">
        <w:rPr>
          <w:lang w:val="en-AU"/>
        </w:rPr>
        <w:t>and being unable to accept additional sponsorship</w:t>
      </w:r>
    </w:p>
    <w:p w14:paraId="7EBA256D" w14:textId="08340312" w:rsidR="00152205" w:rsidRPr="004C0EEA" w:rsidRDefault="00152205" w:rsidP="00152205">
      <w:pPr>
        <w:pStyle w:val="Bullet1"/>
        <w:rPr>
          <w:lang w:val="en-AU"/>
        </w:rPr>
      </w:pPr>
      <w:r w:rsidRPr="004C0EEA">
        <w:rPr>
          <w:lang w:val="en-AU"/>
        </w:rPr>
        <w:t xml:space="preserve">low understanding of not-for-profit licence conditions (section </w:t>
      </w:r>
      <w:r w:rsidRPr="004C0EEA">
        <w:rPr>
          <w:b/>
          <w:lang w:val="en-AU"/>
        </w:rPr>
        <w:t>5.1.</w:t>
      </w:r>
      <w:r w:rsidR="00A41076">
        <w:rPr>
          <w:b/>
          <w:lang w:val="en-AU"/>
        </w:rPr>
        <w:t>4</w:t>
      </w:r>
      <w:r w:rsidRPr="004C0EEA">
        <w:rPr>
          <w:lang w:val="en-AU"/>
        </w:rPr>
        <w:t xml:space="preserve"> refers)</w:t>
      </w:r>
    </w:p>
    <w:p w14:paraId="463AC7A0" w14:textId="77777777" w:rsidR="00102A22" w:rsidRPr="004C0EEA" w:rsidRDefault="00102A22" w:rsidP="00102A22">
      <w:pPr>
        <w:pStyle w:val="Bullet1"/>
        <w:rPr>
          <w:lang w:val="en-AU"/>
        </w:rPr>
      </w:pPr>
      <w:r w:rsidRPr="004C0EEA">
        <w:rPr>
          <w:lang w:val="en-AU"/>
        </w:rPr>
        <w:t>changing market factors and challenges affecting the broader Australian media landscape</w:t>
      </w:r>
    </w:p>
    <w:p w14:paraId="580916DF" w14:textId="77777777" w:rsidR="00FC6708" w:rsidRPr="004C0EEA" w:rsidRDefault="00102A22" w:rsidP="00102A22">
      <w:pPr>
        <w:pStyle w:val="Bullet1"/>
        <w:rPr>
          <w:lang w:val="en-AU"/>
        </w:rPr>
      </w:pPr>
      <w:r w:rsidRPr="004C0EEA">
        <w:rPr>
          <w:lang w:val="en-AU"/>
        </w:rPr>
        <w:t>wider revenue issues affecting the music, arts and cultural sectors following the COVID-19 pandemic</w:t>
      </w:r>
      <w:r w:rsidR="00152205" w:rsidRPr="004C0EEA">
        <w:rPr>
          <w:lang w:val="en-AU"/>
        </w:rPr>
        <w:t>.</w:t>
      </w:r>
    </w:p>
    <w:bookmarkEnd w:id="31"/>
    <w:p w14:paraId="6FBF495E" w14:textId="77777777" w:rsidR="0091713C" w:rsidRPr="004C0EEA" w:rsidRDefault="00102A22" w:rsidP="00803DC3">
      <w:r w:rsidRPr="004C0EEA">
        <w:t>Despite these limitations</w:t>
      </w:r>
      <w:r w:rsidR="00EF08E3" w:rsidRPr="004C0EEA">
        <w:t>,</w:t>
      </w:r>
      <w:r w:rsidRPr="004C0EEA">
        <w:t xml:space="preserve"> the sector </w:t>
      </w:r>
      <w:r w:rsidR="00401890" w:rsidRPr="004C0EEA">
        <w:t xml:space="preserve">needs to </w:t>
      </w:r>
      <w:r w:rsidR="00DB4DCF" w:rsidRPr="004C0EEA">
        <w:t>be supported to</w:t>
      </w:r>
      <w:r w:rsidRPr="004C0EEA">
        <w:t xml:space="preserve"> </w:t>
      </w:r>
      <w:r w:rsidR="00AD6C99" w:rsidRPr="004C0EEA">
        <w:t xml:space="preserve">pursue </w:t>
      </w:r>
      <w:r w:rsidR="0091713C" w:rsidRPr="004C0EEA">
        <w:t>s</w:t>
      </w:r>
      <w:r w:rsidR="00683661" w:rsidRPr="004C0EEA">
        <w:t>elf</w:t>
      </w:r>
      <w:r w:rsidR="0091713C" w:rsidRPr="004C0EEA">
        <w:t xml:space="preserve">-driven, </w:t>
      </w:r>
      <w:r w:rsidR="003545C5" w:rsidRPr="004C0EEA">
        <w:t>non-government grant</w:t>
      </w:r>
      <w:r w:rsidR="00560B31" w:rsidRPr="004C0EEA">
        <w:t xml:space="preserve"> revenue</w:t>
      </w:r>
      <w:r w:rsidR="003545C5" w:rsidRPr="004C0EEA">
        <w:t xml:space="preserve"> </w:t>
      </w:r>
      <w:r w:rsidR="00BE2870" w:rsidRPr="004C0EEA">
        <w:t xml:space="preserve">to </w:t>
      </w:r>
      <w:r w:rsidR="00694C5D" w:rsidRPr="004C0EEA">
        <w:t xml:space="preserve">stabilise and </w:t>
      </w:r>
      <w:r w:rsidR="00BE2870" w:rsidRPr="004C0EEA">
        <w:t>modernise operations</w:t>
      </w:r>
      <w:r w:rsidR="00694C5D" w:rsidRPr="004C0EEA">
        <w:t xml:space="preserve">, </w:t>
      </w:r>
      <w:r w:rsidR="003545C5" w:rsidRPr="004C0EEA">
        <w:t>and</w:t>
      </w:r>
      <w:r w:rsidR="00BE2870" w:rsidRPr="004C0EEA">
        <w:t xml:space="preserve"> achieve</w:t>
      </w:r>
      <w:r w:rsidR="003545C5" w:rsidRPr="004C0EEA">
        <w:t xml:space="preserve"> long-term sustainability</w:t>
      </w:r>
      <w:r w:rsidR="00560B31" w:rsidRPr="004C0EEA">
        <w:t xml:space="preserve">. </w:t>
      </w:r>
      <w:r w:rsidR="00476869" w:rsidRPr="004C0EEA">
        <w:t>This includes revenue from</w:t>
      </w:r>
      <w:r w:rsidR="003545C5" w:rsidRPr="004C0EEA">
        <w:t xml:space="preserve"> </w:t>
      </w:r>
      <w:r w:rsidR="0091713C" w:rsidRPr="004C0EEA">
        <w:t>community</w:t>
      </w:r>
      <w:r w:rsidR="00D41F24" w:rsidRPr="004C0EEA">
        <w:t xml:space="preserve"> events</w:t>
      </w:r>
      <w:r w:rsidR="00871FBB" w:rsidRPr="004C0EEA">
        <w:t>,</w:t>
      </w:r>
      <w:r w:rsidR="0091713C" w:rsidRPr="004C0EEA">
        <w:t xml:space="preserve"> concerts,</w:t>
      </w:r>
      <w:r w:rsidR="00871FBB" w:rsidRPr="004C0EEA">
        <w:t xml:space="preserve"> fundraising</w:t>
      </w:r>
      <w:r w:rsidR="00476869" w:rsidRPr="004C0EEA">
        <w:t>, donations</w:t>
      </w:r>
      <w:r w:rsidR="003545C5" w:rsidRPr="004C0EEA">
        <w:t>,</w:t>
      </w:r>
      <w:r w:rsidR="0091713C" w:rsidRPr="004C0EEA">
        <w:t xml:space="preserve"> and</w:t>
      </w:r>
      <w:r w:rsidR="003545C5" w:rsidRPr="004C0EEA">
        <w:t xml:space="preserve"> </w:t>
      </w:r>
      <w:r w:rsidR="001E3EB5" w:rsidRPr="004C0EEA">
        <w:t>off-air promotional arrangements.</w:t>
      </w:r>
    </w:p>
    <w:p w14:paraId="186E8B9E" w14:textId="77777777" w:rsidR="009A0397" w:rsidRPr="004C0EEA" w:rsidRDefault="00842FC1" w:rsidP="00AD6C99">
      <w:bookmarkStart w:id="32" w:name="_Hlk182916143"/>
      <w:r w:rsidRPr="004C0EEA">
        <w:t xml:space="preserve">Funding and </w:t>
      </w:r>
      <w:r w:rsidR="00C56A6F" w:rsidRPr="004C0EEA">
        <w:t xml:space="preserve">legislative </w:t>
      </w:r>
      <w:r w:rsidRPr="004C0EEA">
        <w:t>amendments would</w:t>
      </w:r>
      <w:r w:rsidR="009A0397" w:rsidRPr="004C0EEA">
        <w:t xml:space="preserve"> better support </w:t>
      </w:r>
      <w:r w:rsidR="00043C14" w:rsidRPr="004C0EEA">
        <w:t>the sector</w:t>
      </w:r>
      <w:r w:rsidR="009A0397" w:rsidRPr="004C0EEA">
        <w:t xml:space="preserve"> to </w:t>
      </w:r>
      <w:r w:rsidR="005A27F1" w:rsidRPr="004C0EEA">
        <w:t xml:space="preserve">diversify </w:t>
      </w:r>
      <w:r w:rsidR="009A0397" w:rsidRPr="004C0EEA">
        <w:t>its revenue</w:t>
      </w:r>
      <w:r w:rsidRPr="004C0EEA">
        <w:t>. These are</w:t>
      </w:r>
      <w:r w:rsidR="009A0397" w:rsidRPr="004C0EEA">
        <w:t>:</w:t>
      </w:r>
    </w:p>
    <w:p w14:paraId="63EEF899" w14:textId="77777777" w:rsidR="00582982" w:rsidRPr="004C0EEA" w:rsidRDefault="009A0397" w:rsidP="00582982">
      <w:pPr>
        <w:pStyle w:val="Bullet1"/>
        <w:rPr>
          <w:lang w:val="en-AU"/>
        </w:rPr>
      </w:pPr>
      <w:r w:rsidRPr="004C0EEA">
        <w:rPr>
          <w:lang w:val="en-AU"/>
        </w:rPr>
        <w:t xml:space="preserve">amending </w:t>
      </w:r>
      <w:r w:rsidR="00006BDA" w:rsidRPr="004C0EEA">
        <w:rPr>
          <w:lang w:val="en-AU"/>
        </w:rPr>
        <w:t xml:space="preserve">the </w:t>
      </w:r>
      <w:r w:rsidRPr="004C0EEA">
        <w:rPr>
          <w:lang w:val="en-AU"/>
        </w:rPr>
        <w:t xml:space="preserve">sponsorship </w:t>
      </w:r>
      <w:r w:rsidR="00006BDA" w:rsidRPr="004C0EEA">
        <w:rPr>
          <w:lang w:val="en-AU"/>
        </w:rPr>
        <w:t xml:space="preserve">rules </w:t>
      </w:r>
      <w:r w:rsidRPr="004C0EEA">
        <w:rPr>
          <w:lang w:val="en-AU"/>
        </w:rPr>
        <w:t xml:space="preserve">under the </w:t>
      </w:r>
      <w:r w:rsidR="00C63502">
        <w:rPr>
          <w:lang w:val="en-AU"/>
        </w:rPr>
        <w:t>BSA</w:t>
      </w:r>
      <w:r w:rsidRPr="004C0EEA">
        <w:rPr>
          <w:i/>
          <w:lang w:val="en-AU"/>
        </w:rPr>
        <w:t xml:space="preserve"> </w:t>
      </w:r>
      <w:r w:rsidRPr="004C0EEA">
        <w:rPr>
          <w:lang w:val="en-AU"/>
        </w:rPr>
        <w:t>(section</w:t>
      </w:r>
      <w:r w:rsidRPr="004C0EEA">
        <w:rPr>
          <w:b/>
          <w:lang w:val="en-AU"/>
        </w:rPr>
        <w:t xml:space="preserve"> </w:t>
      </w:r>
      <w:r w:rsidR="004F6C99" w:rsidRPr="004C0EEA">
        <w:rPr>
          <w:b/>
          <w:lang w:val="en-AU"/>
        </w:rPr>
        <w:t>5</w:t>
      </w:r>
      <w:r w:rsidR="00144881" w:rsidRPr="004C0EEA">
        <w:rPr>
          <w:b/>
          <w:lang w:val="en-AU"/>
        </w:rPr>
        <w:t>.1.1</w:t>
      </w:r>
      <w:r w:rsidRPr="004C0EEA">
        <w:rPr>
          <w:lang w:val="en-AU"/>
        </w:rPr>
        <w:t xml:space="preserve"> refers)</w:t>
      </w:r>
    </w:p>
    <w:p w14:paraId="61C3FB5E" w14:textId="3A6B1C1C" w:rsidR="009A0397" w:rsidRPr="004C0EEA" w:rsidRDefault="00582982" w:rsidP="009A0397">
      <w:pPr>
        <w:pStyle w:val="Bullet1"/>
        <w:rPr>
          <w:lang w:val="en-AU"/>
        </w:rPr>
      </w:pPr>
      <w:r w:rsidRPr="004C0EEA">
        <w:rPr>
          <w:lang w:val="en-AU"/>
        </w:rPr>
        <w:t>changing the allocation of CBP funding</w:t>
      </w:r>
      <w:r w:rsidR="009A0397" w:rsidRPr="004C0EEA">
        <w:rPr>
          <w:lang w:val="en-AU"/>
        </w:rPr>
        <w:t xml:space="preserve"> to</w:t>
      </w:r>
      <w:r w:rsidRPr="004C0EEA">
        <w:rPr>
          <w:lang w:val="en-AU"/>
        </w:rPr>
        <w:t xml:space="preserve"> better</w:t>
      </w:r>
      <w:r w:rsidR="009A0397" w:rsidRPr="004C0EEA">
        <w:rPr>
          <w:lang w:val="en-AU"/>
        </w:rPr>
        <w:t xml:space="preserve"> support revenue diversification strategies</w:t>
      </w:r>
      <w:r w:rsidRPr="004C0EEA">
        <w:rPr>
          <w:lang w:val="en-AU"/>
        </w:rPr>
        <w:t xml:space="preserve"> (e.g. salaries</w:t>
      </w:r>
      <w:r w:rsidR="00EB5472">
        <w:rPr>
          <w:lang w:val="en-AU"/>
        </w:rPr>
        <w:t>,</w:t>
      </w:r>
      <w:r w:rsidRPr="004C0EEA">
        <w:rPr>
          <w:lang w:val="en-AU"/>
        </w:rPr>
        <w:t xml:space="preserve"> sponsorship and fundraising personnel)</w:t>
      </w:r>
      <w:r w:rsidR="0011733F" w:rsidRPr="004C0EEA">
        <w:rPr>
          <w:lang w:val="en-AU"/>
        </w:rPr>
        <w:t xml:space="preserve"> and training </w:t>
      </w:r>
      <w:r w:rsidR="00DA5503" w:rsidRPr="004C0EEA">
        <w:rPr>
          <w:lang w:val="en-AU"/>
        </w:rPr>
        <w:t xml:space="preserve">for </w:t>
      </w:r>
      <w:r w:rsidR="0011733F" w:rsidRPr="004C0EEA">
        <w:rPr>
          <w:lang w:val="en-AU"/>
        </w:rPr>
        <w:t>personnel.</w:t>
      </w:r>
    </w:p>
    <w:p w14:paraId="368F33AB" w14:textId="77777777" w:rsidR="00AD6C99" w:rsidRPr="004C0EEA" w:rsidRDefault="009A0397" w:rsidP="009A0397">
      <w:r w:rsidRPr="004C0EEA">
        <w:t>The sector can support its own revenue diversification</w:t>
      </w:r>
      <w:r w:rsidR="00AD6C99" w:rsidRPr="004C0EEA">
        <w:t xml:space="preserve"> </w:t>
      </w:r>
      <w:r w:rsidRPr="004C0EEA">
        <w:t>by</w:t>
      </w:r>
      <w:r w:rsidR="00AD6C99" w:rsidRPr="004C0EEA">
        <w:t>:</w:t>
      </w:r>
    </w:p>
    <w:p w14:paraId="2EBDFDE4" w14:textId="77777777" w:rsidR="007B3E84" w:rsidRPr="004C0EEA" w:rsidRDefault="007B3E84" w:rsidP="007B3E84">
      <w:pPr>
        <w:pStyle w:val="Bullet1"/>
        <w:rPr>
          <w:lang w:val="en-AU"/>
        </w:rPr>
      </w:pPr>
      <w:r w:rsidRPr="004C0EEA">
        <w:rPr>
          <w:lang w:val="en-AU"/>
        </w:rPr>
        <w:t>selling its content to national and/or commercial broadcasters</w:t>
      </w:r>
    </w:p>
    <w:p w14:paraId="49C1D457" w14:textId="77777777" w:rsidR="00005B0B" w:rsidRPr="004C0EEA" w:rsidRDefault="00005B0B" w:rsidP="00005B0B">
      <w:pPr>
        <w:pStyle w:val="Bullet1"/>
        <w:rPr>
          <w:lang w:val="en-AU"/>
        </w:rPr>
      </w:pPr>
      <w:r w:rsidRPr="004C0EEA">
        <w:rPr>
          <w:lang w:val="en-AU"/>
        </w:rPr>
        <w:t xml:space="preserve">centralising personnel at sector body </w:t>
      </w:r>
      <w:r w:rsidR="00F0312A" w:rsidRPr="004C0EEA">
        <w:rPr>
          <w:lang w:val="en-AU"/>
        </w:rPr>
        <w:t xml:space="preserve">level </w:t>
      </w:r>
      <w:r w:rsidRPr="004C0EEA">
        <w:rPr>
          <w:lang w:val="en-AU"/>
        </w:rPr>
        <w:t xml:space="preserve">or between multiple </w:t>
      </w:r>
      <w:r w:rsidR="00FA155F" w:rsidRPr="004C0EEA">
        <w:rPr>
          <w:lang w:val="en-AU"/>
        </w:rPr>
        <w:t>services</w:t>
      </w:r>
      <w:r w:rsidR="00B66FB3" w:rsidRPr="004C0EEA">
        <w:rPr>
          <w:lang w:val="en-AU"/>
        </w:rPr>
        <w:t xml:space="preserve"> (section </w:t>
      </w:r>
      <w:r w:rsidR="00B66FB3" w:rsidRPr="004C0EEA">
        <w:rPr>
          <w:b/>
          <w:lang w:val="en-AU"/>
        </w:rPr>
        <w:t>4.2.5</w:t>
      </w:r>
      <w:r w:rsidR="00B66FB3" w:rsidRPr="004C0EEA">
        <w:rPr>
          <w:lang w:val="en-AU"/>
        </w:rPr>
        <w:t xml:space="preserve"> refers)</w:t>
      </w:r>
    </w:p>
    <w:p w14:paraId="2BFBF682" w14:textId="77777777" w:rsidR="00842FC1" w:rsidRPr="004C0EEA" w:rsidRDefault="00842FC1" w:rsidP="009A0397">
      <w:pPr>
        <w:pStyle w:val="Bullet1"/>
        <w:rPr>
          <w:lang w:val="en-AU"/>
        </w:rPr>
      </w:pPr>
      <w:r w:rsidRPr="004C0EEA">
        <w:rPr>
          <w:lang w:val="en-AU"/>
        </w:rPr>
        <w:t xml:space="preserve">collaborating with other </w:t>
      </w:r>
      <w:r w:rsidR="00152205" w:rsidRPr="004C0EEA">
        <w:rPr>
          <w:lang w:val="en-AU"/>
        </w:rPr>
        <w:t>s</w:t>
      </w:r>
      <w:r w:rsidR="00FA155F" w:rsidRPr="004C0EEA">
        <w:rPr>
          <w:lang w:val="en-AU"/>
        </w:rPr>
        <w:t>ervices</w:t>
      </w:r>
      <w:r w:rsidRPr="004C0EEA">
        <w:rPr>
          <w:lang w:val="en-AU"/>
        </w:rPr>
        <w:t xml:space="preserve"> </w:t>
      </w:r>
      <w:r w:rsidR="009772C7" w:rsidRPr="004C0EEA">
        <w:rPr>
          <w:color w:val="auto"/>
          <w:lang w:val="en-AU"/>
        </w:rPr>
        <w:t>in matters such as governance</w:t>
      </w:r>
      <w:r w:rsidR="00C56A6F" w:rsidRPr="004C0EEA">
        <w:rPr>
          <w:color w:val="auto"/>
          <w:lang w:val="en-AU"/>
        </w:rPr>
        <w:t xml:space="preserve">, </w:t>
      </w:r>
      <w:r w:rsidR="009772C7" w:rsidRPr="004C0EEA">
        <w:rPr>
          <w:color w:val="auto"/>
          <w:lang w:val="en-AU"/>
        </w:rPr>
        <w:t xml:space="preserve">administration </w:t>
      </w:r>
      <w:r w:rsidR="00094332" w:rsidRPr="004C0EEA">
        <w:rPr>
          <w:lang w:val="en-AU"/>
        </w:rPr>
        <w:t>and sharing r</w:t>
      </w:r>
      <w:r w:rsidR="00193CE3" w:rsidRPr="004C0EEA">
        <w:rPr>
          <w:lang w:val="en-AU"/>
        </w:rPr>
        <w:t>esources</w:t>
      </w:r>
    </w:p>
    <w:p w14:paraId="7C2C9817" w14:textId="77777777" w:rsidR="00F61602" w:rsidRPr="004C0EEA" w:rsidRDefault="00663F72" w:rsidP="009A0397">
      <w:pPr>
        <w:pStyle w:val="Bullet1"/>
        <w:rPr>
          <w:lang w:val="en-AU"/>
        </w:rPr>
      </w:pPr>
      <w:r w:rsidRPr="004C0EEA">
        <w:rPr>
          <w:lang w:val="en-AU"/>
        </w:rPr>
        <w:t>exploring</w:t>
      </w:r>
      <w:r w:rsidR="006E32FE" w:rsidRPr="004C0EEA">
        <w:rPr>
          <w:lang w:val="en-AU"/>
        </w:rPr>
        <w:t xml:space="preserve"> mutually beneficial</w:t>
      </w:r>
      <w:r w:rsidRPr="004C0EEA">
        <w:rPr>
          <w:lang w:val="en-AU"/>
        </w:rPr>
        <w:t xml:space="preserve"> </w:t>
      </w:r>
      <w:r w:rsidR="00901254" w:rsidRPr="004C0EEA">
        <w:rPr>
          <w:lang w:val="en-AU"/>
        </w:rPr>
        <w:t>partnerships</w:t>
      </w:r>
      <w:r w:rsidR="00094332" w:rsidRPr="004C0EEA">
        <w:rPr>
          <w:lang w:val="en-AU"/>
        </w:rPr>
        <w:t xml:space="preserve"> with non-broadcasting organisations</w:t>
      </w:r>
      <w:r w:rsidR="00901254" w:rsidRPr="004C0EEA">
        <w:rPr>
          <w:lang w:val="en-AU"/>
        </w:rPr>
        <w:t xml:space="preserve"> </w:t>
      </w:r>
      <w:r w:rsidR="006E32FE" w:rsidRPr="004C0EEA">
        <w:rPr>
          <w:lang w:val="en-AU"/>
        </w:rPr>
        <w:t xml:space="preserve">(e.g. </w:t>
      </w:r>
      <w:r w:rsidR="00901254" w:rsidRPr="004C0EEA">
        <w:rPr>
          <w:lang w:val="en-AU"/>
        </w:rPr>
        <w:t xml:space="preserve">with </w:t>
      </w:r>
      <w:r w:rsidRPr="004C0EEA">
        <w:rPr>
          <w:lang w:val="en-AU"/>
        </w:rPr>
        <w:t>universities to fund content production in exchange for providing placement opportunities for students</w:t>
      </w:r>
      <w:r w:rsidR="00094332" w:rsidRPr="004C0EEA">
        <w:rPr>
          <w:lang w:val="en-AU"/>
        </w:rPr>
        <w:t>, or</w:t>
      </w:r>
      <w:r w:rsidR="00005B0B" w:rsidRPr="004C0EEA">
        <w:rPr>
          <w:lang w:val="en-AU"/>
        </w:rPr>
        <w:t xml:space="preserve"> with </w:t>
      </w:r>
      <w:r w:rsidR="00094332" w:rsidRPr="004C0EEA">
        <w:rPr>
          <w:lang w:val="en-AU"/>
        </w:rPr>
        <w:t xml:space="preserve">community or media </w:t>
      </w:r>
      <w:r w:rsidR="00005B0B" w:rsidRPr="004C0EEA">
        <w:rPr>
          <w:lang w:val="en-AU"/>
        </w:rPr>
        <w:t>organisations</w:t>
      </w:r>
      <w:r w:rsidR="00094332" w:rsidRPr="004C0EEA">
        <w:rPr>
          <w:lang w:val="en-AU"/>
        </w:rPr>
        <w:t xml:space="preserve"> that provide another primary service</w:t>
      </w:r>
      <w:r w:rsidR="006E32FE" w:rsidRPr="004C0EEA">
        <w:rPr>
          <w:lang w:val="en-AU"/>
        </w:rPr>
        <w:t>).</w:t>
      </w:r>
    </w:p>
    <w:p w14:paraId="55D39367" w14:textId="13A000CA" w:rsidR="00B66FB3" w:rsidRPr="004C0EEA" w:rsidRDefault="00B66FB3" w:rsidP="004E45B7">
      <w:r w:rsidRPr="004C0EEA">
        <w:t xml:space="preserve">Any arrangements with national or commercial broadcasters to </w:t>
      </w:r>
      <w:r w:rsidRPr="004C0EEA">
        <w:rPr>
          <w:lang w:eastAsia="en-AU"/>
        </w:rPr>
        <w:t>acquire broadcast</w:t>
      </w:r>
      <w:r w:rsidR="000D136E" w:rsidRPr="004C0EEA">
        <w:rPr>
          <w:lang w:eastAsia="en-AU"/>
        </w:rPr>
        <w:t>ing</w:t>
      </w:r>
      <w:r w:rsidRPr="004C0EEA">
        <w:rPr>
          <w:lang w:eastAsia="en-AU"/>
        </w:rPr>
        <w:t xml:space="preserve"> rights to</w:t>
      </w:r>
      <w:r w:rsidR="003C4EE6">
        <w:rPr>
          <w:lang w:eastAsia="en-AU"/>
        </w:rPr>
        <w:t xml:space="preserve"> </w:t>
      </w:r>
      <w:r w:rsidRPr="004C0EEA">
        <w:rPr>
          <w:lang w:eastAsia="en-AU"/>
        </w:rPr>
        <w:t xml:space="preserve">content would be through commercial negotiations between the content creators and </w:t>
      </w:r>
      <w:r w:rsidR="00283579">
        <w:rPr>
          <w:lang w:eastAsia="en-AU"/>
        </w:rPr>
        <w:t xml:space="preserve">those </w:t>
      </w:r>
      <w:r w:rsidRPr="004C0EEA">
        <w:rPr>
          <w:lang w:eastAsia="en-AU"/>
        </w:rPr>
        <w:t xml:space="preserve">broadcasters. </w:t>
      </w:r>
    </w:p>
    <w:p w14:paraId="30CAC9BC" w14:textId="64684EF8" w:rsidR="00005B0B" w:rsidRPr="004C0EEA" w:rsidRDefault="004E45B7" w:rsidP="00005B0B">
      <w:r w:rsidRPr="004C0EEA">
        <w:t>T</w:t>
      </w:r>
      <w:r w:rsidR="00005B0B" w:rsidRPr="004C0EEA">
        <w:t>he rules around advertising and sponsorship only apply to the community broadcasting service, and not any</w:t>
      </w:r>
      <w:r w:rsidR="00C56A6F" w:rsidRPr="004C0EEA">
        <w:t xml:space="preserve"> off-air or</w:t>
      </w:r>
      <w:r w:rsidR="00005B0B" w:rsidRPr="004C0EEA">
        <w:t xml:space="preserve"> online activities</w:t>
      </w:r>
      <w:r w:rsidRPr="004C0EEA">
        <w:t>. Therefore</w:t>
      </w:r>
      <w:r w:rsidR="00005B0B" w:rsidRPr="004C0EEA">
        <w:t>, community broadcasters could utilise off-air promotional arrangements via their website, social media or event set ups</w:t>
      </w:r>
      <w:r w:rsidR="00C214C1">
        <w:t>,</w:t>
      </w:r>
      <w:r w:rsidRPr="004C0EEA">
        <w:t xml:space="preserve"> </w:t>
      </w:r>
      <w:r w:rsidR="00005B0B" w:rsidRPr="004C0EEA">
        <w:t>ensur</w:t>
      </w:r>
      <w:r w:rsidRPr="004C0EEA">
        <w:t>ing</w:t>
      </w:r>
      <w:r w:rsidR="00005B0B" w:rsidRPr="004C0EEA">
        <w:t xml:space="preserve"> that any </w:t>
      </w:r>
      <w:r w:rsidRPr="004C0EEA">
        <w:t>arrangements are</w:t>
      </w:r>
      <w:r w:rsidR="00094332" w:rsidRPr="004C0EEA">
        <w:t xml:space="preserve"> not for the purposes of </w:t>
      </w:r>
      <w:r w:rsidR="00005B0B" w:rsidRPr="004C0EEA">
        <w:t>provid</w:t>
      </w:r>
      <w:r w:rsidR="00094332" w:rsidRPr="004C0EEA">
        <w:t>ing</w:t>
      </w:r>
      <w:r w:rsidR="00005B0B" w:rsidRPr="004C0EEA">
        <w:t xml:space="preserve"> services for profit or as part of a profit-making enterprise</w:t>
      </w:r>
      <w:bookmarkEnd w:id="32"/>
      <w:r w:rsidR="00094332" w:rsidRPr="004C0EEA">
        <w:t xml:space="preserve"> (section </w:t>
      </w:r>
      <w:r w:rsidR="004F6C99" w:rsidRPr="004C0EEA">
        <w:rPr>
          <w:b/>
        </w:rPr>
        <w:t>5</w:t>
      </w:r>
      <w:r w:rsidR="00725E30" w:rsidRPr="004C0EEA">
        <w:rPr>
          <w:b/>
        </w:rPr>
        <w:t>.1.4</w:t>
      </w:r>
      <w:r w:rsidR="00094332" w:rsidRPr="004C0EEA">
        <w:t xml:space="preserve"> refers)</w:t>
      </w:r>
      <w:r w:rsidR="00BE2870" w:rsidRPr="004C0EEA">
        <w:t xml:space="preserve">. </w:t>
      </w:r>
    </w:p>
    <w:p w14:paraId="6EA9F9AD" w14:textId="77777777" w:rsidR="00910B78" w:rsidRPr="004C0EEA" w:rsidRDefault="00910B78" w:rsidP="00910B78">
      <w:pPr>
        <w:pStyle w:val="Heading2"/>
      </w:pPr>
      <w:bookmarkStart w:id="33" w:name="_Toc191450998"/>
      <w:r w:rsidRPr="004C0EEA">
        <w:t>Structure</w:t>
      </w:r>
      <w:bookmarkEnd w:id="33"/>
    </w:p>
    <w:p w14:paraId="09DC4D86" w14:textId="77777777" w:rsidR="00457A78" w:rsidRPr="004C0EEA" w:rsidRDefault="00457A78" w:rsidP="007669D5">
      <w:pPr>
        <w:pStyle w:val="Heading3"/>
      </w:pPr>
      <w:bookmarkStart w:id="34" w:name="_Toc191450999"/>
      <w:r w:rsidRPr="004C0EEA">
        <w:t>Funding priorities</w:t>
      </w:r>
      <w:bookmarkEnd w:id="34"/>
    </w:p>
    <w:p w14:paraId="6396C1E7" w14:textId="77777777" w:rsidR="004A24BD" w:rsidRPr="004C0EEA" w:rsidRDefault="002B75E5" w:rsidP="004A24BD">
      <w:r w:rsidRPr="004C0EEA">
        <w:t>There were 6 funding priorities</w:t>
      </w:r>
      <w:r w:rsidR="00140B83" w:rsidRPr="004C0EEA">
        <w:t xml:space="preserve"> for the CBP</w:t>
      </w:r>
      <w:r w:rsidRPr="004C0EEA">
        <w:t xml:space="preserve"> </w:t>
      </w:r>
      <w:r w:rsidR="0014279A" w:rsidRPr="004C0EEA">
        <w:t>that emerged throughout the sustainability review</w:t>
      </w:r>
      <w:r w:rsidR="00B31228" w:rsidRPr="004C0EEA">
        <w:t>. These</w:t>
      </w:r>
      <w:r w:rsidR="004A24BD" w:rsidRPr="004C0EEA">
        <w:t xml:space="preserve"> align </w:t>
      </w:r>
      <w:r w:rsidR="00FB5F7C" w:rsidRPr="004C0EEA">
        <w:t xml:space="preserve">with the </w:t>
      </w:r>
      <w:r w:rsidR="00B31228" w:rsidRPr="004C0EEA">
        <w:t>ethos</w:t>
      </w:r>
      <w:r w:rsidR="00FB5F7C" w:rsidRPr="004C0EEA">
        <w:t xml:space="preserve"> of community broadcasting, Australian Government priorities and Roadmap 2033. These are:</w:t>
      </w:r>
    </w:p>
    <w:p w14:paraId="2999ABE9" w14:textId="77777777" w:rsidR="00945783" w:rsidRPr="004C0EEA" w:rsidRDefault="00945783" w:rsidP="00340BF8">
      <w:pPr>
        <w:pStyle w:val="Bullet1"/>
        <w:rPr>
          <w:lang w:val="en-AU"/>
        </w:rPr>
      </w:pPr>
      <w:r w:rsidRPr="004C0EEA">
        <w:rPr>
          <w:lang w:val="en-AU"/>
        </w:rPr>
        <w:t>workforce capability – paid personnel, pathways to support emerging talent, volunteer engagement strategies, governance and business support, Community Media Training Organisation</w:t>
      </w:r>
      <w:r w:rsidR="00FB5F7C" w:rsidRPr="004C0EEA">
        <w:rPr>
          <w:lang w:val="en-AU"/>
        </w:rPr>
        <w:t xml:space="preserve"> training courses</w:t>
      </w:r>
    </w:p>
    <w:p w14:paraId="0764E031" w14:textId="2F7738F6" w:rsidR="00945783" w:rsidRPr="004C0EEA" w:rsidRDefault="00B808E7" w:rsidP="00945783">
      <w:pPr>
        <w:pStyle w:val="Bullet1"/>
        <w:rPr>
          <w:lang w:val="en-AU"/>
        </w:rPr>
      </w:pPr>
      <w:r w:rsidRPr="004C0EEA">
        <w:rPr>
          <w:lang w:val="en-AU"/>
        </w:rPr>
        <w:t>audio-visual content</w:t>
      </w:r>
      <w:r w:rsidR="00945783" w:rsidRPr="004C0EEA">
        <w:rPr>
          <w:lang w:val="en-AU"/>
        </w:rPr>
        <w:t xml:space="preserve"> – </w:t>
      </w:r>
      <w:r w:rsidRPr="004C0EEA">
        <w:rPr>
          <w:lang w:val="en-AU"/>
        </w:rPr>
        <w:t xml:space="preserve">the production, broadcasting and dissemination of </w:t>
      </w:r>
      <w:r w:rsidR="00A25EF3">
        <w:rPr>
          <w:lang w:val="en-AU"/>
        </w:rPr>
        <w:t>television</w:t>
      </w:r>
      <w:r w:rsidR="00A25EF3" w:rsidRPr="004C0EEA">
        <w:rPr>
          <w:lang w:val="en-AU"/>
        </w:rPr>
        <w:t xml:space="preserve"> </w:t>
      </w:r>
      <w:r w:rsidRPr="004C0EEA">
        <w:rPr>
          <w:lang w:val="en-AU"/>
        </w:rPr>
        <w:t>or video content</w:t>
      </w:r>
    </w:p>
    <w:p w14:paraId="43F96369" w14:textId="77777777" w:rsidR="00945783" w:rsidRPr="004C0EEA" w:rsidRDefault="00277FA4" w:rsidP="00945783">
      <w:pPr>
        <w:pStyle w:val="Bullet1"/>
        <w:rPr>
          <w:lang w:val="en-AU"/>
        </w:rPr>
      </w:pPr>
      <w:r w:rsidRPr="004C0EEA">
        <w:rPr>
          <w:lang w:val="en-AU"/>
        </w:rPr>
        <w:t>news and public interest journalism –</w:t>
      </w:r>
      <w:r w:rsidR="00FB5F7C" w:rsidRPr="004C0EEA">
        <w:rPr>
          <w:lang w:val="en-AU"/>
        </w:rPr>
        <w:t xml:space="preserve"> the production of content and salaries for journalists</w:t>
      </w:r>
      <w:r w:rsidR="001C20E8" w:rsidRPr="004C0EEA">
        <w:rPr>
          <w:lang w:val="en-AU"/>
        </w:rPr>
        <w:t xml:space="preserve"> and producers</w:t>
      </w:r>
    </w:p>
    <w:p w14:paraId="5167820B" w14:textId="77777777" w:rsidR="00277FA4" w:rsidRPr="004C0EEA" w:rsidRDefault="0003480B" w:rsidP="00945783">
      <w:pPr>
        <w:pStyle w:val="Bullet1"/>
        <w:rPr>
          <w:lang w:val="en-AU"/>
        </w:rPr>
      </w:pPr>
      <w:r w:rsidRPr="004C0EEA">
        <w:rPr>
          <w:lang w:val="en-AU"/>
        </w:rPr>
        <w:t>transmission</w:t>
      </w:r>
      <w:r w:rsidR="00277FA4" w:rsidRPr="004C0EEA">
        <w:rPr>
          <w:lang w:val="en-AU"/>
        </w:rPr>
        <w:t xml:space="preserve"> –</w:t>
      </w:r>
      <w:r w:rsidR="00FB5F7C" w:rsidRPr="004C0EEA">
        <w:rPr>
          <w:lang w:val="en-AU"/>
        </w:rPr>
        <w:t xml:space="preserve"> </w:t>
      </w:r>
      <w:r w:rsidRPr="004C0EEA">
        <w:rPr>
          <w:lang w:val="en-AU"/>
        </w:rPr>
        <w:t xml:space="preserve">emergency preparedness, </w:t>
      </w:r>
      <w:r w:rsidR="00277FA4" w:rsidRPr="004C0EEA">
        <w:rPr>
          <w:lang w:val="en-AU"/>
        </w:rPr>
        <w:t>back-up power</w:t>
      </w:r>
      <w:r w:rsidR="00FB5F7C" w:rsidRPr="004C0EEA">
        <w:rPr>
          <w:lang w:val="en-AU"/>
        </w:rPr>
        <w:t>/transmission</w:t>
      </w:r>
      <w:r w:rsidR="00277FA4" w:rsidRPr="004C0EEA">
        <w:rPr>
          <w:lang w:val="en-AU"/>
        </w:rPr>
        <w:t>,</w:t>
      </w:r>
      <w:r w:rsidR="00340BF8" w:rsidRPr="004C0EEA">
        <w:rPr>
          <w:lang w:val="en-AU"/>
        </w:rPr>
        <w:t xml:space="preserve"> maintenance,</w:t>
      </w:r>
      <w:r w:rsidR="00277FA4" w:rsidRPr="004C0EEA">
        <w:rPr>
          <w:lang w:val="en-AU"/>
        </w:rPr>
        <w:t xml:space="preserve"> </w:t>
      </w:r>
      <w:r w:rsidR="00FB5F7C" w:rsidRPr="004C0EEA">
        <w:rPr>
          <w:lang w:val="en-AU"/>
        </w:rPr>
        <w:t>technicians</w:t>
      </w:r>
    </w:p>
    <w:p w14:paraId="0AF4C41B" w14:textId="12E58829" w:rsidR="00277FA4" w:rsidRPr="004C0EEA" w:rsidRDefault="00277FA4" w:rsidP="00945783">
      <w:pPr>
        <w:pStyle w:val="Bullet1"/>
        <w:rPr>
          <w:lang w:val="en-AU"/>
        </w:rPr>
      </w:pPr>
      <w:r w:rsidRPr="004C0EEA">
        <w:rPr>
          <w:lang w:val="en-AU"/>
        </w:rPr>
        <w:t>music, arts and culture –</w:t>
      </w:r>
      <w:r w:rsidR="00FB5F7C" w:rsidRPr="004C0EEA">
        <w:rPr>
          <w:lang w:val="en-AU"/>
        </w:rPr>
        <w:t xml:space="preserve"> </w:t>
      </w:r>
      <w:r w:rsidR="00A53C3B" w:rsidRPr="004C0EEA">
        <w:rPr>
          <w:lang w:val="en-AU"/>
        </w:rPr>
        <w:t xml:space="preserve">the production, broadcasting and dissemination </w:t>
      </w:r>
      <w:r w:rsidR="00615755" w:rsidRPr="004C0EEA">
        <w:rPr>
          <w:lang w:val="en-AU"/>
        </w:rPr>
        <w:t xml:space="preserve">of </w:t>
      </w:r>
      <w:r w:rsidR="00A53C3B" w:rsidRPr="004C0EEA">
        <w:rPr>
          <w:lang w:val="en-AU"/>
        </w:rPr>
        <w:t>content</w:t>
      </w:r>
      <w:r w:rsidR="00C214C1">
        <w:rPr>
          <w:lang w:val="en-AU"/>
        </w:rPr>
        <w:t>,</w:t>
      </w:r>
      <w:r w:rsidR="001C20E8" w:rsidRPr="004C0EEA">
        <w:rPr>
          <w:lang w:val="en-AU"/>
        </w:rPr>
        <w:t xml:space="preserve"> </w:t>
      </w:r>
      <w:r w:rsidR="00A53C3B" w:rsidRPr="004C0EEA">
        <w:rPr>
          <w:lang w:val="en-AU"/>
        </w:rPr>
        <w:t>community events</w:t>
      </w:r>
    </w:p>
    <w:p w14:paraId="6B13E6B2" w14:textId="77777777" w:rsidR="00A71348" w:rsidRPr="004C0EEA" w:rsidRDefault="00277FA4" w:rsidP="004A24BD">
      <w:pPr>
        <w:pStyle w:val="Bullet1"/>
        <w:rPr>
          <w:lang w:val="en-AU"/>
        </w:rPr>
      </w:pPr>
      <w:r w:rsidRPr="004C0EEA">
        <w:rPr>
          <w:lang w:val="en-AU"/>
        </w:rPr>
        <w:t>digital technology –</w:t>
      </w:r>
      <w:r w:rsidR="00FB5F7C" w:rsidRPr="004C0EEA">
        <w:rPr>
          <w:lang w:val="en-AU"/>
        </w:rPr>
        <w:t xml:space="preserve"> expansi</w:t>
      </w:r>
      <w:r w:rsidR="008C7129" w:rsidRPr="004C0EEA">
        <w:rPr>
          <w:lang w:val="en-AU"/>
        </w:rPr>
        <w:t xml:space="preserve">on of digital projects, </w:t>
      </w:r>
      <w:r w:rsidR="00A53C3B" w:rsidRPr="004C0EEA">
        <w:rPr>
          <w:lang w:val="en-AU"/>
        </w:rPr>
        <w:t>the Community Radio Plus and Community TV+ apps,</w:t>
      </w:r>
      <w:r w:rsidR="00FB5F7C" w:rsidRPr="004C0EEA">
        <w:rPr>
          <w:lang w:val="en-AU"/>
        </w:rPr>
        <w:t xml:space="preserve"> expanding reach on other platforms</w:t>
      </w:r>
      <w:r w:rsidR="00AE34DB" w:rsidRPr="004C0EEA">
        <w:rPr>
          <w:lang w:val="en-AU"/>
        </w:rPr>
        <w:t xml:space="preserve">, digital archiving and </w:t>
      </w:r>
      <w:r w:rsidR="00CC1503" w:rsidRPr="004C0EEA">
        <w:rPr>
          <w:lang w:val="en-AU"/>
        </w:rPr>
        <w:t>training</w:t>
      </w:r>
      <w:r w:rsidR="0070505C" w:rsidRPr="004C0EEA">
        <w:rPr>
          <w:lang w:val="en-AU"/>
        </w:rPr>
        <w:t>.</w:t>
      </w:r>
    </w:p>
    <w:p w14:paraId="75861EEA" w14:textId="77777777" w:rsidR="00EF2E43" w:rsidRPr="004C0EEA" w:rsidRDefault="00457A78" w:rsidP="007669D5">
      <w:pPr>
        <w:pStyle w:val="Heading3"/>
      </w:pPr>
      <w:bookmarkStart w:id="35" w:name="_Toc191451000"/>
      <w:r w:rsidRPr="004C0EEA">
        <w:lastRenderedPageBreak/>
        <w:t>G</w:t>
      </w:r>
      <w:r w:rsidR="0030164A" w:rsidRPr="004C0EEA">
        <w:t>rant streams</w:t>
      </w:r>
      <w:bookmarkEnd w:id="35"/>
    </w:p>
    <w:p w14:paraId="355CF8B6" w14:textId="77777777" w:rsidR="00E26471" w:rsidRPr="004C0EEA" w:rsidRDefault="00B31228" w:rsidP="00003DA4">
      <w:r w:rsidRPr="004C0EEA">
        <w:t>The</w:t>
      </w:r>
      <w:r w:rsidR="00AA3DDC" w:rsidRPr="004C0EEA">
        <w:t xml:space="preserve"> CBP grant streams </w:t>
      </w:r>
      <w:r w:rsidRPr="004C0EEA">
        <w:t xml:space="preserve">are </w:t>
      </w:r>
      <w:r w:rsidR="00AA3DDC" w:rsidRPr="004C0EEA">
        <w:t>working well for applicants</w:t>
      </w:r>
      <w:r w:rsidRPr="004C0EEA">
        <w:t>, and most of the</w:t>
      </w:r>
      <w:r w:rsidR="00AA3DDC" w:rsidRPr="004C0EEA">
        <w:t xml:space="preserve"> sector supports the current CBP</w:t>
      </w:r>
      <w:r w:rsidR="00430B23" w:rsidRPr="004C0EEA">
        <w:t xml:space="preserve"> grant</w:t>
      </w:r>
      <w:r w:rsidR="00AA3DDC" w:rsidRPr="004C0EEA">
        <w:t xml:space="preserve"> streams</w:t>
      </w:r>
      <w:r w:rsidR="00A42EBB" w:rsidRPr="004C0EEA">
        <w:t xml:space="preserve">. In the </w:t>
      </w:r>
      <w:r w:rsidR="00C413EA" w:rsidRPr="004C0EEA">
        <w:t>development and operations stream</w:t>
      </w:r>
      <w:r w:rsidR="00550BC4" w:rsidRPr="004C0EEA">
        <w:t xml:space="preserve">, </w:t>
      </w:r>
      <w:r w:rsidR="00A42EBB" w:rsidRPr="004C0EEA">
        <w:t>effective use of CBP funds entailed having</w:t>
      </w:r>
      <w:r w:rsidR="00C413EA" w:rsidRPr="004C0EEA">
        <w:t xml:space="preserve"> paid staff to manage or support station operations, maintain equipment, travel to broadcast sites and manage volunteers.</w:t>
      </w:r>
      <w:r w:rsidR="00A42EBB" w:rsidRPr="004C0EEA">
        <w:t xml:space="preserve"> </w:t>
      </w:r>
    </w:p>
    <w:p w14:paraId="4ABE21C7" w14:textId="0AA536EF" w:rsidR="00363E3A" w:rsidRPr="004C0EEA" w:rsidRDefault="00A42EBB" w:rsidP="00003DA4">
      <w:r w:rsidRPr="004C0EEA">
        <w:t xml:space="preserve">The sector’s commitment to producing local </w:t>
      </w:r>
      <w:r w:rsidR="00E26471" w:rsidRPr="004C0EEA">
        <w:t xml:space="preserve">and hyperlocal </w:t>
      </w:r>
      <w:r w:rsidRPr="004C0EEA">
        <w:t xml:space="preserve">programming that reflects </w:t>
      </w:r>
      <w:r w:rsidR="00E26471" w:rsidRPr="004C0EEA">
        <w:t xml:space="preserve">community </w:t>
      </w:r>
      <w:r w:rsidRPr="004C0EEA">
        <w:t>needs</w:t>
      </w:r>
      <w:r w:rsidR="00E26471" w:rsidRPr="004C0EEA">
        <w:t xml:space="preserve"> and interest</w:t>
      </w:r>
      <w:r w:rsidR="007C717C" w:rsidRPr="004C0EEA">
        <w:t>s</w:t>
      </w:r>
      <w:r w:rsidR="00E26471" w:rsidRPr="004C0EEA">
        <w:t xml:space="preserve"> is supported by the content stream</w:t>
      </w:r>
      <w:r w:rsidR="00B47B95" w:rsidRPr="004C0EEA">
        <w:t>,</w:t>
      </w:r>
      <w:r w:rsidR="00155591" w:rsidRPr="004C0EEA">
        <w:t xml:space="preserve"> </w:t>
      </w:r>
      <w:r w:rsidR="00542180" w:rsidRPr="004C0EEA">
        <w:t xml:space="preserve">including </w:t>
      </w:r>
      <w:r w:rsidR="00155591" w:rsidRPr="004C0EEA">
        <w:t>First Nations content</w:t>
      </w:r>
      <w:r w:rsidR="00C418EB" w:rsidRPr="004C0EEA">
        <w:t xml:space="preserve"> </w:t>
      </w:r>
      <w:r w:rsidR="001F74F6" w:rsidRPr="004C0EEA">
        <w:t>supported by the First Nations Community Broadcasting Fund.</w:t>
      </w:r>
      <w:r w:rsidR="00D5194E" w:rsidRPr="004C0EEA">
        <w:t xml:space="preserve"> </w:t>
      </w:r>
      <w:r w:rsidR="00B47B95" w:rsidRPr="004C0EEA">
        <w:t>This is because some non-Indigenous broadcasters have First Nations content and support First Nations personnel, and they wish to continue fostering cultural understanding, empowering Indigenous voices, and contribut</w:t>
      </w:r>
      <w:r w:rsidR="007C717C" w:rsidRPr="004C0EEA">
        <w:t>ing</w:t>
      </w:r>
      <w:r w:rsidR="00B47B95" w:rsidRPr="004C0EEA">
        <w:t xml:space="preserve"> to a more inclusive media landscape.</w:t>
      </w:r>
      <w:r w:rsidR="00363E3A" w:rsidRPr="004C0EEA">
        <w:t xml:space="preserve"> </w:t>
      </w:r>
    </w:p>
    <w:p w14:paraId="7B22A9F4" w14:textId="77777777" w:rsidR="00694C5D" w:rsidRPr="004C0EEA" w:rsidRDefault="00363E3A" w:rsidP="00003DA4">
      <w:r w:rsidRPr="004C0EEA">
        <w:t xml:space="preserve">However, some First Nations broadcasters recommended that the First Nations Community Broadcasting </w:t>
      </w:r>
      <w:r w:rsidR="0059442F" w:rsidRPr="004C0EEA">
        <w:t>F</w:t>
      </w:r>
      <w:r w:rsidRPr="004C0EEA">
        <w:t>und be moved to the IBMP. There is a risk that reallocating this funding would remove access for First Nations personnel at non-Indigenous broadcasters, disadvantage First Nations content where a First Nations broadcasting service is not available, and limit the ability of non-Indigenous broadcasters to promote positive stories (e.g. through National Reconciliation Week or NAIDOC Week</w:t>
      </w:r>
      <w:r w:rsidR="00694C5D" w:rsidRPr="004C0EEA">
        <w:t>).</w:t>
      </w:r>
    </w:p>
    <w:p w14:paraId="7BDEED99" w14:textId="505895CB" w:rsidR="004167B3" w:rsidRPr="004C0EEA" w:rsidRDefault="00003DA4" w:rsidP="00003DA4">
      <w:r w:rsidRPr="004C0EEA">
        <w:t>T</w:t>
      </w:r>
      <w:r w:rsidR="00A42EBB" w:rsidRPr="004C0EEA">
        <w:t xml:space="preserve">he sector investment stream is crucial for supporting </w:t>
      </w:r>
      <w:r w:rsidR="004231CB" w:rsidRPr="004C0EEA">
        <w:t>sector peak bodies</w:t>
      </w:r>
      <w:r w:rsidR="00A42EBB" w:rsidRPr="004C0EEA">
        <w:t xml:space="preserve"> and </w:t>
      </w:r>
      <w:r w:rsidR="00094D89" w:rsidRPr="004C0EEA">
        <w:t>to achieve the strategic goals in Roadmap 2033.</w:t>
      </w:r>
      <w:r w:rsidRPr="004C0EEA">
        <w:t xml:space="preserve"> There was consistent support for </w:t>
      </w:r>
      <w:r w:rsidR="004231CB" w:rsidRPr="004C0EEA">
        <w:t>sector peak bodies</w:t>
      </w:r>
      <w:r w:rsidRPr="004C0EEA">
        <w:t xml:space="preserve"> to continue to receive CBP funding to assist with or implement governance, business planning</w:t>
      </w:r>
      <w:r w:rsidR="00377508">
        <w:t>,</w:t>
      </w:r>
      <w:r w:rsidRPr="004C0EEA">
        <w:t xml:space="preserve"> operational measures</w:t>
      </w:r>
      <w:r w:rsidR="00B56CC7" w:rsidRPr="004C0EEA">
        <w:t>,</w:t>
      </w:r>
      <w:r w:rsidRPr="004C0EEA">
        <w:t xml:space="preserve"> and to facilitate collaboration, consortiums or intra-regional partnerships. </w:t>
      </w:r>
    </w:p>
    <w:p w14:paraId="361F9C47" w14:textId="77777777" w:rsidR="00094D89" w:rsidRPr="004C0EEA" w:rsidRDefault="00B31228" w:rsidP="00AA3DDC">
      <w:r w:rsidRPr="004C0EEA">
        <w:t>The multicultural and disability sub-sectors requested that the CBF consider changing the</w:t>
      </w:r>
      <w:r w:rsidR="00193CE3" w:rsidRPr="004C0EEA">
        <w:t>se</w:t>
      </w:r>
      <w:r w:rsidRPr="004C0EEA">
        <w:t xml:space="preserve"> funding lines:</w:t>
      </w:r>
    </w:p>
    <w:p w14:paraId="75BB1B8B" w14:textId="77777777" w:rsidR="00094D89" w:rsidRPr="004C0EEA" w:rsidRDefault="00193CE3" w:rsidP="00094D89">
      <w:pPr>
        <w:pStyle w:val="Bullet1"/>
        <w:rPr>
          <w:lang w:val="en-AU"/>
        </w:rPr>
      </w:pPr>
      <w:r w:rsidRPr="004C0EEA">
        <w:rPr>
          <w:lang w:val="en-AU"/>
        </w:rPr>
        <w:t xml:space="preserve">change </w:t>
      </w:r>
      <w:r w:rsidR="00094D89" w:rsidRPr="004C0EEA">
        <w:rPr>
          <w:lang w:val="en-AU"/>
        </w:rPr>
        <w:t>‘ethnic broadcasting’ to ‘multicultural’ to align with modern language</w:t>
      </w:r>
    </w:p>
    <w:p w14:paraId="261C95D7" w14:textId="77777777" w:rsidR="00A42EBB" w:rsidRPr="004C0EEA" w:rsidRDefault="00193CE3" w:rsidP="00AA3DDC">
      <w:pPr>
        <w:pStyle w:val="Bullet1"/>
        <w:rPr>
          <w:lang w:val="en-AU"/>
        </w:rPr>
      </w:pPr>
      <w:r w:rsidRPr="004C0EEA">
        <w:rPr>
          <w:lang w:val="en-AU"/>
        </w:rPr>
        <w:t xml:space="preserve">change </w:t>
      </w:r>
      <w:r w:rsidR="00094D89" w:rsidRPr="004C0EEA">
        <w:rPr>
          <w:lang w:val="en-AU"/>
        </w:rPr>
        <w:t>‘Radio for the Print Handicapped’ to ‘disability’ to reflect the different disabilities serviced</w:t>
      </w:r>
      <w:r w:rsidR="00003DA4" w:rsidRPr="004C0EEA">
        <w:rPr>
          <w:lang w:val="en-AU"/>
        </w:rPr>
        <w:t>.</w:t>
      </w:r>
    </w:p>
    <w:p w14:paraId="31AD13C7" w14:textId="77777777" w:rsidR="00A42EBB" w:rsidRPr="004C0EEA" w:rsidRDefault="00A42EBB" w:rsidP="007669D5">
      <w:pPr>
        <w:pStyle w:val="Heading3"/>
      </w:pPr>
      <w:bookmarkStart w:id="36" w:name="_Toc191451001"/>
      <w:r w:rsidRPr="004C0EEA">
        <w:t>Granting processes</w:t>
      </w:r>
      <w:bookmarkEnd w:id="36"/>
    </w:p>
    <w:p w14:paraId="57DC7562" w14:textId="4D531C3D" w:rsidR="003F7D67" w:rsidRPr="004C0EEA" w:rsidRDefault="00B31228" w:rsidP="00003DA4">
      <w:r w:rsidRPr="004C0EEA">
        <w:t>S</w:t>
      </w:r>
      <w:r w:rsidR="001F74F6" w:rsidRPr="004C0EEA">
        <w:t xml:space="preserve">ome </w:t>
      </w:r>
      <w:r w:rsidR="00AA3DDC" w:rsidRPr="004C0EEA">
        <w:t>community broadcasters had a level of dissatisfaction with the grant application process</w:t>
      </w:r>
      <w:r w:rsidR="00F72281" w:rsidRPr="004C0EEA">
        <w:t xml:space="preserve"> due to perceived conflicts of interest</w:t>
      </w:r>
      <w:r w:rsidR="00152205" w:rsidRPr="004C0EEA">
        <w:t xml:space="preserve"> </w:t>
      </w:r>
      <w:r w:rsidR="00F72281" w:rsidRPr="004C0EEA">
        <w:t>that</w:t>
      </w:r>
      <w:r w:rsidR="00BE2870" w:rsidRPr="004C0EEA">
        <w:t xml:space="preserve"> the</w:t>
      </w:r>
      <w:r w:rsidR="00F72281" w:rsidRPr="004C0EEA">
        <w:t xml:space="preserve"> CBF’s peer assessors may have in their roles as staff, volunteers or Board members at applying organisations</w:t>
      </w:r>
      <w:r w:rsidR="00AA3DDC" w:rsidRPr="004C0EEA">
        <w:t>.</w:t>
      </w:r>
      <w:r w:rsidR="00003DA4" w:rsidRPr="004C0EEA">
        <w:t xml:space="preserve"> </w:t>
      </w:r>
      <w:r w:rsidR="003F7D67" w:rsidRPr="004C0EEA">
        <w:t>However, other community broadcasters recognised the peer assessor model as crucial to the CBF ma</w:t>
      </w:r>
      <w:r w:rsidR="00BA18B0" w:rsidRPr="004C0EEA">
        <w:t>k</w:t>
      </w:r>
      <w:r w:rsidR="006732CA" w:rsidRPr="004C0EEA">
        <w:t>ing</w:t>
      </w:r>
      <w:r w:rsidR="003F7D67" w:rsidRPr="004C0EEA">
        <w:t xml:space="preserve"> informed decisions based on its knowledge of the sector and the positive impact a successful grant would have on the applying organisation.</w:t>
      </w:r>
    </w:p>
    <w:p w14:paraId="3F90245E" w14:textId="086F3BFC" w:rsidR="00003DA4" w:rsidRPr="004C0EEA" w:rsidRDefault="00003DA4" w:rsidP="00003DA4">
      <w:r w:rsidRPr="004C0EEA">
        <w:t xml:space="preserve">While most community broadcasters have a general awareness of the </w:t>
      </w:r>
      <w:r w:rsidR="001A0433" w:rsidRPr="004C0EEA">
        <w:t xml:space="preserve">grants that </w:t>
      </w:r>
      <w:r w:rsidR="0013447D">
        <w:t xml:space="preserve">the </w:t>
      </w:r>
      <w:r w:rsidR="001A0433" w:rsidRPr="004C0EEA">
        <w:t>CBF makes available</w:t>
      </w:r>
      <w:r w:rsidR="00AC392F" w:rsidRPr="004C0EEA">
        <w:t>,</w:t>
      </w:r>
      <w:r w:rsidR="00BA0000" w:rsidRPr="004C0EEA">
        <w:t xml:space="preserve"> </w:t>
      </w:r>
      <w:r w:rsidRPr="004C0EEA">
        <w:t xml:space="preserve">there is some confusion </w:t>
      </w:r>
      <w:r w:rsidR="0013447D">
        <w:t>about</w:t>
      </w:r>
      <w:r w:rsidRPr="004C0EEA">
        <w:t xml:space="preserve"> how the CBF decide</w:t>
      </w:r>
      <w:r w:rsidR="00B653F8" w:rsidRPr="004C0EEA">
        <w:t>s</w:t>
      </w:r>
      <w:r w:rsidRPr="004C0EEA">
        <w:t xml:space="preserve"> on the funding </w:t>
      </w:r>
      <w:r w:rsidR="00BA0000" w:rsidRPr="004C0EEA">
        <w:t>quantum</w:t>
      </w:r>
      <w:r w:rsidRPr="004C0EEA">
        <w:t xml:space="preserve"> for each stream</w:t>
      </w:r>
      <w:r w:rsidR="00AC392F" w:rsidRPr="004C0EEA">
        <w:t>. Particularly</w:t>
      </w:r>
      <w:r w:rsidR="00BA0000" w:rsidRPr="004C0EEA">
        <w:t xml:space="preserve"> whether sector demand influenced the funding allocation</w:t>
      </w:r>
      <w:r w:rsidR="003F7D67" w:rsidRPr="004C0EEA">
        <w:t xml:space="preserve">, </w:t>
      </w:r>
      <w:r w:rsidR="00532159" w:rsidRPr="004C0EEA">
        <w:t xml:space="preserve">and whether </w:t>
      </w:r>
      <w:r w:rsidR="003F7D67" w:rsidRPr="004C0EEA">
        <w:t>revenue and diversity</w:t>
      </w:r>
      <w:r w:rsidR="00AC392F" w:rsidRPr="004C0EEA">
        <w:t xml:space="preserve"> information provided as part of the grant application</w:t>
      </w:r>
      <w:r w:rsidR="003F7D67" w:rsidRPr="004C0EEA">
        <w:t xml:space="preserve"> </w:t>
      </w:r>
      <w:r w:rsidR="00AC392F" w:rsidRPr="004C0EEA">
        <w:t>influenced the outcome</w:t>
      </w:r>
      <w:r w:rsidR="00532159" w:rsidRPr="004C0EEA">
        <w:t xml:space="preserve"> in any way</w:t>
      </w:r>
      <w:r w:rsidR="00AC392F" w:rsidRPr="004C0EEA">
        <w:t>.</w:t>
      </w:r>
    </w:p>
    <w:p w14:paraId="17CFF5FB" w14:textId="005E3C31" w:rsidR="00AC392F" w:rsidRPr="004C0EEA" w:rsidRDefault="00AC392F" w:rsidP="00003DA4">
      <w:r w:rsidRPr="004C0EEA">
        <w:t xml:space="preserve">Some community broadcasters also shared that their unstable financial situation and the duration between applying for </w:t>
      </w:r>
      <w:r w:rsidR="00474E6B" w:rsidRPr="004C0EEA">
        <w:t xml:space="preserve">a </w:t>
      </w:r>
      <w:r w:rsidRPr="004C0EEA">
        <w:t>grant, receiving the funding</w:t>
      </w:r>
      <w:r w:rsidR="00186798" w:rsidRPr="004C0EEA">
        <w:t>,</w:t>
      </w:r>
      <w:r w:rsidRPr="004C0EEA">
        <w:t xml:space="preserve"> and acquitting the funds at the end of the grant cycle had negative impact</w:t>
      </w:r>
      <w:r w:rsidR="00377508">
        <w:t>s</w:t>
      </w:r>
      <w:r w:rsidRPr="004C0EEA">
        <w:t xml:space="preserve"> on day-to-day operations</w:t>
      </w:r>
      <w:r w:rsidR="00532159" w:rsidRPr="004C0EEA">
        <w:t xml:space="preserve"> and their ability to use the grant for its intended purpose</w:t>
      </w:r>
      <w:r w:rsidRPr="004C0EEA">
        <w:t>.</w:t>
      </w:r>
    </w:p>
    <w:p w14:paraId="201C4AC5" w14:textId="77777777" w:rsidR="00BA0000" w:rsidRPr="004C0EEA" w:rsidRDefault="00B31228" w:rsidP="00BA0000">
      <w:r w:rsidRPr="004C0EEA">
        <w:t xml:space="preserve">Some community broadcasters and </w:t>
      </w:r>
      <w:r w:rsidR="004231CB" w:rsidRPr="004C0EEA">
        <w:t>sector peak bodies</w:t>
      </w:r>
      <w:r w:rsidRPr="004C0EEA">
        <w:t xml:space="preserve"> identified</w:t>
      </w:r>
      <w:r w:rsidR="00BA0000" w:rsidRPr="004C0EEA">
        <w:t xml:space="preserve"> opportunities for the CBF to improve its granting processes</w:t>
      </w:r>
      <w:r w:rsidR="00D165AE" w:rsidRPr="004C0EEA">
        <w:t>,</w:t>
      </w:r>
      <w:r w:rsidR="00BA0000" w:rsidRPr="004C0EEA">
        <w:t xml:space="preserve"> including:</w:t>
      </w:r>
    </w:p>
    <w:p w14:paraId="786D1DF6" w14:textId="77777777" w:rsidR="003F7D67" w:rsidRPr="004C0EEA" w:rsidRDefault="003F7D67" w:rsidP="00BA0000">
      <w:pPr>
        <w:pStyle w:val="Bullet1"/>
        <w:rPr>
          <w:lang w:val="en-AU"/>
        </w:rPr>
      </w:pPr>
      <w:r w:rsidRPr="004C0EEA">
        <w:rPr>
          <w:lang w:val="en-AU"/>
        </w:rPr>
        <w:t>reviewing the funding quantum for each stream based on sector demand in the previous granting round</w:t>
      </w:r>
    </w:p>
    <w:p w14:paraId="0D2361A1" w14:textId="77777777" w:rsidR="00DC65FE" w:rsidRPr="004C0EEA" w:rsidRDefault="00DC65FE" w:rsidP="00BA0000">
      <w:pPr>
        <w:pStyle w:val="Bullet1"/>
        <w:rPr>
          <w:lang w:val="en-AU"/>
        </w:rPr>
      </w:pPr>
      <w:r w:rsidRPr="004C0EEA">
        <w:rPr>
          <w:lang w:val="en-AU"/>
        </w:rPr>
        <w:t>notifying the sector how much funding is available under each stream for each grant round</w:t>
      </w:r>
    </w:p>
    <w:p w14:paraId="21650953" w14:textId="77777777" w:rsidR="00BA0000" w:rsidRPr="004C0EEA" w:rsidRDefault="00BA0000" w:rsidP="00BA0000">
      <w:pPr>
        <w:pStyle w:val="Bullet1"/>
        <w:rPr>
          <w:lang w:val="en-AU"/>
        </w:rPr>
      </w:pPr>
      <w:r w:rsidRPr="004C0EEA">
        <w:rPr>
          <w:lang w:val="en-AU"/>
        </w:rPr>
        <w:t xml:space="preserve">reviewing </w:t>
      </w:r>
      <w:r w:rsidR="00663F72" w:rsidRPr="004C0EEA">
        <w:rPr>
          <w:lang w:val="en-AU"/>
        </w:rPr>
        <w:t>the application form</w:t>
      </w:r>
      <w:r w:rsidRPr="004C0EEA">
        <w:rPr>
          <w:lang w:val="en-AU"/>
        </w:rPr>
        <w:t xml:space="preserve"> to ensure </w:t>
      </w:r>
      <w:r w:rsidR="00663F72" w:rsidRPr="004C0EEA">
        <w:rPr>
          <w:lang w:val="en-AU"/>
        </w:rPr>
        <w:t>questions</w:t>
      </w:r>
      <w:r w:rsidRPr="004C0EEA">
        <w:rPr>
          <w:lang w:val="en-AU"/>
        </w:rPr>
        <w:t xml:space="preserve"> are fit-for-purpose</w:t>
      </w:r>
      <w:r w:rsidR="00663F72" w:rsidRPr="004C0EEA">
        <w:rPr>
          <w:lang w:val="en-AU"/>
        </w:rPr>
        <w:t>,</w:t>
      </w:r>
      <w:r w:rsidRPr="004C0EEA">
        <w:rPr>
          <w:lang w:val="en-AU"/>
        </w:rPr>
        <w:t xml:space="preserve"> culturally appropriate</w:t>
      </w:r>
      <w:r w:rsidR="00663F72" w:rsidRPr="004C0EEA">
        <w:rPr>
          <w:lang w:val="en-AU"/>
        </w:rPr>
        <w:t xml:space="preserve"> and in plain English; and removing questions that do not inform the assessment process</w:t>
      </w:r>
    </w:p>
    <w:p w14:paraId="3C237298" w14:textId="77777777" w:rsidR="004107EA" w:rsidRPr="004C0EEA" w:rsidRDefault="004107EA" w:rsidP="004107EA">
      <w:pPr>
        <w:pStyle w:val="Bullet1"/>
        <w:rPr>
          <w:lang w:val="en-AU"/>
        </w:rPr>
      </w:pPr>
      <w:r w:rsidRPr="004C0EEA">
        <w:rPr>
          <w:lang w:val="en-AU"/>
        </w:rPr>
        <w:t xml:space="preserve">allowing </w:t>
      </w:r>
      <w:r w:rsidR="00310A1E" w:rsidRPr="004C0EEA">
        <w:rPr>
          <w:lang w:val="en-AU"/>
        </w:rPr>
        <w:t xml:space="preserve">some </w:t>
      </w:r>
      <w:r w:rsidRPr="004C0EEA">
        <w:rPr>
          <w:lang w:val="en-AU"/>
        </w:rPr>
        <w:t>flexibility in grant activities so community broadcasters can effectively respond to change</w:t>
      </w:r>
    </w:p>
    <w:p w14:paraId="36F008F6" w14:textId="33C58142" w:rsidR="00F72281" w:rsidRPr="004C0EEA" w:rsidRDefault="00F72281" w:rsidP="004107EA">
      <w:pPr>
        <w:pStyle w:val="Bullet1"/>
        <w:rPr>
          <w:lang w:val="en-AU"/>
        </w:rPr>
      </w:pPr>
      <w:r w:rsidRPr="004C0EEA">
        <w:rPr>
          <w:lang w:val="en-AU"/>
        </w:rPr>
        <w:t xml:space="preserve">mitigating actual or perceived </w:t>
      </w:r>
      <w:r w:rsidR="00B22E54">
        <w:rPr>
          <w:lang w:val="en-AU"/>
        </w:rPr>
        <w:t>conflicts</w:t>
      </w:r>
      <w:r w:rsidR="003F7D67" w:rsidRPr="004C0EEA">
        <w:rPr>
          <w:lang w:val="en-AU"/>
        </w:rPr>
        <w:t xml:space="preserve"> by </w:t>
      </w:r>
      <w:r w:rsidR="00FD0245" w:rsidRPr="004C0EEA">
        <w:rPr>
          <w:lang w:val="en-AU"/>
        </w:rPr>
        <w:t xml:space="preserve">having </w:t>
      </w:r>
      <w:r w:rsidR="003F7D67" w:rsidRPr="004C0EEA">
        <w:rPr>
          <w:lang w:val="en-AU"/>
        </w:rPr>
        <w:t xml:space="preserve">a mix of peer assessors and </w:t>
      </w:r>
      <w:r w:rsidR="00B22E54">
        <w:rPr>
          <w:lang w:val="en-AU"/>
        </w:rPr>
        <w:t xml:space="preserve">independent </w:t>
      </w:r>
      <w:r w:rsidR="003F7D67" w:rsidRPr="004C0EEA">
        <w:rPr>
          <w:lang w:val="en-AU"/>
        </w:rPr>
        <w:t>assessors</w:t>
      </w:r>
    </w:p>
    <w:p w14:paraId="319493BE" w14:textId="77777777" w:rsidR="003F7D67" w:rsidRPr="004C0EEA" w:rsidRDefault="003F7D67" w:rsidP="003F7D67">
      <w:pPr>
        <w:pStyle w:val="Bullet1"/>
        <w:rPr>
          <w:lang w:val="en-AU"/>
        </w:rPr>
      </w:pPr>
      <w:r w:rsidRPr="004C0EEA">
        <w:rPr>
          <w:lang w:val="en-AU"/>
        </w:rPr>
        <w:t xml:space="preserve">improving feedback </w:t>
      </w:r>
      <w:r w:rsidR="00C90C8D" w:rsidRPr="004C0EEA">
        <w:rPr>
          <w:lang w:val="en-AU"/>
        </w:rPr>
        <w:t xml:space="preserve">to </w:t>
      </w:r>
      <w:r w:rsidRPr="004C0EEA">
        <w:rPr>
          <w:lang w:val="en-AU"/>
        </w:rPr>
        <w:t>applicants with higher income</w:t>
      </w:r>
      <w:r w:rsidR="00A0223F" w:rsidRPr="004C0EEA">
        <w:rPr>
          <w:lang w:val="en-AU"/>
        </w:rPr>
        <w:t xml:space="preserve"> </w:t>
      </w:r>
      <w:r w:rsidRPr="004C0EEA">
        <w:rPr>
          <w:lang w:val="en-AU"/>
        </w:rPr>
        <w:t xml:space="preserve">if their application was </w:t>
      </w:r>
      <w:r w:rsidR="00A0223F" w:rsidRPr="004C0EEA">
        <w:rPr>
          <w:lang w:val="en-AU"/>
        </w:rPr>
        <w:t>un</w:t>
      </w:r>
      <w:r w:rsidRPr="004C0EEA">
        <w:rPr>
          <w:lang w:val="en-AU"/>
        </w:rPr>
        <w:t xml:space="preserve">successful </w:t>
      </w:r>
      <w:r w:rsidR="00A0223F" w:rsidRPr="004C0EEA">
        <w:rPr>
          <w:lang w:val="en-AU"/>
        </w:rPr>
        <w:t>on</w:t>
      </w:r>
      <w:r w:rsidR="00E1487B" w:rsidRPr="004C0EEA">
        <w:rPr>
          <w:lang w:val="en-AU"/>
        </w:rPr>
        <w:t xml:space="preserve"> </w:t>
      </w:r>
      <w:r w:rsidRPr="004C0EEA">
        <w:rPr>
          <w:lang w:val="en-AU"/>
        </w:rPr>
        <w:t>other criteria</w:t>
      </w:r>
    </w:p>
    <w:p w14:paraId="2BF4B9B7" w14:textId="77777777" w:rsidR="00BA0000" w:rsidRPr="004C0EEA" w:rsidRDefault="00663F72" w:rsidP="00663F72">
      <w:pPr>
        <w:pStyle w:val="Bullet1"/>
        <w:rPr>
          <w:lang w:val="en-AU"/>
        </w:rPr>
      </w:pPr>
      <w:r w:rsidRPr="004C0EEA">
        <w:rPr>
          <w:lang w:val="en-AU"/>
        </w:rPr>
        <w:t>reviewing reporting requirements so as not to be overly burdensome on applicants</w:t>
      </w:r>
      <w:r w:rsidR="003F7D67" w:rsidRPr="004C0EEA">
        <w:rPr>
          <w:lang w:val="en-AU"/>
        </w:rPr>
        <w:t xml:space="preserve"> and still ensur</w:t>
      </w:r>
      <w:r w:rsidR="00152205" w:rsidRPr="004C0EEA">
        <w:rPr>
          <w:lang w:val="en-AU"/>
        </w:rPr>
        <w:t>e</w:t>
      </w:r>
      <w:r w:rsidR="003F7D67" w:rsidRPr="004C0EEA">
        <w:rPr>
          <w:lang w:val="en-AU"/>
        </w:rPr>
        <w:t xml:space="preserve"> continued compliance with the CBP grant guidelines and </w:t>
      </w:r>
      <w:r w:rsidR="00152205" w:rsidRPr="004C0EEA">
        <w:rPr>
          <w:lang w:val="en-AU"/>
        </w:rPr>
        <w:t>grant</w:t>
      </w:r>
      <w:r w:rsidR="003F7D67" w:rsidRPr="004C0EEA">
        <w:rPr>
          <w:lang w:val="en-AU"/>
        </w:rPr>
        <w:t xml:space="preserve"> agreement</w:t>
      </w:r>
      <w:r w:rsidRPr="004C0EEA">
        <w:rPr>
          <w:lang w:val="en-AU"/>
        </w:rPr>
        <w:t>.</w:t>
      </w:r>
    </w:p>
    <w:p w14:paraId="66856537" w14:textId="77777777" w:rsidR="00401532" w:rsidRPr="004C0EEA" w:rsidRDefault="00D03284" w:rsidP="007669D5">
      <w:pPr>
        <w:pStyle w:val="Heading3"/>
      </w:pPr>
      <w:bookmarkStart w:id="37" w:name="_Toc191451002"/>
      <w:r w:rsidRPr="004C0EEA">
        <w:lastRenderedPageBreak/>
        <w:t>Multi-year and multi-organisation</w:t>
      </w:r>
      <w:r w:rsidR="00401532" w:rsidRPr="004C0EEA">
        <w:t xml:space="preserve"> grants</w:t>
      </w:r>
      <w:bookmarkEnd w:id="37"/>
    </w:p>
    <w:p w14:paraId="2688D09D" w14:textId="37B6BCF4" w:rsidR="00AF1457" w:rsidRPr="004C0EEA" w:rsidRDefault="00B84B1E" w:rsidP="00A70249">
      <w:r w:rsidRPr="004C0EEA">
        <w:t>Limited</w:t>
      </w:r>
      <w:r w:rsidR="00AF1457" w:rsidRPr="004C0EEA">
        <w:t xml:space="preserve"> access to multi-year fu</w:t>
      </w:r>
      <w:r w:rsidR="0003480B" w:rsidRPr="004C0EEA">
        <w:t>nding</w:t>
      </w:r>
      <w:r w:rsidR="00AF1457" w:rsidRPr="004C0EEA">
        <w:t xml:space="preserve"> added to cyclical </w:t>
      </w:r>
      <w:r w:rsidR="0003480B" w:rsidRPr="004C0EEA">
        <w:t xml:space="preserve">financial </w:t>
      </w:r>
      <w:r w:rsidR="00AF1457" w:rsidRPr="004C0EEA">
        <w:t xml:space="preserve">uncertainty </w:t>
      </w:r>
      <w:r w:rsidR="0003480B" w:rsidRPr="004C0EEA">
        <w:t>and</w:t>
      </w:r>
      <w:r w:rsidR="00AF1457" w:rsidRPr="004C0EEA">
        <w:t xml:space="preserve"> created insecurity for staffing</w:t>
      </w:r>
      <w:r w:rsidR="00D439C0" w:rsidRPr="004C0EEA">
        <w:t>, operations, infrastructure,</w:t>
      </w:r>
      <w:r w:rsidR="00AF1457" w:rsidRPr="004C0EEA">
        <w:t xml:space="preserve"> and organisational development activities</w:t>
      </w:r>
      <w:r w:rsidRPr="004C0EEA">
        <w:t xml:space="preserve"> for some community broadcasters</w:t>
      </w:r>
      <w:r w:rsidR="00AF1457" w:rsidRPr="004C0EEA">
        <w:t xml:space="preserve">. This limited </w:t>
      </w:r>
      <w:r w:rsidR="00377508">
        <w:t>progression of</w:t>
      </w:r>
      <w:r w:rsidR="00AF1457" w:rsidRPr="004C0EEA">
        <w:t xml:space="preserve"> their </w:t>
      </w:r>
      <w:r w:rsidR="0003480B" w:rsidRPr="004C0EEA">
        <w:t xml:space="preserve">longer-term </w:t>
      </w:r>
      <w:r w:rsidR="00AF1457" w:rsidRPr="004C0EEA">
        <w:t xml:space="preserve">strategic objectives and building resilience. Further, </w:t>
      </w:r>
      <w:r w:rsidR="0003480B" w:rsidRPr="004C0EEA">
        <w:t>multi-organisation grants place</w:t>
      </w:r>
      <w:r w:rsidR="00AF1457" w:rsidRPr="004C0EEA">
        <w:t xml:space="preserve"> unforeseen administrative burden on a single grantee</w:t>
      </w:r>
      <w:r w:rsidR="00775CB4" w:rsidRPr="004C0EEA">
        <w:t>, as the current arrangement</w:t>
      </w:r>
      <w:r w:rsidR="00377508">
        <w:t>s</w:t>
      </w:r>
      <w:r w:rsidR="00775CB4" w:rsidRPr="004C0EEA">
        <w:t xml:space="preserve"> only allow one organisation to apply for the grant.</w:t>
      </w:r>
    </w:p>
    <w:p w14:paraId="69B7E482" w14:textId="073CF677" w:rsidR="003F7D67" w:rsidRPr="004C0EEA" w:rsidRDefault="00B84B1E" w:rsidP="00D9661C">
      <w:r w:rsidRPr="004C0EEA">
        <w:t xml:space="preserve">Some community broadcasters and </w:t>
      </w:r>
      <w:r w:rsidR="004231CB" w:rsidRPr="004C0EEA">
        <w:t>sector peak bodies</w:t>
      </w:r>
      <w:r w:rsidRPr="004C0EEA">
        <w:t xml:space="preserve"> identified</w:t>
      </w:r>
      <w:r w:rsidR="00D439C0" w:rsidRPr="004C0EEA">
        <w:t xml:space="preserve"> opportunities for</w:t>
      </w:r>
      <w:r w:rsidR="00970533" w:rsidRPr="004C0EEA">
        <w:t xml:space="preserve"> the CBF to </w:t>
      </w:r>
      <w:r w:rsidR="0003480B" w:rsidRPr="004C0EEA">
        <w:t xml:space="preserve">offer a higher proportion of </w:t>
      </w:r>
      <w:r w:rsidR="00970533" w:rsidRPr="004C0EEA">
        <w:t>multi-year grants</w:t>
      </w:r>
      <w:r w:rsidR="0003480B" w:rsidRPr="004C0EEA">
        <w:t>,</w:t>
      </w:r>
      <w:r w:rsidR="00D9661C" w:rsidRPr="004C0EEA">
        <w:t xml:space="preserve"> </w:t>
      </w:r>
      <w:r w:rsidR="00DD6E4E" w:rsidRPr="004C0EEA">
        <w:t xml:space="preserve">to </w:t>
      </w:r>
      <w:r w:rsidR="00970533" w:rsidRPr="004C0EEA">
        <w:t>allow more than</w:t>
      </w:r>
      <w:r w:rsidR="00AF1457" w:rsidRPr="004C0EEA">
        <w:t xml:space="preserve"> one </w:t>
      </w:r>
      <w:r w:rsidR="00970533" w:rsidRPr="004C0EEA">
        <w:t xml:space="preserve">grantee to </w:t>
      </w:r>
      <w:r w:rsidR="00AF1457" w:rsidRPr="004C0EEA">
        <w:t xml:space="preserve">manage </w:t>
      </w:r>
      <w:r w:rsidR="00970533" w:rsidRPr="004C0EEA">
        <w:t>a</w:t>
      </w:r>
      <w:r w:rsidR="00AF1457" w:rsidRPr="004C0EEA">
        <w:t xml:space="preserve"> grant</w:t>
      </w:r>
      <w:r w:rsidR="0003480B" w:rsidRPr="004C0EEA">
        <w:t xml:space="preserve">, </w:t>
      </w:r>
      <w:r w:rsidR="003F7D67" w:rsidRPr="004C0EEA">
        <w:t xml:space="preserve">and </w:t>
      </w:r>
      <w:r w:rsidR="00412C5B">
        <w:t xml:space="preserve">to </w:t>
      </w:r>
      <w:r w:rsidR="003F7D67" w:rsidRPr="004C0EEA">
        <w:t>offer</w:t>
      </w:r>
      <w:r w:rsidR="009A7983" w:rsidRPr="004C0EEA">
        <w:t xml:space="preserve"> </w:t>
      </w:r>
      <w:r w:rsidR="003F7D67" w:rsidRPr="004C0EEA">
        <w:t xml:space="preserve">guidance on which organisation would be responsible for </w:t>
      </w:r>
      <w:r w:rsidR="0003480B" w:rsidRPr="004C0EEA">
        <w:t>reporting</w:t>
      </w:r>
      <w:r w:rsidR="003F7D67" w:rsidRPr="004C0EEA">
        <w:t xml:space="preserve"> and the</w:t>
      </w:r>
      <w:r w:rsidR="0003480B" w:rsidRPr="004C0EEA">
        <w:t xml:space="preserve"> acquittal of funds.</w:t>
      </w:r>
      <w:r w:rsidR="0070505C" w:rsidRPr="004C0EEA">
        <w:t xml:space="preserve"> </w:t>
      </w:r>
      <w:r w:rsidR="004167B3" w:rsidRPr="004C0EEA">
        <w:t>However, there</w:t>
      </w:r>
      <w:r w:rsidR="0003480B" w:rsidRPr="004C0EEA">
        <w:t xml:space="preserve"> is a risk that</w:t>
      </w:r>
      <w:r w:rsidR="00D9661C" w:rsidRPr="004C0EEA">
        <w:t xml:space="preserve"> multi-year or multi-organisation grants </w:t>
      </w:r>
      <w:r w:rsidR="0003480B" w:rsidRPr="004C0EEA">
        <w:t xml:space="preserve">may have </w:t>
      </w:r>
      <w:r w:rsidR="00D9661C" w:rsidRPr="004C0EEA">
        <w:t xml:space="preserve">an adverse impact on </w:t>
      </w:r>
      <w:r w:rsidR="0003480B" w:rsidRPr="004C0EEA">
        <w:t xml:space="preserve">CBP </w:t>
      </w:r>
      <w:r w:rsidR="00D9661C" w:rsidRPr="004C0EEA">
        <w:t xml:space="preserve">funding </w:t>
      </w:r>
      <w:r w:rsidR="005E4DCF" w:rsidRPr="004C0EEA">
        <w:t>allocation</w:t>
      </w:r>
      <w:r w:rsidR="00D9661C" w:rsidRPr="004C0EEA">
        <w:t xml:space="preserve"> and availability, </w:t>
      </w:r>
      <w:r w:rsidR="00377508">
        <w:t>and</w:t>
      </w:r>
      <w:r w:rsidR="00377508" w:rsidRPr="004C0EEA">
        <w:t xml:space="preserve"> </w:t>
      </w:r>
      <w:r w:rsidR="0003480B" w:rsidRPr="004C0EEA">
        <w:t>reduc</w:t>
      </w:r>
      <w:r w:rsidR="00377508">
        <w:t>e</w:t>
      </w:r>
      <w:r w:rsidR="0003480B" w:rsidRPr="004C0EEA">
        <w:t xml:space="preserve"> </w:t>
      </w:r>
      <w:r w:rsidR="009C1180" w:rsidRPr="004C0EEA">
        <w:t>access to</w:t>
      </w:r>
      <w:r w:rsidR="0003480B" w:rsidRPr="004C0EEA">
        <w:t xml:space="preserve"> one-year</w:t>
      </w:r>
      <w:r w:rsidR="003F7D67" w:rsidRPr="004C0EEA">
        <w:t xml:space="preserve">, </w:t>
      </w:r>
      <w:r w:rsidR="005E4DCF" w:rsidRPr="004C0EEA">
        <w:t>single</w:t>
      </w:r>
      <w:r w:rsidR="003F7D67" w:rsidRPr="004C0EEA">
        <w:t xml:space="preserve"> organisation </w:t>
      </w:r>
      <w:r w:rsidR="0003480B" w:rsidRPr="004C0EEA">
        <w:t>and lesser value grants</w:t>
      </w:r>
      <w:r w:rsidR="009C1180" w:rsidRPr="004C0EEA">
        <w:t>.</w:t>
      </w:r>
      <w:r w:rsidR="0003480B" w:rsidRPr="004C0EEA">
        <w:t xml:space="preserve"> </w:t>
      </w:r>
    </w:p>
    <w:p w14:paraId="4EC64863" w14:textId="421C3CA5" w:rsidR="0070505C" w:rsidRPr="004C0EEA" w:rsidRDefault="0003480B" w:rsidP="00D9661C">
      <w:r w:rsidRPr="004C0EEA">
        <w:t xml:space="preserve">There is also a risk that multi-year grants </w:t>
      </w:r>
      <w:r w:rsidR="003F7D67" w:rsidRPr="004C0EEA">
        <w:t xml:space="preserve">may </w:t>
      </w:r>
      <w:r w:rsidR="00377508">
        <w:t xml:space="preserve">limit the CBF’s ability </w:t>
      </w:r>
      <w:r w:rsidRPr="004C0EEA">
        <w:t xml:space="preserve">to respond </w:t>
      </w:r>
      <w:r w:rsidR="009C1180" w:rsidRPr="004C0EEA">
        <w:t>to the changing needs of</w:t>
      </w:r>
      <w:r w:rsidRPr="004C0EEA">
        <w:t xml:space="preserve"> the sector or changing market factors. </w:t>
      </w:r>
      <w:r w:rsidR="003F7D67" w:rsidRPr="004C0EEA">
        <w:t xml:space="preserve">The CBF </w:t>
      </w:r>
      <w:r w:rsidR="006221D5" w:rsidRPr="004C0EEA">
        <w:t>should</w:t>
      </w:r>
      <w:r w:rsidR="003F7D67" w:rsidRPr="004C0EEA">
        <w:t xml:space="preserve"> consider </w:t>
      </w:r>
      <w:r w:rsidR="0070505C" w:rsidRPr="004C0EEA">
        <w:t>provid</w:t>
      </w:r>
      <w:r w:rsidR="003F7D67" w:rsidRPr="004C0EEA">
        <w:t>ing</w:t>
      </w:r>
      <w:r w:rsidR="0070505C" w:rsidRPr="004C0EEA">
        <w:t xml:space="preserve"> CBP funding to the sector in a way that balances urgent and long-term needs</w:t>
      </w:r>
      <w:r w:rsidR="00377508">
        <w:t xml:space="preserve"> of the sector</w:t>
      </w:r>
      <w:r w:rsidR="003F7D67" w:rsidRPr="004C0EEA">
        <w:t>.</w:t>
      </w:r>
    </w:p>
    <w:p w14:paraId="03643E86" w14:textId="77777777" w:rsidR="00457A78" w:rsidRPr="004C0EEA" w:rsidRDefault="00457A78" w:rsidP="007669D5">
      <w:pPr>
        <w:pStyle w:val="Heading3"/>
      </w:pPr>
      <w:bookmarkStart w:id="38" w:name="_Toc191451003"/>
      <w:r w:rsidRPr="004C0EEA">
        <w:t>Centralised services</w:t>
      </w:r>
      <w:bookmarkEnd w:id="38"/>
    </w:p>
    <w:p w14:paraId="37BF45B0" w14:textId="1FB40E4B" w:rsidR="001A5E00" w:rsidRPr="004C0EEA" w:rsidRDefault="00B84B1E" w:rsidP="00B22E54">
      <w:r w:rsidRPr="004C0EEA">
        <w:t>Some</w:t>
      </w:r>
      <w:r w:rsidR="00661291" w:rsidRPr="004C0EEA">
        <w:t xml:space="preserve"> community broadcasters shared examples</w:t>
      </w:r>
      <w:r w:rsidR="00377508">
        <w:t xml:space="preserve"> of partnerships</w:t>
      </w:r>
      <w:r w:rsidR="00661291" w:rsidRPr="004C0EEA">
        <w:t xml:space="preserve"> which improved their operational or organisational resilience</w:t>
      </w:r>
      <w:r w:rsidR="00412C5B">
        <w:t>,</w:t>
      </w:r>
      <w:r w:rsidR="00661291" w:rsidRPr="004C0EEA">
        <w:t xml:space="preserve"> including co-location and shared sites to mitigate transmission access issues, and resources </w:t>
      </w:r>
      <w:r w:rsidR="00277B41">
        <w:t>such as</w:t>
      </w:r>
      <w:r w:rsidR="00277B41" w:rsidRPr="004C0EEA">
        <w:t xml:space="preserve"> </w:t>
      </w:r>
      <w:r w:rsidR="00661291" w:rsidRPr="004C0EEA">
        <w:t xml:space="preserve">technical staff to manage shared infrastructure. </w:t>
      </w:r>
      <w:r w:rsidR="00B22E54">
        <w:t>S</w:t>
      </w:r>
      <w:r w:rsidR="00B22E54" w:rsidRPr="004C0EEA">
        <w:t>uccessful partnerships or projects were more likely to occur when there was a state-based sector body, and/or an intra-regional partnership that was responsive to the specific needs of those organisations.</w:t>
      </w:r>
      <w:r w:rsidR="00B22E54">
        <w:t xml:space="preserve"> </w:t>
      </w:r>
      <w:r w:rsidR="00661291" w:rsidRPr="004C0EEA">
        <w:t>However, there were some challenges with coordinating region-wide or sector-wide solutions</w:t>
      </w:r>
      <w:r w:rsidR="00412C5B">
        <w:t>. These include</w:t>
      </w:r>
      <w:r w:rsidR="00B22E54">
        <w:t xml:space="preserve"> </w:t>
      </w:r>
      <w:r w:rsidR="00412C5B">
        <w:t xml:space="preserve">a </w:t>
      </w:r>
      <w:r w:rsidR="00661291" w:rsidRPr="004C0EEA">
        <w:t>low supply of technical staff</w:t>
      </w:r>
      <w:r w:rsidR="00B22E54">
        <w:t xml:space="preserve">, </w:t>
      </w:r>
      <w:r w:rsidR="00661291" w:rsidRPr="004C0EEA">
        <w:t>increased travel costs</w:t>
      </w:r>
      <w:r w:rsidR="00B22E54">
        <w:t xml:space="preserve"> and </w:t>
      </w:r>
      <w:r w:rsidR="00661291" w:rsidRPr="004C0EEA">
        <w:t>geographic isolation</w:t>
      </w:r>
      <w:r w:rsidR="00B22E54">
        <w:t xml:space="preserve"> of some broadcasters.</w:t>
      </w:r>
    </w:p>
    <w:p w14:paraId="3FE154D1" w14:textId="31E9D4A6" w:rsidR="00AC4EE6" w:rsidRPr="004C0EEA" w:rsidRDefault="00AC4EE6" w:rsidP="00AC4EE6">
      <w:r w:rsidRPr="004C0EEA">
        <w:t xml:space="preserve">There are opportunities to </w:t>
      </w:r>
      <w:r w:rsidR="00EE5381" w:rsidRPr="004C0EEA">
        <w:t>centralise or share</w:t>
      </w:r>
      <w:r w:rsidRPr="004C0EEA">
        <w:t xml:space="preserve"> non-broadcasting services</w:t>
      </w:r>
      <w:r w:rsidR="00EE5381" w:rsidRPr="004C0EEA">
        <w:t xml:space="preserve"> within the </w:t>
      </w:r>
      <w:r w:rsidR="00DA5503" w:rsidRPr="004C0EEA">
        <w:t xml:space="preserve">community broadcasting </w:t>
      </w:r>
      <w:r w:rsidR="00EE5381" w:rsidRPr="004C0EEA">
        <w:t>sector. This includes</w:t>
      </w:r>
      <w:r w:rsidRPr="004C0EEA">
        <w:t xml:space="preserve"> legal advice, workforce and human resources support, business development and marketing, and governance. These services could be tailored to each state and territory, considering </w:t>
      </w:r>
      <w:r w:rsidR="00EE5381" w:rsidRPr="004C0EEA">
        <w:t xml:space="preserve">legislation </w:t>
      </w:r>
      <w:r w:rsidRPr="004C0EEA">
        <w:t xml:space="preserve">in each jurisdiction. </w:t>
      </w:r>
    </w:p>
    <w:p w14:paraId="427FB4A3" w14:textId="77777777" w:rsidR="00166C87" w:rsidRPr="004C0EEA" w:rsidRDefault="00B84B1E" w:rsidP="00166C87">
      <w:r w:rsidRPr="004C0EEA">
        <w:t>Most c</w:t>
      </w:r>
      <w:r w:rsidR="00166C87" w:rsidRPr="004C0EEA">
        <w:t>ommunity broadcasters recognise that data will improve their ability to write successful grant applications, secure sponsorship, and allow them to better serve their community’s needs and interests. There are opportunities for the sector to centralise efforts to standardise data collection, and use metrics that are familiar to other industries (e.g. marketing, advertising and media).</w:t>
      </w:r>
    </w:p>
    <w:p w14:paraId="38419B78" w14:textId="77777777" w:rsidR="00D5194E" w:rsidRPr="004C0EEA" w:rsidRDefault="004231CB" w:rsidP="00D5194E">
      <w:r w:rsidRPr="004C0EEA">
        <w:t>Sector peak bodies</w:t>
      </w:r>
      <w:r w:rsidR="00D5194E" w:rsidRPr="004C0EEA">
        <w:t xml:space="preserve"> are crucial to effectively manage centralised services on behalf of community broadcasters. Centralised services managed by </w:t>
      </w:r>
      <w:r w:rsidRPr="004C0EEA">
        <w:t>sector peak bodies</w:t>
      </w:r>
      <w:r w:rsidR="00D5194E" w:rsidRPr="004C0EEA">
        <w:t xml:space="preserve"> would </w:t>
      </w:r>
      <w:r w:rsidR="00B66FB3" w:rsidRPr="004C0EEA">
        <w:t>improve</w:t>
      </w:r>
      <w:r w:rsidR="00D5194E" w:rsidRPr="004C0EEA">
        <w:t xml:space="preserve"> sustainability because:</w:t>
      </w:r>
    </w:p>
    <w:p w14:paraId="47F624A8" w14:textId="77777777" w:rsidR="00D5194E" w:rsidRPr="004C0EEA" w:rsidRDefault="00D5194E" w:rsidP="00D5194E">
      <w:pPr>
        <w:pStyle w:val="Bullet1"/>
        <w:rPr>
          <w:lang w:val="en-AU"/>
        </w:rPr>
      </w:pPr>
      <w:r w:rsidRPr="004C0EEA">
        <w:rPr>
          <w:lang w:val="en-AU"/>
        </w:rPr>
        <w:t xml:space="preserve">initiatives </w:t>
      </w:r>
      <w:r w:rsidR="00166C87" w:rsidRPr="004C0EEA">
        <w:rPr>
          <w:lang w:val="en-AU"/>
        </w:rPr>
        <w:t>can</w:t>
      </w:r>
      <w:r w:rsidRPr="004C0EEA">
        <w:rPr>
          <w:lang w:val="en-AU"/>
        </w:rPr>
        <w:t xml:space="preserve"> be appropriately scaled, and delivered in collaboration</w:t>
      </w:r>
    </w:p>
    <w:p w14:paraId="48E9279C" w14:textId="77777777" w:rsidR="00D5194E" w:rsidRPr="004C0EEA" w:rsidRDefault="00166C87" w:rsidP="00D5194E">
      <w:pPr>
        <w:pStyle w:val="Bullet1"/>
        <w:rPr>
          <w:lang w:val="en-AU"/>
        </w:rPr>
      </w:pPr>
      <w:r w:rsidRPr="004C0EEA">
        <w:rPr>
          <w:lang w:val="en-AU"/>
        </w:rPr>
        <w:t>they will allow better</w:t>
      </w:r>
      <w:r w:rsidR="00D5194E" w:rsidRPr="004C0EEA">
        <w:rPr>
          <w:lang w:val="en-AU"/>
        </w:rPr>
        <w:t xml:space="preserve"> workforce planning, retention and engagement of appropriately skilled people</w:t>
      </w:r>
    </w:p>
    <w:p w14:paraId="33A158B3" w14:textId="77777777" w:rsidR="00D5194E" w:rsidRPr="004C0EEA" w:rsidRDefault="00166C87" w:rsidP="00D5194E">
      <w:pPr>
        <w:pStyle w:val="Bullet1"/>
        <w:rPr>
          <w:lang w:val="en-AU"/>
        </w:rPr>
      </w:pPr>
      <w:r w:rsidRPr="004C0EEA">
        <w:rPr>
          <w:lang w:val="en-AU"/>
        </w:rPr>
        <w:t xml:space="preserve">they can coordinate </w:t>
      </w:r>
      <w:r w:rsidR="00D5194E" w:rsidRPr="004C0EEA">
        <w:rPr>
          <w:lang w:val="en-AU"/>
        </w:rPr>
        <w:t>more sector-wide events to facilitate partnerships and exchange best practice ideas</w:t>
      </w:r>
    </w:p>
    <w:p w14:paraId="4FD49A60" w14:textId="77777777" w:rsidR="00090832" w:rsidRPr="004C0EEA" w:rsidRDefault="00D5194E" w:rsidP="00AC4EE6">
      <w:pPr>
        <w:pStyle w:val="Bullet1"/>
        <w:rPr>
          <w:lang w:val="en-AU"/>
        </w:rPr>
      </w:pPr>
      <w:r w:rsidRPr="004C0EEA">
        <w:rPr>
          <w:lang w:val="en-AU"/>
        </w:rPr>
        <w:t>the</w:t>
      </w:r>
      <w:r w:rsidR="00166C87" w:rsidRPr="004C0EEA">
        <w:rPr>
          <w:lang w:val="en-AU"/>
        </w:rPr>
        <w:t>y can support the</w:t>
      </w:r>
      <w:r w:rsidRPr="004C0EEA">
        <w:rPr>
          <w:lang w:val="en-AU"/>
        </w:rPr>
        <w:t xml:space="preserve"> sector to respond to needs as they arise (e.g. when there are legislative changes, when multiple services require assistance with the same topic or issue).</w:t>
      </w:r>
    </w:p>
    <w:p w14:paraId="2A333C6D" w14:textId="77777777" w:rsidR="00090832" w:rsidRPr="004C0EEA" w:rsidRDefault="00090832">
      <w:pPr>
        <w:suppressAutoHyphens w:val="0"/>
      </w:pPr>
      <w:r w:rsidRPr="004C0EEA">
        <w:br w:type="page"/>
      </w:r>
    </w:p>
    <w:p w14:paraId="0AA1FC7D" w14:textId="77777777" w:rsidR="00457A78" w:rsidRPr="004C0EEA" w:rsidRDefault="00457A78" w:rsidP="00E700C7">
      <w:pPr>
        <w:pStyle w:val="Heading2"/>
      </w:pPr>
      <w:bookmarkStart w:id="39" w:name="_Toc191451004"/>
      <w:r w:rsidRPr="004C0EEA">
        <w:lastRenderedPageBreak/>
        <w:t>Outcomes</w:t>
      </w:r>
      <w:bookmarkEnd w:id="39"/>
    </w:p>
    <w:p w14:paraId="0360078E" w14:textId="77777777" w:rsidR="00DA5503" w:rsidRPr="004C0EEA" w:rsidRDefault="00B84B1E" w:rsidP="00BD5331">
      <w:r w:rsidRPr="004C0EEA">
        <w:t>The Phase 1 independent evaluation</w:t>
      </w:r>
      <w:r w:rsidR="00936A26" w:rsidRPr="004C0EEA">
        <w:t xml:space="preserve"> </w:t>
      </w:r>
      <w:r w:rsidR="009C6F2C" w:rsidRPr="004C0EEA">
        <w:t xml:space="preserve">was limited in its ability to assess impact due to low availability of </w:t>
      </w:r>
      <w:r w:rsidR="00396F9A" w:rsidRPr="004C0EEA">
        <w:t xml:space="preserve">CBP </w:t>
      </w:r>
      <w:r w:rsidR="009C6F2C" w:rsidRPr="004C0EEA">
        <w:t xml:space="preserve">outcomes data and relevant benchmarks. </w:t>
      </w:r>
      <w:r w:rsidRPr="004C0EEA">
        <w:t>The SRC</w:t>
      </w:r>
      <w:r w:rsidR="00745206" w:rsidRPr="004C0EEA">
        <w:t xml:space="preserve"> found that the grant application process could be further streamlined, </w:t>
      </w:r>
      <w:r w:rsidR="00827BE4" w:rsidRPr="004C0EEA">
        <w:t>provide</w:t>
      </w:r>
      <w:r w:rsidR="00745206" w:rsidRPr="004C0EEA">
        <w:t xml:space="preserve"> greater clarity on funding objectives and outcomes,</w:t>
      </w:r>
      <w:r w:rsidR="00827BE4" w:rsidRPr="004C0EEA">
        <w:t xml:space="preserve"> </w:t>
      </w:r>
      <w:r w:rsidR="00745206" w:rsidRPr="004C0EEA">
        <w:t xml:space="preserve">target different applicant needs, </w:t>
      </w:r>
      <w:r w:rsidR="00827BE4" w:rsidRPr="004C0EEA">
        <w:t xml:space="preserve">and be </w:t>
      </w:r>
      <w:r w:rsidR="00745206" w:rsidRPr="004C0EEA">
        <w:t xml:space="preserve">adaptive to emerging needs. </w:t>
      </w:r>
    </w:p>
    <w:p w14:paraId="2F256FD2" w14:textId="77777777" w:rsidR="00277B41" w:rsidRDefault="00B84B1E" w:rsidP="00EF253C">
      <w:r w:rsidRPr="004C0EEA">
        <w:t>The CBF</w:t>
      </w:r>
      <w:r w:rsidR="00EF253C" w:rsidRPr="004C0EEA">
        <w:t xml:space="preserve"> is taking steps to </w:t>
      </w:r>
      <w:r w:rsidR="00827BE4" w:rsidRPr="004C0EEA">
        <w:t>sophisticate</w:t>
      </w:r>
      <w:r w:rsidR="00EF253C" w:rsidRPr="004C0EEA">
        <w:t xml:space="preserve"> </w:t>
      </w:r>
      <w:r w:rsidR="00745206" w:rsidRPr="004C0EEA">
        <w:t xml:space="preserve">its </w:t>
      </w:r>
      <w:r w:rsidR="00827BE4" w:rsidRPr="004C0EEA">
        <w:t xml:space="preserve">granting </w:t>
      </w:r>
      <w:r w:rsidR="00745206" w:rsidRPr="004C0EEA">
        <w:t>processes in response to Phase 1 recommendations</w:t>
      </w:r>
      <w:r w:rsidR="00BD5331" w:rsidRPr="004C0EEA">
        <w:t xml:space="preserve"> </w:t>
      </w:r>
      <w:r w:rsidR="00EF253C" w:rsidRPr="004C0EEA">
        <w:t>by</w:t>
      </w:r>
      <w:r w:rsidR="00BD5331" w:rsidRPr="004C0EEA">
        <w:t xml:space="preserve"> </w:t>
      </w:r>
      <w:r w:rsidR="00EF253C" w:rsidRPr="004C0EEA">
        <w:t xml:space="preserve">developing an </w:t>
      </w:r>
      <w:bookmarkStart w:id="40" w:name="_GoBack"/>
      <w:bookmarkEnd w:id="40"/>
      <w:r w:rsidR="00EF253C" w:rsidRPr="004C0EEA">
        <w:t>outcomes framework</w:t>
      </w:r>
      <w:r w:rsidR="00BD5331" w:rsidRPr="004C0EEA">
        <w:t xml:space="preserve">, and </w:t>
      </w:r>
      <w:r w:rsidR="00EF253C" w:rsidRPr="004C0EEA">
        <w:t xml:space="preserve">aligning its monitoring and evaluation approach </w:t>
      </w:r>
      <w:r w:rsidR="00BD5331" w:rsidRPr="004C0EEA">
        <w:t>to Roadmap 2033</w:t>
      </w:r>
      <w:r w:rsidR="00EF253C" w:rsidRPr="004C0EEA">
        <w:t xml:space="preserve">. </w:t>
      </w:r>
    </w:p>
    <w:p w14:paraId="160E7249" w14:textId="348A0D1A" w:rsidR="00EF253C" w:rsidRPr="004C0EEA" w:rsidRDefault="003218C7" w:rsidP="00EF253C">
      <w:r w:rsidRPr="004C0EEA">
        <w:t>Some c</w:t>
      </w:r>
      <w:r w:rsidR="001A0490" w:rsidRPr="004C0EEA">
        <w:t>ommunity broadcasters and sector peak bodies identified</w:t>
      </w:r>
      <w:r w:rsidR="00BD5331" w:rsidRPr="004C0EEA">
        <w:t xml:space="preserve"> opportunities for the CBF to further align granting activities with outcomes by:</w:t>
      </w:r>
    </w:p>
    <w:p w14:paraId="434307A0" w14:textId="77777777" w:rsidR="00166C87" w:rsidRPr="004C0EEA" w:rsidRDefault="00166C87" w:rsidP="00166C87">
      <w:pPr>
        <w:pStyle w:val="Bullet1"/>
        <w:rPr>
          <w:lang w:val="en-AU"/>
        </w:rPr>
      </w:pPr>
      <w:r w:rsidRPr="004C0EEA">
        <w:rPr>
          <w:lang w:val="en-AU"/>
        </w:rPr>
        <w:t>developing an Outcomes Framework</w:t>
      </w:r>
      <w:r w:rsidR="001F74F6" w:rsidRPr="004C0EEA">
        <w:rPr>
          <w:lang w:val="en-AU"/>
        </w:rPr>
        <w:t xml:space="preserve"> </w:t>
      </w:r>
      <w:r w:rsidR="00EB0A91" w:rsidRPr="004C0EEA">
        <w:rPr>
          <w:lang w:val="en-AU"/>
        </w:rPr>
        <w:t>to</w:t>
      </w:r>
      <w:r w:rsidR="001F74F6" w:rsidRPr="004C0EEA">
        <w:rPr>
          <w:lang w:val="en-AU"/>
        </w:rPr>
        <w:t xml:space="preserve"> assess the impact of CBP funding on sector sustainability</w:t>
      </w:r>
    </w:p>
    <w:p w14:paraId="7D886C4C" w14:textId="7B8EC71F" w:rsidR="00EF253C" w:rsidRPr="004C0EEA" w:rsidRDefault="00EF253C" w:rsidP="00EF253C">
      <w:pPr>
        <w:pStyle w:val="Bullet1"/>
        <w:rPr>
          <w:lang w:val="en-AU"/>
        </w:rPr>
      </w:pPr>
      <w:r w:rsidRPr="004C0EEA">
        <w:rPr>
          <w:lang w:val="en-AU"/>
        </w:rPr>
        <w:t>review</w:t>
      </w:r>
      <w:r w:rsidR="00793550" w:rsidRPr="004C0EEA">
        <w:rPr>
          <w:lang w:val="en-AU"/>
        </w:rPr>
        <w:t>ing</w:t>
      </w:r>
      <w:r w:rsidRPr="004C0EEA">
        <w:rPr>
          <w:lang w:val="en-AU"/>
        </w:rPr>
        <w:t xml:space="preserve"> existing funding lines and </w:t>
      </w:r>
      <w:r w:rsidR="001A0433" w:rsidRPr="004C0EEA">
        <w:rPr>
          <w:lang w:val="en-AU"/>
        </w:rPr>
        <w:t xml:space="preserve">considering </w:t>
      </w:r>
      <w:r w:rsidRPr="004C0EEA">
        <w:rPr>
          <w:lang w:val="en-AU"/>
        </w:rPr>
        <w:t xml:space="preserve">new priorities </w:t>
      </w:r>
      <w:r w:rsidR="001F74F6" w:rsidRPr="004C0EEA">
        <w:rPr>
          <w:lang w:val="en-AU"/>
        </w:rPr>
        <w:t xml:space="preserve">in line with section </w:t>
      </w:r>
      <w:r w:rsidR="001F74F6" w:rsidRPr="004C0EEA">
        <w:rPr>
          <w:b/>
          <w:lang w:val="en-AU"/>
        </w:rPr>
        <w:t>4.</w:t>
      </w:r>
      <w:r w:rsidR="00A41076">
        <w:rPr>
          <w:b/>
          <w:lang w:val="en-AU"/>
        </w:rPr>
        <w:t>2.1</w:t>
      </w:r>
      <w:r w:rsidR="001F74F6" w:rsidRPr="004C0EEA">
        <w:rPr>
          <w:b/>
          <w:lang w:val="en-AU"/>
        </w:rPr>
        <w:t xml:space="preserve"> </w:t>
      </w:r>
      <w:r w:rsidR="001F74F6" w:rsidRPr="004C0EEA">
        <w:rPr>
          <w:lang w:val="en-AU"/>
        </w:rPr>
        <w:t>and Roadmap 2033</w:t>
      </w:r>
    </w:p>
    <w:p w14:paraId="75AFA461" w14:textId="77777777" w:rsidR="00EF253C" w:rsidRPr="004C0EEA" w:rsidRDefault="00EF253C" w:rsidP="00EF253C">
      <w:pPr>
        <w:pStyle w:val="Bullet1"/>
        <w:rPr>
          <w:lang w:val="en-AU"/>
        </w:rPr>
      </w:pPr>
      <w:r w:rsidRPr="004C0EEA">
        <w:rPr>
          <w:lang w:val="en-AU"/>
        </w:rPr>
        <w:t>consider</w:t>
      </w:r>
      <w:r w:rsidR="00793550" w:rsidRPr="004C0EEA">
        <w:rPr>
          <w:lang w:val="en-AU"/>
        </w:rPr>
        <w:t>ing</w:t>
      </w:r>
      <w:r w:rsidRPr="004C0EEA">
        <w:rPr>
          <w:lang w:val="en-AU"/>
        </w:rPr>
        <w:t xml:space="preserve"> grant activities and their links to short-, medium- and long-term outcomes</w:t>
      </w:r>
    </w:p>
    <w:p w14:paraId="6E421858" w14:textId="77777777" w:rsidR="00720AE4" w:rsidRPr="004C0EEA" w:rsidRDefault="00EF253C" w:rsidP="00166C87">
      <w:pPr>
        <w:pStyle w:val="Bullet1"/>
        <w:rPr>
          <w:lang w:val="en-AU"/>
        </w:rPr>
      </w:pPr>
      <w:r w:rsidRPr="004C0EEA">
        <w:rPr>
          <w:lang w:val="en-AU"/>
        </w:rPr>
        <w:t>provid</w:t>
      </w:r>
      <w:r w:rsidR="00793550" w:rsidRPr="004C0EEA">
        <w:rPr>
          <w:lang w:val="en-AU"/>
        </w:rPr>
        <w:t>ing</w:t>
      </w:r>
      <w:r w:rsidRPr="004C0EEA">
        <w:rPr>
          <w:lang w:val="en-AU"/>
        </w:rPr>
        <w:t xml:space="preserve"> clear, transparent and timely guidance to </w:t>
      </w:r>
      <w:r w:rsidR="00BD5331" w:rsidRPr="004C0EEA">
        <w:rPr>
          <w:lang w:val="en-AU"/>
        </w:rPr>
        <w:t>applicants</w:t>
      </w:r>
      <w:r w:rsidR="00B66FB3" w:rsidRPr="004C0EEA">
        <w:rPr>
          <w:lang w:val="en-AU"/>
        </w:rPr>
        <w:t>/</w:t>
      </w:r>
      <w:r w:rsidR="00BD5331" w:rsidRPr="004C0EEA">
        <w:rPr>
          <w:lang w:val="en-AU"/>
        </w:rPr>
        <w:t>grantees</w:t>
      </w:r>
      <w:r w:rsidR="001F74F6" w:rsidRPr="004C0EEA">
        <w:rPr>
          <w:lang w:val="en-AU"/>
        </w:rPr>
        <w:t xml:space="preserve"> </w:t>
      </w:r>
      <w:r w:rsidR="00EB0A91" w:rsidRPr="004C0EEA">
        <w:rPr>
          <w:lang w:val="en-AU"/>
        </w:rPr>
        <w:t xml:space="preserve">on </w:t>
      </w:r>
      <w:r w:rsidR="001F74F6" w:rsidRPr="004C0EEA">
        <w:rPr>
          <w:lang w:val="en-AU"/>
        </w:rPr>
        <w:t>the Outcomes Framework.</w:t>
      </w:r>
    </w:p>
    <w:p w14:paraId="78ACD297" w14:textId="0C5C7838" w:rsidR="00B84B1E" w:rsidRPr="004C0EEA" w:rsidRDefault="00720AE4" w:rsidP="00720AE4">
      <w:r w:rsidRPr="004C0EEA">
        <w:t>As the CBF is an independent entity</w:t>
      </w:r>
      <w:r w:rsidR="001A0490" w:rsidRPr="004C0EEA">
        <w:t>, it is r</w:t>
      </w:r>
      <w:r w:rsidRPr="004C0EEA">
        <w:t>esponsible for implementing any outcomes-based granting process based on its own assessment and merit criteria.</w:t>
      </w:r>
      <w:r w:rsidR="001A0490" w:rsidRPr="004C0EEA">
        <w:t xml:space="preserve"> </w:t>
      </w:r>
    </w:p>
    <w:p w14:paraId="1917D6FB" w14:textId="77777777" w:rsidR="008E69B2" w:rsidRPr="004C0EEA" w:rsidRDefault="008E69B2" w:rsidP="008E69B2">
      <w:bookmarkStart w:id="41" w:name="_Toc184289729"/>
      <w:bookmarkStart w:id="42" w:name="_Toc184289789"/>
      <w:bookmarkEnd w:id="41"/>
      <w:bookmarkEnd w:id="42"/>
    </w:p>
    <w:p w14:paraId="429F12DB" w14:textId="77777777" w:rsidR="008E69B2" w:rsidRPr="004C0EEA" w:rsidRDefault="008E69B2">
      <w:pPr>
        <w:suppressAutoHyphens w:val="0"/>
        <w:rPr>
          <w:rFonts w:asciiTheme="majorHAnsi" w:eastAsiaTheme="majorEastAsia" w:hAnsiTheme="majorHAnsi" w:cstheme="majorBidi"/>
          <w:color w:val="081E3E" w:themeColor="text2"/>
          <w:sz w:val="44"/>
          <w:szCs w:val="32"/>
        </w:rPr>
      </w:pPr>
      <w:r w:rsidRPr="004C0EEA">
        <w:br w:type="page"/>
      </w:r>
    </w:p>
    <w:p w14:paraId="6BA333D2" w14:textId="77777777" w:rsidR="008E48BA" w:rsidRPr="004C0EEA" w:rsidRDefault="008E48BA" w:rsidP="007669D5">
      <w:pPr>
        <w:pStyle w:val="Heading1"/>
      </w:pPr>
      <w:bookmarkStart w:id="43" w:name="_Toc191451005"/>
      <w:r w:rsidRPr="004C0EEA">
        <w:lastRenderedPageBreak/>
        <w:t xml:space="preserve">Priority </w:t>
      </w:r>
      <w:r w:rsidR="008840DD" w:rsidRPr="004C0EEA">
        <w:t>A</w:t>
      </w:r>
      <w:r w:rsidRPr="004C0EEA">
        <w:t>rea 2: Legislative and regulatory issues</w:t>
      </w:r>
      <w:bookmarkEnd w:id="43"/>
    </w:p>
    <w:p w14:paraId="6F07FE71" w14:textId="77777777" w:rsidR="008840DD" w:rsidRPr="004C0EEA" w:rsidRDefault="008840DD" w:rsidP="008840DD">
      <w:pPr>
        <w:pStyle w:val="Box2Heading"/>
        <w:rPr>
          <w:lang w:val="en-AU"/>
        </w:rPr>
      </w:pPr>
      <w:r w:rsidRPr="004C0EEA">
        <w:rPr>
          <w:lang w:val="en-AU"/>
        </w:rPr>
        <w:t xml:space="preserve">Legislative and regulatory issues affecting the sector were not in scope for Phase 1, however it did find that sponsorship arrangements under the BSA were limiting the sector’s ability to increase its revenue from sources other than CBP and IBMP grants. Phase 2 confirmed that sponsorship issues could be addressed </w:t>
      </w:r>
      <w:r w:rsidR="00CA0C78" w:rsidRPr="004C0EEA">
        <w:rPr>
          <w:lang w:val="en-AU"/>
        </w:rPr>
        <w:t xml:space="preserve">through legislation </w:t>
      </w:r>
      <w:r w:rsidRPr="004C0EEA">
        <w:rPr>
          <w:lang w:val="en-AU"/>
        </w:rPr>
        <w:t xml:space="preserve">to offer additional sponsorship </w:t>
      </w:r>
      <w:r w:rsidR="00C8506B" w:rsidRPr="004C0EEA">
        <w:rPr>
          <w:lang w:val="en-AU"/>
        </w:rPr>
        <w:t>during</w:t>
      </w:r>
      <w:r w:rsidRPr="004C0EEA">
        <w:rPr>
          <w:lang w:val="en-AU"/>
        </w:rPr>
        <w:t xml:space="preserve"> peak listening times without increasing sponsorship overall</w:t>
      </w:r>
      <w:r w:rsidR="00360960">
        <w:rPr>
          <w:lang w:val="en-AU"/>
        </w:rPr>
        <w:t>,</w:t>
      </w:r>
      <w:r w:rsidR="00CA0C78" w:rsidRPr="004C0EEA">
        <w:rPr>
          <w:lang w:val="en-AU"/>
        </w:rPr>
        <w:t xml:space="preserve"> but this could pose </w:t>
      </w:r>
      <w:r w:rsidR="00C8506B" w:rsidRPr="004C0EEA">
        <w:rPr>
          <w:lang w:val="en-AU"/>
        </w:rPr>
        <w:t xml:space="preserve">regulatory </w:t>
      </w:r>
      <w:r w:rsidR="00CA0C78" w:rsidRPr="004C0EEA">
        <w:rPr>
          <w:lang w:val="en-AU"/>
        </w:rPr>
        <w:t>challenges</w:t>
      </w:r>
      <w:r w:rsidRPr="004C0EEA">
        <w:rPr>
          <w:lang w:val="en-AU"/>
        </w:rPr>
        <w:t>.</w:t>
      </w:r>
    </w:p>
    <w:p w14:paraId="20B91855" w14:textId="0259E22E" w:rsidR="008840DD" w:rsidRPr="004C0EEA" w:rsidRDefault="008840DD" w:rsidP="008840DD">
      <w:pPr>
        <w:pStyle w:val="Box2Heading"/>
        <w:rPr>
          <w:lang w:val="en-AU"/>
        </w:rPr>
      </w:pPr>
      <w:r w:rsidRPr="004C0EEA">
        <w:rPr>
          <w:lang w:val="en-AU"/>
        </w:rPr>
        <w:t xml:space="preserve">Many key terms relating to the sector are not defined in the BSA. The </w:t>
      </w:r>
      <w:r w:rsidR="00165E51" w:rsidRPr="004C0EEA">
        <w:rPr>
          <w:lang w:val="en-AU"/>
        </w:rPr>
        <w:t>Australian Communications and Media Authority (</w:t>
      </w:r>
      <w:r w:rsidRPr="004C0EEA">
        <w:rPr>
          <w:lang w:val="en-AU"/>
        </w:rPr>
        <w:t>ACMA</w:t>
      </w:r>
      <w:r w:rsidR="00165E51" w:rsidRPr="004C0EEA">
        <w:rPr>
          <w:lang w:val="en-AU"/>
        </w:rPr>
        <w:t>)</w:t>
      </w:r>
      <w:r w:rsidRPr="004C0EEA">
        <w:rPr>
          <w:lang w:val="en-AU"/>
        </w:rPr>
        <w:t xml:space="preserve"> has produced guidelines based on the BSA’s explanatory memoranda to assist licensees in avoiding potential non-compliance, and may be referred to by the ACMA when assessing an application for the allocation of a new community broadcasting licence or for renewal. Phase 2 found that the sector would benefit from more clarity in the BSA about key terms such as </w:t>
      </w:r>
      <w:r w:rsidR="00A25EF3">
        <w:rPr>
          <w:lang w:val="en-AU"/>
        </w:rPr>
        <w:t>‘</w:t>
      </w:r>
      <w:r w:rsidRPr="004C0EEA">
        <w:rPr>
          <w:lang w:val="en-AU"/>
        </w:rPr>
        <w:t>sponsorship</w:t>
      </w:r>
      <w:r w:rsidR="00A25EF3">
        <w:rPr>
          <w:lang w:val="en-AU"/>
        </w:rPr>
        <w:t>’</w:t>
      </w:r>
      <w:r w:rsidRPr="004C0EEA">
        <w:rPr>
          <w:lang w:val="en-AU"/>
        </w:rPr>
        <w:t xml:space="preserve">, </w:t>
      </w:r>
      <w:r w:rsidR="00A25EF3">
        <w:rPr>
          <w:lang w:val="en-AU"/>
        </w:rPr>
        <w:t>‘</w:t>
      </w:r>
      <w:r w:rsidRPr="004C0EEA">
        <w:rPr>
          <w:lang w:val="en-AU"/>
        </w:rPr>
        <w:t>community service announcement</w:t>
      </w:r>
      <w:r w:rsidR="00A25EF3">
        <w:rPr>
          <w:lang w:val="en-AU"/>
        </w:rPr>
        <w:t>’</w:t>
      </w:r>
      <w:r w:rsidRPr="004C0EEA">
        <w:rPr>
          <w:lang w:val="en-AU"/>
        </w:rPr>
        <w:t xml:space="preserve">, </w:t>
      </w:r>
      <w:r w:rsidR="00A25EF3">
        <w:rPr>
          <w:lang w:val="en-AU"/>
        </w:rPr>
        <w:t>‘</w:t>
      </w:r>
      <w:r w:rsidRPr="004C0EEA">
        <w:rPr>
          <w:lang w:val="en-AU"/>
        </w:rPr>
        <w:t>community participation</w:t>
      </w:r>
      <w:r w:rsidR="00A25EF3">
        <w:rPr>
          <w:lang w:val="en-AU"/>
        </w:rPr>
        <w:t>’</w:t>
      </w:r>
      <w:r w:rsidRPr="004C0EEA">
        <w:rPr>
          <w:lang w:val="en-AU"/>
        </w:rPr>
        <w:t xml:space="preserve"> and </w:t>
      </w:r>
      <w:r w:rsidR="00A25EF3">
        <w:rPr>
          <w:lang w:val="en-AU"/>
        </w:rPr>
        <w:t>‘</w:t>
      </w:r>
      <w:r w:rsidRPr="004C0EEA">
        <w:rPr>
          <w:lang w:val="en-AU"/>
        </w:rPr>
        <w:t>not-for-profit</w:t>
      </w:r>
      <w:r w:rsidR="00A25EF3">
        <w:rPr>
          <w:lang w:val="en-AU"/>
        </w:rPr>
        <w:t>’</w:t>
      </w:r>
      <w:r w:rsidRPr="004C0EEA">
        <w:rPr>
          <w:lang w:val="en-AU"/>
        </w:rPr>
        <w:t>. This would support the sector to identify and make informed decisions on paid content that align with their licen</w:t>
      </w:r>
      <w:r w:rsidR="004C3913" w:rsidRPr="004C0EEA">
        <w:rPr>
          <w:lang w:val="en-AU"/>
        </w:rPr>
        <w:t>c</w:t>
      </w:r>
      <w:r w:rsidRPr="004C0EEA">
        <w:rPr>
          <w:lang w:val="en-AU"/>
        </w:rPr>
        <w:t xml:space="preserve">e conditions. In turn, this will benefit their revenue diversification and long-term sustainability. </w:t>
      </w:r>
    </w:p>
    <w:p w14:paraId="77E74247" w14:textId="77777777" w:rsidR="008840DD" w:rsidRPr="004C0EEA" w:rsidRDefault="008840DD" w:rsidP="008840DD">
      <w:pPr>
        <w:pStyle w:val="Box2Heading"/>
        <w:rPr>
          <w:lang w:val="en-AU"/>
        </w:rPr>
      </w:pPr>
      <w:r w:rsidRPr="004C0EEA">
        <w:rPr>
          <w:lang w:val="en-AU"/>
        </w:rPr>
        <w:t>Some community broadcasters identified opportunities to enhance the licence renewal process so as to reduce the administrative burden on licensees. This may require a combination of legislative and administrative changes.</w:t>
      </w:r>
    </w:p>
    <w:p w14:paraId="7DE68FFB" w14:textId="77777777" w:rsidR="008E48BA" w:rsidRPr="004C0EEA" w:rsidRDefault="00C85C48" w:rsidP="00E700C7">
      <w:pPr>
        <w:pStyle w:val="Heading2"/>
      </w:pPr>
      <w:bookmarkStart w:id="44" w:name="_Toc184289731"/>
      <w:bookmarkStart w:id="45" w:name="_Toc184289791"/>
      <w:bookmarkStart w:id="46" w:name="_Toc191451006"/>
      <w:bookmarkEnd w:id="44"/>
      <w:bookmarkEnd w:id="45"/>
      <w:r w:rsidRPr="004C0EEA">
        <w:t>Licen</w:t>
      </w:r>
      <w:r w:rsidR="001376EF" w:rsidRPr="004C0EEA">
        <w:t>ce</w:t>
      </w:r>
      <w:r w:rsidRPr="004C0EEA">
        <w:t xml:space="preserve"> conditions</w:t>
      </w:r>
      <w:bookmarkEnd w:id="46"/>
    </w:p>
    <w:p w14:paraId="112E897F" w14:textId="77777777" w:rsidR="0002218D" w:rsidRPr="004C0EEA" w:rsidRDefault="0002218D" w:rsidP="007669D5">
      <w:pPr>
        <w:pStyle w:val="Heading3"/>
      </w:pPr>
      <w:bookmarkStart w:id="47" w:name="_Toc191451007"/>
      <w:r w:rsidRPr="004C0EEA">
        <w:t>Sponsorshi</w:t>
      </w:r>
      <w:r w:rsidR="00C85C48" w:rsidRPr="004C0EEA">
        <w:t>p</w:t>
      </w:r>
      <w:r w:rsidR="008B5E9E" w:rsidRPr="004C0EEA">
        <w:t xml:space="preserve"> limit</w:t>
      </w:r>
      <w:bookmarkEnd w:id="47"/>
    </w:p>
    <w:p w14:paraId="415D839C" w14:textId="77777777" w:rsidR="0069490C" w:rsidRPr="004C0EEA" w:rsidRDefault="00B84B1E" w:rsidP="00686928">
      <w:bookmarkStart w:id="48" w:name="_Hlk182839970"/>
      <w:r w:rsidRPr="004C0EEA">
        <w:t>Most community broadcasters and sector peak bodies are of the view that</w:t>
      </w:r>
      <w:r w:rsidR="00C20744" w:rsidRPr="004C0EEA">
        <w:t xml:space="preserve"> amending the current sponsorship announcement time limits would mitigate over-reliance on CBP </w:t>
      </w:r>
      <w:r w:rsidR="002F0421" w:rsidRPr="004C0EEA">
        <w:t>funding</w:t>
      </w:r>
      <w:r w:rsidR="0081551D" w:rsidRPr="004C0EEA">
        <w:t>,</w:t>
      </w:r>
      <w:r w:rsidR="002F0421" w:rsidRPr="004C0EEA">
        <w:t xml:space="preserve"> a</w:t>
      </w:r>
      <w:r w:rsidR="001F74F6" w:rsidRPr="004C0EEA">
        <w:t>s well as</w:t>
      </w:r>
      <w:r w:rsidR="00C20744" w:rsidRPr="004C0EEA">
        <w:t xml:space="preserve"> enable community broadcasters to</w:t>
      </w:r>
      <w:r w:rsidR="00686928" w:rsidRPr="004C0EEA">
        <w:t xml:space="preserve"> </w:t>
      </w:r>
      <w:r w:rsidR="00C20744" w:rsidRPr="004C0EEA">
        <w:t>be more effective in planning and undertaking their activities</w:t>
      </w:r>
      <w:r w:rsidR="003B6AE9" w:rsidRPr="004C0EEA">
        <w:t xml:space="preserve"> year-to-year</w:t>
      </w:r>
      <w:r w:rsidR="00B50AF4" w:rsidRPr="004C0EEA">
        <w:t xml:space="preserve">, </w:t>
      </w:r>
      <w:r w:rsidR="003B6AE9" w:rsidRPr="004C0EEA">
        <w:t>and</w:t>
      </w:r>
      <w:r w:rsidR="00686928" w:rsidRPr="004C0EEA">
        <w:t xml:space="preserve"> </w:t>
      </w:r>
      <w:r w:rsidR="003B6AE9" w:rsidRPr="004C0EEA">
        <w:t>improve</w:t>
      </w:r>
      <w:r w:rsidR="00B50AF4" w:rsidRPr="004C0EEA">
        <w:t xml:space="preserve"> their organisational resilience</w:t>
      </w:r>
      <w:r w:rsidR="00686928" w:rsidRPr="004C0EEA">
        <w:t xml:space="preserve"> to achieve</w:t>
      </w:r>
      <w:r w:rsidR="003B6AE9" w:rsidRPr="004C0EEA">
        <w:t xml:space="preserve"> long-term sustainability.</w:t>
      </w:r>
    </w:p>
    <w:p w14:paraId="3B8ED389" w14:textId="61EDF2DA" w:rsidR="002B6131" w:rsidRPr="004C0EEA" w:rsidRDefault="00B84B1E" w:rsidP="002B6131">
      <w:r w:rsidRPr="004C0EEA">
        <w:t>T</w:t>
      </w:r>
      <w:r w:rsidR="002B6131" w:rsidRPr="004C0EEA">
        <w:t>he current 5-minute (radio) and 7-minute</w:t>
      </w:r>
      <w:r w:rsidR="009F465C" w:rsidRPr="004C0EEA">
        <w:t xml:space="preserve"> (</w:t>
      </w:r>
      <w:r w:rsidR="00A25EF3">
        <w:t>television</w:t>
      </w:r>
      <w:r w:rsidR="009F465C" w:rsidRPr="004C0EEA">
        <w:t>)</w:t>
      </w:r>
      <w:r w:rsidR="002B6131" w:rsidRPr="004C0EEA">
        <w:t xml:space="preserve"> limit </w:t>
      </w:r>
      <w:r w:rsidR="00C8336A" w:rsidRPr="004C0EEA">
        <w:t xml:space="preserve">restricts </w:t>
      </w:r>
      <w:r w:rsidR="002B6131" w:rsidRPr="004C0EEA">
        <w:t xml:space="preserve">the ability of some community broadcasters to generate </w:t>
      </w:r>
      <w:r w:rsidR="00865B42" w:rsidRPr="004C0EEA">
        <w:t xml:space="preserve">more </w:t>
      </w:r>
      <w:r w:rsidR="002B6131" w:rsidRPr="004C0EEA">
        <w:t xml:space="preserve">revenue, </w:t>
      </w:r>
      <w:r w:rsidR="00C8336A" w:rsidRPr="004C0EEA">
        <w:t xml:space="preserve">where their goal is to reinvest these funds into operations or content. </w:t>
      </w:r>
      <w:r w:rsidR="00C83E9A" w:rsidRPr="004C0EEA">
        <w:t xml:space="preserve">These </w:t>
      </w:r>
      <w:r w:rsidR="001F74F6" w:rsidRPr="004C0EEA">
        <w:t>community broadcasters</w:t>
      </w:r>
      <w:r w:rsidR="00C83E9A" w:rsidRPr="004C0EEA">
        <w:t xml:space="preserve"> focus on</w:t>
      </w:r>
      <w:r w:rsidR="002B6131" w:rsidRPr="004C0EEA">
        <w:t xml:space="preserve"> offer</w:t>
      </w:r>
      <w:r w:rsidR="00C83E9A" w:rsidRPr="004C0EEA">
        <w:t>ing</w:t>
      </w:r>
      <w:r w:rsidR="002B6131" w:rsidRPr="004C0EEA">
        <w:t xml:space="preserve"> sponsorship opportunities in peak listening times</w:t>
      </w:r>
      <w:r w:rsidR="00686928" w:rsidRPr="004C0EEA">
        <w:t xml:space="preserve"> </w:t>
      </w:r>
      <w:r w:rsidR="00C83E9A" w:rsidRPr="004C0EEA">
        <w:t>to increase their cost-benefit appeal</w:t>
      </w:r>
      <w:r w:rsidR="00686928" w:rsidRPr="004C0EEA">
        <w:t xml:space="preserve">, </w:t>
      </w:r>
      <w:r w:rsidR="00C83E9A" w:rsidRPr="004C0EEA">
        <w:t xml:space="preserve">and the likelihood that </w:t>
      </w:r>
      <w:r w:rsidR="00686928" w:rsidRPr="004C0EEA">
        <w:t>the business</w:t>
      </w:r>
      <w:r w:rsidR="00D05208" w:rsidRPr="004C0EEA">
        <w:t>es</w:t>
      </w:r>
      <w:r w:rsidR="00686928" w:rsidRPr="004C0EEA">
        <w:t xml:space="preserve"> they target</w:t>
      </w:r>
      <w:r w:rsidR="00C83E9A" w:rsidRPr="004C0EEA">
        <w:t xml:space="preserve"> will engage </w:t>
      </w:r>
      <w:r w:rsidR="00686928" w:rsidRPr="004C0EEA">
        <w:t>as sponsors</w:t>
      </w:r>
      <w:r w:rsidR="002B6131" w:rsidRPr="004C0EEA">
        <w:t xml:space="preserve">. These community broadcasters are </w:t>
      </w:r>
      <w:r w:rsidR="00D05208" w:rsidRPr="004C0EEA">
        <w:t xml:space="preserve">often </w:t>
      </w:r>
      <w:r w:rsidR="002B6131" w:rsidRPr="004C0EEA">
        <w:t xml:space="preserve">reliant on funding from government grants to make up </w:t>
      </w:r>
      <w:bookmarkEnd w:id="48"/>
      <w:r w:rsidR="002B6131" w:rsidRPr="004C0EEA">
        <w:t xml:space="preserve">revenue they otherwise could have secured through </w:t>
      </w:r>
      <w:r w:rsidR="00FD3738" w:rsidRPr="004C0EEA">
        <w:t>sponsorship.</w:t>
      </w:r>
    </w:p>
    <w:p w14:paraId="7155FCC4" w14:textId="749341DF" w:rsidR="00575812" w:rsidRPr="004C0EEA" w:rsidRDefault="00B84B1E" w:rsidP="002B6131">
      <w:r w:rsidRPr="004C0EEA">
        <w:t>A</w:t>
      </w:r>
      <w:r w:rsidR="002F0421" w:rsidRPr="004C0EEA">
        <w:t>n</w:t>
      </w:r>
      <w:r w:rsidR="002B6131" w:rsidRPr="004C0EEA">
        <w:t xml:space="preserve"> increase </w:t>
      </w:r>
      <w:r w:rsidR="002F0421" w:rsidRPr="004C0EEA">
        <w:t>to</w:t>
      </w:r>
      <w:r w:rsidR="002B6131" w:rsidRPr="004C0EEA">
        <w:t xml:space="preserve"> the sponsorship limit may not be a fit-for-purpose solution, </w:t>
      </w:r>
      <w:r w:rsidR="00575812" w:rsidRPr="004C0EEA">
        <w:t xml:space="preserve">as most community broadcasters are </w:t>
      </w:r>
      <w:r w:rsidR="00FA739C" w:rsidRPr="004C0EEA">
        <w:t xml:space="preserve">not </w:t>
      </w:r>
      <w:r w:rsidR="00C80D06" w:rsidRPr="004C0EEA">
        <w:t>using</w:t>
      </w:r>
      <w:r w:rsidR="00575812" w:rsidRPr="004C0EEA">
        <w:t xml:space="preserve"> 100</w:t>
      </w:r>
      <w:r w:rsidR="00A25EF3">
        <w:t xml:space="preserve"> per cent</w:t>
      </w:r>
      <w:r w:rsidR="00575812" w:rsidRPr="004C0EEA">
        <w:t xml:space="preserve"> of </w:t>
      </w:r>
      <w:r w:rsidR="00C80D06" w:rsidRPr="004C0EEA">
        <w:t>the hourly limit</w:t>
      </w:r>
      <w:r w:rsidR="000B078D" w:rsidRPr="004C0EEA">
        <w:t xml:space="preserve"> </w:t>
      </w:r>
      <w:r w:rsidR="002F0421" w:rsidRPr="004C0EEA">
        <w:t>every hour</w:t>
      </w:r>
      <w:r w:rsidR="000B078D" w:rsidRPr="004C0EEA">
        <w:t>. Community radio broadcasters were more likely to use the whole 5 minutes per hour in</w:t>
      </w:r>
      <w:r w:rsidR="00575812" w:rsidRPr="004C0EEA">
        <w:t xml:space="preserve"> peak listening hours</w:t>
      </w:r>
      <w:r w:rsidR="000B078D" w:rsidRPr="004C0EEA">
        <w:t xml:space="preserve"> (i.e.</w:t>
      </w:r>
      <w:r w:rsidR="00795237" w:rsidRPr="004C0EEA">
        <w:t> </w:t>
      </w:r>
      <w:r w:rsidR="000B078D" w:rsidRPr="004C0EEA">
        <w:t>breakfast, morning, afternoon and drive)</w:t>
      </w:r>
      <w:r w:rsidRPr="004C0EEA">
        <w:t xml:space="preserve"> than </w:t>
      </w:r>
      <w:r w:rsidR="00535CA8" w:rsidRPr="004C0EEA">
        <w:t>at</w:t>
      </w:r>
      <w:r w:rsidRPr="004C0EEA">
        <w:t xml:space="preserve"> other times</w:t>
      </w:r>
      <w:r w:rsidR="000B078D" w:rsidRPr="004C0EEA">
        <w:t>. Furthermore, there is a risk that increasing</w:t>
      </w:r>
      <w:r w:rsidR="00575812" w:rsidRPr="004C0EEA">
        <w:t xml:space="preserve"> the </w:t>
      </w:r>
      <w:r w:rsidR="000B078D" w:rsidRPr="004C0EEA">
        <w:t>hourly s</w:t>
      </w:r>
      <w:r w:rsidR="00575812" w:rsidRPr="004C0EEA">
        <w:t>ponsorship limit could be seen as encroaching on the commercial broadcasting sector</w:t>
      </w:r>
      <w:r w:rsidR="002F0421" w:rsidRPr="004C0EEA">
        <w:t xml:space="preserve"> by raising competition for advertising revenue</w:t>
      </w:r>
      <w:r w:rsidR="00575812" w:rsidRPr="004C0EEA">
        <w:t>, and going against</w:t>
      </w:r>
      <w:r w:rsidR="000B078D" w:rsidRPr="004C0EEA">
        <w:t xml:space="preserve"> the</w:t>
      </w:r>
      <w:r w:rsidR="00575812" w:rsidRPr="004C0EEA">
        <w:t xml:space="preserve"> community </w:t>
      </w:r>
      <w:r w:rsidR="006B553D" w:rsidRPr="004C0EEA">
        <w:t xml:space="preserve">ethos </w:t>
      </w:r>
      <w:r w:rsidR="00DB4DCF" w:rsidRPr="004C0EEA">
        <w:t xml:space="preserve">of the </w:t>
      </w:r>
      <w:r w:rsidR="006B553D" w:rsidRPr="004C0EEA">
        <w:t>sector.</w:t>
      </w:r>
    </w:p>
    <w:p w14:paraId="0ACEEEC8" w14:textId="7D087CF1" w:rsidR="002B6131" w:rsidRPr="004C0EEA" w:rsidRDefault="00575812" w:rsidP="0014279A">
      <w:r w:rsidRPr="004C0EEA">
        <w:t xml:space="preserve">Amendments to the sponsorship limit </w:t>
      </w:r>
      <w:r w:rsidR="00DD3461" w:rsidRPr="004C0EEA">
        <w:t xml:space="preserve">should </w:t>
      </w:r>
      <w:r w:rsidRPr="004C0EEA">
        <w:t xml:space="preserve">balance </w:t>
      </w:r>
      <w:r w:rsidR="00043C14" w:rsidRPr="004C0EEA">
        <w:t>the sector</w:t>
      </w:r>
      <w:r w:rsidRPr="004C0EEA">
        <w:t>’s ability to increase revenue</w:t>
      </w:r>
      <w:r w:rsidR="002F0421" w:rsidRPr="004C0EEA">
        <w:t>, maintaining a point of difference from commercial broadcasters,</w:t>
      </w:r>
      <w:r w:rsidRPr="004C0EEA">
        <w:t xml:space="preserve"> maintain</w:t>
      </w:r>
      <w:r w:rsidR="002F0421" w:rsidRPr="004C0EEA">
        <w:t>ing</w:t>
      </w:r>
      <w:r w:rsidRPr="004C0EEA">
        <w:t xml:space="preserve"> its community ethos</w:t>
      </w:r>
      <w:r w:rsidR="006A788B" w:rsidRPr="004C0EEA">
        <w:t xml:space="preserve">, </w:t>
      </w:r>
      <w:r w:rsidR="00166C87" w:rsidRPr="004C0EEA">
        <w:rPr>
          <w:color w:val="auto"/>
        </w:rPr>
        <w:t>and</w:t>
      </w:r>
      <w:r w:rsidR="006A788B" w:rsidRPr="004C0EEA">
        <w:rPr>
          <w:color w:val="auto"/>
        </w:rPr>
        <w:t xml:space="preserve"> supporting the co</w:t>
      </w:r>
      <w:r w:rsidR="00C70427" w:rsidRPr="004C0EEA">
        <w:rPr>
          <w:color w:val="auto"/>
        </w:rPr>
        <w:noBreakHyphen/>
      </w:r>
      <w:r w:rsidR="006A788B" w:rsidRPr="004C0EEA">
        <w:rPr>
          <w:color w:val="auto"/>
        </w:rPr>
        <w:t>regulatory regime by ensuring the feasibility of making and investigating complaints</w:t>
      </w:r>
      <w:r w:rsidR="000B078D" w:rsidRPr="004C0EEA">
        <w:t xml:space="preserve">. This </w:t>
      </w:r>
      <w:r w:rsidR="001F74F6" w:rsidRPr="004C0EEA">
        <w:t>could be</w:t>
      </w:r>
      <w:r w:rsidR="000B078D" w:rsidRPr="004C0EEA">
        <w:t xml:space="preserve"> achieved by removing the hourly limit and replacing it wit</w:t>
      </w:r>
      <w:r w:rsidR="003D01C6" w:rsidRPr="004C0EEA">
        <w:t>h</w:t>
      </w:r>
      <w:r w:rsidR="0014279A" w:rsidRPr="004C0EEA">
        <w:t xml:space="preserve"> </w:t>
      </w:r>
      <w:r w:rsidR="00795237" w:rsidRPr="004C0EEA">
        <w:t xml:space="preserve">a </w:t>
      </w:r>
      <w:r w:rsidR="000B078D" w:rsidRPr="004C0EEA">
        <w:t>daily limit</w:t>
      </w:r>
      <w:r w:rsidR="00795237" w:rsidRPr="004C0EEA">
        <w:t xml:space="preserve"> of </w:t>
      </w:r>
      <w:r w:rsidR="000B078D" w:rsidRPr="004C0EEA">
        <w:t>120 minutes (radio) and 168</w:t>
      </w:r>
      <w:r w:rsidR="00920F46" w:rsidRPr="004C0EEA">
        <w:t> </w:t>
      </w:r>
      <w:r w:rsidR="000B078D" w:rsidRPr="004C0EEA">
        <w:t>minutes (</w:t>
      </w:r>
      <w:r w:rsidR="00A25EF3">
        <w:t>television</w:t>
      </w:r>
      <w:r w:rsidR="0014279A" w:rsidRPr="004C0EEA">
        <w:t>) with a maximum hourly limit of up to 8 minutes (radio) and up to 10 minutes (</w:t>
      </w:r>
      <w:r w:rsidR="00A25EF3">
        <w:t>television</w:t>
      </w:r>
      <w:r w:rsidR="0014279A" w:rsidRPr="004C0EEA">
        <w:t>) and either</w:t>
      </w:r>
      <w:r w:rsidR="008E69B2" w:rsidRPr="004C0EEA">
        <w:t> </w:t>
      </w:r>
      <w:r w:rsidR="0014279A" w:rsidRPr="004C0EEA">
        <w:t>averaged over 24 hours, or in 4-hour blocks</w:t>
      </w:r>
      <w:r w:rsidR="003D01C6" w:rsidRPr="004C0EEA">
        <w:t>.</w:t>
      </w:r>
    </w:p>
    <w:p w14:paraId="3FAB20A2" w14:textId="77777777" w:rsidR="008B5E9E" w:rsidRPr="004C0EEA" w:rsidRDefault="00B37CF6" w:rsidP="007669D5">
      <w:pPr>
        <w:pStyle w:val="Heading3"/>
      </w:pPr>
      <w:bookmarkStart w:id="49" w:name="_Toc191451008"/>
      <w:r w:rsidRPr="004C0EEA">
        <w:lastRenderedPageBreak/>
        <w:t>Definition of ‘sponsorship’ and associated terms</w:t>
      </w:r>
      <w:bookmarkEnd w:id="49"/>
    </w:p>
    <w:p w14:paraId="230FC69D" w14:textId="0369DBB9" w:rsidR="00B37CF6" w:rsidRPr="004C0EEA" w:rsidRDefault="00B84B1E" w:rsidP="008B5E9E">
      <w:r w:rsidRPr="004C0EEA">
        <w:t xml:space="preserve">Some community broadcasters and </w:t>
      </w:r>
      <w:r w:rsidR="004231CB" w:rsidRPr="004C0EEA">
        <w:t>sector peak bodies</w:t>
      </w:r>
      <w:r w:rsidRPr="004C0EEA">
        <w:t xml:space="preserve"> </w:t>
      </w:r>
      <w:r w:rsidR="006A788B" w:rsidRPr="004C0EEA">
        <w:t>perceive the ambiguity of</w:t>
      </w:r>
      <w:r w:rsidR="008B5E9E" w:rsidRPr="004C0EEA">
        <w:t xml:space="preserve"> Schedule 2 of the BSA </w:t>
      </w:r>
      <w:r w:rsidR="006A788B" w:rsidRPr="004C0EEA">
        <w:t xml:space="preserve">as a challenge for </w:t>
      </w:r>
      <w:r w:rsidR="00B63562" w:rsidRPr="004C0EEA">
        <w:t xml:space="preserve">compliance with </w:t>
      </w:r>
      <w:r w:rsidRPr="004C0EEA">
        <w:t>community broadcasting</w:t>
      </w:r>
      <w:r w:rsidR="006A788B" w:rsidRPr="004C0EEA">
        <w:t xml:space="preserve"> </w:t>
      </w:r>
      <w:r w:rsidR="00B63562" w:rsidRPr="004C0EEA">
        <w:t xml:space="preserve">licence conditions. </w:t>
      </w:r>
      <w:r w:rsidR="00C46B32">
        <w:t>They noted difficulty in</w:t>
      </w:r>
      <w:r w:rsidR="008B5E9E" w:rsidRPr="004C0EEA">
        <w:t xml:space="preserve"> determining </w:t>
      </w:r>
      <w:r w:rsidR="00C46B32">
        <w:t>whether</w:t>
      </w:r>
      <w:r w:rsidR="008B5E9E" w:rsidRPr="004C0EEA">
        <w:t xml:space="preserve"> </w:t>
      </w:r>
      <w:r w:rsidR="00B37CF6" w:rsidRPr="004C0EEA">
        <w:t xml:space="preserve">paid </w:t>
      </w:r>
      <w:r w:rsidR="008B5E9E" w:rsidRPr="004C0EEA">
        <w:t>content</w:t>
      </w:r>
      <w:r w:rsidR="00FD3738" w:rsidRPr="004C0EEA">
        <w:t xml:space="preserve"> aimed at reaching specific audiences (e.g. regional, remote and First Nations communities)</w:t>
      </w:r>
      <w:r w:rsidR="008B5E9E" w:rsidRPr="004C0EEA">
        <w:t xml:space="preserve"> </w:t>
      </w:r>
      <w:r w:rsidR="00B63562" w:rsidRPr="004C0EEA">
        <w:t>is considered</w:t>
      </w:r>
      <w:r w:rsidR="008B5E9E" w:rsidRPr="004C0EEA">
        <w:t xml:space="preserve"> </w:t>
      </w:r>
      <w:r w:rsidR="006A788B" w:rsidRPr="004C0EEA">
        <w:t xml:space="preserve">to be </w:t>
      </w:r>
      <w:r w:rsidR="008B5E9E" w:rsidRPr="004C0EEA">
        <w:t xml:space="preserve">‘community </w:t>
      </w:r>
      <w:r w:rsidR="007366A9" w:rsidRPr="004C0EEA">
        <w:t xml:space="preserve">service </w:t>
      </w:r>
      <w:r w:rsidR="008B5E9E" w:rsidRPr="004C0EEA">
        <w:t xml:space="preserve">announcements’, </w:t>
      </w:r>
      <w:r w:rsidR="006A788B" w:rsidRPr="004C0EEA">
        <w:rPr>
          <w:color w:val="auto"/>
        </w:rPr>
        <w:t>‘community promotional material’</w:t>
      </w:r>
      <w:r w:rsidR="006A788B" w:rsidRPr="004C0EEA">
        <w:t xml:space="preserve">, </w:t>
      </w:r>
      <w:r w:rsidR="008B5E9E" w:rsidRPr="004C0EEA">
        <w:t>‘sponsorship’ or ‘advertising’.</w:t>
      </w:r>
      <w:r w:rsidR="00B63562" w:rsidRPr="004C0EEA">
        <w:t xml:space="preserve"> </w:t>
      </w:r>
    </w:p>
    <w:p w14:paraId="2F432DC2" w14:textId="0F1EFA56" w:rsidR="008B5E9E" w:rsidRPr="004C0EEA" w:rsidRDefault="00004293" w:rsidP="00571986">
      <w:r w:rsidRPr="004C0EEA">
        <w:t>Excluding</w:t>
      </w:r>
      <w:r w:rsidR="00FD3738" w:rsidRPr="004C0EEA">
        <w:t xml:space="preserve"> this content </w:t>
      </w:r>
      <w:r w:rsidRPr="004C0EEA">
        <w:t xml:space="preserve">from sponsorship </w:t>
      </w:r>
      <w:r w:rsidR="006A788B" w:rsidRPr="004C0EEA">
        <w:t xml:space="preserve">in the BSA </w:t>
      </w:r>
      <w:r w:rsidRPr="004C0EEA">
        <w:t xml:space="preserve">would provide community broadcasters with </w:t>
      </w:r>
      <w:r w:rsidR="00C46B32">
        <w:t>clearer guidance</w:t>
      </w:r>
      <w:r w:rsidRPr="004C0EEA">
        <w:t xml:space="preserve"> on how to handle this content</w:t>
      </w:r>
      <w:r w:rsidR="00BA560B" w:rsidRPr="004C0EEA">
        <w:t xml:space="preserve"> in the context of the sponsorship limit</w:t>
      </w:r>
      <w:r w:rsidRPr="004C0EEA">
        <w:t>. It would also allow community broadcasters to secure additional revenue above the 5-minute sponsorship limit, contributing to their financial stability.</w:t>
      </w:r>
      <w:r w:rsidR="00571986" w:rsidRPr="004C0EEA">
        <w:t xml:space="preserve"> </w:t>
      </w:r>
      <w:r w:rsidR="00B37CF6" w:rsidRPr="004C0EEA">
        <w:t>Legislative</w:t>
      </w:r>
      <w:r w:rsidR="00B42FCF" w:rsidRPr="004C0EEA">
        <w:t xml:space="preserve"> </w:t>
      </w:r>
      <w:r w:rsidR="00B37CF6" w:rsidRPr="004C0EEA">
        <w:t>definition</w:t>
      </w:r>
      <w:r w:rsidR="00174486" w:rsidRPr="004C0EEA">
        <w:t>s</w:t>
      </w:r>
      <w:r w:rsidR="006221D5" w:rsidRPr="004C0EEA">
        <w:t xml:space="preserve"> should</w:t>
      </w:r>
      <w:r w:rsidR="00B37CF6" w:rsidRPr="004C0EEA">
        <w:t xml:space="preserve"> be sufficient to provide clear </w:t>
      </w:r>
      <w:r w:rsidR="00AA2CF4" w:rsidRPr="004C0EEA">
        <w:t>direction</w:t>
      </w:r>
      <w:r w:rsidR="00B37CF6" w:rsidRPr="004C0EEA">
        <w:t xml:space="preserve">, yet broad enough to adapt to the evolving needs of the sector and future technological advancements. They </w:t>
      </w:r>
      <w:r w:rsidR="006221D5" w:rsidRPr="004C0EEA">
        <w:t>should</w:t>
      </w:r>
      <w:r w:rsidR="00B37CF6" w:rsidRPr="004C0EEA">
        <w:t xml:space="preserve"> also align with</w:t>
      </w:r>
      <w:r w:rsidR="00B63562" w:rsidRPr="004C0EEA">
        <w:t xml:space="preserve"> advertising</w:t>
      </w:r>
      <w:r w:rsidR="00B37CF6" w:rsidRPr="004C0EEA">
        <w:t xml:space="preserve"> obligations imposed under Schedule 2 of the </w:t>
      </w:r>
      <w:r w:rsidR="00B37CF6" w:rsidRPr="004C0EEA">
        <w:rPr>
          <w:i/>
        </w:rPr>
        <w:t>Competition and Consumer Act 2010</w:t>
      </w:r>
      <w:r w:rsidR="00B63562" w:rsidRPr="004C0EEA">
        <w:t>.</w:t>
      </w:r>
    </w:p>
    <w:p w14:paraId="3F3F3236" w14:textId="77777777" w:rsidR="001F74F6" w:rsidRPr="004C0EEA" w:rsidRDefault="001F74F6" w:rsidP="00571986">
      <w:r w:rsidRPr="004C0EEA">
        <w:t>Any legislative change</w:t>
      </w:r>
      <w:r w:rsidR="004C2B58" w:rsidRPr="004C0EEA">
        <w:t xml:space="preserve"> is likely to </w:t>
      </w:r>
      <w:r w:rsidRPr="004C0EEA">
        <w:t xml:space="preserve">prompt </w:t>
      </w:r>
      <w:r w:rsidR="00FF5349" w:rsidRPr="004C0EEA">
        <w:t>a</w:t>
      </w:r>
      <w:r w:rsidRPr="004C0EEA">
        <w:t xml:space="preserve"> review of guidance materials, however there is also a need for sector-led training and support for community broadcasters to better understand and apply the legislation.</w:t>
      </w:r>
    </w:p>
    <w:p w14:paraId="76760713" w14:textId="77777777" w:rsidR="00C85C48" w:rsidRPr="004C0EEA" w:rsidRDefault="00571986" w:rsidP="007669D5">
      <w:pPr>
        <w:pStyle w:val="Heading3"/>
      </w:pPr>
      <w:bookmarkStart w:id="50" w:name="_Toc191451009"/>
      <w:r w:rsidRPr="004C0EEA">
        <w:t>Definition of ‘community participation’ and associated terms</w:t>
      </w:r>
      <w:bookmarkEnd w:id="50"/>
    </w:p>
    <w:p w14:paraId="28FA4C5B" w14:textId="77777777" w:rsidR="0043169D" w:rsidRPr="004C0EEA" w:rsidRDefault="00043C14" w:rsidP="00C80D06">
      <w:r w:rsidRPr="004C0EEA">
        <w:t>The sector</w:t>
      </w:r>
      <w:r w:rsidR="00337A29" w:rsidRPr="004C0EEA">
        <w:t xml:space="preserve"> does not support </w:t>
      </w:r>
      <w:r w:rsidR="00C80D06" w:rsidRPr="004C0EEA">
        <w:t>community participation tiers for metropolitan, sub-metropolitan, regional and remote licen</w:t>
      </w:r>
      <w:r w:rsidR="004C3913" w:rsidRPr="004C0EEA">
        <w:t>c</w:t>
      </w:r>
      <w:r w:rsidR="00C80D06" w:rsidRPr="004C0EEA">
        <w:t>es</w:t>
      </w:r>
      <w:r w:rsidR="0043169D" w:rsidRPr="004C0EEA">
        <w:t>. The intent of community participation tiers was to place more emphasis on the quantum of community participation for community broadcasters in highly-populated licence areas and less so those in sparsely-populated areas. It was noted that this could make rural and remote communities particularly vulnerable to not having their needs and interests met by their community broadcaster, which may be the only broadcaster in that licence area.</w:t>
      </w:r>
    </w:p>
    <w:p w14:paraId="254FFAA1" w14:textId="77777777" w:rsidR="00925504" w:rsidRPr="004C0EEA" w:rsidRDefault="00C80D06" w:rsidP="00C80D06">
      <w:r w:rsidRPr="004C0EEA">
        <w:t>I</w:t>
      </w:r>
      <w:r w:rsidR="005E2633" w:rsidRPr="004C0EEA">
        <w:t>nstead,</w:t>
      </w:r>
      <w:r w:rsidR="00B84B1E" w:rsidRPr="004C0EEA">
        <w:t xml:space="preserve"> most of the</w:t>
      </w:r>
      <w:r w:rsidR="006A788B" w:rsidRPr="004C0EEA">
        <w:t xml:space="preserve"> sector views the</w:t>
      </w:r>
      <w:r w:rsidRPr="004C0EEA">
        <w:t xml:space="preserve"> current </w:t>
      </w:r>
      <w:r w:rsidR="006A788B" w:rsidRPr="004C0EEA">
        <w:t>legislative provisions on</w:t>
      </w:r>
      <w:r w:rsidR="00571986" w:rsidRPr="004C0EEA">
        <w:t xml:space="preserve"> </w:t>
      </w:r>
      <w:r w:rsidRPr="004C0EEA">
        <w:t xml:space="preserve">community participation </w:t>
      </w:r>
      <w:r w:rsidR="006A788B" w:rsidRPr="004C0EEA">
        <w:t>as not supporting</w:t>
      </w:r>
      <w:r w:rsidRPr="004C0EEA">
        <w:t xml:space="preserve"> the various ways local communities engage with their community broadcaster</w:t>
      </w:r>
      <w:r w:rsidR="002F0421" w:rsidRPr="004C0EEA">
        <w:t>, particularly for First Nations communities</w:t>
      </w:r>
      <w:r w:rsidR="00925504" w:rsidRPr="004C0EEA">
        <w:t xml:space="preserve">. It found that </w:t>
      </w:r>
      <w:r w:rsidR="006A788B" w:rsidRPr="004C0EEA">
        <w:t>it</w:t>
      </w:r>
      <w:r w:rsidRPr="004C0EEA">
        <w:t xml:space="preserve"> focused too narrowly on volunteer involvement in station operations and programming</w:t>
      </w:r>
      <w:r w:rsidR="00925504" w:rsidRPr="004C0EEA">
        <w:t xml:space="preserve">, and did not consider other ways communities engage (e.g. </w:t>
      </w:r>
      <w:r w:rsidR="006D7FE5" w:rsidRPr="004C0EEA">
        <w:t xml:space="preserve">subscribers, </w:t>
      </w:r>
      <w:r w:rsidR="00925504" w:rsidRPr="004C0EEA">
        <w:t>sponsors, donors, social media followers, and event attendees).</w:t>
      </w:r>
    </w:p>
    <w:p w14:paraId="084EB57A" w14:textId="77777777" w:rsidR="00B346FF" w:rsidRPr="004C0EEA" w:rsidRDefault="005E2633" w:rsidP="00C80D06">
      <w:r w:rsidRPr="004C0EEA">
        <w:t xml:space="preserve">The Christian sub-sector </w:t>
      </w:r>
      <w:r w:rsidR="00D76827" w:rsidRPr="004C0EEA">
        <w:t>considers</w:t>
      </w:r>
      <w:r w:rsidR="00B84B1E" w:rsidRPr="004C0EEA">
        <w:t xml:space="preserve"> that</w:t>
      </w:r>
      <w:r w:rsidR="00785D31" w:rsidRPr="004C0EEA">
        <w:t xml:space="preserve"> having </w:t>
      </w:r>
      <w:r w:rsidR="00925504" w:rsidRPr="004C0EEA">
        <w:t xml:space="preserve">a diverse range of </w:t>
      </w:r>
      <w:r w:rsidR="006D7FE5" w:rsidRPr="004C0EEA">
        <w:t xml:space="preserve">subscribers, </w:t>
      </w:r>
      <w:r w:rsidR="00925504" w:rsidRPr="004C0EEA">
        <w:t>sponsors</w:t>
      </w:r>
      <w:r w:rsidR="006D7FE5" w:rsidRPr="004C0EEA">
        <w:t xml:space="preserve"> and donors </w:t>
      </w:r>
      <w:r w:rsidR="00925504" w:rsidRPr="004C0EEA">
        <w:t>generally indicates strong community support because it suggests the community broadcaster’s mission and work resonate with many people, and they are willing to financially contribute to, or support, its cause.</w:t>
      </w:r>
      <w:r w:rsidR="006D7FE5" w:rsidRPr="004C0EEA">
        <w:t xml:space="preserve"> As such, it has called for subscribers, sponsors and donors to be included as community participation.</w:t>
      </w:r>
      <w:r w:rsidR="00925504" w:rsidRPr="004C0EEA">
        <w:t xml:space="preserve"> </w:t>
      </w:r>
      <w:r w:rsidR="006D7FE5" w:rsidRPr="004C0EEA">
        <w:t xml:space="preserve">However, there is a risk that subscribers, sponsors and donors </w:t>
      </w:r>
      <w:r w:rsidR="00D76827" w:rsidRPr="004C0EEA">
        <w:t xml:space="preserve">may </w:t>
      </w:r>
      <w:r w:rsidR="006D7FE5" w:rsidRPr="004C0EEA">
        <w:t>not be local, so it is important that community participation promotes the local and hyperlocal focus of the sector.</w:t>
      </w:r>
    </w:p>
    <w:p w14:paraId="4E94CBA2" w14:textId="77777777" w:rsidR="00766C32" w:rsidRPr="004C0EEA" w:rsidRDefault="00766C32" w:rsidP="00766C32">
      <w:r w:rsidRPr="004C0EEA">
        <w:t xml:space="preserve">A definition for ‘First Nations community </w:t>
      </w:r>
      <w:r w:rsidR="00CB38E6" w:rsidRPr="004C0EEA">
        <w:t xml:space="preserve">participation’ </w:t>
      </w:r>
      <w:r w:rsidRPr="004C0EEA">
        <w:t>would allow a</w:t>
      </w:r>
      <w:r w:rsidR="005E2633" w:rsidRPr="004C0EEA">
        <w:t xml:space="preserve"> community broadcaster with a</w:t>
      </w:r>
      <w:r w:rsidR="00B95BAC" w:rsidRPr="004C0EEA">
        <w:t xml:space="preserve">n Indigenous community interest </w:t>
      </w:r>
      <w:r w:rsidR="005E2633" w:rsidRPr="004C0EEA">
        <w:t xml:space="preserve">(or a </w:t>
      </w:r>
      <w:r w:rsidRPr="004C0EEA">
        <w:t>potential First Nations broadcasting category</w:t>
      </w:r>
      <w:r w:rsidR="00B95BAC" w:rsidRPr="004C0EEA">
        <w:t xml:space="preserve"> in section </w:t>
      </w:r>
      <w:r w:rsidR="00B95BAC" w:rsidRPr="004C0EEA">
        <w:rPr>
          <w:b/>
        </w:rPr>
        <w:t>6.2</w:t>
      </w:r>
      <w:r w:rsidR="00B95BAC" w:rsidRPr="004C0EEA">
        <w:t xml:space="preserve">) </w:t>
      </w:r>
      <w:r w:rsidRPr="004C0EEA">
        <w:t>to have a point of difference from general community broadcasting licences</w:t>
      </w:r>
      <w:r w:rsidR="00D269AA" w:rsidRPr="004C0EEA">
        <w:t>.</w:t>
      </w:r>
      <w:r w:rsidR="00CB38E6" w:rsidRPr="004C0EEA">
        <w:t xml:space="preserve"> Any definition considered should support the governance arrangements of most community broadcasters with a First Nations interest. The majority of these are either First Nations community-controlled organisations or Aboriginal Shire Councils, which, by definition,</w:t>
      </w:r>
      <w:r w:rsidR="009775A2" w:rsidRPr="004C0EEA">
        <w:rPr>
          <w:rStyle w:val="FootnoteReference"/>
        </w:rPr>
        <w:footnoteReference w:id="13"/>
      </w:r>
      <w:r w:rsidR="00CB38E6" w:rsidRPr="004C0EEA">
        <w:t xml:space="preserve"> represent and are connected to the communities they serve.</w:t>
      </w:r>
    </w:p>
    <w:p w14:paraId="7AA94B65" w14:textId="77777777" w:rsidR="00785D31" w:rsidRPr="004C0EEA" w:rsidRDefault="00785D31" w:rsidP="00785D31">
      <w:r w:rsidRPr="004C0EEA">
        <w:t>As such, any legislative definition</w:t>
      </w:r>
      <w:r w:rsidR="00DA5503" w:rsidRPr="004C0EEA">
        <w:t xml:space="preserve"> for</w:t>
      </w:r>
      <w:r w:rsidRPr="004C0EEA">
        <w:t xml:space="preserve"> ‘community participation’</w:t>
      </w:r>
      <w:r w:rsidR="007E18B8" w:rsidRPr="004C0EEA">
        <w:t xml:space="preserve"> or ‘First Nations community participation’</w:t>
      </w:r>
      <w:r w:rsidRPr="004C0EEA">
        <w:t xml:space="preserve"> should balance volunteers involved in operations and programming</w:t>
      </w:r>
      <w:r w:rsidR="00DA5503" w:rsidRPr="004C0EEA">
        <w:t>,</w:t>
      </w:r>
      <w:r w:rsidRPr="004C0EEA">
        <w:t xml:space="preserve"> local community members who are involved in other ways</w:t>
      </w:r>
      <w:r w:rsidR="00DA5503" w:rsidRPr="004C0EEA">
        <w:t>, and the governance structure of licensees</w:t>
      </w:r>
      <w:r w:rsidRPr="004C0EEA">
        <w:t xml:space="preserve">. Such definitions </w:t>
      </w:r>
      <w:r w:rsidR="00457068" w:rsidRPr="004C0EEA">
        <w:t>should</w:t>
      </w:r>
      <w:r w:rsidRPr="004C0EEA">
        <w:t xml:space="preserve"> </w:t>
      </w:r>
      <w:r w:rsidR="007E18B8" w:rsidRPr="004C0EEA">
        <w:t xml:space="preserve">also </w:t>
      </w:r>
      <w:r w:rsidRPr="004C0EEA">
        <w:t>be sufficient to provide clear guidance to the sector, yet broad enough to acknowledge the different ways local communities engage.</w:t>
      </w:r>
    </w:p>
    <w:p w14:paraId="4BBE53BB" w14:textId="77777777" w:rsidR="004A2D55" w:rsidRPr="004C0EEA" w:rsidRDefault="004A2D55" w:rsidP="007669D5">
      <w:pPr>
        <w:pStyle w:val="Heading3"/>
      </w:pPr>
      <w:bookmarkStart w:id="51" w:name="_Toc191451010"/>
      <w:r w:rsidRPr="004C0EEA">
        <w:lastRenderedPageBreak/>
        <w:t>Definition of ‘not</w:t>
      </w:r>
      <w:r w:rsidR="003B7151" w:rsidRPr="004C0EEA">
        <w:t>-</w:t>
      </w:r>
      <w:r w:rsidRPr="004C0EEA">
        <w:t>for</w:t>
      </w:r>
      <w:r w:rsidR="003B7151" w:rsidRPr="004C0EEA">
        <w:t>-</w:t>
      </w:r>
      <w:r w:rsidRPr="004C0EEA">
        <w:t xml:space="preserve">profit’ </w:t>
      </w:r>
      <w:r w:rsidR="00F73476" w:rsidRPr="004C0EEA">
        <w:t>and associated terms</w:t>
      </w:r>
      <w:bookmarkEnd w:id="51"/>
    </w:p>
    <w:p w14:paraId="5F9F1874" w14:textId="77777777" w:rsidR="004C55BA" w:rsidRPr="004C0EEA" w:rsidRDefault="00694C5D" w:rsidP="004C55BA">
      <w:r w:rsidRPr="004C0EEA">
        <w:t>Community broadcasters</w:t>
      </w:r>
      <w:r w:rsidR="00B84B1E" w:rsidRPr="004C0EEA">
        <w:t xml:space="preserve"> remain</w:t>
      </w:r>
      <w:r w:rsidR="003E58BE" w:rsidRPr="004C0EEA">
        <w:t xml:space="preserve"> committed to not-for-profit values</w:t>
      </w:r>
      <w:r w:rsidR="004C55BA" w:rsidRPr="004C0EEA">
        <w:t xml:space="preserve">. </w:t>
      </w:r>
      <w:r w:rsidR="004231CB" w:rsidRPr="004C0EEA">
        <w:t>Sector peak bodies</w:t>
      </w:r>
      <w:r w:rsidR="004C55BA" w:rsidRPr="004C0EEA">
        <w:t xml:space="preserve"> encourage eligible community broadcasters to register as a charity, and obtain deductible gift recipient (DGR) status under the </w:t>
      </w:r>
      <w:r w:rsidR="004C55BA" w:rsidRPr="004C0EEA">
        <w:rPr>
          <w:i/>
        </w:rPr>
        <w:t xml:space="preserve">Australian Charities and Not-for-profits Commission Act 2012 </w:t>
      </w:r>
      <w:r w:rsidR="004C55BA" w:rsidRPr="004C0EEA">
        <w:t>(ACNC Act)</w:t>
      </w:r>
      <w:r w:rsidR="00B76B41" w:rsidRPr="004C0EEA">
        <w:t>.</w:t>
      </w:r>
      <w:r w:rsidR="004C55BA" w:rsidRPr="004C0EEA">
        <w:t xml:space="preserve"> </w:t>
      </w:r>
      <w:r w:rsidRPr="004C0EEA">
        <w:t>M</w:t>
      </w:r>
      <w:r w:rsidR="005602C2" w:rsidRPr="004C0EEA">
        <w:t>ost</w:t>
      </w:r>
      <w:r w:rsidR="004C55BA" w:rsidRPr="004C0EEA">
        <w:t xml:space="preserve"> community broadcasters are registered charities and</w:t>
      </w:r>
      <w:r w:rsidR="005602C2" w:rsidRPr="004C0EEA">
        <w:t>/or</w:t>
      </w:r>
      <w:r w:rsidR="004C55BA" w:rsidRPr="004C0EEA">
        <w:t xml:space="preserve"> have DGR status, and must comply with the ACNC Act.</w:t>
      </w:r>
    </w:p>
    <w:p w14:paraId="757A0D14" w14:textId="77777777" w:rsidR="007C1E39" w:rsidRPr="004C0EEA" w:rsidRDefault="00AB1D7D" w:rsidP="007C1E39">
      <w:r w:rsidRPr="004C0EEA">
        <w:t>A</w:t>
      </w:r>
      <w:r w:rsidR="00F73476" w:rsidRPr="004C0EEA">
        <w:t xml:space="preserve">ny legislative definition </w:t>
      </w:r>
      <w:r w:rsidR="0072560A" w:rsidRPr="004C0EEA">
        <w:t xml:space="preserve">or guidance </w:t>
      </w:r>
      <w:r w:rsidR="00F73476" w:rsidRPr="004C0EEA">
        <w:t xml:space="preserve">of ‘not for profit’ </w:t>
      </w:r>
      <w:r w:rsidR="004C55BA" w:rsidRPr="004C0EEA">
        <w:t>i</w:t>
      </w:r>
      <w:r w:rsidR="0054545A" w:rsidRPr="004C0EEA">
        <w:t xml:space="preserve">n the context of community broadcasting </w:t>
      </w:r>
      <w:r w:rsidR="003B7151" w:rsidRPr="004C0EEA">
        <w:t xml:space="preserve">should </w:t>
      </w:r>
      <w:r w:rsidR="00F73476" w:rsidRPr="004C0EEA">
        <w:t>align with the ACNC Act and other Commonwealth requirements</w:t>
      </w:r>
      <w:r w:rsidR="0054545A" w:rsidRPr="004C0EEA">
        <w:t xml:space="preserve">, </w:t>
      </w:r>
      <w:r w:rsidR="00D269AA" w:rsidRPr="004C0EEA">
        <w:t xml:space="preserve">and </w:t>
      </w:r>
      <w:r w:rsidR="0054545A" w:rsidRPr="004C0EEA">
        <w:t>consider activities specific to community broadcasters</w:t>
      </w:r>
      <w:r w:rsidR="004C55BA" w:rsidRPr="004C0EEA">
        <w:t xml:space="preserve"> (i.e. using sponsorship revenue to reinvest in station </w:t>
      </w:r>
      <w:r w:rsidR="00D34198" w:rsidRPr="004C0EEA">
        <w:t xml:space="preserve">operations, programming or capital works). </w:t>
      </w:r>
      <w:r w:rsidR="00D269AA" w:rsidRPr="004C0EEA">
        <w:t>It should also</w:t>
      </w:r>
      <w:r w:rsidR="007E18B8" w:rsidRPr="004C0EEA">
        <w:t xml:space="preserve"> </w:t>
      </w:r>
      <w:r w:rsidR="0054545A" w:rsidRPr="004C0EEA">
        <w:t xml:space="preserve">speak to </w:t>
      </w:r>
      <w:r w:rsidRPr="004C0EEA">
        <w:t xml:space="preserve">the use of </w:t>
      </w:r>
      <w:r w:rsidR="004C55BA" w:rsidRPr="004C0EEA">
        <w:t xml:space="preserve">the broadcasting service and </w:t>
      </w:r>
      <w:r w:rsidRPr="004C0EEA">
        <w:t>online</w:t>
      </w:r>
      <w:r w:rsidR="00B76B41" w:rsidRPr="004C0EEA">
        <w:t>/</w:t>
      </w:r>
      <w:r w:rsidRPr="004C0EEA">
        <w:t>digital platforms, station websites or social media for promotional arrangements.</w:t>
      </w:r>
      <w:r w:rsidR="004C55BA" w:rsidRPr="004C0EEA">
        <w:t xml:space="preserve"> This w</w:t>
      </w:r>
      <w:r w:rsidR="00B76B41" w:rsidRPr="004C0EEA">
        <w:t>ould</w:t>
      </w:r>
      <w:r w:rsidR="004C55BA" w:rsidRPr="004C0EEA">
        <w:t xml:space="preserve"> support the sector to differentiate between revenue and profit, and make </w:t>
      </w:r>
      <w:r w:rsidR="00D269AA" w:rsidRPr="004C0EEA">
        <w:t>informed decisions on revenue-raising opportunities</w:t>
      </w:r>
      <w:r w:rsidR="004C55BA" w:rsidRPr="004C0EEA">
        <w:t>.</w:t>
      </w:r>
      <w:r w:rsidR="007C1E39" w:rsidRPr="004C0EEA">
        <w:t xml:space="preserve"> </w:t>
      </w:r>
    </w:p>
    <w:p w14:paraId="6654AA87" w14:textId="77777777" w:rsidR="00F73476" w:rsidRPr="004C0EEA" w:rsidRDefault="007C1E39" w:rsidP="00F73476">
      <w:r w:rsidRPr="004C0EEA">
        <w:t>Some community broadcasters prefer to mitigate perceived or actual risks of non-compliance with the ‘not-for-profit’ licence condition by avoiding legitimate sponsorship or other revenue-raising opportunities that are permissible under their licence. This highlights an opportunity for sector peak bodies to help their members to navigate not-for-profit obligations,</w:t>
      </w:r>
      <w:r w:rsidRPr="004C0EEA">
        <w:rPr>
          <w:color w:val="auto"/>
        </w:rPr>
        <w:t xml:space="preserve"> </w:t>
      </w:r>
      <w:r w:rsidR="00B76B41" w:rsidRPr="004C0EEA">
        <w:t xml:space="preserve">particularly differentiating between ‘revenue’ and ‘profit’, </w:t>
      </w:r>
      <w:r w:rsidRPr="004C0EEA">
        <w:rPr>
          <w:color w:val="auto"/>
        </w:rPr>
        <w:t>so it does not impact upon the ability to seek legitimate revenue.</w:t>
      </w:r>
    </w:p>
    <w:p w14:paraId="591EFD65" w14:textId="77777777" w:rsidR="00C85C48" w:rsidRPr="004C0EEA" w:rsidRDefault="00C85C48" w:rsidP="00E700C7">
      <w:pPr>
        <w:pStyle w:val="Heading2"/>
      </w:pPr>
      <w:bookmarkStart w:id="52" w:name="_Toc191451011"/>
      <w:r w:rsidRPr="004C0EEA">
        <w:t>Licen</w:t>
      </w:r>
      <w:r w:rsidR="00D51EE8" w:rsidRPr="004C0EEA">
        <w:t>s</w:t>
      </w:r>
      <w:r w:rsidRPr="004C0EEA">
        <w:t>ing processes</w:t>
      </w:r>
      <w:bookmarkEnd w:id="52"/>
    </w:p>
    <w:p w14:paraId="14EBEB4E" w14:textId="77777777" w:rsidR="00155591" w:rsidRPr="004C0EEA" w:rsidRDefault="00B84B1E" w:rsidP="00BC3948">
      <w:r w:rsidRPr="004C0EEA">
        <w:rPr>
          <w:color w:val="auto"/>
        </w:rPr>
        <w:t>W</w:t>
      </w:r>
      <w:r w:rsidR="003029CA" w:rsidRPr="004C0EEA">
        <w:rPr>
          <w:color w:val="auto"/>
        </w:rPr>
        <w:t xml:space="preserve">hile the </w:t>
      </w:r>
      <w:r w:rsidRPr="004C0EEA">
        <w:rPr>
          <w:color w:val="auto"/>
        </w:rPr>
        <w:t xml:space="preserve">sector welcomed the </w:t>
      </w:r>
      <w:r w:rsidR="003029CA" w:rsidRPr="004C0EEA">
        <w:rPr>
          <w:color w:val="auto"/>
        </w:rPr>
        <w:t xml:space="preserve">ACMA’s recent streamlining of its licence renewal form, some community broadcasters continue to find the licence application and </w:t>
      </w:r>
      <w:r w:rsidR="00BF5737" w:rsidRPr="004C0EEA">
        <w:t>renewal process burdensome</w:t>
      </w:r>
      <w:r w:rsidR="004D1DC4" w:rsidRPr="004C0EEA">
        <w:t xml:space="preserve"> due to the amount of information request</w:t>
      </w:r>
      <w:r w:rsidR="003029CA" w:rsidRPr="004C0EEA">
        <w:t>ed</w:t>
      </w:r>
      <w:r w:rsidR="004D1DC4" w:rsidRPr="004C0EEA">
        <w:t xml:space="preserve">. This is particularly the case for community broadcasters </w:t>
      </w:r>
      <w:r w:rsidR="00D269AA" w:rsidRPr="004C0EEA">
        <w:t>that</w:t>
      </w:r>
      <w:r w:rsidR="00BF5737" w:rsidRPr="004C0EEA">
        <w:t xml:space="preserve"> have less than one full</w:t>
      </w:r>
      <w:r w:rsidR="00545279" w:rsidRPr="004C0EEA">
        <w:noBreakHyphen/>
      </w:r>
      <w:r w:rsidR="00BF5737" w:rsidRPr="004C0EEA">
        <w:t>time staff member or are volunteer-run</w:t>
      </w:r>
      <w:r w:rsidR="00ED39E4" w:rsidRPr="004C0EEA">
        <w:t xml:space="preserve">, hold multiple licences </w:t>
      </w:r>
      <w:r w:rsidR="004D1DC4" w:rsidRPr="004C0EEA">
        <w:t>all of which need to be renewed at the same time</w:t>
      </w:r>
      <w:r w:rsidR="00ED39E4" w:rsidRPr="004C0EEA">
        <w:t xml:space="preserve">, </w:t>
      </w:r>
      <w:r w:rsidR="00155591" w:rsidRPr="004C0EEA">
        <w:t>or</w:t>
      </w:r>
      <w:r w:rsidR="004D1DC4" w:rsidRPr="004C0EEA">
        <w:t xml:space="preserve"> whose personnel</w:t>
      </w:r>
      <w:r w:rsidR="00155591" w:rsidRPr="004C0EEA">
        <w:t xml:space="preserve"> experience</w:t>
      </w:r>
      <w:r w:rsidR="00ED39E4" w:rsidRPr="004C0EEA">
        <w:t xml:space="preserve"> language and literacy barriers</w:t>
      </w:r>
      <w:r w:rsidR="00BF5737" w:rsidRPr="004C0EEA">
        <w:t xml:space="preserve">. </w:t>
      </w:r>
    </w:p>
    <w:p w14:paraId="39AEBA1F" w14:textId="77777777" w:rsidR="003029CA" w:rsidRPr="004C0EEA" w:rsidRDefault="003029CA" w:rsidP="00BC3948">
      <w:r w:rsidRPr="004C0EEA">
        <w:rPr>
          <w:color w:val="auto"/>
        </w:rPr>
        <w:t>The ACMA follows the legislative provisions in the BSA in regards to its licensing and renewals processes.</w:t>
      </w:r>
      <w:r w:rsidR="00B76B41" w:rsidRPr="004C0EEA">
        <w:rPr>
          <w:color w:val="auto"/>
        </w:rPr>
        <w:t xml:space="preserve"> </w:t>
      </w:r>
    </w:p>
    <w:p w14:paraId="7F27063C" w14:textId="77777777" w:rsidR="00BC3948" w:rsidRPr="004C0EEA" w:rsidRDefault="00B84B1E" w:rsidP="003B7151">
      <w:pPr>
        <w:suppressAutoHyphens w:val="0"/>
      </w:pPr>
      <w:r w:rsidRPr="004C0EEA">
        <w:t>Some</w:t>
      </w:r>
      <w:r w:rsidR="00766C32" w:rsidRPr="004C0EEA">
        <w:t xml:space="preserve"> community broadcasters</w:t>
      </w:r>
      <w:r w:rsidR="003029CA" w:rsidRPr="004C0EEA">
        <w:t xml:space="preserve"> identified</w:t>
      </w:r>
      <w:r w:rsidR="00BF5737" w:rsidRPr="004C0EEA">
        <w:t xml:space="preserve"> opportunities</w:t>
      </w:r>
      <w:r w:rsidR="00A61744" w:rsidRPr="004C0EEA">
        <w:t xml:space="preserve"> </w:t>
      </w:r>
      <w:r w:rsidR="003029CA" w:rsidRPr="004C0EEA">
        <w:t xml:space="preserve">to improve </w:t>
      </w:r>
      <w:r w:rsidR="00BF5737" w:rsidRPr="004C0EEA">
        <w:t>the licensing renewal process, including:</w:t>
      </w:r>
    </w:p>
    <w:p w14:paraId="172716DF" w14:textId="77777777" w:rsidR="000E5663" w:rsidRPr="004C0EEA" w:rsidRDefault="000E5663" w:rsidP="000E5663">
      <w:pPr>
        <w:pStyle w:val="Bullet1"/>
        <w:rPr>
          <w:lang w:val="en-AU"/>
        </w:rPr>
      </w:pPr>
      <w:r w:rsidRPr="004C0EEA">
        <w:rPr>
          <w:lang w:val="en-AU"/>
        </w:rPr>
        <w:t>allowing services with multiple licences to renew all licences they hold using one form</w:t>
      </w:r>
    </w:p>
    <w:p w14:paraId="51A53237" w14:textId="77777777" w:rsidR="00BF5737" w:rsidRPr="004C0EEA" w:rsidRDefault="00BF5737" w:rsidP="00B76B41">
      <w:pPr>
        <w:pStyle w:val="Bullet1"/>
        <w:rPr>
          <w:lang w:val="en-AU"/>
        </w:rPr>
      </w:pPr>
      <w:r w:rsidRPr="004C0EEA">
        <w:rPr>
          <w:lang w:val="en-AU"/>
        </w:rPr>
        <w:t>fast-tracking renewals for licensees compliant with licence conditions</w:t>
      </w:r>
      <w:r w:rsidR="00B76B41" w:rsidRPr="004C0EEA">
        <w:rPr>
          <w:lang w:val="en-AU"/>
        </w:rPr>
        <w:t>,</w:t>
      </w:r>
      <w:r w:rsidRPr="004C0EEA">
        <w:rPr>
          <w:lang w:val="en-AU"/>
        </w:rPr>
        <w:t xml:space="preserve"> at low-risk of non-compliance</w:t>
      </w:r>
      <w:r w:rsidR="00B76B41" w:rsidRPr="004C0EEA">
        <w:rPr>
          <w:lang w:val="en-AU"/>
        </w:rPr>
        <w:t xml:space="preserve">, or without </w:t>
      </w:r>
      <w:r w:rsidRPr="004C0EEA">
        <w:rPr>
          <w:lang w:val="en-AU"/>
        </w:rPr>
        <w:t>any major changes in technical requirements, infrastructure or equipment since t</w:t>
      </w:r>
      <w:r w:rsidR="00B76B41" w:rsidRPr="004C0EEA">
        <w:rPr>
          <w:lang w:val="en-AU"/>
        </w:rPr>
        <w:t>he</w:t>
      </w:r>
      <w:r w:rsidRPr="004C0EEA">
        <w:rPr>
          <w:lang w:val="en-AU"/>
        </w:rPr>
        <w:t xml:space="preserve"> last renewal</w:t>
      </w:r>
    </w:p>
    <w:p w14:paraId="49845394" w14:textId="77777777" w:rsidR="00A61744" w:rsidRPr="004C0EEA" w:rsidRDefault="00BF5737" w:rsidP="00A61744">
      <w:pPr>
        <w:pStyle w:val="Bullet1"/>
        <w:rPr>
          <w:lang w:val="en-AU"/>
        </w:rPr>
      </w:pPr>
      <w:r w:rsidRPr="004C0EEA">
        <w:rPr>
          <w:lang w:val="en-AU"/>
        </w:rPr>
        <w:t>staggering licence renewals throughout the year so that licensees can assist each other</w:t>
      </w:r>
    </w:p>
    <w:p w14:paraId="7487284F" w14:textId="77777777" w:rsidR="006D3C18" w:rsidRPr="004C0EEA" w:rsidRDefault="00155591" w:rsidP="00155591">
      <w:pPr>
        <w:pStyle w:val="Bullet1"/>
        <w:rPr>
          <w:lang w:val="en-AU"/>
        </w:rPr>
      </w:pPr>
      <w:r w:rsidRPr="004C0EEA">
        <w:rPr>
          <w:lang w:val="en-AU"/>
        </w:rPr>
        <w:t>facilitating early intervention</w:t>
      </w:r>
      <w:r w:rsidR="00B76B41" w:rsidRPr="004C0EEA">
        <w:rPr>
          <w:lang w:val="en-AU"/>
        </w:rPr>
        <w:t xml:space="preserve"> </w:t>
      </w:r>
      <w:r w:rsidRPr="004C0EEA">
        <w:rPr>
          <w:lang w:val="en-AU"/>
        </w:rPr>
        <w:t>for permanent licensees experiencing difficulties in meeting licen</w:t>
      </w:r>
      <w:r w:rsidR="00474E51" w:rsidRPr="004C0EEA">
        <w:rPr>
          <w:lang w:val="en-AU"/>
        </w:rPr>
        <w:t>c</w:t>
      </w:r>
      <w:r w:rsidRPr="004C0EEA">
        <w:rPr>
          <w:lang w:val="en-AU"/>
        </w:rPr>
        <w:t>e conditions to transfer the licen</w:t>
      </w:r>
      <w:r w:rsidR="009E2474" w:rsidRPr="004C0EEA">
        <w:rPr>
          <w:lang w:val="en-AU"/>
        </w:rPr>
        <w:t>c</w:t>
      </w:r>
      <w:r w:rsidRPr="004C0EEA">
        <w:rPr>
          <w:lang w:val="en-AU"/>
        </w:rPr>
        <w:t>e to another organisation to ensure continuity and stability for personnel</w:t>
      </w:r>
      <w:r w:rsidR="004F6C99" w:rsidRPr="004C0EEA">
        <w:rPr>
          <w:lang w:val="en-AU"/>
        </w:rPr>
        <w:t>.</w:t>
      </w:r>
    </w:p>
    <w:p w14:paraId="00224CD9" w14:textId="2C22B1AA" w:rsidR="00BF5737" w:rsidRPr="004C0EEA" w:rsidRDefault="003029CA" w:rsidP="000742A7">
      <w:r w:rsidRPr="004C0EEA">
        <w:rPr>
          <w:color w:val="auto"/>
        </w:rPr>
        <w:t>Some of these improvements may require legislative change</w:t>
      </w:r>
      <w:r w:rsidR="004F6C99" w:rsidRPr="004C0EEA">
        <w:rPr>
          <w:color w:val="auto"/>
        </w:rPr>
        <w:t xml:space="preserve">, and </w:t>
      </w:r>
      <w:r w:rsidR="000742A7" w:rsidRPr="004C0EEA">
        <w:rPr>
          <w:color w:val="auto"/>
        </w:rPr>
        <w:t xml:space="preserve">those changes </w:t>
      </w:r>
      <w:r w:rsidR="006221D5" w:rsidRPr="004C0EEA">
        <w:rPr>
          <w:color w:val="auto"/>
        </w:rPr>
        <w:t xml:space="preserve">should </w:t>
      </w:r>
      <w:r w:rsidR="004F6C99" w:rsidRPr="004C0EEA">
        <w:rPr>
          <w:color w:val="auto"/>
        </w:rPr>
        <w:t xml:space="preserve">align with other crucial elements of the licensing regime such as licence duration and renewal application processes. </w:t>
      </w:r>
      <w:r w:rsidRPr="004C0EEA">
        <w:t>Taking an early intervention</w:t>
      </w:r>
      <w:r w:rsidR="00BF5737" w:rsidRPr="004C0EEA">
        <w:t xml:space="preserve"> approach would </w:t>
      </w:r>
      <w:r w:rsidRPr="004C0EEA">
        <w:t xml:space="preserve">also </w:t>
      </w:r>
      <w:r w:rsidR="00BF5737" w:rsidRPr="004C0EEA">
        <w:t xml:space="preserve">require </w:t>
      </w:r>
      <w:r w:rsidR="00766C32" w:rsidRPr="004C0EEA">
        <w:t xml:space="preserve">the </w:t>
      </w:r>
      <w:r w:rsidRPr="004C0EEA">
        <w:t xml:space="preserve">development of </w:t>
      </w:r>
      <w:r w:rsidR="00BF5737" w:rsidRPr="004C0EEA">
        <w:t>criteria</w:t>
      </w:r>
      <w:r w:rsidR="00155591" w:rsidRPr="004C0EEA">
        <w:t xml:space="preserve"> and processes</w:t>
      </w:r>
      <w:r w:rsidR="00BF5737" w:rsidRPr="004C0EEA">
        <w:t xml:space="preserve"> to determine licensees at risk of non-compliance</w:t>
      </w:r>
      <w:r w:rsidRPr="004C0EEA">
        <w:t xml:space="preserve"> and </w:t>
      </w:r>
      <w:r w:rsidR="00155591" w:rsidRPr="004C0EEA">
        <w:t>what constitutes a</w:t>
      </w:r>
      <w:r w:rsidR="00BF5737" w:rsidRPr="004C0EEA">
        <w:t xml:space="preserve"> major change since the last renewal</w:t>
      </w:r>
      <w:r w:rsidRPr="004C0EEA">
        <w:t>.</w:t>
      </w:r>
      <w:r w:rsidR="00F03DBC" w:rsidRPr="004C0EEA">
        <w:t xml:space="preserve"> </w:t>
      </w:r>
      <w:r w:rsidR="005C4E02" w:rsidRPr="004C0EEA">
        <w:t xml:space="preserve">Any reform to the </w:t>
      </w:r>
      <w:r w:rsidR="000742A7" w:rsidRPr="004C0EEA">
        <w:t>licen</w:t>
      </w:r>
      <w:r w:rsidR="00023127" w:rsidRPr="004C0EEA">
        <w:t>s</w:t>
      </w:r>
      <w:r w:rsidR="000742A7" w:rsidRPr="004C0EEA">
        <w:t>ing processes</w:t>
      </w:r>
      <w:r w:rsidR="005C4E02" w:rsidRPr="004C0EEA">
        <w:t xml:space="preserve"> in the BSA </w:t>
      </w:r>
      <w:r w:rsidR="006221D5" w:rsidRPr="004C0EEA">
        <w:t>should</w:t>
      </w:r>
      <w:r w:rsidR="000742A7" w:rsidRPr="004C0EEA">
        <w:t xml:space="preserve"> balance the needs of community broadcasters with public interest standards, quality broadcasting services, and diversity in the media landscape.</w:t>
      </w:r>
    </w:p>
    <w:p w14:paraId="3EEAD4E8" w14:textId="77777777" w:rsidR="006B5A0D" w:rsidRPr="004C0EEA" w:rsidRDefault="00B84B1E" w:rsidP="00294EBF">
      <w:r w:rsidRPr="004C0EEA">
        <w:t>Some community broadcasters</w:t>
      </w:r>
      <w:r w:rsidR="000742A7" w:rsidRPr="004C0EEA">
        <w:t xml:space="preserve"> also</w:t>
      </w:r>
      <w:r w:rsidRPr="004C0EEA">
        <w:t xml:space="preserve"> identified</w:t>
      </w:r>
      <w:r w:rsidR="00785D31" w:rsidRPr="004C0EEA">
        <w:t xml:space="preserve"> opportunities</w:t>
      </w:r>
      <w:r w:rsidR="007366A9" w:rsidRPr="004C0EEA">
        <w:t xml:space="preserve"> for </w:t>
      </w:r>
      <w:r w:rsidR="004231CB" w:rsidRPr="004C0EEA">
        <w:t>sector peak bodies</w:t>
      </w:r>
      <w:r w:rsidR="007366A9" w:rsidRPr="004C0EEA">
        <w:t xml:space="preserve"> to provide additional support with licen</w:t>
      </w:r>
      <w:r w:rsidR="004C3913" w:rsidRPr="004C0EEA">
        <w:t>c</w:t>
      </w:r>
      <w:r w:rsidR="007366A9" w:rsidRPr="004C0EEA">
        <w:t>e applications and renewals</w:t>
      </w:r>
      <w:r w:rsidR="00155591" w:rsidRPr="004C0EEA">
        <w:t>;</w:t>
      </w:r>
      <w:r w:rsidR="007366A9" w:rsidRPr="004C0EEA">
        <w:t xml:space="preserve"> particularly with implementing </w:t>
      </w:r>
      <w:r w:rsidR="00117821" w:rsidRPr="004C0EEA">
        <w:t>sound governance structures,</w:t>
      </w:r>
      <w:r w:rsidR="007366A9" w:rsidRPr="004C0EEA">
        <w:t xml:space="preserve"> business practices</w:t>
      </w:r>
      <w:r w:rsidR="00117821" w:rsidRPr="004C0EEA">
        <w:t xml:space="preserve">, policies, and procedures </w:t>
      </w:r>
      <w:r w:rsidR="007366A9" w:rsidRPr="004C0EEA">
        <w:t>to support compliance with licence conditions.</w:t>
      </w:r>
    </w:p>
    <w:p w14:paraId="51F6AB56" w14:textId="77777777" w:rsidR="006B5A0D" w:rsidRPr="004C0EEA" w:rsidRDefault="006B5A0D">
      <w:pPr>
        <w:suppressAutoHyphens w:val="0"/>
      </w:pPr>
      <w:r w:rsidRPr="004C0EEA">
        <w:br w:type="page"/>
      </w:r>
    </w:p>
    <w:p w14:paraId="7F17EF69" w14:textId="77777777" w:rsidR="00C85C48" w:rsidRPr="004C0EEA" w:rsidRDefault="00C85C48" w:rsidP="00294EBF">
      <w:pPr>
        <w:rPr>
          <w:sz w:val="2"/>
          <w:szCs w:val="2"/>
        </w:rPr>
      </w:pPr>
    </w:p>
    <w:p w14:paraId="544881EF" w14:textId="77777777" w:rsidR="008E48BA" w:rsidRPr="004C0EEA" w:rsidRDefault="007669D5" w:rsidP="0042696D">
      <w:pPr>
        <w:pStyle w:val="Heading1"/>
        <w:spacing w:before="0"/>
      </w:pPr>
      <w:bookmarkStart w:id="53" w:name="_Toc191451012"/>
      <w:bookmarkStart w:id="54" w:name="_Hlk184288170"/>
      <w:r w:rsidRPr="004C0EEA">
        <w:t xml:space="preserve">Priority </w:t>
      </w:r>
      <w:r w:rsidR="00197632" w:rsidRPr="004C0EEA">
        <w:t>A</w:t>
      </w:r>
      <w:r w:rsidRPr="004C0EEA">
        <w:t xml:space="preserve">rea 3: </w:t>
      </w:r>
      <w:r w:rsidR="00F97B31" w:rsidRPr="004C0EEA">
        <w:t>First Nations funding and licensing</w:t>
      </w:r>
      <w:bookmarkEnd w:id="53"/>
    </w:p>
    <w:bookmarkEnd w:id="54"/>
    <w:p w14:paraId="7CAD9226" w14:textId="77777777" w:rsidR="00122C15" w:rsidRPr="004C0EEA" w:rsidRDefault="00122C15" w:rsidP="00122C15">
      <w:pPr>
        <w:pStyle w:val="Box2Heading"/>
        <w:rPr>
          <w:lang w:val="en-AU"/>
        </w:rPr>
      </w:pPr>
      <w:r w:rsidRPr="004C0EEA">
        <w:rPr>
          <w:lang w:val="en-AU"/>
        </w:rPr>
        <w:t xml:space="preserve">First Nations funding through the IBMP and First Nations broadcasting licences were not in scope for Phase 1 of the sustainability review. </w:t>
      </w:r>
    </w:p>
    <w:p w14:paraId="29CCC453" w14:textId="77777777" w:rsidR="00122C15" w:rsidRPr="004C0EEA" w:rsidRDefault="00122C15" w:rsidP="00122C15">
      <w:pPr>
        <w:pStyle w:val="Box2Heading"/>
        <w:rPr>
          <w:color w:val="auto"/>
          <w:lang w:val="en-AU"/>
        </w:rPr>
      </w:pPr>
      <w:r w:rsidRPr="004C0EEA">
        <w:rPr>
          <w:lang w:val="en-AU"/>
        </w:rPr>
        <w:t xml:space="preserve">The First Nations broadcasting and media sector is a vital community resource. The sector promotes connection to culture and language, and supports Aboriginal and Torres Strait Islander people to have access to information and services. This enables informed decision-making by sharing local stories, news and information. </w:t>
      </w:r>
      <w:r w:rsidRPr="004C0EEA">
        <w:rPr>
          <w:color w:val="auto"/>
          <w:lang w:val="en-AU"/>
        </w:rPr>
        <w:t xml:space="preserve">Remote First Nations broadcasting services </w:t>
      </w:r>
      <w:r w:rsidRPr="004C0EEA">
        <w:rPr>
          <w:lang w:val="en-AU"/>
        </w:rPr>
        <w:t>often</w:t>
      </w:r>
      <w:r w:rsidRPr="004C0EEA">
        <w:rPr>
          <w:color w:val="auto"/>
          <w:lang w:val="en-AU"/>
        </w:rPr>
        <w:t xml:space="preserve"> provide a primary media source for their communities due to limited access to television, the internet and other radio broadcast services. </w:t>
      </w:r>
    </w:p>
    <w:p w14:paraId="2F947C32" w14:textId="77777777" w:rsidR="00122C15" w:rsidRPr="004C0EEA" w:rsidRDefault="00122C15" w:rsidP="00122C15">
      <w:pPr>
        <w:pStyle w:val="Box2Heading"/>
        <w:rPr>
          <w:lang w:val="en-AU"/>
        </w:rPr>
      </w:pPr>
      <w:r w:rsidRPr="004C0EEA">
        <w:rPr>
          <w:lang w:val="en-AU"/>
        </w:rPr>
        <w:t>The First Nations broadcasting and media sector is disproportionately impacted by sector-wide challenges affecting long-term sustainability. This is due to their often rural or remote location, challenges with revenue diversification, and the generally low socioeconomic status of the communities they serve. The First Nations broadcasting and media sector identified opportunities to improve the funding priorities and administration of the IBMP to achieve long-term sector sustainability. It also called to establish a funding model that reflects principles of self-determination and shared decision-making, introduce a First Nations broadcasting licen</w:t>
      </w:r>
      <w:r w:rsidR="00D471F4" w:rsidRPr="004C0EEA">
        <w:rPr>
          <w:lang w:val="en-AU"/>
        </w:rPr>
        <w:t>c</w:t>
      </w:r>
      <w:r w:rsidRPr="004C0EEA">
        <w:rPr>
          <w:lang w:val="en-AU"/>
        </w:rPr>
        <w:t>e category under the BSA, and bring services to licence areas that do not have a First Nations broadcaster.</w:t>
      </w:r>
    </w:p>
    <w:p w14:paraId="6E6D4E0C" w14:textId="77777777" w:rsidR="00C85C48" w:rsidRPr="004C0EEA" w:rsidRDefault="001F50B1" w:rsidP="00E700C7">
      <w:pPr>
        <w:pStyle w:val="Heading2"/>
      </w:pPr>
      <w:bookmarkStart w:id="55" w:name="_Toc184289739"/>
      <w:bookmarkStart w:id="56" w:name="_Toc191451013"/>
      <w:bookmarkEnd w:id="55"/>
      <w:r w:rsidRPr="004C0EEA">
        <w:t>Indigenous Broadcasting and Media Program</w:t>
      </w:r>
      <w:bookmarkEnd w:id="56"/>
    </w:p>
    <w:p w14:paraId="725811ED" w14:textId="77777777" w:rsidR="00C85C48" w:rsidRPr="004C0EEA" w:rsidRDefault="00C02BAD" w:rsidP="00815F61">
      <w:pPr>
        <w:pStyle w:val="Heading3"/>
      </w:pPr>
      <w:bookmarkStart w:id="57" w:name="_Toc191451014"/>
      <w:r w:rsidRPr="004C0EEA">
        <w:t>Funding</w:t>
      </w:r>
      <w:bookmarkEnd w:id="57"/>
    </w:p>
    <w:p w14:paraId="37B49CC5" w14:textId="77777777" w:rsidR="00222C9A" w:rsidRPr="004C0EEA" w:rsidRDefault="00222C9A" w:rsidP="00222C9A">
      <w:pPr>
        <w:rPr>
          <w:color w:val="auto"/>
        </w:rPr>
      </w:pPr>
      <w:r w:rsidRPr="004C0EEA">
        <w:t xml:space="preserve">First Nations broadcasters are disproportionately impacted by the funding constraints faced by the broader community broadcasting sector (section </w:t>
      </w:r>
      <w:r w:rsidRPr="004C0EEA">
        <w:rPr>
          <w:b/>
          <w:bCs/>
        </w:rPr>
        <w:t xml:space="preserve">3.1 </w:t>
      </w:r>
      <w:r w:rsidRPr="004C0EEA">
        <w:t xml:space="preserve">refers). </w:t>
      </w:r>
      <w:r w:rsidRPr="004C0EEA">
        <w:rPr>
          <w:color w:val="auto"/>
        </w:rPr>
        <w:t>First</w:t>
      </w:r>
      <w:r w:rsidR="00D44D2B" w:rsidRPr="004C0EEA">
        <w:rPr>
          <w:color w:val="auto"/>
        </w:rPr>
        <w:t> </w:t>
      </w:r>
      <w:r w:rsidRPr="004C0EEA">
        <w:rPr>
          <w:color w:val="auto"/>
        </w:rPr>
        <w:t xml:space="preserve">Nations broadcasters </w:t>
      </w:r>
      <w:r w:rsidR="005F53C9" w:rsidRPr="004C0EEA">
        <w:rPr>
          <w:color w:val="auto"/>
        </w:rPr>
        <w:t>operating</w:t>
      </w:r>
      <w:r w:rsidRPr="004C0EEA">
        <w:rPr>
          <w:color w:val="auto"/>
        </w:rPr>
        <w:t xml:space="preserve"> in regional or remote locations</w:t>
      </w:r>
      <w:r w:rsidR="00F26DDE" w:rsidRPr="004C0EEA">
        <w:rPr>
          <w:color w:val="auto"/>
        </w:rPr>
        <w:t xml:space="preserve"> raised that</w:t>
      </w:r>
      <w:r w:rsidRPr="004C0EEA">
        <w:rPr>
          <w:color w:val="auto"/>
        </w:rPr>
        <w:t xml:space="preserve"> </w:t>
      </w:r>
      <w:r w:rsidR="00F26DDE" w:rsidRPr="004C0EEA">
        <w:rPr>
          <w:color w:val="auto"/>
        </w:rPr>
        <w:t xml:space="preserve">their </w:t>
      </w:r>
      <w:r w:rsidRPr="004C0EEA">
        <w:rPr>
          <w:color w:val="auto"/>
        </w:rPr>
        <w:t>operating costs are significantly higher</w:t>
      </w:r>
      <w:r w:rsidR="00F26DDE" w:rsidRPr="004C0EEA">
        <w:rPr>
          <w:color w:val="auto"/>
        </w:rPr>
        <w:t xml:space="preserve"> as</w:t>
      </w:r>
      <w:r w:rsidRPr="004C0EEA">
        <w:rPr>
          <w:color w:val="auto"/>
        </w:rPr>
        <w:t xml:space="preserve"> </w:t>
      </w:r>
      <w:r w:rsidR="00F26DDE" w:rsidRPr="004C0EEA">
        <w:rPr>
          <w:color w:val="auto"/>
        </w:rPr>
        <w:t xml:space="preserve">personnel and resources </w:t>
      </w:r>
      <w:r w:rsidR="00F62A6D" w:rsidRPr="004C0EEA">
        <w:rPr>
          <w:color w:val="auto"/>
        </w:rPr>
        <w:t xml:space="preserve">are difficult to source, </w:t>
      </w:r>
      <w:r w:rsidRPr="004C0EEA">
        <w:rPr>
          <w:color w:val="auto"/>
        </w:rPr>
        <w:t xml:space="preserve">and services are more vulnerable to severe weather and natural disasters. </w:t>
      </w:r>
      <w:r w:rsidR="00F26DDE" w:rsidRPr="004C0EEA">
        <w:rPr>
          <w:color w:val="auto"/>
        </w:rPr>
        <w:t>Further, r</w:t>
      </w:r>
      <w:r w:rsidRPr="004C0EEA">
        <w:rPr>
          <w:color w:val="auto"/>
        </w:rPr>
        <w:t xml:space="preserve">evenue diversification is particularly challenging in these contexts due to the generally low socioeconomic status of the communities they serve and fewer potential sponsors available in their communities. This results in less opportunity to supplement government funding with membership fees, sponsorship or fundraising. </w:t>
      </w:r>
    </w:p>
    <w:p w14:paraId="26EF0C28" w14:textId="77777777" w:rsidR="00222C9A" w:rsidRPr="004C0EEA" w:rsidRDefault="00222C9A" w:rsidP="00222C9A">
      <w:pPr>
        <w:rPr>
          <w:color w:val="auto"/>
        </w:rPr>
      </w:pPr>
      <w:r w:rsidRPr="004C0EEA">
        <w:rPr>
          <w:color w:val="auto"/>
        </w:rPr>
        <w:t>The NIAA receives regular requests for funding that cannot be met from current IBMP funding. As such, there is increasing demand for supplementary funding through the CBP for quick response, development and operations, and content funding.</w:t>
      </w:r>
    </w:p>
    <w:p w14:paraId="3BB22529" w14:textId="77777777" w:rsidR="00C85C48" w:rsidRPr="004C0EEA" w:rsidRDefault="00C85C48" w:rsidP="00815F61">
      <w:pPr>
        <w:pStyle w:val="Heading3"/>
      </w:pPr>
      <w:bookmarkStart w:id="58" w:name="_Toc191451015"/>
      <w:r w:rsidRPr="004C0EEA">
        <w:t>Priorities</w:t>
      </w:r>
      <w:bookmarkEnd w:id="58"/>
    </w:p>
    <w:p w14:paraId="3C486C70" w14:textId="77777777" w:rsidR="007C4D58" w:rsidRPr="004C0EEA" w:rsidRDefault="00732B56" w:rsidP="00D84293">
      <w:r w:rsidRPr="004C0EEA">
        <w:t xml:space="preserve">From </w:t>
      </w:r>
      <w:r w:rsidR="00A45BDD" w:rsidRPr="004C0EEA">
        <w:t xml:space="preserve">Phase 2 </w:t>
      </w:r>
      <w:r w:rsidRPr="004C0EEA">
        <w:t>consultation with First Nations broadcasters, t</w:t>
      </w:r>
      <w:r w:rsidR="00B84B1E" w:rsidRPr="004C0EEA">
        <w:t xml:space="preserve">here were </w:t>
      </w:r>
      <w:r w:rsidR="0020540A" w:rsidRPr="004C0EEA">
        <w:t xml:space="preserve">5 </w:t>
      </w:r>
      <w:r w:rsidR="007C4D58" w:rsidRPr="004C0EEA">
        <w:t xml:space="preserve">priorities </w:t>
      </w:r>
      <w:r w:rsidR="00B84B1E" w:rsidRPr="004C0EEA">
        <w:t xml:space="preserve">emerging </w:t>
      </w:r>
      <w:r w:rsidR="007C4D58" w:rsidRPr="004C0EEA">
        <w:t>for the IBMP:</w:t>
      </w:r>
    </w:p>
    <w:p w14:paraId="4174D6A9" w14:textId="77777777" w:rsidR="007C4D58" w:rsidRPr="004C0EEA" w:rsidRDefault="007C4D58" w:rsidP="0044153B">
      <w:pPr>
        <w:pStyle w:val="Bullet1"/>
        <w:rPr>
          <w:lang w:val="en-AU"/>
        </w:rPr>
      </w:pPr>
      <w:r w:rsidRPr="004C0EEA">
        <w:rPr>
          <w:lang w:val="en-AU"/>
        </w:rPr>
        <w:t>operations</w:t>
      </w:r>
    </w:p>
    <w:p w14:paraId="3A5BE04B" w14:textId="77777777" w:rsidR="007C4D58" w:rsidRPr="004C0EEA" w:rsidRDefault="007C4D58" w:rsidP="0044153B">
      <w:pPr>
        <w:pStyle w:val="Bullet1"/>
        <w:rPr>
          <w:lang w:val="en-AU"/>
        </w:rPr>
      </w:pPr>
      <w:r w:rsidRPr="004C0EEA">
        <w:rPr>
          <w:lang w:val="en-AU"/>
        </w:rPr>
        <w:t>workforce capability</w:t>
      </w:r>
      <w:r w:rsidR="00C00BF0" w:rsidRPr="004C0EEA">
        <w:rPr>
          <w:lang w:val="en-AU"/>
        </w:rPr>
        <w:t xml:space="preserve"> (e.g. staff recruitment, retention, training and development)</w:t>
      </w:r>
    </w:p>
    <w:p w14:paraId="71B88159" w14:textId="77777777" w:rsidR="0020540A" w:rsidRPr="004C0EEA" w:rsidRDefault="0020540A" w:rsidP="0044153B">
      <w:pPr>
        <w:pStyle w:val="Bullet1"/>
        <w:rPr>
          <w:lang w:val="en-AU"/>
        </w:rPr>
      </w:pPr>
      <w:r w:rsidRPr="004C0EEA">
        <w:rPr>
          <w:lang w:val="en-AU"/>
        </w:rPr>
        <w:t>news and journalism</w:t>
      </w:r>
    </w:p>
    <w:p w14:paraId="4E4726F2" w14:textId="77777777" w:rsidR="00BD4380" w:rsidRPr="004C0EEA" w:rsidRDefault="007C4D58" w:rsidP="0044153B">
      <w:pPr>
        <w:pStyle w:val="Bullet1"/>
        <w:rPr>
          <w:lang w:val="en-AU"/>
        </w:rPr>
      </w:pPr>
      <w:r w:rsidRPr="004C0EEA">
        <w:rPr>
          <w:lang w:val="en-AU"/>
        </w:rPr>
        <w:t>replac</w:t>
      </w:r>
      <w:r w:rsidR="00222C9A" w:rsidRPr="004C0EEA">
        <w:rPr>
          <w:lang w:val="en-AU"/>
        </w:rPr>
        <w:t xml:space="preserve">ement </w:t>
      </w:r>
      <w:r w:rsidR="00E44CD9" w:rsidRPr="004C0EEA">
        <w:rPr>
          <w:lang w:val="en-AU"/>
        </w:rPr>
        <w:t xml:space="preserve">and maintenance </w:t>
      </w:r>
      <w:r w:rsidR="00222C9A" w:rsidRPr="004C0EEA">
        <w:rPr>
          <w:lang w:val="en-AU"/>
        </w:rPr>
        <w:t>of</w:t>
      </w:r>
      <w:r w:rsidRPr="004C0EEA">
        <w:rPr>
          <w:lang w:val="en-AU"/>
        </w:rPr>
        <w:t xml:space="preserve"> ageing infrastructure</w:t>
      </w:r>
    </w:p>
    <w:p w14:paraId="1AADF63F" w14:textId="77777777" w:rsidR="007C4D58" w:rsidRPr="004C0EEA" w:rsidRDefault="00BD4380" w:rsidP="0044153B">
      <w:pPr>
        <w:pStyle w:val="Bullet1"/>
        <w:rPr>
          <w:lang w:val="en-AU"/>
        </w:rPr>
      </w:pPr>
      <w:r w:rsidRPr="004C0EEA">
        <w:rPr>
          <w:lang w:val="en-AU"/>
        </w:rPr>
        <w:t>establish</w:t>
      </w:r>
      <w:r w:rsidR="00222C9A" w:rsidRPr="004C0EEA">
        <w:rPr>
          <w:lang w:val="en-AU"/>
        </w:rPr>
        <w:t>ment of</w:t>
      </w:r>
      <w:r w:rsidRPr="004C0EEA">
        <w:rPr>
          <w:lang w:val="en-AU"/>
        </w:rPr>
        <w:t xml:space="preserve"> new First Nations broadcasting services in </w:t>
      </w:r>
      <w:r w:rsidR="002C712C" w:rsidRPr="004C0EEA">
        <w:rPr>
          <w:lang w:val="en-AU"/>
        </w:rPr>
        <w:t>licence areas</w:t>
      </w:r>
      <w:r w:rsidRPr="004C0EEA">
        <w:rPr>
          <w:lang w:val="en-AU"/>
        </w:rPr>
        <w:t xml:space="preserve"> not currently serviced</w:t>
      </w:r>
      <w:r w:rsidR="00C00BF0" w:rsidRPr="004C0EEA">
        <w:rPr>
          <w:lang w:val="en-AU"/>
        </w:rPr>
        <w:t>.</w:t>
      </w:r>
    </w:p>
    <w:p w14:paraId="3686F7E2" w14:textId="40483A5E" w:rsidR="00B22E54" w:rsidRDefault="00222C9A" w:rsidP="00344E27">
      <w:r w:rsidRPr="004C0EEA">
        <w:t xml:space="preserve">To improve flexibility to respond to supplementary funding requests, the IBMP funding would be best administered via a mix of longer-term base funding for operations and competitive supplementary funding for infrastructure, workforce development and other sector priorities. The First Nations broadcasting and media sector </w:t>
      </w:r>
      <w:r w:rsidR="00DF02CB" w:rsidRPr="004C0EEA">
        <w:t xml:space="preserve">has raised that the existing funding base is not responsive to emerging needs. </w:t>
      </w:r>
    </w:p>
    <w:p w14:paraId="1ECC8AAF" w14:textId="3E8BAB25" w:rsidR="00222C9A" w:rsidRPr="004C0EEA" w:rsidRDefault="00DF02CB" w:rsidP="00344E27">
      <w:r w:rsidRPr="004C0EEA">
        <w:lastRenderedPageBreak/>
        <w:t xml:space="preserve">In turn, </w:t>
      </w:r>
      <w:r w:rsidR="00152205" w:rsidRPr="004C0EEA">
        <w:t>any</w:t>
      </w:r>
      <w:r w:rsidRPr="004C0EEA">
        <w:t xml:space="preserve"> changes </w:t>
      </w:r>
      <w:r w:rsidR="00B22E54">
        <w:t xml:space="preserve">made by the NIAA </w:t>
      </w:r>
      <w:r w:rsidRPr="004C0EEA">
        <w:t xml:space="preserve">to IBMP funding </w:t>
      </w:r>
      <w:r w:rsidR="00222C9A" w:rsidRPr="004C0EEA">
        <w:t xml:space="preserve">would need to consider allocation in the context of existing funding constraints, and </w:t>
      </w:r>
      <w:r w:rsidR="00B22E54">
        <w:t>any</w:t>
      </w:r>
      <w:r w:rsidR="00222C9A" w:rsidRPr="004C0EEA">
        <w:t xml:space="preserve"> challenge</w:t>
      </w:r>
      <w:r w:rsidR="00B22E54">
        <w:t>s associated with</w:t>
      </w:r>
      <w:r w:rsidR="00222C9A" w:rsidRPr="004C0EEA">
        <w:t xml:space="preserve"> lowering current operational funding levels to meet strategic priorities across the sector through targeted projects.</w:t>
      </w:r>
    </w:p>
    <w:p w14:paraId="27F10D1B" w14:textId="0F318D20" w:rsidR="00222C9A" w:rsidRPr="004C0EEA" w:rsidRDefault="005375EF" w:rsidP="000448DE">
      <w:r w:rsidRPr="004C0EEA">
        <w:rPr>
          <w:color w:val="auto"/>
        </w:rPr>
        <w:t xml:space="preserve">The development of a First Nations Broadcasting Strategy (strategy) would support the IBMP to be responsive to sector priorities and would improve transparency of funding decisions. The NIAA has committed to working in partnership with </w:t>
      </w:r>
      <w:r w:rsidR="003D1309" w:rsidRPr="004C0EEA">
        <w:rPr>
          <w:color w:val="auto"/>
        </w:rPr>
        <w:t>FNMA</w:t>
      </w:r>
      <w:r w:rsidRPr="004C0EEA">
        <w:rPr>
          <w:color w:val="auto"/>
        </w:rPr>
        <w:t xml:space="preserve"> and the sector to develop </w:t>
      </w:r>
      <w:r w:rsidR="00B22E54">
        <w:rPr>
          <w:color w:val="auto"/>
        </w:rPr>
        <w:t>the</w:t>
      </w:r>
      <w:r w:rsidRPr="004C0EEA">
        <w:rPr>
          <w:color w:val="auto"/>
        </w:rPr>
        <w:t xml:space="preserve"> strategy.</w:t>
      </w:r>
    </w:p>
    <w:p w14:paraId="65907AC1" w14:textId="43891B87" w:rsidR="002E6696" w:rsidRPr="004C0EEA" w:rsidRDefault="002E6696" w:rsidP="002E6696">
      <w:r w:rsidRPr="004C0EEA">
        <w:t xml:space="preserve">This would allow the </w:t>
      </w:r>
      <w:r w:rsidR="00A25EF3">
        <w:t>government</w:t>
      </w:r>
      <w:r w:rsidRPr="004C0EEA">
        <w:t xml:space="preserve"> and the First Nations sector to jointly progress opportunities identified through the sustainability review, and improve the efficacy of First Nations funding distribution to align with sector-identified priorities.</w:t>
      </w:r>
    </w:p>
    <w:p w14:paraId="72C235EC" w14:textId="2CB719AE" w:rsidR="00023DDE" w:rsidRPr="004C0EEA" w:rsidRDefault="0098373E" w:rsidP="00023DDE">
      <w:r w:rsidRPr="004C0EEA">
        <w:t xml:space="preserve">The strategy would serve as the mechanism </w:t>
      </w:r>
      <w:r w:rsidR="0084469D" w:rsidRPr="004C0EEA">
        <w:t xml:space="preserve">for the </w:t>
      </w:r>
      <w:r w:rsidR="00A25EF3">
        <w:t>government</w:t>
      </w:r>
      <w:r w:rsidR="0084469D" w:rsidRPr="004C0EEA">
        <w:t xml:space="preserve"> to consider</w:t>
      </w:r>
      <w:r w:rsidR="00327BDE" w:rsidRPr="004C0EEA">
        <w:t xml:space="preserve"> a new </w:t>
      </w:r>
      <w:r w:rsidR="00E57501" w:rsidRPr="004C0EEA">
        <w:t xml:space="preserve">funding model </w:t>
      </w:r>
      <w:r w:rsidR="0084469D" w:rsidRPr="004C0EEA">
        <w:t>for the IBMP,</w:t>
      </w:r>
      <w:r w:rsidRPr="004C0EEA">
        <w:t xml:space="preserve"> </w:t>
      </w:r>
      <w:r w:rsidR="00327BDE" w:rsidRPr="004C0EEA">
        <w:t xml:space="preserve">and </w:t>
      </w:r>
      <w:r w:rsidR="0084469D" w:rsidRPr="004C0EEA">
        <w:t xml:space="preserve">its </w:t>
      </w:r>
      <w:r w:rsidR="00327BDE" w:rsidRPr="004C0EEA">
        <w:t>consolidation</w:t>
      </w:r>
      <w:r w:rsidR="0084469D" w:rsidRPr="004C0EEA">
        <w:t xml:space="preserve"> into the Communications portfolio</w:t>
      </w:r>
      <w:r w:rsidR="0042696D" w:rsidRPr="004C0EEA">
        <w:t>, if appropriate</w:t>
      </w:r>
      <w:r w:rsidR="00B47B95" w:rsidRPr="004C0EEA">
        <w:t xml:space="preserve"> (section </w:t>
      </w:r>
      <w:r w:rsidR="00B47B95" w:rsidRPr="004C0EEA">
        <w:rPr>
          <w:b/>
        </w:rPr>
        <w:t>6.1.3</w:t>
      </w:r>
      <w:r w:rsidR="00B47B95" w:rsidRPr="004C0EEA">
        <w:t xml:space="preserve"> refers)</w:t>
      </w:r>
      <w:r w:rsidRPr="004C0EEA">
        <w:t>.</w:t>
      </w:r>
    </w:p>
    <w:p w14:paraId="1F9B8996" w14:textId="77777777" w:rsidR="00C85C48" w:rsidRPr="004C0EEA" w:rsidRDefault="00165326" w:rsidP="00815F61">
      <w:pPr>
        <w:pStyle w:val="Heading3"/>
      </w:pPr>
      <w:bookmarkStart w:id="59" w:name="_Toc191451016"/>
      <w:r w:rsidRPr="004C0EEA">
        <w:t>Program structure</w:t>
      </w:r>
      <w:bookmarkEnd w:id="59"/>
    </w:p>
    <w:p w14:paraId="2CF9F3DE" w14:textId="3E020902" w:rsidR="00F83715" w:rsidRPr="004C0EEA" w:rsidRDefault="0016343E" w:rsidP="003809AC">
      <w:r w:rsidRPr="004C0EEA">
        <w:t>Successive reviews</w:t>
      </w:r>
      <w:r w:rsidR="00531D14" w:rsidRPr="004C0EEA">
        <w:rPr>
          <w:rStyle w:val="FootnoteReference"/>
        </w:rPr>
        <w:footnoteReference w:id="14"/>
      </w:r>
      <w:r w:rsidRPr="004C0EEA">
        <w:t xml:space="preserve"> into the First Nations </w:t>
      </w:r>
      <w:r w:rsidR="00B22E54">
        <w:t>broadcasting and media</w:t>
      </w:r>
      <w:r w:rsidRPr="004C0EEA">
        <w:t xml:space="preserve"> sector have</w:t>
      </w:r>
      <w:r w:rsidR="003809AC" w:rsidRPr="004C0EEA">
        <w:t xml:space="preserve"> called </w:t>
      </w:r>
      <w:r w:rsidR="007C788C" w:rsidRPr="004C0EEA">
        <w:t xml:space="preserve">to consolidate the IBMP into </w:t>
      </w:r>
      <w:r w:rsidR="00D269AA" w:rsidRPr="004C0EEA">
        <w:t xml:space="preserve">one portfolio </w:t>
      </w:r>
      <w:r w:rsidR="003809AC" w:rsidRPr="004C0EEA">
        <w:t xml:space="preserve">to maximise impact. This </w:t>
      </w:r>
      <w:r w:rsidR="004260F1" w:rsidRPr="004C0EEA">
        <w:t xml:space="preserve">could </w:t>
      </w:r>
      <w:r w:rsidR="003809AC" w:rsidRPr="004C0EEA">
        <w:t xml:space="preserve">involve transferring portfolio responsibility </w:t>
      </w:r>
      <w:r w:rsidR="00F408F6" w:rsidRPr="004C0EEA">
        <w:t xml:space="preserve">of the IBMP </w:t>
      </w:r>
      <w:r w:rsidR="003809AC" w:rsidRPr="004C0EEA">
        <w:t xml:space="preserve">to the </w:t>
      </w:r>
      <w:r w:rsidR="007C788C" w:rsidRPr="004C0EEA">
        <w:t>Communications portfolio. This would m</w:t>
      </w:r>
      <w:r w:rsidR="00C02AD4" w:rsidRPr="004C0EEA">
        <w:t>ean</w:t>
      </w:r>
      <w:r w:rsidR="007C788C" w:rsidRPr="004C0EEA">
        <w:t xml:space="preserve"> the Minister for Communications and the department </w:t>
      </w:r>
      <w:r w:rsidR="00342E35" w:rsidRPr="004C0EEA">
        <w:t xml:space="preserve">would have </w:t>
      </w:r>
      <w:r w:rsidR="00857CD0" w:rsidRPr="004C0EEA">
        <w:t>responsib</w:t>
      </w:r>
      <w:r w:rsidR="00342E35" w:rsidRPr="004C0EEA">
        <w:t>ility</w:t>
      </w:r>
      <w:r w:rsidR="00857CD0" w:rsidRPr="004C0EEA">
        <w:t xml:space="preserve"> for </w:t>
      </w:r>
      <w:r w:rsidR="00B22E54">
        <w:t xml:space="preserve">both </w:t>
      </w:r>
      <w:r w:rsidR="00857CD0" w:rsidRPr="004C0EEA">
        <w:t>the CBP and the IBMP.</w:t>
      </w:r>
      <w:r w:rsidR="00F408F6" w:rsidRPr="004C0EEA">
        <w:t xml:space="preserve"> </w:t>
      </w:r>
    </w:p>
    <w:p w14:paraId="78CA6047" w14:textId="77777777" w:rsidR="00604CD5" w:rsidRPr="004C0EEA" w:rsidDel="0044114A" w:rsidRDefault="005375EF" w:rsidP="00604CD5">
      <w:pPr>
        <w:spacing w:before="80" w:line="259" w:lineRule="auto"/>
        <w:rPr>
          <w:rFonts w:eastAsiaTheme="minorEastAsia"/>
        </w:rPr>
      </w:pPr>
      <w:r w:rsidRPr="004C0EEA">
        <w:t>While the First Nations broadcasting and media sector has mixed views on portfolio consolidation</w:t>
      </w:r>
      <w:r w:rsidR="00604CD5" w:rsidRPr="004C0EEA">
        <w:t>, there is general support to establish a</w:t>
      </w:r>
      <w:r w:rsidR="00413EA5" w:rsidRPr="004C0EEA">
        <w:t xml:space="preserve"> First Nations</w:t>
      </w:r>
      <w:r w:rsidR="00604CD5" w:rsidRPr="004C0EEA">
        <w:t xml:space="preserve"> </w:t>
      </w:r>
      <w:r w:rsidR="0016343E" w:rsidRPr="004C0EEA">
        <w:rPr>
          <w:color w:val="auto"/>
        </w:rPr>
        <w:t>funding model that reflects principles of self-determination and shared decision-making, with funding allocation directed or recommended by First Nations stakeholders</w:t>
      </w:r>
      <w:r w:rsidR="00604CD5" w:rsidRPr="004C0EEA">
        <w:t>. This would align with:</w:t>
      </w:r>
    </w:p>
    <w:p w14:paraId="06DC7CE2" w14:textId="77777777" w:rsidR="00604CD5" w:rsidRPr="004C0EEA" w:rsidRDefault="00604CD5" w:rsidP="00B53C20">
      <w:pPr>
        <w:pStyle w:val="ListLegal1"/>
        <w:numPr>
          <w:ilvl w:val="0"/>
          <w:numId w:val="35"/>
        </w:numPr>
        <w:rPr>
          <w:rFonts w:eastAsiaTheme="minorEastAsia"/>
          <w:lang w:val="en-AU"/>
        </w:rPr>
      </w:pPr>
      <w:r w:rsidRPr="004C0EEA">
        <w:rPr>
          <w:rFonts w:eastAsiaTheme="minorEastAsia"/>
          <w:lang w:val="en-AU"/>
        </w:rPr>
        <w:t xml:space="preserve">Closing the Gap Priority Reform 1: partnership and shared decision-making, and Priority Reform 2: building the community-controlled sector </w:t>
      </w:r>
    </w:p>
    <w:p w14:paraId="53AF8B98" w14:textId="77777777" w:rsidR="00604CD5" w:rsidRPr="004C0EEA" w:rsidRDefault="00604CD5" w:rsidP="00B53C20">
      <w:pPr>
        <w:pStyle w:val="ListLegal1"/>
        <w:numPr>
          <w:ilvl w:val="0"/>
          <w:numId w:val="35"/>
        </w:numPr>
        <w:rPr>
          <w:rFonts w:eastAsiaTheme="minorEastAsia"/>
          <w:lang w:val="en-AU"/>
        </w:rPr>
      </w:pPr>
      <w:r w:rsidRPr="004C0EEA">
        <w:rPr>
          <w:rFonts w:eastAsiaTheme="minorEastAsia"/>
          <w:lang w:val="en-AU"/>
        </w:rPr>
        <w:t>the CBP model, administered by the CBF and utilising a peer assessment process so that funding decisions are community-led</w:t>
      </w:r>
    </w:p>
    <w:p w14:paraId="108B277B" w14:textId="77777777" w:rsidR="00604CD5" w:rsidRPr="004C0EEA" w:rsidRDefault="00604CD5" w:rsidP="00B53C20">
      <w:pPr>
        <w:pStyle w:val="ListLegal1"/>
        <w:numPr>
          <w:ilvl w:val="0"/>
          <w:numId w:val="35"/>
        </w:numPr>
        <w:rPr>
          <w:lang w:val="en-AU"/>
        </w:rPr>
      </w:pPr>
      <w:r w:rsidRPr="004C0EEA">
        <w:rPr>
          <w:rFonts w:eastAsiaTheme="minorEastAsia"/>
          <w:lang w:val="en-AU"/>
        </w:rPr>
        <w:t>the strategic g</w:t>
      </w:r>
      <w:r w:rsidRPr="004C0EEA">
        <w:rPr>
          <w:lang w:val="en-AU"/>
        </w:rPr>
        <w:t>oals in Roadmap 2033.</w:t>
      </w:r>
    </w:p>
    <w:p w14:paraId="45764451" w14:textId="3B6855C8" w:rsidR="005375EF" w:rsidRPr="004C0EEA" w:rsidRDefault="00B22E54" w:rsidP="005375EF">
      <w:bookmarkStart w:id="60" w:name="_Hlk184303032"/>
      <w:r>
        <w:t>The IBMP model</w:t>
      </w:r>
      <w:r w:rsidR="00E57501" w:rsidRPr="004C0EEA">
        <w:t xml:space="preserve"> could</w:t>
      </w:r>
      <w:r w:rsidR="005375EF" w:rsidRPr="004C0EEA">
        <w:t xml:space="preserve"> share features of the </w:t>
      </w:r>
      <w:r w:rsidRPr="004C0EEA">
        <w:t>CB</w:t>
      </w:r>
      <w:r>
        <w:t>P</w:t>
      </w:r>
      <w:r w:rsidRPr="004C0EEA">
        <w:t xml:space="preserve"> </w:t>
      </w:r>
      <w:r w:rsidR="005375EF" w:rsidRPr="004C0EEA">
        <w:t xml:space="preserve">model, such as: </w:t>
      </w:r>
    </w:p>
    <w:bookmarkEnd w:id="60"/>
    <w:p w14:paraId="6527BED3" w14:textId="77777777" w:rsidR="005375EF" w:rsidRPr="004C0EEA" w:rsidRDefault="005375EF" w:rsidP="00F045D3">
      <w:pPr>
        <w:pStyle w:val="Bullet1"/>
        <w:numPr>
          <w:ilvl w:val="0"/>
          <w:numId w:val="15"/>
        </w:numPr>
        <w:spacing w:line="256" w:lineRule="auto"/>
        <w:rPr>
          <w:rFonts w:eastAsiaTheme="minorEastAsia"/>
          <w:lang w:val="en-AU"/>
        </w:rPr>
      </w:pPr>
      <w:r w:rsidRPr="004C0EEA">
        <w:rPr>
          <w:lang w:val="en-AU"/>
        </w:rPr>
        <w:t xml:space="preserve">establishing </w:t>
      </w:r>
      <w:r w:rsidRPr="004C0EEA">
        <w:rPr>
          <w:rFonts w:eastAsiaTheme="minorEastAsia"/>
          <w:lang w:val="en-AU"/>
        </w:rPr>
        <w:t>processes</w:t>
      </w:r>
      <w:r w:rsidRPr="004C0EEA">
        <w:rPr>
          <w:lang w:val="en-AU"/>
        </w:rPr>
        <w:t xml:space="preserve"> to support delivery of IBMP funding to the First Nations sector (i.e. allocations, applications, assessment, decision-making and reporting) </w:t>
      </w:r>
    </w:p>
    <w:p w14:paraId="40D097F8" w14:textId="1114B02B" w:rsidR="005375EF" w:rsidRPr="004C0EEA" w:rsidRDefault="005375EF" w:rsidP="00F045D3">
      <w:pPr>
        <w:pStyle w:val="Bullet1"/>
        <w:numPr>
          <w:ilvl w:val="0"/>
          <w:numId w:val="15"/>
        </w:numPr>
        <w:spacing w:line="256" w:lineRule="auto"/>
        <w:rPr>
          <w:lang w:val="en-AU"/>
        </w:rPr>
      </w:pPr>
      <w:r w:rsidRPr="004C0EEA">
        <w:rPr>
          <w:lang w:val="en-AU"/>
        </w:rPr>
        <w:t xml:space="preserve">operating separately to sector bodies representing individual members’ interests to mitigate perceived or actual </w:t>
      </w:r>
      <w:r w:rsidR="00B22E54">
        <w:rPr>
          <w:lang w:val="en-AU"/>
        </w:rPr>
        <w:t>conflicts</w:t>
      </w:r>
      <w:r w:rsidR="0069233B" w:rsidRPr="004C0EEA">
        <w:rPr>
          <w:lang w:val="en-AU"/>
        </w:rPr>
        <w:t xml:space="preserve"> </w:t>
      </w:r>
      <w:r w:rsidRPr="004C0EEA">
        <w:rPr>
          <w:lang w:val="en-AU"/>
        </w:rPr>
        <w:t>if its members are also applicants</w:t>
      </w:r>
    </w:p>
    <w:p w14:paraId="1D62CD7A" w14:textId="77777777" w:rsidR="00AD2307" w:rsidRPr="004C0EEA" w:rsidRDefault="0016343E" w:rsidP="00F045D3">
      <w:pPr>
        <w:pStyle w:val="Bullet1"/>
        <w:numPr>
          <w:ilvl w:val="0"/>
          <w:numId w:val="15"/>
        </w:numPr>
        <w:rPr>
          <w:lang w:val="en-AU"/>
        </w:rPr>
      </w:pPr>
      <w:r w:rsidRPr="004C0EEA">
        <w:rPr>
          <w:color w:val="auto"/>
        </w:rPr>
        <w:t>granting arrangements with the Commonwealth via a closed, non-competitive grant</w:t>
      </w:r>
      <w:r w:rsidR="00AD2307" w:rsidRPr="004C0EEA">
        <w:rPr>
          <w:lang w:val="en-AU"/>
        </w:rPr>
        <w:t>.</w:t>
      </w:r>
    </w:p>
    <w:p w14:paraId="727186A0" w14:textId="538BDA9F" w:rsidR="00AD2307" w:rsidRPr="004C0EEA" w:rsidRDefault="000C0A65" w:rsidP="004A57BF">
      <w:r w:rsidRPr="004C0EEA">
        <w:t>Establishing</w:t>
      </w:r>
      <w:r w:rsidR="00AD2307" w:rsidRPr="004C0EEA">
        <w:t xml:space="preserve"> </w:t>
      </w:r>
      <w:r w:rsidR="0016343E" w:rsidRPr="004C0EEA">
        <w:t>the funding model</w:t>
      </w:r>
      <w:r w:rsidR="00AD2307" w:rsidRPr="004C0EEA">
        <w:t xml:space="preserve"> and transferring the IBMP to the Communications portfolio are matters for </w:t>
      </w:r>
      <w:r w:rsidR="00A25EF3">
        <w:t>government</w:t>
      </w:r>
      <w:r w:rsidRPr="004C0EEA">
        <w:t xml:space="preserve"> consideration</w:t>
      </w:r>
      <w:r w:rsidR="00AD2307" w:rsidRPr="004C0EEA">
        <w:t xml:space="preserve">. These </w:t>
      </w:r>
      <w:r w:rsidRPr="004C0EEA">
        <w:t>may</w:t>
      </w:r>
      <w:r w:rsidR="00AD2307" w:rsidRPr="004C0EEA">
        <w:t xml:space="preserve"> progress </w:t>
      </w:r>
      <w:r w:rsidR="00413EA5" w:rsidRPr="004C0EEA">
        <w:t xml:space="preserve">at the same time, </w:t>
      </w:r>
      <w:r w:rsidR="00AD2307" w:rsidRPr="004C0EEA">
        <w:t>in any order</w:t>
      </w:r>
      <w:r w:rsidR="00413EA5" w:rsidRPr="004C0EEA">
        <w:t xml:space="preserve"> or independently of each other</w:t>
      </w:r>
      <w:r w:rsidRPr="004C0EEA">
        <w:t xml:space="preserve">; however, should not precede the strategy (section </w:t>
      </w:r>
      <w:r w:rsidRPr="004C0EEA">
        <w:rPr>
          <w:b/>
        </w:rPr>
        <w:t>6.1.2</w:t>
      </w:r>
      <w:r w:rsidRPr="004C0EEA">
        <w:rPr>
          <w:b/>
          <w:i/>
        </w:rPr>
        <w:t xml:space="preserve"> </w:t>
      </w:r>
      <w:r w:rsidRPr="004C0EEA">
        <w:t>refers).</w:t>
      </w:r>
    </w:p>
    <w:p w14:paraId="0846A901" w14:textId="23D490E4" w:rsidR="00801E67" w:rsidRPr="004C0EEA" w:rsidRDefault="00801E67" w:rsidP="00801E67">
      <w:r w:rsidRPr="004C0EEA">
        <w:t xml:space="preserve">The </w:t>
      </w:r>
      <w:r w:rsidR="003A7016">
        <w:t>government</w:t>
      </w:r>
      <w:r w:rsidRPr="004C0EEA">
        <w:t xml:space="preserve"> could then </w:t>
      </w:r>
      <w:r w:rsidR="00F90024" w:rsidRPr="004C0EEA">
        <w:t>consider</w:t>
      </w:r>
      <w:r w:rsidRPr="004C0EEA">
        <w:t xml:space="preserve"> whether the Indigenous Australians or Communications portfolio would oversee the IBMP, including having consideration for:</w:t>
      </w:r>
    </w:p>
    <w:p w14:paraId="19CE4F07" w14:textId="13445D44" w:rsidR="00801E67" w:rsidRPr="004C0EEA" w:rsidRDefault="00801E67" w:rsidP="009F6B5C">
      <w:pPr>
        <w:pStyle w:val="ListLegal1"/>
        <w:numPr>
          <w:ilvl w:val="0"/>
          <w:numId w:val="36"/>
        </w:numPr>
        <w:rPr>
          <w:lang w:val="en-AU"/>
        </w:rPr>
      </w:pPr>
      <w:r w:rsidRPr="004C0EEA">
        <w:rPr>
          <w:lang w:val="en-AU"/>
        </w:rPr>
        <w:t>the wider IAS under which the IBMP is funded would remain in the Indigenous Australians portfolio, and therefore, the IBMP funding would be separated from the IAS</w:t>
      </w:r>
    </w:p>
    <w:p w14:paraId="1ABA73D8" w14:textId="77777777" w:rsidR="00801E67" w:rsidRPr="004C0EEA" w:rsidRDefault="00801E67" w:rsidP="009F6B5C">
      <w:pPr>
        <w:pStyle w:val="ListLegal1"/>
        <w:numPr>
          <w:ilvl w:val="0"/>
          <w:numId w:val="36"/>
        </w:numPr>
        <w:rPr>
          <w:lang w:val="en-AU"/>
        </w:rPr>
      </w:pPr>
      <w:r w:rsidRPr="004C0EEA">
        <w:rPr>
          <w:lang w:val="en-AU"/>
        </w:rPr>
        <w:t>the funding body maintaining the current IBMP grant agreements for the duration of the granting period</w:t>
      </w:r>
    </w:p>
    <w:p w14:paraId="7DFAF710" w14:textId="77777777" w:rsidR="00801E67" w:rsidRPr="004C0EEA" w:rsidRDefault="00801E67" w:rsidP="009F6B5C">
      <w:pPr>
        <w:pStyle w:val="ListLegal1"/>
        <w:numPr>
          <w:ilvl w:val="0"/>
          <w:numId w:val="36"/>
        </w:numPr>
        <w:rPr>
          <w:lang w:val="en-AU"/>
        </w:rPr>
      </w:pPr>
      <w:r w:rsidRPr="004C0EEA">
        <w:rPr>
          <w:lang w:val="en-AU"/>
        </w:rPr>
        <w:t>the funding body providing culturally appropriate grant administration support to the First Nations sector.</w:t>
      </w:r>
    </w:p>
    <w:p w14:paraId="1FE51999" w14:textId="49C4F9D4" w:rsidR="001248A7" w:rsidRPr="004C0EEA" w:rsidRDefault="007C788C" w:rsidP="007C788C">
      <w:r w:rsidRPr="004C0EEA">
        <w:lastRenderedPageBreak/>
        <w:t>If</w:t>
      </w:r>
      <w:r w:rsidR="00AD2307" w:rsidRPr="004C0EEA">
        <w:t xml:space="preserve"> </w:t>
      </w:r>
      <w:r w:rsidRPr="004C0EEA">
        <w:t>the IBMP is consolidated into the</w:t>
      </w:r>
      <w:r w:rsidR="00AD2307" w:rsidRPr="004C0EEA">
        <w:t xml:space="preserve"> </w:t>
      </w:r>
      <w:r w:rsidRPr="004C0EEA">
        <w:t xml:space="preserve">Communications </w:t>
      </w:r>
      <w:r w:rsidR="00AD2307" w:rsidRPr="004C0EEA">
        <w:t xml:space="preserve">portfolio before </w:t>
      </w:r>
      <w:r w:rsidR="00D21080" w:rsidRPr="004C0EEA">
        <w:t>establishing the</w:t>
      </w:r>
      <w:r w:rsidR="00AD2307" w:rsidRPr="004C0EEA">
        <w:t xml:space="preserve"> </w:t>
      </w:r>
      <w:r w:rsidR="00E57501" w:rsidRPr="004C0EEA">
        <w:t>funding model</w:t>
      </w:r>
      <w:r w:rsidR="00AD2307" w:rsidRPr="004C0EEA">
        <w:t xml:space="preserve">, the CBF </w:t>
      </w:r>
      <w:r w:rsidR="002326CE" w:rsidRPr="004C0EEA">
        <w:t xml:space="preserve">could become the interim funding body. </w:t>
      </w:r>
      <w:r w:rsidR="00413EA5" w:rsidRPr="004C0EEA">
        <w:t xml:space="preserve">The department has a longstanding arrangement with the CBF to administer the CBP and </w:t>
      </w:r>
      <w:r w:rsidR="00B22E54">
        <w:t>c</w:t>
      </w:r>
      <w:r w:rsidR="00413EA5" w:rsidRPr="004C0EEA">
        <w:t>ould use th</w:t>
      </w:r>
      <w:r w:rsidR="0084469D" w:rsidRPr="004C0EEA">
        <w:t>ese arrangements</w:t>
      </w:r>
      <w:r w:rsidR="00413EA5" w:rsidRPr="004C0EEA">
        <w:t xml:space="preserve"> in the short-term for the IBMP</w:t>
      </w:r>
      <w:r w:rsidRPr="004C0EEA">
        <w:t xml:space="preserve">. </w:t>
      </w:r>
      <w:r w:rsidR="00E57501" w:rsidRPr="004C0EEA">
        <w:t xml:space="preserve">However, some First Nations broadcasters do not view the CBF as an appropriate </w:t>
      </w:r>
      <w:r w:rsidR="00F12C6B" w:rsidRPr="004C0EEA">
        <w:t>long-term</w:t>
      </w:r>
      <w:r w:rsidR="00AD2307" w:rsidRPr="004C0EEA">
        <w:t xml:space="preserve"> </w:t>
      </w:r>
      <w:r w:rsidR="00E57501" w:rsidRPr="004C0EEA">
        <w:t xml:space="preserve">funding body for the IBMP as it is not a First Nations organisation. </w:t>
      </w:r>
    </w:p>
    <w:p w14:paraId="3313D4EE" w14:textId="77777777" w:rsidR="00F97B31" w:rsidRPr="004C0EEA" w:rsidRDefault="00C02BAD" w:rsidP="00E700C7">
      <w:pPr>
        <w:pStyle w:val="Heading2"/>
      </w:pPr>
      <w:bookmarkStart w:id="61" w:name="_Toc191451017"/>
      <w:r w:rsidRPr="004C0EEA">
        <w:t>Licensing</w:t>
      </w:r>
      <w:bookmarkEnd w:id="61"/>
    </w:p>
    <w:p w14:paraId="1ADC79D7" w14:textId="77777777" w:rsidR="00D81149" w:rsidRPr="004C0EEA" w:rsidRDefault="00D81149" w:rsidP="00D81149">
      <w:pPr>
        <w:rPr>
          <w:color w:val="auto"/>
        </w:rPr>
      </w:pPr>
      <w:r w:rsidRPr="004C0EEA">
        <w:t xml:space="preserve">The First Nations broadcasting and media sector is a vital community resource. The sector promotes connection to culture and language, and supports Aboriginal and Torres Strait Islander people to have access to information and services. This enables informed decision-making by sharing local stories, news and information. </w:t>
      </w:r>
      <w:r w:rsidRPr="004C0EEA">
        <w:rPr>
          <w:color w:val="auto"/>
        </w:rPr>
        <w:t xml:space="preserve">Remote First Nations broadcasting services </w:t>
      </w:r>
      <w:r w:rsidRPr="004C0EEA">
        <w:t>often</w:t>
      </w:r>
      <w:r w:rsidRPr="004C0EEA">
        <w:rPr>
          <w:color w:val="auto"/>
        </w:rPr>
        <w:t xml:space="preserve"> provide a primary media source for their communities due to limited access to television, the internet and other radio broadcast services. </w:t>
      </w:r>
    </w:p>
    <w:p w14:paraId="173AFC9B" w14:textId="4BD44443" w:rsidR="004854BA" w:rsidRPr="004C0EEA" w:rsidRDefault="00413EA5" w:rsidP="003330F3">
      <w:r w:rsidRPr="004C0EEA">
        <w:t xml:space="preserve">FNMA and some </w:t>
      </w:r>
      <w:r w:rsidR="00B84B1E" w:rsidRPr="004C0EEA">
        <w:t xml:space="preserve">First Nations broadcasters </w:t>
      </w:r>
      <w:r w:rsidR="00B22E54">
        <w:t>view</w:t>
      </w:r>
      <w:r w:rsidR="00B84B1E" w:rsidRPr="004C0EEA">
        <w:t xml:space="preserve"> a</w:t>
      </w:r>
      <w:r w:rsidR="00C1694D" w:rsidRPr="004C0EEA">
        <w:t xml:space="preserve"> </w:t>
      </w:r>
      <w:r w:rsidR="00C00BF0" w:rsidRPr="004C0EEA">
        <w:t xml:space="preserve">First Nations broadcasting category </w:t>
      </w:r>
      <w:r w:rsidR="00B22E54">
        <w:t>a</w:t>
      </w:r>
      <w:r w:rsidR="00C1694D" w:rsidRPr="004C0EEA">
        <w:t>s</w:t>
      </w:r>
      <w:r w:rsidR="00C00BF0" w:rsidRPr="004C0EEA">
        <w:t xml:space="preserve"> crucial for</w:t>
      </w:r>
      <w:r w:rsidR="003330F3" w:rsidRPr="004C0EEA">
        <w:t xml:space="preserve"> </w:t>
      </w:r>
      <w:r w:rsidR="00C00BF0" w:rsidRPr="004C0EEA">
        <w:t>ensuring self</w:t>
      </w:r>
      <w:r w:rsidR="00527280" w:rsidRPr="004C0EEA">
        <w:noBreakHyphen/>
      </w:r>
      <w:r w:rsidR="00C00BF0" w:rsidRPr="004C0EEA">
        <w:t>determination</w:t>
      </w:r>
      <w:r w:rsidR="00CB38E6" w:rsidRPr="004C0EEA">
        <w:t xml:space="preserve">, </w:t>
      </w:r>
      <w:r w:rsidR="00C00BF0" w:rsidRPr="004C0EEA">
        <w:t>editorial control over local First Nations content</w:t>
      </w:r>
      <w:r w:rsidR="003330F3" w:rsidRPr="004C0EEA">
        <w:t xml:space="preserve">, and </w:t>
      </w:r>
      <w:r w:rsidR="00C00BF0" w:rsidRPr="004C0EEA">
        <w:t xml:space="preserve">bringing </w:t>
      </w:r>
      <w:r w:rsidR="009A4EB9" w:rsidRPr="004C0EEA">
        <w:t>First Nations</w:t>
      </w:r>
      <w:r w:rsidR="00C00BF0" w:rsidRPr="004C0EEA">
        <w:t xml:space="preserve"> services </w:t>
      </w:r>
      <w:r w:rsidR="00BA053C" w:rsidRPr="004C0EEA">
        <w:t>to</w:t>
      </w:r>
      <w:r w:rsidR="00C00BF0" w:rsidRPr="004C0EEA">
        <w:t xml:space="preserve"> areas where there is an identified need </w:t>
      </w:r>
      <w:r w:rsidR="009A4EB9" w:rsidRPr="004C0EEA">
        <w:t>and available spectrum</w:t>
      </w:r>
      <w:r w:rsidR="00C00BF0" w:rsidRPr="004C0EEA">
        <w:t xml:space="preserve">. </w:t>
      </w:r>
    </w:p>
    <w:p w14:paraId="4CF9956F" w14:textId="77777777" w:rsidR="00A91AB7" w:rsidRPr="004C0EEA" w:rsidRDefault="00A91AB7" w:rsidP="003E71BF">
      <w:pPr>
        <w:rPr>
          <w:rStyle w:val="normaltextrun"/>
          <w:rFonts w:ascii="Calibri" w:hAnsi="Calibri" w:cs="Calibri"/>
          <w:color w:val="000000"/>
          <w:shd w:val="clear" w:color="auto" w:fill="FFFFFF"/>
        </w:rPr>
      </w:pPr>
      <w:r w:rsidRPr="004C0EEA">
        <w:t>Changes to legislation, including the BSA and the</w:t>
      </w:r>
      <w:r w:rsidRPr="004C0EEA">
        <w:rPr>
          <w:i/>
        </w:rPr>
        <w:t xml:space="preserve"> Radiocommunications Act 1992</w:t>
      </w:r>
      <w:r w:rsidR="001823CD" w:rsidRPr="004C0EEA">
        <w:rPr>
          <w:i/>
        </w:rPr>
        <w:t xml:space="preserve"> </w:t>
      </w:r>
      <w:r w:rsidR="001823CD" w:rsidRPr="004C0EEA">
        <w:t>(Radiocommunications Act)</w:t>
      </w:r>
      <w:r w:rsidRPr="004C0EEA">
        <w:t>, would be required to create a First Nations broadcasting category</w:t>
      </w:r>
      <w:r w:rsidR="00E87E03" w:rsidRPr="004C0EEA">
        <w:t xml:space="preserve">, </w:t>
      </w:r>
      <w:r w:rsidRPr="004C0EEA">
        <w:t xml:space="preserve">however this would not guarantee access to spectrum. </w:t>
      </w:r>
      <w:r w:rsidR="003E71BF" w:rsidRPr="004C0EEA">
        <w:t>For example,</w:t>
      </w:r>
      <w:r w:rsidR="009A4EB9" w:rsidRPr="004C0EEA">
        <w:rPr>
          <w:rStyle w:val="normaltextrun"/>
          <w:rFonts w:ascii="Calibri" w:hAnsi="Calibri" w:cs="Calibri"/>
          <w:color w:val="000000"/>
          <w:shd w:val="clear" w:color="auto" w:fill="FFFFFF"/>
        </w:rPr>
        <w:t xml:space="preserve"> there is no or limited spectrum availability for a new wide-area First Nations broadcaster in metropolitan and regional areas, nor is spectrum expected to become available. </w:t>
      </w:r>
    </w:p>
    <w:p w14:paraId="1DE695F9" w14:textId="5B5A80B3" w:rsidR="00A91AB7" w:rsidRPr="004C0EEA" w:rsidRDefault="00BA053C" w:rsidP="004854BA">
      <w:r w:rsidRPr="004C0EEA">
        <w:rPr>
          <w:rStyle w:val="normaltextrun"/>
          <w:rFonts w:ascii="Calibri" w:hAnsi="Calibri" w:cs="Calibri"/>
          <w:color w:val="000000"/>
          <w:shd w:val="clear" w:color="auto" w:fill="FFFFFF"/>
        </w:rPr>
        <w:t>In many regional licence areas</w:t>
      </w:r>
      <w:r w:rsidR="005A37CF" w:rsidRPr="004C0EEA">
        <w:rPr>
          <w:rStyle w:val="normaltextrun"/>
          <w:rFonts w:ascii="Calibri" w:hAnsi="Calibri" w:cs="Calibri"/>
          <w:color w:val="000000"/>
          <w:shd w:val="clear" w:color="auto" w:fill="FFFFFF"/>
        </w:rPr>
        <w:t>,</w:t>
      </w:r>
      <w:r w:rsidRPr="004C0EEA">
        <w:rPr>
          <w:rStyle w:val="normaltextrun"/>
          <w:rFonts w:ascii="Calibri" w:hAnsi="Calibri" w:cs="Calibri"/>
          <w:color w:val="000000"/>
          <w:shd w:val="clear" w:color="auto" w:fill="FFFFFF"/>
        </w:rPr>
        <w:t xml:space="preserve"> spectrum has been temporarily made available for First Nations broadcasters through temporary community broadcasting licences</w:t>
      </w:r>
      <w:r w:rsidR="00B22E54">
        <w:rPr>
          <w:rStyle w:val="normaltextrun"/>
          <w:rFonts w:ascii="Calibri" w:hAnsi="Calibri" w:cs="Calibri"/>
          <w:color w:val="000000"/>
          <w:shd w:val="clear" w:color="auto" w:fill="FFFFFF"/>
        </w:rPr>
        <w:t xml:space="preserve"> (TCBLs)</w:t>
      </w:r>
      <w:r w:rsidR="00A10A2E" w:rsidRPr="004C0EEA">
        <w:rPr>
          <w:rStyle w:val="normaltextrun"/>
          <w:rFonts w:ascii="Calibri" w:hAnsi="Calibri" w:cs="Calibri"/>
          <w:color w:val="000000"/>
          <w:shd w:val="clear" w:color="auto" w:fill="FFFFFF"/>
        </w:rPr>
        <w:t>.</w:t>
      </w:r>
      <w:r w:rsidRPr="004C0EEA">
        <w:rPr>
          <w:rStyle w:val="normaltextrun"/>
          <w:rFonts w:ascii="Calibri" w:hAnsi="Calibri" w:cs="Calibri"/>
          <w:color w:val="000000"/>
          <w:shd w:val="clear" w:color="auto" w:fill="FFFFFF"/>
        </w:rPr>
        <w:t xml:space="preserve"> </w:t>
      </w:r>
      <w:r w:rsidR="00A10A2E" w:rsidRPr="004C0EEA">
        <w:rPr>
          <w:rStyle w:val="normaltextrun"/>
          <w:rFonts w:ascii="Calibri" w:hAnsi="Calibri" w:cs="Calibri"/>
        </w:rPr>
        <w:t>T</w:t>
      </w:r>
      <w:r w:rsidRPr="004C0EEA">
        <w:rPr>
          <w:rStyle w:val="normaltextrun"/>
          <w:rFonts w:ascii="Calibri" w:hAnsi="Calibri" w:cs="Calibri"/>
        </w:rPr>
        <w:t>he BSA does not</w:t>
      </w:r>
      <w:r w:rsidR="00A10A2E" w:rsidRPr="004C0EEA">
        <w:rPr>
          <w:rStyle w:val="normaltextrun"/>
          <w:rFonts w:ascii="Calibri" w:hAnsi="Calibri" w:cs="Calibri"/>
        </w:rPr>
        <w:t xml:space="preserve"> currently</w:t>
      </w:r>
      <w:r w:rsidRPr="004C0EEA">
        <w:rPr>
          <w:rStyle w:val="normaltextrun"/>
          <w:rFonts w:ascii="Calibri" w:hAnsi="Calibri" w:cs="Calibri"/>
        </w:rPr>
        <w:t xml:space="preserve"> permit</w:t>
      </w:r>
      <w:r w:rsidRPr="004C0EEA">
        <w:rPr>
          <w:rStyle w:val="normaltextrun"/>
          <w:rFonts w:ascii="Calibri" w:hAnsi="Calibri" w:cs="Calibri"/>
          <w:color w:val="000000"/>
          <w:shd w:val="clear" w:color="auto" w:fill="FFFFFF"/>
        </w:rPr>
        <w:t xml:space="preserve"> spectrum </w:t>
      </w:r>
      <w:r w:rsidR="00801E67" w:rsidRPr="004C0EEA">
        <w:rPr>
          <w:rStyle w:val="normaltextrun"/>
          <w:rFonts w:ascii="Calibri" w:hAnsi="Calibri" w:cs="Calibri"/>
          <w:color w:val="000000"/>
          <w:shd w:val="clear" w:color="auto" w:fill="FFFFFF"/>
        </w:rPr>
        <w:t xml:space="preserve">planning </w:t>
      </w:r>
      <w:r w:rsidRPr="004C0EEA">
        <w:rPr>
          <w:rStyle w:val="normaltextrun"/>
          <w:rFonts w:ascii="Calibri" w:hAnsi="Calibri" w:cs="Calibri"/>
          <w:color w:val="000000"/>
          <w:shd w:val="clear" w:color="auto" w:fill="FFFFFF"/>
        </w:rPr>
        <w:t>for First Nations services on a long-term basis. </w:t>
      </w:r>
      <w:r w:rsidR="003E71BF" w:rsidRPr="004C0EEA">
        <w:t xml:space="preserve">The </w:t>
      </w:r>
      <w:r w:rsidR="003A7016">
        <w:t>government</w:t>
      </w:r>
      <w:r w:rsidR="003E71BF" w:rsidRPr="004C0EEA">
        <w:t xml:space="preserve"> could issue a directive to prioritise spectrum allocation to First Nations broadcasters, however there is a significant risk that the commercial broadcasting sector would </w:t>
      </w:r>
      <w:r w:rsidR="00C81F37" w:rsidRPr="004C0EEA">
        <w:t>have a negative response</w:t>
      </w:r>
      <w:r w:rsidR="003E71BF" w:rsidRPr="004C0EEA">
        <w:t>.</w:t>
      </w:r>
    </w:p>
    <w:p w14:paraId="32143259" w14:textId="2FC7A10C" w:rsidR="008700ED" w:rsidRPr="004C0EEA" w:rsidRDefault="003E71BF" w:rsidP="00E87E03">
      <w:r w:rsidRPr="004C0EEA">
        <w:t xml:space="preserve">In lieu of this, to </w:t>
      </w:r>
      <w:r w:rsidR="004854BA" w:rsidRPr="004C0EEA">
        <w:t>bring First Nations community broadcasting services to</w:t>
      </w:r>
      <w:r w:rsidR="008700ED" w:rsidRPr="004C0EEA">
        <w:t xml:space="preserve"> </w:t>
      </w:r>
      <w:r w:rsidR="00662ADE" w:rsidRPr="004C0EEA">
        <w:t xml:space="preserve">licence areas </w:t>
      </w:r>
      <w:r w:rsidR="008700ED" w:rsidRPr="004C0EEA">
        <w:t>where spectrum is available</w:t>
      </w:r>
      <w:r w:rsidRPr="004C0EEA">
        <w:t xml:space="preserve">, the </w:t>
      </w:r>
      <w:r w:rsidR="003A7016">
        <w:t>g</w:t>
      </w:r>
      <w:r w:rsidRPr="004C0EEA">
        <w:t>overnment could consider</w:t>
      </w:r>
      <w:r w:rsidR="00E87E03" w:rsidRPr="004C0EEA">
        <w:t xml:space="preserve"> </w:t>
      </w:r>
      <w:r w:rsidR="008B0E69" w:rsidRPr="004C0EEA">
        <w:t xml:space="preserve">issuing </w:t>
      </w:r>
      <w:r w:rsidR="004854BA" w:rsidRPr="004C0EEA">
        <w:t>digital</w:t>
      </w:r>
      <w:r w:rsidR="00801E67" w:rsidRPr="004C0EEA">
        <w:t>-</w:t>
      </w:r>
      <w:r w:rsidR="004854BA" w:rsidRPr="004C0EEA">
        <w:t xml:space="preserve">only </w:t>
      </w:r>
      <w:r w:rsidR="008700ED" w:rsidRPr="004C0EEA">
        <w:t xml:space="preserve">radio broadcasting </w:t>
      </w:r>
      <w:r w:rsidR="004854BA" w:rsidRPr="004C0EEA">
        <w:t>licences</w:t>
      </w:r>
      <w:r w:rsidR="008700ED" w:rsidRPr="004C0EEA">
        <w:t xml:space="preserve"> </w:t>
      </w:r>
      <w:r w:rsidR="008700ED" w:rsidRPr="004C0EEA">
        <w:rPr>
          <w:color w:val="auto"/>
        </w:rPr>
        <w:t>where there is an operating multiplex with capacity</w:t>
      </w:r>
      <w:r w:rsidR="00E87E03" w:rsidRPr="004C0EEA">
        <w:t xml:space="preserve">. This </w:t>
      </w:r>
      <w:r w:rsidR="006D152F" w:rsidRPr="004C0EEA">
        <w:t xml:space="preserve">could also assist with transitioning First Nations </w:t>
      </w:r>
      <w:r w:rsidR="00162D40" w:rsidRPr="004C0EEA">
        <w:t xml:space="preserve">broadcasters </w:t>
      </w:r>
      <w:r w:rsidR="006D152F" w:rsidRPr="004C0EEA">
        <w:t xml:space="preserve">from </w:t>
      </w:r>
      <w:r w:rsidR="00624E26">
        <w:t>TCBLs</w:t>
      </w:r>
      <w:r w:rsidR="006D152F" w:rsidRPr="004C0EEA">
        <w:t xml:space="preserve"> to permanent digital licence</w:t>
      </w:r>
      <w:r w:rsidR="00E87E03" w:rsidRPr="004C0EEA">
        <w:t>s. However, d</w:t>
      </w:r>
      <w:r w:rsidR="008700ED" w:rsidRPr="004C0EEA" w:rsidDel="00E22EA8">
        <w:t>igital radio has rolled out in very few regional</w:t>
      </w:r>
      <w:r w:rsidR="00624E26">
        <w:t xml:space="preserve"> areas</w:t>
      </w:r>
      <w:r w:rsidR="008700ED" w:rsidRPr="004C0EEA" w:rsidDel="00E22EA8">
        <w:t xml:space="preserve"> and no remote areas </w:t>
      </w:r>
      <w:r w:rsidR="00624E26">
        <w:t>due to</w:t>
      </w:r>
      <w:r w:rsidR="008700ED" w:rsidRPr="004C0EEA" w:rsidDel="00E22EA8">
        <w:t xml:space="preserve"> the costs to industry in establishing the infrastructure. The legislative framework envisages that community and First Nations broadcasters establish digital radio services in partnership with commercial </w:t>
      </w:r>
      <w:r w:rsidR="001F74F6" w:rsidRPr="004C0EEA" w:rsidDel="00E22EA8">
        <w:t>and/</w:t>
      </w:r>
      <w:r w:rsidR="00766C32" w:rsidRPr="004C0EEA" w:rsidDel="00E22EA8">
        <w:t xml:space="preserve">or national </w:t>
      </w:r>
      <w:r w:rsidR="001F74F6" w:rsidRPr="004C0EEA" w:rsidDel="00E22EA8">
        <w:t>broadcasters</w:t>
      </w:r>
      <w:r w:rsidR="008700ED" w:rsidRPr="004C0EEA" w:rsidDel="00E22EA8">
        <w:t>.</w:t>
      </w:r>
    </w:p>
    <w:p w14:paraId="4BDC3F59" w14:textId="5518816D" w:rsidR="00517687" w:rsidRPr="004C0EEA" w:rsidRDefault="00FC6708" w:rsidP="000B19B4">
      <w:r w:rsidRPr="004C0EEA">
        <w:t xml:space="preserve">The </w:t>
      </w:r>
      <w:r w:rsidR="003A7016">
        <w:t>government</w:t>
      </w:r>
      <w:r w:rsidRPr="004C0EEA">
        <w:t xml:space="preserve"> could consider introducing a First Nations licence category under the BSA, and then amending the Radiocommunications Act to allow the category 3 digital multiplex to be used by First Nations broadcasters. This would prioritise First Nations broadcasters, and as space allows, could be extended to other community broadcasters. While there is</w:t>
      </w:r>
      <w:r w:rsidR="00E87E03" w:rsidRPr="004C0EEA">
        <w:t xml:space="preserve"> some spectrum</w:t>
      </w:r>
      <w:r w:rsidRPr="004C0EEA">
        <w:t xml:space="preserve"> availability on this multiplex, the department </w:t>
      </w:r>
      <w:r w:rsidR="006221D5" w:rsidRPr="004C0EEA">
        <w:t xml:space="preserve">is </w:t>
      </w:r>
      <w:r w:rsidR="00AD5104">
        <w:t xml:space="preserve">yet </w:t>
      </w:r>
      <w:r w:rsidR="006221D5" w:rsidRPr="004C0EEA">
        <w:t xml:space="preserve">to </w:t>
      </w:r>
      <w:r w:rsidRPr="004C0EEA">
        <w:t>consult national broadcasters and assess the third-party contract arrangements to permit use of this multiplex by community broadcasters with digital-only licen</w:t>
      </w:r>
      <w:r w:rsidR="00DF2EF1" w:rsidRPr="004C0EEA">
        <w:t>c</w:t>
      </w:r>
      <w:r w:rsidRPr="004C0EEA">
        <w:t>es.</w:t>
      </w:r>
    </w:p>
    <w:p w14:paraId="5B7709F4" w14:textId="54C8CC12" w:rsidR="00517687" w:rsidRPr="0044153B" w:rsidRDefault="00874CEA" w:rsidP="000B19B4">
      <w:r w:rsidRPr="004C0EEA">
        <w:t>Alternatively, First Nations services can be provided via online services (e.g. an app or website) without licences</w:t>
      </w:r>
      <w:r w:rsidR="00624E26">
        <w:t xml:space="preserve">, </w:t>
      </w:r>
      <w:r w:rsidRPr="004C0EEA">
        <w:t>any planning by the ACMA or changes to legislation. However, online services may not be a fit</w:t>
      </w:r>
      <w:r w:rsidR="004C0D12" w:rsidRPr="004C0EEA">
        <w:noBreakHyphen/>
      </w:r>
      <w:r w:rsidRPr="004C0EEA">
        <w:t>for</w:t>
      </w:r>
      <w:r w:rsidR="004C0D12" w:rsidRPr="004C0EEA">
        <w:noBreakHyphen/>
      </w:r>
      <w:r w:rsidRPr="004C0EEA">
        <w:t xml:space="preserve">purpose option for First Nations broadcasters, as digital inclusion remains an issue </w:t>
      </w:r>
      <w:r w:rsidR="00DF2EF1" w:rsidRPr="004C0EEA">
        <w:t>across metropolitan,</w:t>
      </w:r>
      <w:r w:rsidRPr="004C0EEA">
        <w:t xml:space="preserve"> rural and remote First Nations communities due to a lack of reliable access to the </w:t>
      </w:r>
      <w:r w:rsidR="00E22EA8" w:rsidRPr="004C0EEA">
        <w:t>i</w:t>
      </w:r>
      <w:r w:rsidRPr="004C0EEA">
        <w:t>nternet.</w:t>
      </w:r>
    </w:p>
    <w:p w14:paraId="00C5C091" w14:textId="77777777" w:rsidR="00CA0C78" w:rsidRPr="0044153B" w:rsidRDefault="00CA0C78"/>
    <w:sectPr w:rsidR="00CA0C78" w:rsidRPr="0044153B" w:rsidSect="00C244FC">
      <w:headerReference w:type="even" r:id="rId21"/>
      <w:headerReference w:type="default" r:id="rId22"/>
      <w:headerReference w:type="first" r:id="rId23"/>
      <w:pgSz w:w="11906" w:h="16838" w:code="9"/>
      <w:pgMar w:top="1021" w:right="1021" w:bottom="709" w:left="1021"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07BD0" w14:textId="77777777" w:rsidR="006A7238" w:rsidRDefault="006A7238" w:rsidP="008456D5">
      <w:pPr>
        <w:spacing w:before="0" w:after="0"/>
      </w:pPr>
      <w:r>
        <w:separator/>
      </w:r>
    </w:p>
  </w:endnote>
  <w:endnote w:type="continuationSeparator" w:id="0">
    <w:p w14:paraId="6071EFC0" w14:textId="77777777" w:rsidR="006A7238" w:rsidRDefault="006A7238" w:rsidP="008456D5">
      <w:pPr>
        <w:spacing w:before="0" w:after="0"/>
      </w:pPr>
      <w:r>
        <w:continuationSeparator/>
      </w:r>
    </w:p>
  </w:endnote>
  <w:endnote w:type="continuationNotice" w:id="1">
    <w:p w14:paraId="504ACAF0" w14:textId="77777777" w:rsidR="006A7238" w:rsidRDefault="006A72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49028" w14:textId="77777777" w:rsidR="006A7238" w:rsidRDefault="006A7238" w:rsidP="00E50D64">
    <w:pPr>
      <w:pStyle w:val="Footer"/>
      <w:spacing w:before="720"/>
      <w:jc w:val="right"/>
    </w:pPr>
    <w:r>
      <w:rPr>
        <w:noProof/>
        <w:lang w:eastAsia="en-AU"/>
      </w:rPr>
      <mc:AlternateContent>
        <mc:Choice Requires="wps">
          <w:drawing>
            <wp:anchor distT="0" distB="0" distL="114300" distR="114300" simplePos="0" relativeHeight="251658245" behindDoc="1" locked="1" layoutInCell="1" allowOverlap="1" wp14:anchorId="7DF30566" wp14:editId="6F230CC4">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75DF2EE4" w14:textId="77777777" w:rsidR="006A7238" w:rsidRPr="007A05BE" w:rsidRDefault="006A7238"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F30566" id="_x0000_t202" coordsize="21600,21600" o:spt="202" path="m,l,21600r21600,l21600,xe">
              <v:stroke joinstyle="miter"/>
              <v:path gradientshapeok="t" o:connecttype="rect"/>
            </v:shapetype>
            <v:shape id="Text Box 16" o:spid="_x0000_s1026" type="#_x0000_t202" style="position:absolute;left:0;text-align:left;margin-left:0;margin-top:0;width:79.3pt;height:42.45pt;z-index:-251658235;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75DF2EE4" w14:textId="77777777" w:rsidR="006A7238" w:rsidRPr="007A05BE" w:rsidRDefault="006A7238"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4" behindDoc="1" locked="1" layoutInCell="1" allowOverlap="1" wp14:anchorId="2EADBF01" wp14:editId="5A855052">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1E0D96AE" w14:textId="297293FE" w:rsidR="006A7238" w:rsidRDefault="006A7238" w:rsidP="00E50D64">
                              <w:pPr>
                                <w:pStyle w:val="Footer"/>
                              </w:pPr>
                              <w:r>
                                <w:t>Community Broadcasting Sector Sustainability Review</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DBF01" id="Text Box 18" o:spid="_x0000_s1027" type="#_x0000_t202" style="position:absolute;left:0;text-align:left;margin-left:0;margin-top:0;width:340.15pt;height:42.45pt;z-index:-2516582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1E0D96AE" w14:textId="297293FE" w:rsidR="006A7238" w:rsidRDefault="006A7238" w:rsidP="00E50D64">
                        <w:pPr>
                          <w:pStyle w:val="Footer"/>
                        </w:pPr>
                        <w:r>
                          <w:t>Community Broadcasting Sector Sustainability Review</w:t>
                        </w:r>
                      </w:p>
                    </w:sdtContent>
                  </w:sdt>
                </w:txbxContent>
              </v:textbox>
              <w10:wrap anchorx="page" anchory="page"/>
              <w10:anchorlock/>
            </v:shape>
          </w:pict>
        </mc:Fallback>
      </mc:AlternateContent>
    </w:r>
    <w:r>
      <w:rPr>
        <w:noProof/>
        <w:lang w:eastAsia="en-AU"/>
      </w:rPr>
      <w:drawing>
        <wp:anchor distT="0" distB="0" distL="114300" distR="114300" simplePos="0" relativeHeight="251658243" behindDoc="1" locked="1" layoutInCell="1" allowOverlap="1" wp14:anchorId="47673427" wp14:editId="5D489841">
          <wp:simplePos x="0" y="0"/>
          <wp:positionH relativeFrom="page">
            <wp:align>right</wp:align>
          </wp:positionH>
          <wp:positionV relativeFrom="page">
            <wp:align>bottom</wp:align>
          </wp:positionV>
          <wp:extent cx="10692000" cy="183240"/>
          <wp:effectExtent l="0" t="0" r="0" b="762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7D2FD" w14:textId="77777777" w:rsidR="006A7238" w:rsidRDefault="006A7238" w:rsidP="00090832">
    <w:pPr>
      <w:pStyle w:val="Footer"/>
    </w:pPr>
    <w:r>
      <w:rPr>
        <w:noProof/>
        <w:lang w:eastAsia="en-AU"/>
      </w:rPr>
      <mc:AlternateContent>
        <mc:Choice Requires="wps">
          <w:drawing>
            <wp:anchor distT="0" distB="0" distL="114300" distR="114300" simplePos="0" relativeHeight="251658242" behindDoc="1" locked="1" layoutInCell="1" allowOverlap="1" wp14:anchorId="4505D885" wp14:editId="0C50372B">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0E225786" w14:textId="77777777" w:rsidR="006A7238" w:rsidRPr="007A05BE" w:rsidRDefault="006A7238"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5D885" id="_x0000_t202" coordsize="21600,21600" o:spt="202" path="m,l,21600r21600,l21600,xe">
              <v:stroke joinstyle="miter"/>
              <v:path gradientshapeok="t" o:connecttype="rect"/>
            </v:shapetype>
            <v:shape id="Text Box 4" o:spid="_x0000_s1028" type="#_x0000_t202" style="position:absolute;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0E225786" w14:textId="77777777" w:rsidR="006A7238" w:rsidRPr="007A05BE" w:rsidRDefault="006A7238"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7C611FB8" wp14:editId="350AD167">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F5B64C5" w14:textId="2BA42E59" w:rsidR="006A7238" w:rsidRDefault="006A7238" w:rsidP="007A05BE">
                              <w:pPr>
                                <w:pStyle w:val="Footer"/>
                                <w:jc w:val="right"/>
                              </w:pPr>
                              <w:r>
                                <w:t>Community Broadcasting Sector Sustainability Review</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11FB8" id="Text Box 3" o:spid="_x0000_s1029" type="#_x0000_t202" style="position:absolute;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Content>
                      <w:p w14:paraId="4F5B64C5" w14:textId="2BA42E59" w:rsidR="006A7238" w:rsidRDefault="006A7238" w:rsidP="007A05BE">
                        <w:pPr>
                          <w:pStyle w:val="Footer"/>
                          <w:jc w:val="right"/>
                        </w:pPr>
                        <w:r>
                          <w:t>Community Broadcasting Sector Sustainability Review</w:t>
                        </w:r>
                      </w:p>
                    </w:sdtContent>
                  </w:sdt>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7B10241F" wp14:editId="3546B2F2">
          <wp:simplePos x="0" y="0"/>
          <wp:positionH relativeFrom="page">
            <wp:align>right</wp:align>
          </wp:positionH>
          <wp:positionV relativeFrom="page">
            <wp:align>bottom</wp:align>
          </wp:positionV>
          <wp:extent cx="10692000" cy="183240"/>
          <wp:effectExtent l="0" t="0" r="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9B2B" w14:textId="77777777" w:rsidR="006A7238" w:rsidRPr="005912BE" w:rsidRDefault="006A7238" w:rsidP="005912BE">
      <w:pPr>
        <w:spacing w:before="300"/>
        <w:rPr>
          <w:color w:val="008089" w:themeColor="accent2"/>
        </w:rPr>
      </w:pPr>
      <w:r w:rsidRPr="004063DE">
        <w:rPr>
          <w:color w:val="004044" w:themeColor="accent2" w:themeShade="80"/>
        </w:rPr>
        <w:t>----------</w:t>
      </w:r>
    </w:p>
  </w:footnote>
  <w:footnote w:type="continuationSeparator" w:id="0">
    <w:p w14:paraId="1053140E" w14:textId="77777777" w:rsidR="006A7238" w:rsidRDefault="006A7238" w:rsidP="008456D5">
      <w:pPr>
        <w:spacing w:before="0" w:after="0"/>
      </w:pPr>
      <w:r>
        <w:continuationSeparator/>
      </w:r>
    </w:p>
  </w:footnote>
  <w:footnote w:type="continuationNotice" w:id="1">
    <w:p w14:paraId="366A033C" w14:textId="77777777" w:rsidR="006A7238" w:rsidRDefault="006A7238">
      <w:pPr>
        <w:spacing w:before="0" w:after="0"/>
      </w:pPr>
    </w:p>
  </w:footnote>
  <w:footnote w:id="2">
    <w:p w14:paraId="496707E1" w14:textId="02116F43" w:rsidR="006A7238" w:rsidRPr="00090832" w:rsidRDefault="006A7238" w:rsidP="002876E6">
      <w:pPr>
        <w:pStyle w:val="FootnoteText"/>
        <w:rPr>
          <w:lang w:val="en-US"/>
        </w:rPr>
      </w:pPr>
      <w:r>
        <w:rPr>
          <w:rStyle w:val="FootnoteReference"/>
        </w:rPr>
        <w:footnoteRef/>
      </w:r>
      <w:r>
        <w:t xml:space="preserve"> </w:t>
      </w:r>
      <w:hyperlink r:id="rId1" w:history="1">
        <w:r>
          <w:rPr>
            <w:rStyle w:val="Hyperlink"/>
          </w:rPr>
          <w:t>Terms of Reference</w:t>
        </w:r>
      </w:hyperlink>
    </w:p>
  </w:footnote>
  <w:footnote w:id="3">
    <w:p w14:paraId="10A616F6" w14:textId="71E61D40" w:rsidR="006A7238" w:rsidRPr="005912FC" w:rsidRDefault="006A7238" w:rsidP="00E700C7">
      <w:pPr>
        <w:pStyle w:val="FootnoteText"/>
        <w:rPr>
          <w:lang w:val="en-US"/>
        </w:rPr>
      </w:pPr>
      <w:r>
        <w:rPr>
          <w:rStyle w:val="FootnoteReference"/>
        </w:rPr>
        <w:footnoteRef/>
      </w:r>
      <w:r>
        <w:t xml:space="preserve"> </w:t>
      </w:r>
      <w:hyperlink r:id="rId2" w:history="1">
        <w:r>
          <w:rPr>
            <w:rStyle w:val="Hyperlink"/>
          </w:rPr>
          <w:t xml:space="preserve">Evaluation of the Community Broadcasting Program: Final Report—June 2024 </w:t>
        </w:r>
      </w:hyperlink>
    </w:p>
  </w:footnote>
  <w:footnote w:id="4">
    <w:p w14:paraId="4ECB9523" w14:textId="23FD1E22" w:rsidR="006A7238" w:rsidRPr="008F5C03" w:rsidRDefault="006A7238" w:rsidP="001C20E8">
      <w:pPr>
        <w:pStyle w:val="FootnoteText"/>
        <w:rPr>
          <w:lang w:val="en-US"/>
        </w:rPr>
      </w:pPr>
      <w:r>
        <w:rPr>
          <w:rStyle w:val="FootnoteReference"/>
        </w:rPr>
        <w:footnoteRef/>
      </w:r>
      <w:r>
        <w:t xml:space="preserve"> </w:t>
      </w:r>
      <w:hyperlink r:id="rId3" w:history="1">
        <w:r>
          <w:rPr>
            <w:rStyle w:val="Hyperlink"/>
          </w:rPr>
          <w:t>Sustainability review discussion paper—June 2024</w:t>
        </w:r>
      </w:hyperlink>
    </w:p>
  </w:footnote>
  <w:footnote w:id="5">
    <w:p w14:paraId="73253B46" w14:textId="4079CEE6" w:rsidR="006A7238" w:rsidRPr="00E539DD" w:rsidRDefault="006A7238" w:rsidP="001C20E8">
      <w:pPr>
        <w:pStyle w:val="FootnoteText"/>
        <w:rPr>
          <w:lang w:val="en-US"/>
        </w:rPr>
      </w:pPr>
      <w:r>
        <w:rPr>
          <w:rStyle w:val="FootnoteReference"/>
        </w:rPr>
        <w:footnoteRef/>
      </w:r>
      <w:r>
        <w:t xml:space="preserve"> </w:t>
      </w:r>
      <w:hyperlink r:id="rId4" w:history="1">
        <w:r>
          <w:rPr>
            <w:rStyle w:val="Hyperlink"/>
          </w:rPr>
          <w:t xml:space="preserve">Have your say | </w:t>
        </w:r>
        <w:r w:rsidRPr="00090832">
          <w:rPr>
            <w:rStyle w:val="Hyperlink"/>
            <w:color w:val="0046FF"/>
          </w:rPr>
          <w:t>Department</w:t>
        </w:r>
        <w:r>
          <w:rPr>
            <w:rStyle w:val="Hyperlink"/>
          </w:rPr>
          <w:t xml:space="preserve"> of Infrastructure, Transport, Regional Development, Communications and the Arts</w:t>
        </w:r>
      </w:hyperlink>
    </w:p>
  </w:footnote>
  <w:footnote w:id="6">
    <w:p w14:paraId="765FEB48" w14:textId="418F2DE8" w:rsidR="006A7238" w:rsidRDefault="006A7238">
      <w:pPr>
        <w:pStyle w:val="FootnoteText"/>
      </w:pPr>
      <w:r>
        <w:rPr>
          <w:rStyle w:val="FootnoteReference"/>
        </w:rPr>
        <w:footnoteRef/>
      </w:r>
      <w:r>
        <w:t xml:space="preserve"> </w:t>
      </w:r>
      <w:hyperlink r:id="rId5" w:history="1">
        <w:r w:rsidRPr="00090832">
          <w:rPr>
            <w:color w:val="0046FF"/>
            <w:szCs w:val="18"/>
            <w:u w:val="single"/>
          </w:rPr>
          <w:t>Portfolio Budget Statements | Budget 2022-23</w:t>
        </w:r>
      </w:hyperlink>
      <w:r w:rsidRPr="00090832">
        <w:rPr>
          <w:color w:val="0046FF"/>
        </w:rPr>
        <w:t xml:space="preserve">; </w:t>
      </w:r>
      <w:hyperlink r:id="rId6" w:history="1">
        <w:r w:rsidRPr="00090832">
          <w:rPr>
            <w:color w:val="0046FF"/>
            <w:szCs w:val="18"/>
            <w:u w:val="single"/>
          </w:rPr>
          <w:t>Portfolio Budget Statements | Budget 2024-25</w:t>
        </w:r>
      </w:hyperlink>
    </w:p>
  </w:footnote>
  <w:footnote w:id="7">
    <w:p w14:paraId="7BCB9F0F" w14:textId="2CE0E36A" w:rsidR="006A7238" w:rsidRPr="006373D8" w:rsidRDefault="006A7238">
      <w:pPr>
        <w:pStyle w:val="FootnoteText"/>
        <w:rPr>
          <w:lang w:val="en-US"/>
        </w:rPr>
      </w:pPr>
      <w:r>
        <w:rPr>
          <w:rStyle w:val="FootnoteReference"/>
        </w:rPr>
        <w:footnoteRef/>
      </w:r>
      <w:r>
        <w:t xml:space="preserve"> </w:t>
      </w:r>
      <w:hyperlink r:id="rId7" w:history="1">
        <w:r>
          <w:rPr>
            <w:rStyle w:val="Hyperlink"/>
          </w:rPr>
          <w:t xml:space="preserve">Charting the course for a diverse and sustainable news sector </w:t>
        </w:r>
      </w:hyperlink>
    </w:p>
  </w:footnote>
  <w:footnote w:id="8">
    <w:p w14:paraId="58D216ED" w14:textId="4A8133F2" w:rsidR="006A7238" w:rsidRDefault="006A7238" w:rsidP="0070505C">
      <w:pPr>
        <w:pStyle w:val="FootnoteText"/>
      </w:pPr>
      <w:r>
        <w:rPr>
          <w:rStyle w:val="FootnoteReference"/>
        </w:rPr>
        <w:footnoteRef/>
      </w:r>
      <w:r>
        <w:t xml:space="preserve"> </w:t>
      </w:r>
      <w:hyperlink r:id="rId8" w:history="1">
        <w:r w:rsidRPr="00090832">
          <w:rPr>
            <w:color w:val="0046FF"/>
            <w:szCs w:val="18"/>
            <w:u w:val="single"/>
          </w:rPr>
          <w:t>Australian Government Grants Framework | Department of Finance</w:t>
        </w:r>
      </w:hyperlink>
    </w:p>
  </w:footnote>
  <w:footnote w:id="9">
    <w:p w14:paraId="0EC65FFC" w14:textId="59B2ADF8" w:rsidR="006A7238" w:rsidRPr="003B61DB" w:rsidRDefault="006A7238" w:rsidP="00C244FC">
      <w:pPr>
        <w:pStyle w:val="FootnoteText"/>
        <w:spacing w:after="80"/>
        <w:rPr>
          <w:lang w:val="en-US"/>
        </w:rPr>
      </w:pPr>
      <w:r>
        <w:rPr>
          <w:rStyle w:val="FootnoteReference"/>
        </w:rPr>
        <w:footnoteRef/>
      </w:r>
      <w:r>
        <w:t xml:space="preserve"> </w:t>
      </w:r>
      <w:hyperlink r:id="rId9" w:history="1">
        <w:r>
          <w:rPr>
            <w:rStyle w:val="Hyperlink"/>
          </w:rPr>
          <w:t>Indigenous Advancement Strategy | NIAA</w:t>
        </w:r>
      </w:hyperlink>
    </w:p>
  </w:footnote>
  <w:footnote w:id="10">
    <w:p w14:paraId="6B5D10E0" w14:textId="36C8E1E1" w:rsidR="006A7238" w:rsidRPr="00742994" w:rsidRDefault="006A7238" w:rsidP="00C244FC">
      <w:pPr>
        <w:pStyle w:val="FootnoteText"/>
        <w:spacing w:after="80"/>
        <w:rPr>
          <w:lang w:val="en-US"/>
        </w:rPr>
      </w:pPr>
      <w:r>
        <w:rPr>
          <w:rStyle w:val="FootnoteReference"/>
        </w:rPr>
        <w:footnoteRef/>
      </w:r>
      <w:r>
        <w:t xml:space="preserve"> </w:t>
      </w:r>
      <w:hyperlink r:id="rId10" w:history="1">
        <w:r w:rsidRPr="00DD2F8C">
          <w:rPr>
            <w:rStyle w:val="Hyperlink"/>
            <w:lang w:val="en-US"/>
          </w:rPr>
          <w:t>Roadmap 2033</w:t>
        </w:r>
      </w:hyperlink>
    </w:p>
  </w:footnote>
  <w:footnote w:id="11">
    <w:p w14:paraId="6C5D4268" w14:textId="538E45F6" w:rsidR="006A7238" w:rsidRPr="00A7550B" w:rsidRDefault="006A7238">
      <w:pPr>
        <w:pStyle w:val="FootnoteText"/>
        <w:rPr>
          <w:lang w:val="en-US"/>
        </w:rPr>
      </w:pPr>
      <w:r>
        <w:rPr>
          <w:rStyle w:val="FootnoteReference"/>
        </w:rPr>
        <w:footnoteRef/>
      </w:r>
      <w:r>
        <w:t xml:space="preserve"> </w:t>
      </w:r>
      <w:hyperlink r:id="rId11" w:history="1">
        <w:r w:rsidRPr="003809AC">
          <w:rPr>
            <w:rStyle w:val="Hyperlink"/>
          </w:rPr>
          <w:t>First Nations Digital Inclusion Advisory Group Initial Report 2023</w:t>
        </w:r>
      </w:hyperlink>
    </w:p>
  </w:footnote>
  <w:footnote w:id="12">
    <w:p w14:paraId="50C97250" w14:textId="141EC450" w:rsidR="006A7238" w:rsidRPr="003809AC" w:rsidRDefault="006A7238" w:rsidP="00C244FC">
      <w:pPr>
        <w:pStyle w:val="FootnoteText"/>
        <w:spacing w:after="80"/>
        <w:rPr>
          <w:lang w:val="en-US"/>
        </w:rPr>
      </w:pPr>
      <w:r>
        <w:rPr>
          <w:rStyle w:val="FootnoteReference"/>
        </w:rPr>
        <w:footnoteRef/>
      </w:r>
      <w:r>
        <w:t xml:space="preserve"> </w:t>
      </w:r>
      <w:hyperlink r:id="rId12" w:history="1">
        <w:r w:rsidRPr="003809AC">
          <w:rPr>
            <w:rStyle w:val="Hyperlink"/>
          </w:rPr>
          <w:t>First Nations Media Australia Calls for Action 2018</w:t>
        </w:r>
      </w:hyperlink>
    </w:p>
  </w:footnote>
  <w:footnote w:id="13">
    <w:p w14:paraId="5B333B81" w14:textId="7B5DF1A6" w:rsidR="006A7238" w:rsidRPr="00344E27" w:rsidRDefault="006A7238" w:rsidP="00C244FC">
      <w:pPr>
        <w:pStyle w:val="FootnoteText"/>
        <w:spacing w:after="80"/>
      </w:pPr>
      <w:r>
        <w:rPr>
          <w:rStyle w:val="FootnoteReference"/>
        </w:rPr>
        <w:footnoteRef/>
      </w:r>
      <w:r>
        <w:t xml:space="preserve"> </w:t>
      </w:r>
      <w:hyperlink r:id="rId13" w:history="1">
        <w:r>
          <w:rPr>
            <w:rStyle w:val="Hyperlink"/>
          </w:rPr>
          <w:t>Closing the Gap Grants Prioritisation Guide</w:t>
        </w:r>
      </w:hyperlink>
    </w:p>
  </w:footnote>
  <w:footnote w:id="14">
    <w:p w14:paraId="577EB8E6" w14:textId="5B690CD3" w:rsidR="006A7238" w:rsidRPr="00531D14" w:rsidRDefault="006A7238" w:rsidP="00C244FC">
      <w:pPr>
        <w:pStyle w:val="FootnoteText"/>
        <w:spacing w:after="80"/>
      </w:pPr>
      <w:r>
        <w:rPr>
          <w:rStyle w:val="FootnoteReference"/>
        </w:rPr>
        <w:footnoteRef/>
      </w:r>
      <w:r>
        <w:t xml:space="preserve"> </w:t>
      </w:r>
      <w:hyperlink r:id="rId14" w:history="1">
        <w:r w:rsidRPr="00C244FC">
          <w:rPr>
            <w:rStyle w:val="Hyperlink"/>
          </w:rPr>
          <w:t>First Nations Digital Inclusion Advisory Group Initial Report 2023</w:t>
        </w:r>
      </w:hyperlink>
      <w:r w:rsidRPr="00C244FC">
        <w:t xml:space="preserve">; </w:t>
      </w:r>
      <w:hyperlink r:id="rId15" w:history="1">
        <w:r w:rsidRPr="00C244FC">
          <w:rPr>
            <w:rStyle w:val="Hyperlink"/>
          </w:rPr>
          <w:t>First Nations Media Australia Calls for Action 2018</w:t>
        </w:r>
      </w:hyperlink>
      <w:r w:rsidRPr="00C244FC">
        <w:t xml:space="preserve">; </w:t>
      </w:r>
      <w:hyperlink r:id="rId16" w:history="1">
        <w:r w:rsidRPr="00C244FC">
          <w:rPr>
            <w:rStyle w:val="Hyperlink"/>
          </w:rPr>
          <w:t>Review of Australian Government Investment in the Indigenous Broadcasting and Media Sector 2010</w:t>
        </w:r>
      </w:hyperlink>
      <w:r w:rsidRPr="00C244FC">
        <w:t xml:space="preserve">; </w:t>
      </w:r>
      <w:hyperlink r:id="rId17" w:history="1">
        <w:r w:rsidRPr="00C244FC">
          <w:rPr>
            <w:rStyle w:val="Hyperlink"/>
          </w:rPr>
          <w:t>Digital Dreaming: A National Review of Indigenous Media and Communications 1999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A4C35" w14:textId="01268F98" w:rsidR="006A7238" w:rsidRDefault="003F1874" w:rsidP="00D87AD8">
    <w:pPr>
      <w:pStyle w:val="Header"/>
      <w:spacing w:after="1320"/>
      <w:jc w:val="left"/>
    </w:pPr>
    <w:fldSimple w:instr=" STYLEREF  &quot;Heading 1&quot;  \* MERGEFORMAT ">
      <w:r w:rsidR="001407D4">
        <w:rPr>
          <w:noProof/>
        </w:rPr>
        <w:t>Table of Contents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8BE1" w14:textId="77777777" w:rsidR="006A7238" w:rsidRDefault="006A7238"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D6313" w14:textId="77777777" w:rsidR="006A7238" w:rsidRDefault="006A72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47285" w14:textId="77777777" w:rsidR="006A7238" w:rsidRDefault="006A72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AAB88" w14:textId="4064338C" w:rsidR="006A7238" w:rsidRDefault="003F1874" w:rsidP="000C2875">
    <w:pPr>
      <w:pStyle w:val="Header"/>
      <w:spacing w:after="160"/>
    </w:pPr>
    <w:fldSimple w:instr=" STYLEREF  &quot;Heading 1&quot;  \* MERGEFORMAT ">
      <w:r w:rsidR="001407D4">
        <w:rPr>
          <w:noProof/>
        </w:rPr>
        <w:t>Introduction</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9764" w14:textId="07D2769E" w:rsidR="006A7238" w:rsidRDefault="003F1874" w:rsidP="005912BE">
    <w:pPr>
      <w:pStyle w:val="Header"/>
      <w:spacing w:after="1320"/>
    </w:pPr>
    <w:fldSimple w:instr=" STYLEREF  &quot;Heading 1&quot;  \* MERGEFORMAT ">
      <w:r w:rsidR="001407D4">
        <w:rPr>
          <w:noProof/>
        </w:rPr>
        <w:t>Table of Contents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F552B9"/>
    <w:multiLevelType w:val="multilevel"/>
    <w:tmpl w:val="7BA038E6"/>
    <w:lvl w:ilvl="0">
      <w:start w:val="1"/>
      <w:numFmt w:val="decimal"/>
      <w:lvlText w:val="%1."/>
      <w:lvlJc w:val="left"/>
      <w:pPr>
        <w:ind w:left="4821" w:hanging="284"/>
      </w:pPr>
      <w:rPr>
        <w:rFonts w:hint="default"/>
      </w:rPr>
    </w:lvl>
    <w:lvl w:ilvl="1">
      <w:start w:val="1"/>
      <w:numFmt w:val="decimal"/>
      <w:pStyle w:val="ListNumbered21"/>
      <w:lvlText w:val="%1.%2"/>
      <w:lvlJc w:val="left"/>
      <w:pPr>
        <w:ind w:left="5388" w:hanging="567"/>
      </w:pPr>
      <w:rPr>
        <w:rFonts w:hint="default"/>
      </w:rPr>
    </w:lvl>
    <w:lvl w:ilvl="2">
      <w:start w:val="1"/>
      <w:numFmt w:val="decimal"/>
      <w:pStyle w:val="ListNumbered311"/>
      <w:lvlText w:val="%1.%2.%3"/>
      <w:lvlJc w:val="left"/>
      <w:pPr>
        <w:ind w:left="6238" w:hanging="850"/>
      </w:pPr>
      <w:rPr>
        <w:rFonts w:hint="default"/>
      </w:rPr>
    </w:lvl>
    <w:lvl w:ilvl="3">
      <w:start w:val="1"/>
      <w:numFmt w:val="decimal"/>
      <w:lvlText w:val="%1.%2.%3.%4"/>
      <w:lvlJc w:val="left"/>
      <w:pPr>
        <w:ind w:left="5977" w:hanging="360"/>
      </w:pPr>
      <w:rPr>
        <w:rFonts w:hint="default"/>
      </w:rPr>
    </w:lvl>
    <w:lvl w:ilvl="4">
      <w:start w:val="1"/>
      <w:numFmt w:val="decimal"/>
      <w:lvlText w:val="%1.%2.%3.%4.%5"/>
      <w:lvlJc w:val="left"/>
      <w:pPr>
        <w:ind w:left="7089" w:hanging="851"/>
      </w:pPr>
      <w:rPr>
        <w:rFonts w:hint="default"/>
      </w:rPr>
    </w:lvl>
    <w:lvl w:ilvl="5">
      <w:start w:val="1"/>
      <w:numFmt w:val="lowerRoman"/>
      <w:lvlText w:val="(%6)"/>
      <w:lvlJc w:val="left"/>
      <w:pPr>
        <w:ind w:left="6697" w:hanging="360"/>
      </w:pPr>
      <w:rPr>
        <w:rFonts w:hint="default"/>
      </w:rPr>
    </w:lvl>
    <w:lvl w:ilvl="6">
      <w:start w:val="1"/>
      <w:numFmt w:val="decimal"/>
      <w:lvlText w:val="%7."/>
      <w:lvlJc w:val="left"/>
      <w:pPr>
        <w:ind w:left="7057" w:hanging="360"/>
      </w:pPr>
      <w:rPr>
        <w:rFonts w:hint="default"/>
      </w:rPr>
    </w:lvl>
    <w:lvl w:ilvl="7">
      <w:start w:val="1"/>
      <w:numFmt w:val="lowerLetter"/>
      <w:lvlText w:val="%8."/>
      <w:lvlJc w:val="left"/>
      <w:pPr>
        <w:ind w:left="7417" w:hanging="360"/>
      </w:pPr>
      <w:rPr>
        <w:rFonts w:hint="default"/>
      </w:rPr>
    </w:lvl>
    <w:lvl w:ilvl="8">
      <w:start w:val="1"/>
      <w:numFmt w:val="lowerRoman"/>
      <w:lvlText w:val="%9."/>
      <w:lvlJc w:val="left"/>
      <w:pPr>
        <w:ind w:left="7777" w:hanging="360"/>
      </w:pPr>
      <w:rPr>
        <w:rFonts w:hint="default"/>
      </w:rPr>
    </w:lvl>
  </w:abstractNum>
  <w:abstractNum w:abstractNumId="3" w15:restartNumberingAfterBreak="0">
    <w:nsid w:val="0D621AED"/>
    <w:multiLevelType w:val="multilevel"/>
    <w:tmpl w:val="C2EED61A"/>
    <w:numStyleLink w:val="NumberedHeadings"/>
  </w:abstractNum>
  <w:abstractNum w:abstractNumId="4" w15:restartNumberingAfterBreak="0">
    <w:nsid w:val="15813D17"/>
    <w:multiLevelType w:val="hybridMultilevel"/>
    <w:tmpl w:val="DA6C00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622B1B"/>
    <w:multiLevelType w:val="multilevel"/>
    <w:tmpl w:val="7F8207C8"/>
    <w:styleLink w:val="ListNumbered"/>
    <w:lvl w:ilvl="0">
      <w:start w:val="1"/>
      <w:numFmt w:val="decimal"/>
      <w:lvlText w:val="%1."/>
      <w:lvlJc w:val="left"/>
      <w:pPr>
        <w:ind w:left="4821" w:hanging="284"/>
      </w:pPr>
      <w:rPr>
        <w:rFonts w:hint="default"/>
        <w:b w:val="0"/>
      </w:rPr>
    </w:lvl>
    <w:lvl w:ilvl="1">
      <w:start w:val="1"/>
      <w:numFmt w:val="decimal"/>
      <w:lvlText w:val="%1.%2"/>
      <w:lvlJc w:val="left"/>
      <w:pPr>
        <w:ind w:left="5388" w:hanging="567"/>
      </w:pPr>
      <w:rPr>
        <w:rFonts w:hint="default"/>
      </w:rPr>
    </w:lvl>
    <w:lvl w:ilvl="2">
      <w:start w:val="1"/>
      <w:numFmt w:val="decimal"/>
      <w:lvlText w:val="%1.%2.%3"/>
      <w:lvlJc w:val="left"/>
      <w:pPr>
        <w:ind w:left="6238" w:hanging="850"/>
      </w:pPr>
      <w:rPr>
        <w:rFonts w:hint="default"/>
      </w:rPr>
    </w:lvl>
    <w:lvl w:ilvl="3">
      <w:start w:val="1"/>
      <w:numFmt w:val="decimal"/>
      <w:lvlText w:val="%1.%2.%3.%4"/>
      <w:lvlJc w:val="left"/>
      <w:pPr>
        <w:ind w:left="5977" w:hanging="360"/>
      </w:pPr>
      <w:rPr>
        <w:rFonts w:hint="default"/>
      </w:rPr>
    </w:lvl>
    <w:lvl w:ilvl="4">
      <w:start w:val="1"/>
      <w:numFmt w:val="decimal"/>
      <w:lvlText w:val="%1.%2.%3.%4.%5"/>
      <w:lvlJc w:val="left"/>
      <w:pPr>
        <w:ind w:left="7089" w:hanging="851"/>
      </w:pPr>
      <w:rPr>
        <w:rFonts w:hint="default"/>
      </w:rPr>
    </w:lvl>
    <w:lvl w:ilvl="5">
      <w:start w:val="1"/>
      <w:numFmt w:val="lowerRoman"/>
      <w:lvlText w:val="(%6)"/>
      <w:lvlJc w:val="left"/>
      <w:pPr>
        <w:ind w:left="6697" w:hanging="360"/>
      </w:pPr>
      <w:rPr>
        <w:rFonts w:hint="default"/>
      </w:rPr>
    </w:lvl>
    <w:lvl w:ilvl="6">
      <w:start w:val="1"/>
      <w:numFmt w:val="decimal"/>
      <w:lvlText w:val="%7."/>
      <w:lvlJc w:val="left"/>
      <w:pPr>
        <w:ind w:left="7057" w:hanging="360"/>
      </w:pPr>
      <w:rPr>
        <w:rFonts w:hint="default"/>
      </w:rPr>
    </w:lvl>
    <w:lvl w:ilvl="7">
      <w:start w:val="1"/>
      <w:numFmt w:val="lowerLetter"/>
      <w:lvlText w:val="%8."/>
      <w:lvlJc w:val="left"/>
      <w:pPr>
        <w:ind w:left="7417" w:hanging="360"/>
      </w:pPr>
      <w:rPr>
        <w:rFonts w:hint="default"/>
      </w:rPr>
    </w:lvl>
    <w:lvl w:ilvl="8">
      <w:start w:val="1"/>
      <w:numFmt w:val="lowerRoman"/>
      <w:lvlText w:val="%9."/>
      <w:lvlJc w:val="left"/>
      <w:pPr>
        <w:ind w:left="7777" w:hanging="360"/>
      </w:pPr>
      <w:rPr>
        <w:rFonts w:hint="default"/>
      </w:rPr>
    </w:lvl>
  </w:abstractNum>
  <w:abstractNum w:abstractNumId="6" w15:restartNumberingAfterBreak="0">
    <w:nsid w:val="2029794D"/>
    <w:multiLevelType w:val="hybridMultilevel"/>
    <w:tmpl w:val="4B9ACB8C"/>
    <w:lvl w:ilvl="0" w:tplc="5F2C991C">
      <w:start w:val="1"/>
      <w:numFmt w:val="decimal"/>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2E108B"/>
    <w:multiLevelType w:val="multilevel"/>
    <w:tmpl w:val="FF866452"/>
    <w:lvl w:ilvl="0">
      <w:start w:val="4"/>
      <w:numFmt w:val="decimal"/>
      <w:pStyle w:val="ListNumbered1"/>
      <w:lvlText w:val="%1."/>
      <w:lvlJc w:val="left"/>
      <w:pPr>
        <w:ind w:left="284" w:hanging="284"/>
      </w:pPr>
      <w:rPr>
        <w:rFonts w:hint="default"/>
        <w:b w:val="0"/>
      </w:rPr>
    </w:lvl>
    <w:lvl w:ilvl="1">
      <w:start w:val="1"/>
      <w:numFmt w:val="decimal"/>
      <w:lvlText w:val="%2."/>
      <w:lvlJc w:val="left"/>
      <w:pPr>
        <w:ind w:left="851" w:hanging="567"/>
      </w:pPr>
      <w:rPr>
        <w:rFonts w:hint="default"/>
      </w:rPr>
    </w:lvl>
    <w:lvl w:ilvl="2">
      <w:start w:val="1"/>
      <w:numFmt w:val="decimal"/>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62D0D8E"/>
    <w:multiLevelType w:val="hybridMultilevel"/>
    <w:tmpl w:val="71206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AA51938"/>
    <w:multiLevelType w:val="multilevel"/>
    <w:tmpl w:val="298C34E4"/>
    <w:numStyleLink w:val="AppendixNumbers"/>
  </w:abstractNum>
  <w:abstractNum w:abstractNumId="12" w15:restartNumberingAfterBreak="0">
    <w:nsid w:val="3F166873"/>
    <w:multiLevelType w:val="multilevel"/>
    <w:tmpl w:val="C2EED61A"/>
    <w:styleLink w:val="NumberedHeadings"/>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EE3209"/>
    <w:multiLevelType w:val="hybridMultilevel"/>
    <w:tmpl w:val="9B243B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6C8B6CC5"/>
    <w:multiLevelType w:val="hybridMultilevel"/>
    <w:tmpl w:val="AA6EE470"/>
    <w:lvl w:ilvl="0" w:tplc="15022AA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3E38E4"/>
    <w:multiLevelType w:val="hybridMultilevel"/>
    <w:tmpl w:val="60BA59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F26231"/>
    <w:multiLevelType w:val="hybridMultilevel"/>
    <w:tmpl w:val="C5889A8E"/>
    <w:lvl w:ilvl="0" w:tplc="DEF868BA">
      <w:start w:val="1"/>
      <w:numFmt w:val="bullet"/>
      <w:pStyle w:val="CABBulletList"/>
      <w:lvlText w:val=""/>
      <w:lvlJc w:val="left"/>
      <w:pPr>
        <w:ind w:left="1078" w:hanging="284"/>
      </w:pPr>
      <w:rPr>
        <w:rFonts w:ascii="Symbol" w:hAnsi="Symbol" w:hint="default"/>
        <w:color w:val="auto"/>
      </w:rPr>
    </w:lvl>
    <w:lvl w:ilvl="1" w:tplc="10ACDCEA" w:tentative="1">
      <w:start w:val="1"/>
      <w:numFmt w:val="bullet"/>
      <w:lvlText w:val="o"/>
      <w:lvlJc w:val="left"/>
      <w:pPr>
        <w:ind w:left="2234" w:hanging="360"/>
      </w:pPr>
      <w:rPr>
        <w:rFonts w:ascii="Courier New" w:hAnsi="Courier New" w:hint="default"/>
      </w:rPr>
    </w:lvl>
    <w:lvl w:ilvl="2" w:tplc="A232D3F8" w:tentative="1">
      <w:start w:val="1"/>
      <w:numFmt w:val="bullet"/>
      <w:lvlText w:val=""/>
      <w:lvlJc w:val="left"/>
      <w:pPr>
        <w:ind w:left="2954" w:hanging="360"/>
      </w:pPr>
      <w:rPr>
        <w:rFonts w:ascii="Wingdings" w:hAnsi="Wingdings" w:hint="default"/>
      </w:rPr>
    </w:lvl>
    <w:lvl w:ilvl="3" w:tplc="701E9894" w:tentative="1">
      <w:start w:val="1"/>
      <w:numFmt w:val="bullet"/>
      <w:lvlText w:val=""/>
      <w:lvlJc w:val="left"/>
      <w:pPr>
        <w:ind w:left="3674" w:hanging="360"/>
      </w:pPr>
      <w:rPr>
        <w:rFonts w:ascii="Symbol" w:hAnsi="Symbol" w:hint="default"/>
      </w:rPr>
    </w:lvl>
    <w:lvl w:ilvl="4" w:tplc="D25ED8A8" w:tentative="1">
      <w:start w:val="1"/>
      <w:numFmt w:val="bullet"/>
      <w:lvlText w:val="o"/>
      <w:lvlJc w:val="left"/>
      <w:pPr>
        <w:ind w:left="4394" w:hanging="360"/>
      </w:pPr>
      <w:rPr>
        <w:rFonts w:ascii="Courier New" w:hAnsi="Courier New" w:hint="default"/>
      </w:rPr>
    </w:lvl>
    <w:lvl w:ilvl="5" w:tplc="5D981092" w:tentative="1">
      <w:start w:val="1"/>
      <w:numFmt w:val="bullet"/>
      <w:lvlText w:val=""/>
      <w:lvlJc w:val="left"/>
      <w:pPr>
        <w:ind w:left="5114" w:hanging="360"/>
      </w:pPr>
      <w:rPr>
        <w:rFonts w:ascii="Wingdings" w:hAnsi="Wingdings" w:hint="default"/>
      </w:rPr>
    </w:lvl>
    <w:lvl w:ilvl="6" w:tplc="077EF18C" w:tentative="1">
      <w:start w:val="1"/>
      <w:numFmt w:val="bullet"/>
      <w:lvlText w:val=""/>
      <w:lvlJc w:val="left"/>
      <w:pPr>
        <w:ind w:left="5834" w:hanging="360"/>
      </w:pPr>
      <w:rPr>
        <w:rFonts w:ascii="Symbol" w:hAnsi="Symbol" w:hint="default"/>
      </w:rPr>
    </w:lvl>
    <w:lvl w:ilvl="7" w:tplc="13FE5F98" w:tentative="1">
      <w:start w:val="1"/>
      <w:numFmt w:val="bullet"/>
      <w:lvlText w:val="o"/>
      <w:lvlJc w:val="left"/>
      <w:pPr>
        <w:ind w:left="6554" w:hanging="360"/>
      </w:pPr>
      <w:rPr>
        <w:rFonts w:ascii="Courier New" w:hAnsi="Courier New" w:hint="default"/>
      </w:rPr>
    </w:lvl>
    <w:lvl w:ilvl="8" w:tplc="DC3207B0" w:tentative="1">
      <w:start w:val="1"/>
      <w:numFmt w:val="bullet"/>
      <w:lvlText w:val=""/>
      <w:lvlJc w:val="left"/>
      <w:pPr>
        <w:ind w:left="7274" w:hanging="360"/>
      </w:pPr>
      <w:rPr>
        <w:rFonts w:ascii="Wingdings" w:hAnsi="Wingdings" w:hint="default"/>
      </w:rPr>
    </w:lvl>
  </w:abstractNum>
  <w:abstractNum w:abstractNumId="21" w15:restartNumberingAfterBreak="0">
    <w:nsid w:val="7D6B4303"/>
    <w:multiLevelType w:val="hybridMultilevel"/>
    <w:tmpl w:val="147E6C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E554E84"/>
    <w:multiLevelType w:val="multilevel"/>
    <w:tmpl w:val="9A1C910A"/>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22"/>
    <w:lvlOverride w:ilvl="1">
      <w:lvl w:ilvl="1">
        <w:start w:val="1"/>
        <w:numFmt w:val="lowerLetter"/>
        <w:pStyle w:val="ListLegal2"/>
        <w:lvlText w:val="%2."/>
        <w:lvlJc w:val="left"/>
        <w:pPr>
          <w:ind w:left="568" w:hanging="284"/>
        </w:pPr>
        <w:rPr>
          <w:rFonts w:hint="default"/>
          <w:b w:val="0"/>
        </w:rPr>
      </w:lvl>
    </w:lvlOverride>
  </w:num>
  <w:num w:numId="3">
    <w:abstractNumId w:val="2"/>
    <w:lvlOverride w:ilvl="0">
      <w:lvl w:ilvl="0">
        <w:start w:val="1"/>
        <w:numFmt w:val="decimal"/>
        <w:lvlText w:val="%1."/>
        <w:lvlJc w:val="left"/>
        <w:pPr>
          <w:ind w:left="4821" w:hanging="284"/>
        </w:pPr>
        <w:rPr>
          <w:rFonts w:hint="default"/>
          <w:b w:val="0"/>
        </w:rPr>
      </w:lvl>
    </w:lvlOverride>
  </w:num>
  <w:num w:numId="4">
    <w:abstractNumId w:val="12"/>
  </w:num>
  <w:num w:numId="5">
    <w:abstractNumId w:val="3"/>
    <w:lvlOverride w:ilvl="0">
      <w:lvl w:ilvl="0">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decimal"/>
        <w:pStyle w:val="Heading3"/>
        <w:lvlText w:val="%1.%2.%3"/>
        <w:lvlJc w:val="left"/>
        <w:pPr>
          <w:ind w:left="1134" w:hanging="1134"/>
        </w:pPr>
        <w:rPr>
          <w:rFonts w:hint="default"/>
        </w:rPr>
      </w:lvl>
    </w:lvlOverride>
    <w:lvlOverride w:ilvl="3">
      <w:lvl w:ilvl="3">
        <w:start w:val="1"/>
        <w:numFmt w:val="decimal"/>
        <w:pStyle w:val="Heading4Numbered"/>
        <w:lvlText w:val="%1.%2.%3.%4"/>
        <w:lvlJc w:val="left"/>
        <w:pPr>
          <w:ind w:left="1134" w:hanging="1134"/>
        </w:pPr>
        <w:rPr>
          <w:rFonts w:hint="default"/>
        </w:rPr>
      </w:lvl>
    </w:lvlOverride>
    <w:lvlOverride w:ilvl="4">
      <w:lvl w:ilvl="4">
        <w:start w:val="1"/>
        <w:numFmt w:val="decimal"/>
        <w:pStyle w:val="Heading5Numbered"/>
        <w:lvlText w:val="%1.%2.%3.%4.%5"/>
        <w:lvlJc w:val="left"/>
        <w:pPr>
          <w:ind w:left="1134" w:hanging="1134"/>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9"/>
  </w:num>
  <w:num w:numId="7">
    <w:abstractNumId w:val="11"/>
  </w:num>
  <w:num w:numId="8">
    <w:abstractNumId w:val="14"/>
  </w:num>
  <w:num w:numId="9">
    <w:abstractNumId w:val="15"/>
  </w:num>
  <w:num w:numId="10">
    <w:abstractNumId w:val="15"/>
  </w:num>
  <w:num w:numId="11">
    <w:abstractNumId w:val="7"/>
  </w:num>
  <w:num w:numId="12">
    <w:abstractNumId w:val="20"/>
  </w:num>
  <w:num w:numId="13">
    <w:abstractNumId w:val="16"/>
  </w:num>
  <w:num w:numId="14">
    <w:abstractNumId w:val="22"/>
    <w:lvlOverride w:ilvl="0">
      <w:lvl w:ilvl="0">
        <w:start w:val="1"/>
        <w:numFmt w:val="decimal"/>
        <w:pStyle w:val="ListLegal1"/>
        <w:lvlText w:val="%1."/>
        <w:lvlJc w:val="left"/>
        <w:pPr>
          <w:ind w:left="284" w:hanging="284"/>
        </w:pPr>
        <w:rPr>
          <w:rFonts w:hint="default"/>
        </w:rPr>
      </w:lvl>
    </w:lvlOverride>
    <w:lvlOverride w:ilvl="1">
      <w:lvl w:ilvl="1">
        <w:start w:val="1"/>
        <w:numFmt w:val="lowerLetter"/>
        <w:pStyle w:val="ListLegal2"/>
        <w:lvlText w:val="%2."/>
        <w:lvlJc w:val="left"/>
        <w:pPr>
          <w:ind w:left="568" w:hanging="284"/>
        </w:pPr>
        <w:rPr>
          <w:rFonts w:hint="default"/>
        </w:rPr>
      </w:lvl>
    </w:lvlOverride>
    <w:lvlOverride w:ilvl="2">
      <w:lvl w:ilvl="2">
        <w:start w:val="1"/>
        <w:numFmt w:val="lowerRoman"/>
        <w:pStyle w:val="ListLegal3"/>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1" w:hanging="281"/>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5">
    <w:abstractNumId w:val="13"/>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16">
    <w:abstractNumId w:val="18"/>
  </w:num>
  <w:num w:numId="17">
    <w:abstractNumId w:val="5"/>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2"/>
  </w:num>
  <w:num w:numId="22">
    <w:abstractNumId w:val="6"/>
  </w:num>
  <w:num w:numId="23">
    <w:abstractNumId w:val="8"/>
  </w:num>
  <w:num w:numId="24">
    <w:abstractNumId w:val="13"/>
  </w:num>
  <w:num w:numId="25">
    <w:abstractNumId w:val="3"/>
    <w:lvlOverride w:ilvl="0">
      <w:lvl w:ilvl="0">
        <w:numFmt w:val="decimal"/>
        <w:pStyle w:val="Heading1"/>
        <w:lvlText w:val="%1."/>
        <w:lvlJc w:val="left"/>
        <w:pPr>
          <w:ind w:left="567" w:hanging="567"/>
        </w:pPr>
        <w:rPr>
          <w:rFonts w:hint="default"/>
        </w:rPr>
      </w:lvl>
    </w:lvlOverride>
    <w:lvlOverride w:ilvl="1">
      <w:lvl w:ilvl="1">
        <w:start w:val="1"/>
        <w:numFmt w:val="decimal"/>
        <w:pStyle w:val="Heading2"/>
        <w:lvlText w:val="%1.%2"/>
        <w:lvlJc w:val="left"/>
        <w:pPr>
          <w:ind w:left="851" w:hanging="851"/>
        </w:pPr>
        <w:rPr>
          <w:rFonts w:hint="default"/>
        </w:rPr>
      </w:lvl>
    </w:lvlOverride>
    <w:lvlOverride w:ilvl="2">
      <w:lvl w:ilvl="2">
        <w:start w:val="1"/>
        <w:numFmt w:val="decimal"/>
        <w:pStyle w:val="Heading3"/>
        <w:lvlText w:val="%1.%2.%3"/>
        <w:lvlJc w:val="left"/>
        <w:pPr>
          <w:ind w:left="1134" w:hanging="1134"/>
        </w:pPr>
        <w:rPr>
          <w:rFonts w:hint="default"/>
        </w:rPr>
      </w:lvl>
    </w:lvlOverride>
    <w:lvlOverride w:ilvl="3">
      <w:lvl w:ilvl="3">
        <w:start w:val="1"/>
        <w:numFmt w:val="decimal"/>
        <w:pStyle w:val="Heading4Numbered"/>
        <w:lvlText w:val="%1.%2.%3.%4"/>
        <w:lvlJc w:val="left"/>
        <w:pPr>
          <w:ind w:left="1134" w:hanging="1134"/>
        </w:pPr>
        <w:rPr>
          <w:rFonts w:hint="default"/>
        </w:rPr>
      </w:lvl>
    </w:lvlOverride>
    <w:lvlOverride w:ilvl="4">
      <w:lvl w:ilvl="4">
        <w:start w:val="1"/>
        <w:numFmt w:val="decimal"/>
        <w:pStyle w:val="Heading5Numbered"/>
        <w:lvlText w:val="%1.%2.%3.%4.%5"/>
        <w:lvlJc w:val="left"/>
        <w:pPr>
          <w:ind w:left="1134" w:hanging="1134"/>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 w:ilvl="0">
        <w:start w:val="1"/>
        <w:numFmt w:val="decimal"/>
        <w:pStyle w:val="ListLegal1"/>
        <w:lvlText w:val="%1."/>
        <w:lvlJc w:val="left"/>
        <w:pPr>
          <w:ind w:left="284" w:hanging="284"/>
        </w:pPr>
        <w:rPr>
          <w:rFonts w:hint="default"/>
        </w:rPr>
      </w:lvl>
    </w:lvlOverride>
    <w:lvlOverride w:ilvl="1">
      <w:startOverride w:val="1"/>
      <w:lvl w:ilvl="1">
        <w:start w:val="1"/>
        <w:numFmt w:val="lowerLetter"/>
        <w:pStyle w:val="ListLegal2"/>
        <w:lvlText w:val="%2."/>
        <w:lvlJc w:val="left"/>
        <w:pPr>
          <w:ind w:left="568" w:hanging="284"/>
        </w:pPr>
        <w:rPr>
          <w:rFonts w:hint="default"/>
        </w:rPr>
      </w:lvl>
    </w:lvlOverride>
    <w:lvlOverride w:ilvl="2">
      <w:startOverride w:val="1"/>
      <w:lvl w:ilvl="2">
        <w:start w:val="1"/>
        <w:numFmt w:val="lowerRoman"/>
        <w:pStyle w:val="ListLegal3"/>
        <w:lvlText w:val="%3."/>
        <w:lvlJc w:val="left"/>
        <w:pPr>
          <w:ind w:left="852" w:hanging="284"/>
        </w:pPr>
        <w:rPr>
          <w:rFonts w:hint="default"/>
        </w:rPr>
      </w:lvl>
    </w:lvlOverride>
    <w:lvlOverride w:ilvl="3">
      <w:startOverride w:val="1"/>
      <w:lvl w:ilvl="3">
        <w:start w:val="1"/>
        <w:numFmt w:val="decimal"/>
        <w:lvlText w:val="(%4)"/>
        <w:lvlJc w:val="left"/>
        <w:pPr>
          <w:ind w:left="1136" w:hanging="284"/>
        </w:pPr>
        <w:rPr>
          <w:rFonts w:hint="default"/>
        </w:rPr>
      </w:lvl>
    </w:lvlOverride>
    <w:lvlOverride w:ilvl="4">
      <w:startOverride w:val="1"/>
      <w:lvl w:ilvl="4">
        <w:start w:val="1"/>
        <w:numFmt w:val="lowerLetter"/>
        <w:lvlText w:val="(%5)"/>
        <w:lvlJc w:val="left"/>
        <w:pPr>
          <w:ind w:left="1420" w:hanging="284"/>
        </w:pPr>
        <w:rPr>
          <w:rFonts w:hint="default"/>
        </w:rPr>
      </w:lvl>
    </w:lvlOverride>
    <w:lvlOverride w:ilvl="5">
      <w:startOverride w:val="1"/>
      <w:lvl w:ilvl="5">
        <w:start w:val="1"/>
        <w:numFmt w:val="lowerRoman"/>
        <w:lvlText w:val="(%6)"/>
        <w:lvlJc w:val="left"/>
        <w:pPr>
          <w:ind w:left="1701" w:hanging="281"/>
        </w:pPr>
        <w:rPr>
          <w:rFonts w:hint="default"/>
        </w:rPr>
      </w:lvl>
    </w:lvlOverride>
    <w:lvlOverride w:ilvl="6">
      <w:startOverride w:val="1"/>
      <w:lvl w:ilvl="6">
        <w:start w:val="1"/>
        <w:numFmt w:val="decimal"/>
        <w:lvlText w:val="%7)"/>
        <w:lvlJc w:val="left"/>
        <w:pPr>
          <w:ind w:left="1988" w:hanging="284"/>
        </w:pPr>
        <w:rPr>
          <w:rFonts w:hint="default"/>
        </w:rPr>
      </w:lvl>
    </w:lvlOverride>
    <w:lvlOverride w:ilvl="7">
      <w:startOverride w:val="1"/>
      <w:lvl w:ilvl="7">
        <w:start w:val="1"/>
        <w:numFmt w:val="lowerLetter"/>
        <w:lvlText w:val="%8)"/>
        <w:lvlJc w:val="left"/>
        <w:pPr>
          <w:ind w:left="2272" w:hanging="284"/>
        </w:pPr>
        <w:rPr>
          <w:rFonts w:hint="default"/>
        </w:rPr>
      </w:lvl>
    </w:lvlOverride>
    <w:lvlOverride w:ilvl="8">
      <w:startOverride w:val="1"/>
      <w:lvl w:ilvl="8">
        <w:start w:val="1"/>
        <w:numFmt w:val="lowerRoman"/>
        <w:lvlText w:val="%9)"/>
        <w:lvlJc w:val="left"/>
        <w:pPr>
          <w:ind w:left="2556" w:hanging="284"/>
        </w:pPr>
        <w:rPr>
          <w:rFonts w:hint="default"/>
        </w:rPr>
      </w:lvl>
    </w:lvlOverride>
  </w:num>
  <w:num w:numId="28">
    <w:abstractNumId w:val="22"/>
    <w:lvlOverride w:ilvl="0">
      <w:startOverride w:val="1"/>
      <w:lvl w:ilvl="0">
        <w:start w:val="1"/>
        <w:numFmt w:val="decimal"/>
        <w:pStyle w:val="ListLegal1"/>
        <w:lvlText w:val=""/>
        <w:lvlJc w:val="left"/>
      </w:lvl>
    </w:lvlOverride>
    <w:lvlOverride w:ilvl="1">
      <w:startOverride w:val="1"/>
      <w:lvl w:ilvl="1">
        <w:start w:val="1"/>
        <w:numFmt w:val="lowerLetter"/>
        <w:pStyle w:val="ListLegal2"/>
        <w:lvlText w:val="%2."/>
        <w:lvlJc w:val="left"/>
        <w:pPr>
          <w:ind w:left="568" w:hanging="284"/>
        </w:pPr>
        <w:rPr>
          <w:rFonts w:hint="default"/>
          <w:b w:val="0"/>
        </w:rPr>
      </w:lvl>
    </w:lvlOverride>
  </w:num>
  <w:num w:numId="29">
    <w:abstractNumId w:val="1"/>
  </w:num>
  <w:num w:numId="30">
    <w:abstractNumId w:val="0"/>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19"/>
  </w:num>
  <w:num w:numId="35">
    <w:abstractNumId w:val="10"/>
  </w:num>
  <w:num w:numId="36">
    <w:abstractNumId w:val="4"/>
  </w:num>
  <w:num w:numId="37">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217"/>
    <w:rsid w:val="0000025B"/>
    <w:rsid w:val="000007EA"/>
    <w:rsid w:val="00000D87"/>
    <w:rsid w:val="000011B3"/>
    <w:rsid w:val="00001461"/>
    <w:rsid w:val="00003587"/>
    <w:rsid w:val="000039DC"/>
    <w:rsid w:val="00003B5C"/>
    <w:rsid w:val="00003DA4"/>
    <w:rsid w:val="00004293"/>
    <w:rsid w:val="00004CD2"/>
    <w:rsid w:val="000056DB"/>
    <w:rsid w:val="00005B0B"/>
    <w:rsid w:val="00006958"/>
    <w:rsid w:val="00006BDA"/>
    <w:rsid w:val="0000769C"/>
    <w:rsid w:val="00010E15"/>
    <w:rsid w:val="00011B40"/>
    <w:rsid w:val="00011BA3"/>
    <w:rsid w:val="00012205"/>
    <w:rsid w:val="00013179"/>
    <w:rsid w:val="00013830"/>
    <w:rsid w:val="00013887"/>
    <w:rsid w:val="000142DB"/>
    <w:rsid w:val="0001430B"/>
    <w:rsid w:val="00014FE3"/>
    <w:rsid w:val="00015A2A"/>
    <w:rsid w:val="000167B8"/>
    <w:rsid w:val="000208CE"/>
    <w:rsid w:val="00021545"/>
    <w:rsid w:val="00021736"/>
    <w:rsid w:val="0002218D"/>
    <w:rsid w:val="0002242B"/>
    <w:rsid w:val="00022675"/>
    <w:rsid w:val="000230E7"/>
    <w:rsid w:val="00023127"/>
    <w:rsid w:val="00023DDE"/>
    <w:rsid w:val="00024B1B"/>
    <w:rsid w:val="00025299"/>
    <w:rsid w:val="00025CFA"/>
    <w:rsid w:val="00026A7A"/>
    <w:rsid w:val="00026BAC"/>
    <w:rsid w:val="00027453"/>
    <w:rsid w:val="00027C76"/>
    <w:rsid w:val="00030A44"/>
    <w:rsid w:val="000318A0"/>
    <w:rsid w:val="00032BAF"/>
    <w:rsid w:val="00033C58"/>
    <w:rsid w:val="00033FB4"/>
    <w:rsid w:val="000346C5"/>
    <w:rsid w:val="0003480B"/>
    <w:rsid w:val="00034FB5"/>
    <w:rsid w:val="0003500F"/>
    <w:rsid w:val="0003563F"/>
    <w:rsid w:val="00035E3E"/>
    <w:rsid w:val="000373D8"/>
    <w:rsid w:val="00040A6C"/>
    <w:rsid w:val="00040C21"/>
    <w:rsid w:val="00041240"/>
    <w:rsid w:val="0004205C"/>
    <w:rsid w:val="00043C14"/>
    <w:rsid w:val="00044226"/>
    <w:rsid w:val="000448DE"/>
    <w:rsid w:val="00044CCD"/>
    <w:rsid w:val="000451CC"/>
    <w:rsid w:val="00045718"/>
    <w:rsid w:val="00046C13"/>
    <w:rsid w:val="00046FEB"/>
    <w:rsid w:val="000502CB"/>
    <w:rsid w:val="00050E1A"/>
    <w:rsid w:val="00051A38"/>
    <w:rsid w:val="0005619A"/>
    <w:rsid w:val="00056573"/>
    <w:rsid w:val="0005705D"/>
    <w:rsid w:val="000571FF"/>
    <w:rsid w:val="00063FAF"/>
    <w:rsid w:val="000667EB"/>
    <w:rsid w:val="00066E7A"/>
    <w:rsid w:val="00070CBB"/>
    <w:rsid w:val="0007111E"/>
    <w:rsid w:val="00071E92"/>
    <w:rsid w:val="0007213E"/>
    <w:rsid w:val="00073C18"/>
    <w:rsid w:val="000742A7"/>
    <w:rsid w:val="00074536"/>
    <w:rsid w:val="00074A5B"/>
    <w:rsid w:val="0007573E"/>
    <w:rsid w:val="00076A49"/>
    <w:rsid w:val="00077156"/>
    <w:rsid w:val="00077748"/>
    <w:rsid w:val="00077A74"/>
    <w:rsid w:val="00081D52"/>
    <w:rsid w:val="000831E3"/>
    <w:rsid w:val="000833B1"/>
    <w:rsid w:val="00084F2E"/>
    <w:rsid w:val="00085622"/>
    <w:rsid w:val="00087343"/>
    <w:rsid w:val="00090832"/>
    <w:rsid w:val="00091212"/>
    <w:rsid w:val="0009170D"/>
    <w:rsid w:val="000927C7"/>
    <w:rsid w:val="00092D92"/>
    <w:rsid w:val="00093228"/>
    <w:rsid w:val="00094107"/>
    <w:rsid w:val="00094332"/>
    <w:rsid w:val="00094715"/>
    <w:rsid w:val="00094D89"/>
    <w:rsid w:val="00095C3A"/>
    <w:rsid w:val="00097261"/>
    <w:rsid w:val="000A0626"/>
    <w:rsid w:val="000A0C5E"/>
    <w:rsid w:val="000A0ED5"/>
    <w:rsid w:val="000A11EB"/>
    <w:rsid w:val="000A1C9B"/>
    <w:rsid w:val="000A2BB8"/>
    <w:rsid w:val="000A35E0"/>
    <w:rsid w:val="000A38AD"/>
    <w:rsid w:val="000A394E"/>
    <w:rsid w:val="000A60EA"/>
    <w:rsid w:val="000A6B12"/>
    <w:rsid w:val="000A6D26"/>
    <w:rsid w:val="000A75BB"/>
    <w:rsid w:val="000A779C"/>
    <w:rsid w:val="000A77B3"/>
    <w:rsid w:val="000B0276"/>
    <w:rsid w:val="000B078D"/>
    <w:rsid w:val="000B0845"/>
    <w:rsid w:val="000B0BEE"/>
    <w:rsid w:val="000B101E"/>
    <w:rsid w:val="000B108E"/>
    <w:rsid w:val="000B132C"/>
    <w:rsid w:val="000B19B4"/>
    <w:rsid w:val="000B2978"/>
    <w:rsid w:val="000B3121"/>
    <w:rsid w:val="000B3807"/>
    <w:rsid w:val="000B38E9"/>
    <w:rsid w:val="000B57E0"/>
    <w:rsid w:val="000B7C98"/>
    <w:rsid w:val="000C073D"/>
    <w:rsid w:val="000C0A65"/>
    <w:rsid w:val="000C0CAB"/>
    <w:rsid w:val="000C11ED"/>
    <w:rsid w:val="000C12A5"/>
    <w:rsid w:val="000C18B3"/>
    <w:rsid w:val="000C26F5"/>
    <w:rsid w:val="000C2875"/>
    <w:rsid w:val="000C2F17"/>
    <w:rsid w:val="000C3BC9"/>
    <w:rsid w:val="000C4031"/>
    <w:rsid w:val="000C5E44"/>
    <w:rsid w:val="000C600E"/>
    <w:rsid w:val="000C6E5B"/>
    <w:rsid w:val="000D03E2"/>
    <w:rsid w:val="000D0549"/>
    <w:rsid w:val="000D07B6"/>
    <w:rsid w:val="000D136E"/>
    <w:rsid w:val="000D1710"/>
    <w:rsid w:val="000D2671"/>
    <w:rsid w:val="000D576E"/>
    <w:rsid w:val="000D6724"/>
    <w:rsid w:val="000D7508"/>
    <w:rsid w:val="000D7DE8"/>
    <w:rsid w:val="000E0178"/>
    <w:rsid w:val="000E07EA"/>
    <w:rsid w:val="000E0C72"/>
    <w:rsid w:val="000E16B5"/>
    <w:rsid w:val="000E1A9F"/>
    <w:rsid w:val="000E1C0D"/>
    <w:rsid w:val="000E24BA"/>
    <w:rsid w:val="000E2B42"/>
    <w:rsid w:val="000E2DBC"/>
    <w:rsid w:val="000E4D6B"/>
    <w:rsid w:val="000E52B7"/>
    <w:rsid w:val="000E5410"/>
    <w:rsid w:val="000E5663"/>
    <w:rsid w:val="000E5674"/>
    <w:rsid w:val="000E71C1"/>
    <w:rsid w:val="000F2543"/>
    <w:rsid w:val="000F3326"/>
    <w:rsid w:val="000F5773"/>
    <w:rsid w:val="000F62F9"/>
    <w:rsid w:val="000F7F12"/>
    <w:rsid w:val="001005B5"/>
    <w:rsid w:val="00100B06"/>
    <w:rsid w:val="0010150D"/>
    <w:rsid w:val="00101670"/>
    <w:rsid w:val="001019AC"/>
    <w:rsid w:val="0010275C"/>
    <w:rsid w:val="00102A22"/>
    <w:rsid w:val="00102AF6"/>
    <w:rsid w:val="00102CC0"/>
    <w:rsid w:val="00102EC7"/>
    <w:rsid w:val="001035DA"/>
    <w:rsid w:val="001038B4"/>
    <w:rsid w:val="00103FBE"/>
    <w:rsid w:val="001041F2"/>
    <w:rsid w:val="0010482D"/>
    <w:rsid w:val="00104B66"/>
    <w:rsid w:val="00104D94"/>
    <w:rsid w:val="0010599B"/>
    <w:rsid w:val="00106CFF"/>
    <w:rsid w:val="00106F4A"/>
    <w:rsid w:val="00110717"/>
    <w:rsid w:val="00111EE5"/>
    <w:rsid w:val="00112296"/>
    <w:rsid w:val="0011264F"/>
    <w:rsid w:val="00112DEA"/>
    <w:rsid w:val="00113147"/>
    <w:rsid w:val="0011359E"/>
    <w:rsid w:val="0011390F"/>
    <w:rsid w:val="00114384"/>
    <w:rsid w:val="00114D12"/>
    <w:rsid w:val="0011500D"/>
    <w:rsid w:val="0011506D"/>
    <w:rsid w:val="00115AA3"/>
    <w:rsid w:val="00115DB0"/>
    <w:rsid w:val="0011634C"/>
    <w:rsid w:val="001163B6"/>
    <w:rsid w:val="00116C2D"/>
    <w:rsid w:val="0011733F"/>
    <w:rsid w:val="0011737C"/>
    <w:rsid w:val="001175DA"/>
    <w:rsid w:val="00117821"/>
    <w:rsid w:val="00120D3A"/>
    <w:rsid w:val="00122C15"/>
    <w:rsid w:val="001232C7"/>
    <w:rsid w:val="0012464A"/>
    <w:rsid w:val="001248A7"/>
    <w:rsid w:val="00125B52"/>
    <w:rsid w:val="00126080"/>
    <w:rsid w:val="00126374"/>
    <w:rsid w:val="001265CC"/>
    <w:rsid w:val="00127C0B"/>
    <w:rsid w:val="00130E93"/>
    <w:rsid w:val="00131160"/>
    <w:rsid w:val="00132480"/>
    <w:rsid w:val="00132D8B"/>
    <w:rsid w:val="0013368F"/>
    <w:rsid w:val="0013447D"/>
    <w:rsid w:val="001349C6"/>
    <w:rsid w:val="00135C32"/>
    <w:rsid w:val="00136A13"/>
    <w:rsid w:val="001376EF"/>
    <w:rsid w:val="00137A68"/>
    <w:rsid w:val="001407D4"/>
    <w:rsid w:val="00140B83"/>
    <w:rsid w:val="0014163E"/>
    <w:rsid w:val="0014279A"/>
    <w:rsid w:val="001428F1"/>
    <w:rsid w:val="0014316D"/>
    <w:rsid w:val="001435A6"/>
    <w:rsid w:val="00144881"/>
    <w:rsid w:val="001459A7"/>
    <w:rsid w:val="00147BAF"/>
    <w:rsid w:val="001502AF"/>
    <w:rsid w:val="00150567"/>
    <w:rsid w:val="0015122C"/>
    <w:rsid w:val="00151FE9"/>
    <w:rsid w:val="00152205"/>
    <w:rsid w:val="00153364"/>
    <w:rsid w:val="00154C52"/>
    <w:rsid w:val="00155591"/>
    <w:rsid w:val="0015751D"/>
    <w:rsid w:val="00157C4B"/>
    <w:rsid w:val="00160D44"/>
    <w:rsid w:val="001612B6"/>
    <w:rsid w:val="00162B1F"/>
    <w:rsid w:val="00162D40"/>
    <w:rsid w:val="00163203"/>
    <w:rsid w:val="0016343E"/>
    <w:rsid w:val="00163FA1"/>
    <w:rsid w:val="00165326"/>
    <w:rsid w:val="00165E51"/>
    <w:rsid w:val="00166C87"/>
    <w:rsid w:val="001677A5"/>
    <w:rsid w:val="00170956"/>
    <w:rsid w:val="001713C2"/>
    <w:rsid w:val="00171BC2"/>
    <w:rsid w:val="0017247D"/>
    <w:rsid w:val="00172F33"/>
    <w:rsid w:val="00174486"/>
    <w:rsid w:val="00175A72"/>
    <w:rsid w:val="00175E11"/>
    <w:rsid w:val="00175F03"/>
    <w:rsid w:val="00176512"/>
    <w:rsid w:val="001775B4"/>
    <w:rsid w:val="001813D2"/>
    <w:rsid w:val="001814D2"/>
    <w:rsid w:val="00181984"/>
    <w:rsid w:val="00181ACD"/>
    <w:rsid w:val="00181ACE"/>
    <w:rsid w:val="001823CD"/>
    <w:rsid w:val="001825C6"/>
    <w:rsid w:val="00183513"/>
    <w:rsid w:val="001841E8"/>
    <w:rsid w:val="00184B4D"/>
    <w:rsid w:val="001857CA"/>
    <w:rsid w:val="00185DFC"/>
    <w:rsid w:val="00186798"/>
    <w:rsid w:val="0018743F"/>
    <w:rsid w:val="0018787E"/>
    <w:rsid w:val="00187D46"/>
    <w:rsid w:val="001910FA"/>
    <w:rsid w:val="001916FF"/>
    <w:rsid w:val="00191E1F"/>
    <w:rsid w:val="00191FB4"/>
    <w:rsid w:val="00193CE3"/>
    <w:rsid w:val="001952CC"/>
    <w:rsid w:val="00195CAA"/>
    <w:rsid w:val="00196029"/>
    <w:rsid w:val="001964E6"/>
    <w:rsid w:val="00197632"/>
    <w:rsid w:val="00197B2B"/>
    <w:rsid w:val="001A0433"/>
    <w:rsid w:val="001A0490"/>
    <w:rsid w:val="001A0DAD"/>
    <w:rsid w:val="001A1DD6"/>
    <w:rsid w:val="001A2E77"/>
    <w:rsid w:val="001A2EFF"/>
    <w:rsid w:val="001A41D5"/>
    <w:rsid w:val="001A4FC2"/>
    <w:rsid w:val="001A5158"/>
    <w:rsid w:val="001A59D0"/>
    <w:rsid w:val="001A5C7C"/>
    <w:rsid w:val="001A5E00"/>
    <w:rsid w:val="001A7722"/>
    <w:rsid w:val="001B2302"/>
    <w:rsid w:val="001B294A"/>
    <w:rsid w:val="001B4169"/>
    <w:rsid w:val="001B482D"/>
    <w:rsid w:val="001B5145"/>
    <w:rsid w:val="001B5A8D"/>
    <w:rsid w:val="001B6228"/>
    <w:rsid w:val="001B63E6"/>
    <w:rsid w:val="001B6714"/>
    <w:rsid w:val="001B67D6"/>
    <w:rsid w:val="001C1787"/>
    <w:rsid w:val="001C195E"/>
    <w:rsid w:val="001C1BD3"/>
    <w:rsid w:val="001C20E8"/>
    <w:rsid w:val="001C2173"/>
    <w:rsid w:val="001C3208"/>
    <w:rsid w:val="001C3309"/>
    <w:rsid w:val="001C349F"/>
    <w:rsid w:val="001C4BF8"/>
    <w:rsid w:val="001C5EA7"/>
    <w:rsid w:val="001C693D"/>
    <w:rsid w:val="001C700C"/>
    <w:rsid w:val="001C72FB"/>
    <w:rsid w:val="001D2D56"/>
    <w:rsid w:val="001D31AF"/>
    <w:rsid w:val="001D5502"/>
    <w:rsid w:val="001D588C"/>
    <w:rsid w:val="001D667B"/>
    <w:rsid w:val="001D73DE"/>
    <w:rsid w:val="001E0005"/>
    <w:rsid w:val="001E0439"/>
    <w:rsid w:val="001E05D7"/>
    <w:rsid w:val="001E060F"/>
    <w:rsid w:val="001E1076"/>
    <w:rsid w:val="001E2562"/>
    <w:rsid w:val="001E3EB5"/>
    <w:rsid w:val="001E3F47"/>
    <w:rsid w:val="001E5AB9"/>
    <w:rsid w:val="001E6A3A"/>
    <w:rsid w:val="001E7A85"/>
    <w:rsid w:val="001F09F2"/>
    <w:rsid w:val="001F0A1C"/>
    <w:rsid w:val="001F0B4B"/>
    <w:rsid w:val="001F10C3"/>
    <w:rsid w:val="001F1443"/>
    <w:rsid w:val="001F26EE"/>
    <w:rsid w:val="001F2BAE"/>
    <w:rsid w:val="001F2C21"/>
    <w:rsid w:val="001F2CF2"/>
    <w:rsid w:val="001F3A49"/>
    <w:rsid w:val="001F4EAF"/>
    <w:rsid w:val="001F50B1"/>
    <w:rsid w:val="001F5E14"/>
    <w:rsid w:val="001F637D"/>
    <w:rsid w:val="001F642F"/>
    <w:rsid w:val="001F67DA"/>
    <w:rsid w:val="001F74F6"/>
    <w:rsid w:val="00201599"/>
    <w:rsid w:val="00201FC7"/>
    <w:rsid w:val="002032DF"/>
    <w:rsid w:val="00203846"/>
    <w:rsid w:val="00203F0C"/>
    <w:rsid w:val="002043EA"/>
    <w:rsid w:val="0020497D"/>
    <w:rsid w:val="00204D4C"/>
    <w:rsid w:val="0020540A"/>
    <w:rsid w:val="0020541B"/>
    <w:rsid w:val="00205BE4"/>
    <w:rsid w:val="00206ADD"/>
    <w:rsid w:val="00206DF0"/>
    <w:rsid w:val="00210A5A"/>
    <w:rsid w:val="00211148"/>
    <w:rsid w:val="0021170B"/>
    <w:rsid w:val="00212E0C"/>
    <w:rsid w:val="002139D3"/>
    <w:rsid w:val="00213AB8"/>
    <w:rsid w:val="00213DC3"/>
    <w:rsid w:val="00214BFE"/>
    <w:rsid w:val="00215F5D"/>
    <w:rsid w:val="00215F66"/>
    <w:rsid w:val="00216BFC"/>
    <w:rsid w:val="00216E16"/>
    <w:rsid w:val="00217A66"/>
    <w:rsid w:val="00220BB0"/>
    <w:rsid w:val="00220CAE"/>
    <w:rsid w:val="002221F8"/>
    <w:rsid w:val="00222269"/>
    <w:rsid w:val="002225BA"/>
    <w:rsid w:val="00222C9A"/>
    <w:rsid w:val="00223F9B"/>
    <w:rsid w:val="00224BF5"/>
    <w:rsid w:val="0022549B"/>
    <w:rsid w:val="002254D5"/>
    <w:rsid w:val="00225E7C"/>
    <w:rsid w:val="0022611D"/>
    <w:rsid w:val="0022679E"/>
    <w:rsid w:val="002273D5"/>
    <w:rsid w:val="002276D8"/>
    <w:rsid w:val="00227C9C"/>
    <w:rsid w:val="00230997"/>
    <w:rsid w:val="002313E4"/>
    <w:rsid w:val="002326CE"/>
    <w:rsid w:val="00232BB2"/>
    <w:rsid w:val="00232DDD"/>
    <w:rsid w:val="00233B03"/>
    <w:rsid w:val="00233C8B"/>
    <w:rsid w:val="00234683"/>
    <w:rsid w:val="00235600"/>
    <w:rsid w:val="00235D30"/>
    <w:rsid w:val="0023687E"/>
    <w:rsid w:val="00236F97"/>
    <w:rsid w:val="00237392"/>
    <w:rsid w:val="00237827"/>
    <w:rsid w:val="00237C86"/>
    <w:rsid w:val="00240AA6"/>
    <w:rsid w:val="0024200D"/>
    <w:rsid w:val="002420CC"/>
    <w:rsid w:val="00242492"/>
    <w:rsid w:val="00242A77"/>
    <w:rsid w:val="002431D1"/>
    <w:rsid w:val="00245068"/>
    <w:rsid w:val="0024576C"/>
    <w:rsid w:val="002468D5"/>
    <w:rsid w:val="00246B4F"/>
    <w:rsid w:val="00247133"/>
    <w:rsid w:val="002527FA"/>
    <w:rsid w:val="002533B7"/>
    <w:rsid w:val="00253461"/>
    <w:rsid w:val="002537A2"/>
    <w:rsid w:val="00253C8C"/>
    <w:rsid w:val="0026031C"/>
    <w:rsid w:val="002603DB"/>
    <w:rsid w:val="002605A1"/>
    <w:rsid w:val="002629BC"/>
    <w:rsid w:val="00262AA3"/>
    <w:rsid w:val="002631DD"/>
    <w:rsid w:val="00263754"/>
    <w:rsid w:val="0026479C"/>
    <w:rsid w:val="0026523E"/>
    <w:rsid w:val="00265CC3"/>
    <w:rsid w:val="00270A33"/>
    <w:rsid w:val="00271106"/>
    <w:rsid w:val="0027256C"/>
    <w:rsid w:val="00273684"/>
    <w:rsid w:val="00273B1E"/>
    <w:rsid w:val="00273DEE"/>
    <w:rsid w:val="00273FCE"/>
    <w:rsid w:val="00274D71"/>
    <w:rsid w:val="00275387"/>
    <w:rsid w:val="002763D3"/>
    <w:rsid w:val="002776FA"/>
    <w:rsid w:val="00277B41"/>
    <w:rsid w:val="00277DBD"/>
    <w:rsid w:val="00277FA4"/>
    <w:rsid w:val="002811DA"/>
    <w:rsid w:val="0028210C"/>
    <w:rsid w:val="00282A74"/>
    <w:rsid w:val="00282B91"/>
    <w:rsid w:val="00282F1E"/>
    <w:rsid w:val="00283579"/>
    <w:rsid w:val="00283A63"/>
    <w:rsid w:val="00283F75"/>
    <w:rsid w:val="00284164"/>
    <w:rsid w:val="00284453"/>
    <w:rsid w:val="00284BC1"/>
    <w:rsid w:val="00285A64"/>
    <w:rsid w:val="0028635E"/>
    <w:rsid w:val="00286D5F"/>
    <w:rsid w:val="002876E6"/>
    <w:rsid w:val="0028785D"/>
    <w:rsid w:val="00290E99"/>
    <w:rsid w:val="00291050"/>
    <w:rsid w:val="00291544"/>
    <w:rsid w:val="00291C83"/>
    <w:rsid w:val="00291D31"/>
    <w:rsid w:val="00293FEE"/>
    <w:rsid w:val="00294809"/>
    <w:rsid w:val="00294A09"/>
    <w:rsid w:val="00294EBF"/>
    <w:rsid w:val="00295383"/>
    <w:rsid w:val="00295FA2"/>
    <w:rsid w:val="00296237"/>
    <w:rsid w:val="00296DFC"/>
    <w:rsid w:val="0029749B"/>
    <w:rsid w:val="00297C60"/>
    <w:rsid w:val="00297CBF"/>
    <w:rsid w:val="002A0F9B"/>
    <w:rsid w:val="002A1B93"/>
    <w:rsid w:val="002A30E2"/>
    <w:rsid w:val="002A3376"/>
    <w:rsid w:val="002A36F6"/>
    <w:rsid w:val="002A376C"/>
    <w:rsid w:val="002A6CE6"/>
    <w:rsid w:val="002A6F9B"/>
    <w:rsid w:val="002B170B"/>
    <w:rsid w:val="002B173C"/>
    <w:rsid w:val="002B1CA2"/>
    <w:rsid w:val="002B3359"/>
    <w:rsid w:val="002B3569"/>
    <w:rsid w:val="002B3E21"/>
    <w:rsid w:val="002B43E9"/>
    <w:rsid w:val="002B47FE"/>
    <w:rsid w:val="002B4EEA"/>
    <w:rsid w:val="002B5561"/>
    <w:rsid w:val="002B5708"/>
    <w:rsid w:val="002B6131"/>
    <w:rsid w:val="002B622F"/>
    <w:rsid w:val="002B67B6"/>
    <w:rsid w:val="002B7197"/>
    <w:rsid w:val="002B75E5"/>
    <w:rsid w:val="002B79A1"/>
    <w:rsid w:val="002C1576"/>
    <w:rsid w:val="002C205C"/>
    <w:rsid w:val="002C2497"/>
    <w:rsid w:val="002C326A"/>
    <w:rsid w:val="002C39D3"/>
    <w:rsid w:val="002C4462"/>
    <w:rsid w:val="002C463B"/>
    <w:rsid w:val="002C4C90"/>
    <w:rsid w:val="002C56F3"/>
    <w:rsid w:val="002C712C"/>
    <w:rsid w:val="002C7171"/>
    <w:rsid w:val="002C72A9"/>
    <w:rsid w:val="002C75A4"/>
    <w:rsid w:val="002C7895"/>
    <w:rsid w:val="002C78A9"/>
    <w:rsid w:val="002C79D0"/>
    <w:rsid w:val="002D0AB3"/>
    <w:rsid w:val="002D1B99"/>
    <w:rsid w:val="002D1D26"/>
    <w:rsid w:val="002D21F0"/>
    <w:rsid w:val="002D3B96"/>
    <w:rsid w:val="002D4E17"/>
    <w:rsid w:val="002D66C8"/>
    <w:rsid w:val="002E0BD4"/>
    <w:rsid w:val="002E11E5"/>
    <w:rsid w:val="002E1ADA"/>
    <w:rsid w:val="002E360B"/>
    <w:rsid w:val="002E3A49"/>
    <w:rsid w:val="002E3FF8"/>
    <w:rsid w:val="002E4F12"/>
    <w:rsid w:val="002E5235"/>
    <w:rsid w:val="002E6696"/>
    <w:rsid w:val="002E6FEE"/>
    <w:rsid w:val="002E742F"/>
    <w:rsid w:val="002E7B57"/>
    <w:rsid w:val="002E7F9A"/>
    <w:rsid w:val="002F0421"/>
    <w:rsid w:val="002F1E8F"/>
    <w:rsid w:val="002F2358"/>
    <w:rsid w:val="002F2B27"/>
    <w:rsid w:val="002F2D5D"/>
    <w:rsid w:val="002F47E8"/>
    <w:rsid w:val="002F4E05"/>
    <w:rsid w:val="002F5C18"/>
    <w:rsid w:val="002F69C1"/>
    <w:rsid w:val="0030164A"/>
    <w:rsid w:val="00301E52"/>
    <w:rsid w:val="00302183"/>
    <w:rsid w:val="003029CA"/>
    <w:rsid w:val="00302A0D"/>
    <w:rsid w:val="003030DA"/>
    <w:rsid w:val="00304A1D"/>
    <w:rsid w:val="003064F2"/>
    <w:rsid w:val="003070E1"/>
    <w:rsid w:val="003071F3"/>
    <w:rsid w:val="00307858"/>
    <w:rsid w:val="0031073D"/>
    <w:rsid w:val="00310A1E"/>
    <w:rsid w:val="00311FFF"/>
    <w:rsid w:val="0031358D"/>
    <w:rsid w:val="00314C90"/>
    <w:rsid w:val="00315E9F"/>
    <w:rsid w:val="003168B6"/>
    <w:rsid w:val="00317B2D"/>
    <w:rsid w:val="00317DC5"/>
    <w:rsid w:val="0032036B"/>
    <w:rsid w:val="00320820"/>
    <w:rsid w:val="003218C7"/>
    <w:rsid w:val="003223E1"/>
    <w:rsid w:val="00324240"/>
    <w:rsid w:val="00325254"/>
    <w:rsid w:val="00325796"/>
    <w:rsid w:val="00325C6D"/>
    <w:rsid w:val="003261CF"/>
    <w:rsid w:val="00326E2B"/>
    <w:rsid w:val="00327034"/>
    <w:rsid w:val="00327BDE"/>
    <w:rsid w:val="0033003B"/>
    <w:rsid w:val="003300ED"/>
    <w:rsid w:val="00330277"/>
    <w:rsid w:val="003306A2"/>
    <w:rsid w:val="003313EF"/>
    <w:rsid w:val="00331943"/>
    <w:rsid w:val="00332C6A"/>
    <w:rsid w:val="00332C7A"/>
    <w:rsid w:val="003330F3"/>
    <w:rsid w:val="00333D04"/>
    <w:rsid w:val="00334C9B"/>
    <w:rsid w:val="003356A0"/>
    <w:rsid w:val="0033686C"/>
    <w:rsid w:val="00336E6A"/>
    <w:rsid w:val="00337A29"/>
    <w:rsid w:val="00337B08"/>
    <w:rsid w:val="003403D4"/>
    <w:rsid w:val="00340BF8"/>
    <w:rsid w:val="00340EFA"/>
    <w:rsid w:val="0034256E"/>
    <w:rsid w:val="00342867"/>
    <w:rsid w:val="0034288C"/>
    <w:rsid w:val="00342E35"/>
    <w:rsid w:val="00343340"/>
    <w:rsid w:val="00343730"/>
    <w:rsid w:val="0034434F"/>
    <w:rsid w:val="00344E27"/>
    <w:rsid w:val="00344E2D"/>
    <w:rsid w:val="00345262"/>
    <w:rsid w:val="003455AA"/>
    <w:rsid w:val="00345E2A"/>
    <w:rsid w:val="0034609D"/>
    <w:rsid w:val="00346DF3"/>
    <w:rsid w:val="003503D5"/>
    <w:rsid w:val="003510EF"/>
    <w:rsid w:val="00351AA9"/>
    <w:rsid w:val="00352801"/>
    <w:rsid w:val="003545C5"/>
    <w:rsid w:val="003545CA"/>
    <w:rsid w:val="00355610"/>
    <w:rsid w:val="00355844"/>
    <w:rsid w:val="00357300"/>
    <w:rsid w:val="0035796A"/>
    <w:rsid w:val="00360960"/>
    <w:rsid w:val="00360F70"/>
    <w:rsid w:val="003613FA"/>
    <w:rsid w:val="00361613"/>
    <w:rsid w:val="00361908"/>
    <w:rsid w:val="00362FE1"/>
    <w:rsid w:val="00363E3A"/>
    <w:rsid w:val="00364578"/>
    <w:rsid w:val="00365D95"/>
    <w:rsid w:val="00367460"/>
    <w:rsid w:val="00370C85"/>
    <w:rsid w:val="00370F70"/>
    <w:rsid w:val="003712B8"/>
    <w:rsid w:val="003720E9"/>
    <w:rsid w:val="003726B2"/>
    <w:rsid w:val="003736F7"/>
    <w:rsid w:val="00373820"/>
    <w:rsid w:val="0037441D"/>
    <w:rsid w:val="0037600C"/>
    <w:rsid w:val="0037603F"/>
    <w:rsid w:val="003765EF"/>
    <w:rsid w:val="00376B93"/>
    <w:rsid w:val="00377071"/>
    <w:rsid w:val="003774E3"/>
    <w:rsid w:val="00377508"/>
    <w:rsid w:val="003779A4"/>
    <w:rsid w:val="00377C60"/>
    <w:rsid w:val="003809AC"/>
    <w:rsid w:val="003810B2"/>
    <w:rsid w:val="003819B7"/>
    <w:rsid w:val="00381D49"/>
    <w:rsid w:val="003841C6"/>
    <w:rsid w:val="00385959"/>
    <w:rsid w:val="003859AA"/>
    <w:rsid w:val="00386D75"/>
    <w:rsid w:val="00387135"/>
    <w:rsid w:val="003877E7"/>
    <w:rsid w:val="0038797E"/>
    <w:rsid w:val="00387CEE"/>
    <w:rsid w:val="00387F98"/>
    <w:rsid w:val="00390545"/>
    <w:rsid w:val="003916EF"/>
    <w:rsid w:val="0039192C"/>
    <w:rsid w:val="00391A75"/>
    <w:rsid w:val="00392727"/>
    <w:rsid w:val="00392CD0"/>
    <w:rsid w:val="00393314"/>
    <w:rsid w:val="00393953"/>
    <w:rsid w:val="00396F9A"/>
    <w:rsid w:val="003A09B7"/>
    <w:rsid w:val="003A275B"/>
    <w:rsid w:val="003A39D5"/>
    <w:rsid w:val="003A7016"/>
    <w:rsid w:val="003A7133"/>
    <w:rsid w:val="003A7743"/>
    <w:rsid w:val="003B0C0D"/>
    <w:rsid w:val="003B2CB3"/>
    <w:rsid w:val="003B4CDF"/>
    <w:rsid w:val="003B594B"/>
    <w:rsid w:val="003B5BA2"/>
    <w:rsid w:val="003B61DB"/>
    <w:rsid w:val="003B65CC"/>
    <w:rsid w:val="003B6648"/>
    <w:rsid w:val="003B6897"/>
    <w:rsid w:val="003B6AE9"/>
    <w:rsid w:val="003B7151"/>
    <w:rsid w:val="003C0017"/>
    <w:rsid w:val="003C0596"/>
    <w:rsid w:val="003C1411"/>
    <w:rsid w:val="003C2458"/>
    <w:rsid w:val="003C31E8"/>
    <w:rsid w:val="003C3AC4"/>
    <w:rsid w:val="003C3F74"/>
    <w:rsid w:val="003C4EE6"/>
    <w:rsid w:val="003C5861"/>
    <w:rsid w:val="003C625A"/>
    <w:rsid w:val="003C76BF"/>
    <w:rsid w:val="003C7D31"/>
    <w:rsid w:val="003C7FC5"/>
    <w:rsid w:val="003D01C6"/>
    <w:rsid w:val="003D1309"/>
    <w:rsid w:val="003D13BF"/>
    <w:rsid w:val="003D192C"/>
    <w:rsid w:val="003D2266"/>
    <w:rsid w:val="003D3A5B"/>
    <w:rsid w:val="003D413D"/>
    <w:rsid w:val="003D4597"/>
    <w:rsid w:val="003D4B16"/>
    <w:rsid w:val="003D62B9"/>
    <w:rsid w:val="003D6376"/>
    <w:rsid w:val="003D754C"/>
    <w:rsid w:val="003D7C8E"/>
    <w:rsid w:val="003D7EF1"/>
    <w:rsid w:val="003E076E"/>
    <w:rsid w:val="003E1444"/>
    <w:rsid w:val="003E2200"/>
    <w:rsid w:val="003E2642"/>
    <w:rsid w:val="003E29BF"/>
    <w:rsid w:val="003E4389"/>
    <w:rsid w:val="003E4F74"/>
    <w:rsid w:val="003E5034"/>
    <w:rsid w:val="003E58BE"/>
    <w:rsid w:val="003E5A5E"/>
    <w:rsid w:val="003E5E2E"/>
    <w:rsid w:val="003E60C3"/>
    <w:rsid w:val="003E71BF"/>
    <w:rsid w:val="003E7BA9"/>
    <w:rsid w:val="003E7F8E"/>
    <w:rsid w:val="003F147F"/>
    <w:rsid w:val="003F1874"/>
    <w:rsid w:val="003F1CF9"/>
    <w:rsid w:val="003F2103"/>
    <w:rsid w:val="003F2DF3"/>
    <w:rsid w:val="003F3E02"/>
    <w:rsid w:val="003F4E45"/>
    <w:rsid w:val="003F5A40"/>
    <w:rsid w:val="003F5F48"/>
    <w:rsid w:val="003F61F3"/>
    <w:rsid w:val="003F775D"/>
    <w:rsid w:val="003F7D67"/>
    <w:rsid w:val="004003A7"/>
    <w:rsid w:val="004008F6"/>
    <w:rsid w:val="0040104E"/>
    <w:rsid w:val="00401532"/>
    <w:rsid w:val="00401890"/>
    <w:rsid w:val="00402782"/>
    <w:rsid w:val="00402E4D"/>
    <w:rsid w:val="004033BE"/>
    <w:rsid w:val="00404F08"/>
    <w:rsid w:val="0040531E"/>
    <w:rsid w:val="0040615F"/>
    <w:rsid w:val="004063DE"/>
    <w:rsid w:val="00406DE4"/>
    <w:rsid w:val="00406E4C"/>
    <w:rsid w:val="004077F1"/>
    <w:rsid w:val="0041059C"/>
    <w:rsid w:val="004107EA"/>
    <w:rsid w:val="004107F4"/>
    <w:rsid w:val="00410A81"/>
    <w:rsid w:val="00410FCA"/>
    <w:rsid w:val="0041100E"/>
    <w:rsid w:val="004123A3"/>
    <w:rsid w:val="00412900"/>
    <w:rsid w:val="00412C5B"/>
    <w:rsid w:val="0041326D"/>
    <w:rsid w:val="004137BF"/>
    <w:rsid w:val="00413817"/>
    <w:rsid w:val="00413E39"/>
    <w:rsid w:val="00413EA5"/>
    <w:rsid w:val="00414393"/>
    <w:rsid w:val="00414D03"/>
    <w:rsid w:val="00414E36"/>
    <w:rsid w:val="00415091"/>
    <w:rsid w:val="00415621"/>
    <w:rsid w:val="0041593B"/>
    <w:rsid w:val="00415D13"/>
    <w:rsid w:val="004161AE"/>
    <w:rsid w:val="004167B3"/>
    <w:rsid w:val="00416AFC"/>
    <w:rsid w:val="004174E8"/>
    <w:rsid w:val="004200BF"/>
    <w:rsid w:val="0042031A"/>
    <w:rsid w:val="00420845"/>
    <w:rsid w:val="00420F04"/>
    <w:rsid w:val="00421003"/>
    <w:rsid w:val="00421790"/>
    <w:rsid w:val="00421E3A"/>
    <w:rsid w:val="00422464"/>
    <w:rsid w:val="004226CD"/>
    <w:rsid w:val="00422B29"/>
    <w:rsid w:val="0042317F"/>
    <w:rsid w:val="004231CB"/>
    <w:rsid w:val="004233B4"/>
    <w:rsid w:val="004242C5"/>
    <w:rsid w:val="004260F1"/>
    <w:rsid w:val="0042696D"/>
    <w:rsid w:val="004272D4"/>
    <w:rsid w:val="00427C0C"/>
    <w:rsid w:val="00427C83"/>
    <w:rsid w:val="00430489"/>
    <w:rsid w:val="0043067A"/>
    <w:rsid w:val="00430B23"/>
    <w:rsid w:val="00431571"/>
    <w:rsid w:val="0043169D"/>
    <w:rsid w:val="00431B8C"/>
    <w:rsid w:val="004329CB"/>
    <w:rsid w:val="00433C85"/>
    <w:rsid w:val="004341CB"/>
    <w:rsid w:val="00435AF3"/>
    <w:rsid w:val="00436C93"/>
    <w:rsid w:val="00437225"/>
    <w:rsid w:val="00440DA2"/>
    <w:rsid w:val="004410F0"/>
    <w:rsid w:val="0044153B"/>
    <w:rsid w:val="00441D92"/>
    <w:rsid w:val="00442A42"/>
    <w:rsid w:val="00442E61"/>
    <w:rsid w:val="004448FA"/>
    <w:rsid w:val="00445BA7"/>
    <w:rsid w:val="00446C96"/>
    <w:rsid w:val="00450888"/>
    <w:rsid w:val="004509EB"/>
    <w:rsid w:val="00451538"/>
    <w:rsid w:val="00451DB8"/>
    <w:rsid w:val="004542FD"/>
    <w:rsid w:val="0045540F"/>
    <w:rsid w:val="004566C9"/>
    <w:rsid w:val="00457068"/>
    <w:rsid w:val="00457A78"/>
    <w:rsid w:val="00460B53"/>
    <w:rsid w:val="004612AA"/>
    <w:rsid w:val="00462074"/>
    <w:rsid w:val="004634DD"/>
    <w:rsid w:val="00463900"/>
    <w:rsid w:val="00464832"/>
    <w:rsid w:val="004659CB"/>
    <w:rsid w:val="0046612F"/>
    <w:rsid w:val="00466C22"/>
    <w:rsid w:val="00467006"/>
    <w:rsid w:val="00470410"/>
    <w:rsid w:val="004704FB"/>
    <w:rsid w:val="00470B0E"/>
    <w:rsid w:val="0047108F"/>
    <w:rsid w:val="00471D54"/>
    <w:rsid w:val="00471EFB"/>
    <w:rsid w:val="004721AB"/>
    <w:rsid w:val="00472C46"/>
    <w:rsid w:val="00474E51"/>
    <w:rsid w:val="00474E6B"/>
    <w:rsid w:val="00475396"/>
    <w:rsid w:val="004757B7"/>
    <w:rsid w:val="00475C98"/>
    <w:rsid w:val="00476183"/>
    <w:rsid w:val="00476869"/>
    <w:rsid w:val="0047788B"/>
    <w:rsid w:val="00477A8A"/>
    <w:rsid w:val="00477E77"/>
    <w:rsid w:val="004805C2"/>
    <w:rsid w:val="00482D65"/>
    <w:rsid w:val="004832AC"/>
    <w:rsid w:val="004836E3"/>
    <w:rsid w:val="00483AEB"/>
    <w:rsid w:val="00484D32"/>
    <w:rsid w:val="00484DD9"/>
    <w:rsid w:val="004854BA"/>
    <w:rsid w:val="00485756"/>
    <w:rsid w:val="004859DD"/>
    <w:rsid w:val="00485F22"/>
    <w:rsid w:val="00486374"/>
    <w:rsid w:val="004871D8"/>
    <w:rsid w:val="00492435"/>
    <w:rsid w:val="0049283B"/>
    <w:rsid w:val="00492A9F"/>
    <w:rsid w:val="00492C0C"/>
    <w:rsid w:val="00492DCC"/>
    <w:rsid w:val="00492F52"/>
    <w:rsid w:val="004963BF"/>
    <w:rsid w:val="0049697E"/>
    <w:rsid w:val="00496F8E"/>
    <w:rsid w:val="004A10F0"/>
    <w:rsid w:val="004A1BCC"/>
    <w:rsid w:val="004A24BD"/>
    <w:rsid w:val="004A2B3A"/>
    <w:rsid w:val="004A2C0A"/>
    <w:rsid w:val="004A2D55"/>
    <w:rsid w:val="004A2E97"/>
    <w:rsid w:val="004A3726"/>
    <w:rsid w:val="004A44E7"/>
    <w:rsid w:val="004A509A"/>
    <w:rsid w:val="004A57BF"/>
    <w:rsid w:val="004A5964"/>
    <w:rsid w:val="004A5DC4"/>
    <w:rsid w:val="004A5F5C"/>
    <w:rsid w:val="004A62F6"/>
    <w:rsid w:val="004A664D"/>
    <w:rsid w:val="004A6C3B"/>
    <w:rsid w:val="004B16F6"/>
    <w:rsid w:val="004B1CB0"/>
    <w:rsid w:val="004B2F9A"/>
    <w:rsid w:val="004B475E"/>
    <w:rsid w:val="004B4C7B"/>
    <w:rsid w:val="004B5315"/>
    <w:rsid w:val="004B5949"/>
    <w:rsid w:val="004B5AF6"/>
    <w:rsid w:val="004B5EA2"/>
    <w:rsid w:val="004B7C3D"/>
    <w:rsid w:val="004C0D12"/>
    <w:rsid w:val="004C0EEA"/>
    <w:rsid w:val="004C1440"/>
    <w:rsid w:val="004C170E"/>
    <w:rsid w:val="004C2B58"/>
    <w:rsid w:val="004C3270"/>
    <w:rsid w:val="004C3325"/>
    <w:rsid w:val="004C3913"/>
    <w:rsid w:val="004C4254"/>
    <w:rsid w:val="004C426B"/>
    <w:rsid w:val="004C4DB7"/>
    <w:rsid w:val="004C4E6E"/>
    <w:rsid w:val="004C5049"/>
    <w:rsid w:val="004C5531"/>
    <w:rsid w:val="004C5581"/>
    <w:rsid w:val="004C55BA"/>
    <w:rsid w:val="004C6054"/>
    <w:rsid w:val="004C6955"/>
    <w:rsid w:val="004D05E2"/>
    <w:rsid w:val="004D1411"/>
    <w:rsid w:val="004D17A5"/>
    <w:rsid w:val="004D1DC4"/>
    <w:rsid w:val="004D2400"/>
    <w:rsid w:val="004D25D6"/>
    <w:rsid w:val="004D2FA3"/>
    <w:rsid w:val="004D3246"/>
    <w:rsid w:val="004D3247"/>
    <w:rsid w:val="004D3525"/>
    <w:rsid w:val="004D4459"/>
    <w:rsid w:val="004D4D67"/>
    <w:rsid w:val="004D526F"/>
    <w:rsid w:val="004D5E26"/>
    <w:rsid w:val="004D6243"/>
    <w:rsid w:val="004D654C"/>
    <w:rsid w:val="004D7AF0"/>
    <w:rsid w:val="004E1144"/>
    <w:rsid w:val="004E1688"/>
    <w:rsid w:val="004E1F08"/>
    <w:rsid w:val="004E2766"/>
    <w:rsid w:val="004E291E"/>
    <w:rsid w:val="004E37BB"/>
    <w:rsid w:val="004E3B94"/>
    <w:rsid w:val="004E45B7"/>
    <w:rsid w:val="004E6D0F"/>
    <w:rsid w:val="004F2840"/>
    <w:rsid w:val="004F2EF0"/>
    <w:rsid w:val="004F34EF"/>
    <w:rsid w:val="004F371F"/>
    <w:rsid w:val="004F38FB"/>
    <w:rsid w:val="004F49DE"/>
    <w:rsid w:val="004F4A5C"/>
    <w:rsid w:val="004F4DF3"/>
    <w:rsid w:val="004F529D"/>
    <w:rsid w:val="004F5785"/>
    <w:rsid w:val="004F620A"/>
    <w:rsid w:val="004F6C99"/>
    <w:rsid w:val="004F79CD"/>
    <w:rsid w:val="004F7CFB"/>
    <w:rsid w:val="00500DD1"/>
    <w:rsid w:val="00500F9B"/>
    <w:rsid w:val="005022A5"/>
    <w:rsid w:val="005024D3"/>
    <w:rsid w:val="005048FD"/>
    <w:rsid w:val="00505363"/>
    <w:rsid w:val="00505A7E"/>
    <w:rsid w:val="00506055"/>
    <w:rsid w:val="0050782F"/>
    <w:rsid w:val="005079AF"/>
    <w:rsid w:val="00507E94"/>
    <w:rsid w:val="00510714"/>
    <w:rsid w:val="00510912"/>
    <w:rsid w:val="00511303"/>
    <w:rsid w:val="0051450A"/>
    <w:rsid w:val="005147A0"/>
    <w:rsid w:val="00514DEB"/>
    <w:rsid w:val="0051514D"/>
    <w:rsid w:val="005157B1"/>
    <w:rsid w:val="00516975"/>
    <w:rsid w:val="0051731C"/>
    <w:rsid w:val="00517687"/>
    <w:rsid w:val="00517F42"/>
    <w:rsid w:val="0052094E"/>
    <w:rsid w:val="00525E04"/>
    <w:rsid w:val="00527280"/>
    <w:rsid w:val="00527BD9"/>
    <w:rsid w:val="005305B8"/>
    <w:rsid w:val="00530646"/>
    <w:rsid w:val="00530E92"/>
    <w:rsid w:val="005314D1"/>
    <w:rsid w:val="00531D14"/>
    <w:rsid w:val="00532159"/>
    <w:rsid w:val="005355FC"/>
    <w:rsid w:val="005357EE"/>
    <w:rsid w:val="00535CA8"/>
    <w:rsid w:val="005361D4"/>
    <w:rsid w:val="0053638F"/>
    <w:rsid w:val="005375EF"/>
    <w:rsid w:val="005408FA"/>
    <w:rsid w:val="00540BEF"/>
    <w:rsid w:val="00541213"/>
    <w:rsid w:val="00541A23"/>
    <w:rsid w:val="00542180"/>
    <w:rsid w:val="00542777"/>
    <w:rsid w:val="00542E72"/>
    <w:rsid w:val="00543D57"/>
    <w:rsid w:val="0054499D"/>
    <w:rsid w:val="005449B4"/>
    <w:rsid w:val="00545279"/>
    <w:rsid w:val="0054545A"/>
    <w:rsid w:val="0054549B"/>
    <w:rsid w:val="00546218"/>
    <w:rsid w:val="005472E8"/>
    <w:rsid w:val="00547BEE"/>
    <w:rsid w:val="00550BC4"/>
    <w:rsid w:val="00550F68"/>
    <w:rsid w:val="005517DD"/>
    <w:rsid w:val="005518A6"/>
    <w:rsid w:val="00551CF4"/>
    <w:rsid w:val="00552220"/>
    <w:rsid w:val="005527AD"/>
    <w:rsid w:val="00552934"/>
    <w:rsid w:val="00552FEB"/>
    <w:rsid w:val="00553039"/>
    <w:rsid w:val="005542EA"/>
    <w:rsid w:val="005549AC"/>
    <w:rsid w:val="00554D4A"/>
    <w:rsid w:val="005575B6"/>
    <w:rsid w:val="00557B44"/>
    <w:rsid w:val="00560085"/>
    <w:rsid w:val="005602C2"/>
    <w:rsid w:val="00560B31"/>
    <w:rsid w:val="00560F96"/>
    <w:rsid w:val="00561375"/>
    <w:rsid w:val="00561E4D"/>
    <w:rsid w:val="0056243D"/>
    <w:rsid w:val="00563A92"/>
    <w:rsid w:val="00563DE0"/>
    <w:rsid w:val="005646F1"/>
    <w:rsid w:val="00565261"/>
    <w:rsid w:val="00565393"/>
    <w:rsid w:val="005666B1"/>
    <w:rsid w:val="00566B7C"/>
    <w:rsid w:val="00566D66"/>
    <w:rsid w:val="00570126"/>
    <w:rsid w:val="00570967"/>
    <w:rsid w:val="00570ED2"/>
    <w:rsid w:val="00571986"/>
    <w:rsid w:val="00571CDD"/>
    <w:rsid w:val="0057215B"/>
    <w:rsid w:val="005739FB"/>
    <w:rsid w:val="00573EAF"/>
    <w:rsid w:val="00574C39"/>
    <w:rsid w:val="00574F09"/>
    <w:rsid w:val="0057520D"/>
    <w:rsid w:val="00575794"/>
    <w:rsid w:val="00575812"/>
    <w:rsid w:val="005762F5"/>
    <w:rsid w:val="00576614"/>
    <w:rsid w:val="00577492"/>
    <w:rsid w:val="005774A3"/>
    <w:rsid w:val="005800F6"/>
    <w:rsid w:val="0058043D"/>
    <w:rsid w:val="00581447"/>
    <w:rsid w:val="00581570"/>
    <w:rsid w:val="00581AC5"/>
    <w:rsid w:val="00581B65"/>
    <w:rsid w:val="00582982"/>
    <w:rsid w:val="00583D7A"/>
    <w:rsid w:val="005843B7"/>
    <w:rsid w:val="005843DC"/>
    <w:rsid w:val="00584959"/>
    <w:rsid w:val="00584C1B"/>
    <w:rsid w:val="00585E73"/>
    <w:rsid w:val="005860C8"/>
    <w:rsid w:val="00587A5F"/>
    <w:rsid w:val="005912BE"/>
    <w:rsid w:val="005913F2"/>
    <w:rsid w:val="00591F39"/>
    <w:rsid w:val="005924E3"/>
    <w:rsid w:val="005928DB"/>
    <w:rsid w:val="005930FC"/>
    <w:rsid w:val="00593324"/>
    <w:rsid w:val="0059442F"/>
    <w:rsid w:val="00594816"/>
    <w:rsid w:val="00594AF4"/>
    <w:rsid w:val="0059548A"/>
    <w:rsid w:val="00595548"/>
    <w:rsid w:val="0059679E"/>
    <w:rsid w:val="00596915"/>
    <w:rsid w:val="00596D8B"/>
    <w:rsid w:val="005971FB"/>
    <w:rsid w:val="005974BE"/>
    <w:rsid w:val="005A0E29"/>
    <w:rsid w:val="005A27F1"/>
    <w:rsid w:val="005A37CF"/>
    <w:rsid w:val="005A4C79"/>
    <w:rsid w:val="005A4E00"/>
    <w:rsid w:val="005A516D"/>
    <w:rsid w:val="005A59EE"/>
    <w:rsid w:val="005A5A2D"/>
    <w:rsid w:val="005A5AE7"/>
    <w:rsid w:val="005A6AB7"/>
    <w:rsid w:val="005A768B"/>
    <w:rsid w:val="005B06A9"/>
    <w:rsid w:val="005B1598"/>
    <w:rsid w:val="005B167E"/>
    <w:rsid w:val="005B34BF"/>
    <w:rsid w:val="005B4092"/>
    <w:rsid w:val="005B4556"/>
    <w:rsid w:val="005B659C"/>
    <w:rsid w:val="005B7526"/>
    <w:rsid w:val="005B7D59"/>
    <w:rsid w:val="005B7ED9"/>
    <w:rsid w:val="005C0DEF"/>
    <w:rsid w:val="005C0EE0"/>
    <w:rsid w:val="005C1763"/>
    <w:rsid w:val="005C1D94"/>
    <w:rsid w:val="005C21CC"/>
    <w:rsid w:val="005C2CC5"/>
    <w:rsid w:val="005C4E02"/>
    <w:rsid w:val="005C4F3F"/>
    <w:rsid w:val="005C5040"/>
    <w:rsid w:val="005C7B94"/>
    <w:rsid w:val="005D01B5"/>
    <w:rsid w:val="005D0C4D"/>
    <w:rsid w:val="005D1384"/>
    <w:rsid w:val="005D1510"/>
    <w:rsid w:val="005D29AF"/>
    <w:rsid w:val="005D29D4"/>
    <w:rsid w:val="005D2B61"/>
    <w:rsid w:val="005D3F49"/>
    <w:rsid w:val="005D4FDA"/>
    <w:rsid w:val="005D553F"/>
    <w:rsid w:val="005D7101"/>
    <w:rsid w:val="005D767F"/>
    <w:rsid w:val="005E0950"/>
    <w:rsid w:val="005E0A46"/>
    <w:rsid w:val="005E0EBA"/>
    <w:rsid w:val="005E1F76"/>
    <w:rsid w:val="005E2633"/>
    <w:rsid w:val="005E2ED0"/>
    <w:rsid w:val="005E3376"/>
    <w:rsid w:val="005E34E7"/>
    <w:rsid w:val="005E40ED"/>
    <w:rsid w:val="005E4DCF"/>
    <w:rsid w:val="005E6681"/>
    <w:rsid w:val="005E6D63"/>
    <w:rsid w:val="005E7FEC"/>
    <w:rsid w:val="005F1370"/>
    <w:rsid w:val="005F1438"/>
    <w:rsid w:val="005F2B1E"/>
    <w:rsid w:val="005F53C9"/>
    <w:rsid w:val="005F5460"/>
    <w:rsid w:val="005F5AFC"/>
    <w:rsid w:val="005F67A9"/>
    <w:rsid w:val="005F794B"/>
    <w:rsid w:val="0060116F"/>
    <w:rsid w:val="006016BC"/>
    <w:rsid w:val="00601D25"/>
    <w:rsid w:val="0060250C"/>
    <w:rsid w:val="00603BF5"/>
    <w:rsid w:val="00604AEC"/>
    <w:rsid w:val="00604CD5"/>
    <w:rsid w:val="00604FF9"/>
    <w:rsid w:val="0060661A"/>
    <w:rsid w:val="00606B3B"/>
    <w:rsid w:val="0060797D"/>
    <w:rsid w:val="00607AD3"/>
    <w:rsid w:val="006104DF"/>
    <w:rsid w:val="00610DF5"/>
    <w:rsid w:val="006112A3"/>
    <w:rsid w:val="00612088"/>
    <w:rsid w:val="006126B2"/>
    <w:rsid w:val="00612F0E"/>
    <w:rsid w:val="00613F63"/>
    <w:rsid w:val="00614CAF"/>
    <w:rsid w:val="00615311"/>
    <w:rsid w:val="006155E2"/>
    <w:rsid w:val="00615755"/>
    <w:rsid w:val="0061601E"/>
    <w:rsid w:val="006167FE"/>
    <w:rsid w:val="0061766A"/>
    <w:rsid w:val="00617AF2"/>
    <w:rsid w:val="0062054C"/>
    <w:rsid w:val="006217C7"/>
    <w:rsid w:val="00621F2F"/>
    <w:rsid w:val="006221D5"/>
    <w:rsid w:val="006223D4"/>
    <w:rsid w:val="0062315B"/>
    <w:rsid w:val="006233AC"/>
    <w:rsid w:val="00623C3B"/>
    <w:rsid w:val="00624232"/>
    <w:rsid w:val="006247A2"/>
    <w:rsid w:val="00624E26"/>
    <w:rsid w:val="00624FFD"/>
    <w:rsid w:val="0062506D"/>
    <w:rsid w:val="00626763"/>
    <w:rsid w:val="006273BE"/>
    <w:rsid w:val="006300C3"/>
    <w:rsid w:val="006302AB"/>
    <w:rsid w:val="006310DE"/>
    <w:rsid w:val="00633880"/>
    <w:rsid w:val="006340A7"/>
    <w:rsid w:val="00634639"/>
    <w:rsid w:val="0063549B"/>
    <w:rsid w:val="006360EF"/>
    <w:rsid w:val="006371AA"/>
    <w:rsid w:val="006373D8"/>
    <w:rsid w:val="006374A2"/>
    <w:rsid w:val="00637F9F"/>
    <w:rsid w:val="0064037D"/>
    <w:rsid w:val="00641F2C"/>
    <w:rsid w:val="006424AE"/>
    <w:rsid w:val="006443A6"/>
    <w:rsid w:val="00647B16"/>
    <w:rsid w:val="00647C5C"/>
    <w:rsid w:val="006510C4"/>
    <w:rsid w:val="006511C1"/>
    <w:rsid w:val="00651E94"/>
    <w:rsid w:val="00653BAF"/>
    <w:rsid w:val="00654705"/>
    <w:rsid w:val="00655031"/>
    <w:rsid w:val="006561D9"/>
    <w:rsid w:val="006574F9"/>
    <w:rsid w:val="006602AF"/>
    <w:rsid w:val="00661291"/>
    <w:rsid w:val="00661647"/>
    <w:rsid w:val="00662247"/>
    <w:rsid w:val="00662ADE"/>
    <w:rsid w:val="00663F72"/>
    <w:rsid w:val="006666D7"/>
    <w:rsid w:val="00666C0F"/>
    <w:rsid w:val="00666D2C"/>
    <w:rsid w:val="006671A4"/>
    <w:rsid w:val="00667A00"/>
    <w:rsid w:val="00667B44"/>
    <w:rsid w:val="00670138"/>
    <w:rsid w:val="00671675"/>
    <w:rsid w:val="0067279C"/>
    <w:rsid w:val="006728C6"/>
    <w:rsid w:val="006732CA"/>
    <w:rsid w:val="00673F28"/>
    <w:rsid w:val="00674230"/>
    <w:rsid w:val="006744F4"/>
    <w:rsid w:val="00674E10"/>
    <w:rsid w:val="00675527"/>
    <w:rsid w:val="00675E0F"/>
    <w:rsid w:val="0067669A"/>
    <w:rsid w:val="00681AE0"/>
    <w:rsid w:val="00681C76"/>
    <w:rsid w:val="00681CBB"/>
    <w:rsid w:val="0068264E"/>
    <w:rsid w:val="00683661"/>
    <w:rsid w:val="00685872"/>
    <w:rsid w:val="00686137"/>
    <w:rsid w:val="00686928"/>
    <w:rsid w:val="006905D9"/>
    <w:rsid w:val="0069127B"/>
    <w:rsid w:val="006922A6"/>
    <w:rsid w:val="0069233B"/>
    <w:rsid w:val="00692772"/>
    <w:rsid w:val="0069373C"/>
    <w:rsid w:val="0069398C"/>
    <w:rsid w:val="0069490C"/>
    <w:rsid w:val="00694C5D"/>
    <w:rsid w:val="006955C4"/>
    <w:rsid w:val="00695C3E"/>
    <w:rsid w:val="00696486"/>
    <w:rsid w:val="0069651D"/>
    <w:rsid w:val="00696787"/>
    <w:rsid w:val="00696AA3"/>
    <w:rsid w:val="00696E16"/>
    <w:rsid w:val="006A0B7D"/>
    <w:rsid w:val="006A16AF"/>
    <w:rsid w:val="006A2629"/>
    <w:rsid w:val="006A479A"/>
    <w:rsid w:val="006A64B2"/>
    <w:rsid w:val="006A6A48"/>
    <w:rsid w:val="006A7238"/>
    <w:rsid w:val="006A788B"/>
    <w:rsid w:val="006A7F8F"/>
    <w:rsid w:val="006B087D"/>
    <w:rsid w:val="006B2FE9"/>
    <w:rsid w:val="006B468D"/>
    <w:rsid w:val="006B490A"/>
    <w:rsid w:val="006B54DC"/>
    <w:rsid w:val="006B553D"/>
    <w:rsid w:val="006B5A0D"/>
    <w:rsid w:val="006B5F5A"/>
    <w:rsid w:val="006B6D33"/>
    <w:rsid w:val="006B6D9C"/>
    <w:rsid w:val="006B6FA9"/>
    <w:rsid w:val="006B7106"/>
    <w:rsid w:val="006B7A8D"/>
    <w:rsid w:val="006C2269"/>
    <w:rsid w:val="006C28B9"/>
    <w:rsid w:val="006C3B89"/>
    <w:rsid w:val="006C41B2"/>
    <w:rsid w:val="006C4827"/>
    <w:rsid w:val="006C4DD7"/>
    <w:rsid w:val="006C683F"/>
    <w:rsid w:val="006C7617"/>
    <w:rsid w:val="006D0389"/>
    <w:rsid w:val="006D152F"/>
    <w:rsid w:val="006D2F42"/>
    <w:rsid w:val="006D3354"/>
    <w:rsid w:val="006D3C18"/>
    <w:rsid w:val="006D3CF7"/>
    <w:rsid w:val="006D3F2D"/>
    <w:rsid w:val="006D57F4"/>
    <w:rsid w:val="006D5DAD"/>
    <w:rsid w:val="006D5FA8"/>
    <w:rsid w:val="006D6FB2"/>
    <w:rsid w:val="006D70E2"/>
    <w:rsid w:val="006D7FE5"/>
    <w:rsid w:val="006E053E"/>
    <w:rsid w:val="006E18F7"/>
    <w:rsid w:val="006E1963"/>
    <w:rsid w:val="006E1ECA"/>
    <w:rsid w:val="006E2976"/>
    <w:rsid w:val="006E32FE"/>
    <w:rsid w:val="006E3875"/>
    <w:rsid w:val="006E5332"/>
    <w:rsid w:val="006E593E"/>
    <w:rsid w:val="006E5E6C"/>
    <w:rsid w:val="006E68ED"/>
    <w:rsid w:val="006F11B2"/>
    <w:rsid w:val="006F154E"/>
    <w:rsid w:val="006F1779"/>
    <w:rsid w:val="006F4DD3"/>
    <w:rsid w:val="006F5311"/>
    <w:rsid w:val="00700772"/>
    <w:rsid w:val="00701EE1"/>
    <w:rsid w:val="00702A1F"/>
    <w:rsid w:val="00702FA0"/>
    <w:rsid w:val="00703661"/>
    <w:rsid w:val="0070505C"/>
    <w:rsid w:val="00705C00"/>
    <w:rsid w:val="007109F3"/>
    <w:rsid w:val="00710D70"/>
    <w:rsid w:val="00712617"/>
    <w:rsid w:val="00715AF3"/>
    <w:rsid w:val="007176CD"/>
    <w:rsid w:val="00717D16"/>
    <w:rsid w:val="0072017D"/>
    <w:rsid w:val="007207F8"/>
    <w:rsid w:val="00720809"/>
    <w:rsid w:val="00720AE4"/>
    <w:rsid w:val="00720C94"/>
    <w:rsid w:val="007212CA"/>
    <w:rsid w:val="007220CA"/>
    <w:rsid w:val="007244BE"/>
    <w:rsid w:val="0072544F"/>
    <w:rsid w:val="0072560A"/>
    <w:rsid w:val="00725E30"/>
    <w:rsid w:val="00726B87"/>
    <w:rsid w:val="007276B3"/>
    <w:rsid w:val="00730B2C"/>
    <w:rsid w:val="007310F7"/>
    <w:rsid w:val="00731FC8"/>
    <w:rsid w:val="0073238C"/>
    <w:rsid w:val="00732B56"/>
    <w:rsid w:val="00732BB3"/>
    <w:rsid w:val="00733AB0"/>
    <w:rsid w:val="00735962"/>
    <w:rsid w:val="007366A9"/>
    <w:rsid w:val="00740289"/>
    <w:rsid w:val="00740CBE"/>
    <w:rsid w:val="00741C98"/>
    <w:rsid w:val="0074370B"/>
    <w:rsid w:val="00745206"/>
    <w:rsid w:val="007460EF"/>
    <w:rsid w:val="007465E5"/>
    <w:rsid w:val="00747256"/>
    <w:rsid w:val="00751A4E"/>
    <w:rsid w:val="00752DEE"/>
    <w:rsid w:val="007543FE"/>
    <w:rsid w:val="00754AEB"/>
    <w:rsid w:val="00754C65"/>
    <w:rsid w:val="00755ED2"/>
    <w:rsid w:val="007564EB"/>
    <w:rsid w:val="00756A31"/>
    <w:rsid w:val="00756B26"/>
    <w:rsid w:val="00756CD9"/>
    <w:rsid w:val="00756F59"/>
    <w:rsid w:val="007570FC"/>
    <w:rsid w:val="00757225"/>
    <w:rsid w:val="0076010F"/>
    <w:rsid w:val="00760A12"/>
    <w:rsid w:val="00760CAA"/>
    <w:rsid w:val="00761CC7"/>
    <w:rsid w:val="00763A58"/>
    <w:rsid w:val="00764376"/>
    <w:rsid w:val="00764485"/>
    <w:rsid w:val="00764C1B"/>
    <w:rsid w:val="007669D5"/>
    <w:rsid w:val="00766C32"/>
    <w:rsid w:val="00767130"/>
    <w:rsid w:val="007677DF"/>
    <w:rsid w:val="00767EFC"/>
    <w:rsid w:val="0077011E"/>
    <w:rsid w:val="007701F2"/>
    <w:rsid w:val="00771D7E"/>
    <w:rsid w:val="00772816"/>
    <w:rsid w:val="00772918"/>
    <w:rsid w:val="00772954"/>
    <w:rsid w:val="00772A1B"/>
    <w:rsid w:val="00772B35"/>
    <w:rsid w:val="00773817"/>
    <w:rsid w:val="00773D5D"/>
    <w:rsid w:val="00773E40"/>
    <w:rsid w:val="00774034"/>
    <w:rsid w:val="00774BA9"/>
    <w:rsid w:val="007755EE"/>
    <w:rsid w:val="00775CB4"/>
    <w:rsid w:val="0077654D"/>
    <w:rsid w:val="007832F1"/>
    <w:rsid w:val="007839B1"/>
    <w:rsid w:val="00783EF9"/>
    <w:rsid w:val="007843CF"/>
    <w:rsid w:val="007857F5"/>
    <w:rsid w:val="00785D31"/>
    <w:rsid w:val="0078762C"/>
    <w:rsid w:val="00787EBD"/>
    <w:rsid w:val="00787F98"/>
    <w:rsid w:val="007900C4"/>
    <w:rsid w:val="007909CA"/>
    <w:rsid w:val="00790C5B"/>
    <w:rsid w:val="007912D1"/>
    <w:rsid w:val="007928D1"/>
    <w:rsid w:val="007934D9"/>
    <w:rsid w:val="00793550"/>
    <w:rsid w:val="00794F27"/>
    <w:rsid w:val="00795237"/>
    <w:rsid w:val="0079551A"/>
    <w:rsid w:val="0079553B"/>
    <w:rsid w:val="00795643"/>
    <w:rsid w:val="0079577D"/>
    <w:rsid w:val="00795E18"/>
    <w:rsid w:val="00796CC7"/>
    <w:rsid w:val="00797013"/>
    <w:rsid w:val="007A005E"/>
    <w:rsid w:val="007A05BE"/>
    <w:rsid w:val="007A0DD8"/>
    <w:rsid w:val="007A1DB7"/>
    <w:rsid w:val="007A2235"/>
    <w:rsid w:val="007A38AC"/>
    <w:rsid w:val="007A5237"/>
    <w:rsid w:val="007A588A"/>
    <w:rsid w:val="007A5C64"/>
    <w:rsid w:val="007A61E0"/>
    <w:rsid w:val="007A692F"/>
    <w:rsid w:val="007A6934"/>
    <w:rsid w:val="007A733B"/>
    <w:rsid w:val="007B2B25"/>
    <w:rsid w:val="007B318A"/>
    <w:rsid w:val="007B32D5"/>
    <w:rsid w:val="007B39DD"/>
    <w:rsid w:val="007B3E84"/>
    <w:rsid w:val="007B4E23"/>
    <w:rsid w:val="007B585F"/>
    <w:rsid w:val="007B63DB"/>
    <w:rsid w:val="007B6BEC"/>
    <w:rsid w:val="007B6C87"/>
    <w:rsid w:val="007B7927"/>
    <w:rsid w:val="007B7BAE"/>
    <w:rsid w:val="007C1083"/>
    <w:rsid w:val="007C1E39"/>
    <w:rsid w:val="007C33A5"/>
    <w:rsid w:val="007C3B0E"/>
    <w:rsid w:val="007C4D58"/>
    <w:rsid w:val="007C4D93"/>
    <w:rsid w:val="007C51CF"/>
    <w:rsid w:val="007C5546"/>
    <w:rsid w:val="007C5CB5"/>
    <w:rsid w:val="007C717C"/>
    <w:rsid w:val="007C77B1"/>
    <w:rsid w:val="007C788C"/>
    <w:rsid w:val="007D01B5"/>
    <w:rsid w:val="007D0B64"/>
    <w:rsid w:val="007D0E71"/>
    <w:rsid w:val="007D10FA"/>
    <w:rsid w:val="007D20D9"/>
    <w:rsid w:val="007D29CE"/>
    <w:rsid w:val="007D37F8"/>
    <w:rsid w:val="007D4C72"/>
    <w:rsid w:val="007D4DFB"/>
    <w:rsid w:val="007D76CE"/>
    <w:rsid w:val="007E134D"/>
    <w:rsid w:val="007E18B8"/>
    <w:rsid w:val="007E1B83"/>
    <w:rsid w:val="007E25E6"/>
    <w:rsid w:val="007E31D8"/>
    <w:rsid w:val="007E5B7E"/>
    <w:rsid w:val="007E6696"/>
    <w:rsid w:val="007E7225"/>
    <w:rsid w:val="007E779F"/>
    <w:rsid w:val="007F0BCA"/>
    <w:rsid w:val="007F0E70"/>
    <w:rsid w:val="007F17E0"/>
    <w:rsid w:val="007F19BB"/>
    <w:rsid w:val="007F2B57"/>
    <w:rsid w:val="007F3C19"/>
    <w:rsid w:val="007F3C99"/>
    <w:rsid w:val="007F446C"/>
    <w:rsid w:val="007F591D"/>
    <w:rsid w:val="007F59E1"/>
    <w:rsid w:val="007F5A49"/>
    <w:rsid w:val="007F5C69"/>
    <w:rsid w:val="007F643D"/>
    <w:rsid w:val="007F687B"/>
    <w:rsid w:val="008005FE"/>
    <w:rsid w:val="00800BEA"/>
    <w:rsid w:val="00801E67"/>
    <w:rsid w:val="008022B3"/>
    <w:rsid w:val="00802580"/>
    <w:rsid w:val="00803DC3"/>
    <w:rsid w:val="0080437D"/>
    <w:rsid w:val="00804CED"/>
    <w:rsid w:val="0080653E"/>
    <w:rsid w:val="008067A1"/>
    <w:rsid w:val="008067E1"/>
    <w:rsid w:val="00807180"/>
    <w:rsid w:val="00807F02"/>
    <w:rsid w:val="008104BE"/>
    <w:rsid w:val="008113A5"/>
    <w:rsid w:val="008113BF"/>
    <w:rsid w:val="00811B5F"/>
    <w:rsid w:val="00811CF9"/>
    <w:rsid w:val="0081295F"/>
    <w:rsid w:val="008131BC"/>
    <w:rsid w:val="008142C3"/>
    <w:rsid w:val="0081551D"/>
    <w:rsid w:val="00815E85"/>
    <w:rsid w:val="00815F61"/>
    <w:rsid w:val="00816911"/>
    <w:rsid w:val="008170A8"/>
    <w:rsid w:val="008174BE"/>
    <w:rsid w:val="00817CF6"/>
    <w:rsid w:val="0082292E"/>
    <w:rsid w:val="00822DFE"/>
    <w:rsid w:val="008231E4"/>
    <w:rsid w:val="00823833"/>
    <w:rsid w:val="0082688D"/>
    <w:rsid w:val="0082717C"/>
    <w:rsid w:val="008276A7"/>
    <w:rsid w:val="00827BE4"/>
    <w:rsid w:val="00830A01"/>
    <w:rsid w:val="00830C11"/>
    <w:rsid w:val="0083115C"/>
    <w:rsid w:val="008314A7"/>
    <w:rsid w:val="00831B82"/>
    <w:rsid w:val="00831D3C"/>
    <w:rsid w:val="008352B3"/>
    <w:rsid w:val="00841070"/>
    <w:rsid w:val="00841123"/>
    <w:rsid w:val="0084160B"/>
    <w:rsid w:val="008426C5"/>
    <w:rsid w:val="00842D58"/>
    <w:rsid w:val="00842FC1"/>
    <w:rsid w:val="008434B0"/>
    <w:rsid w:val="00843BBF"/>
    <w:rsid w:val="0084469D"/>
    <w:rsid w:val="008456D5"/>
    <w:rsid w:val="0084613A"/>
    <w:rsid w:val="008462E5"/>
    <w:rsid w:val="0084634B"/>
    <w:rsid w:val="00846866"/>
    <w:rsid w:val="00847EDC"/>
    <w:rsid w:val="00851205"/>
    <w:rsid w:val="008512FA"/>
    <w:rsid w:val="00851937"/>
    <w:rsid w:val="00852A5A"/>
    <w:rsid w:val="00852F5D"/>
    <w:rsid w:val="00852FA1"/>
    <w:rsid w:val="00853BB1"/>
    <w:rsid w:val="00853FE5"/>
    <w:rsid w:val="0085628F"/>
    <w:rsid w:val="00856899"/>
    <w:rsid w:val="00857A6E"/>
    <w:rsid w:val="00857CD0"/>
    <w:rsid w:val="00857CD6"/>
    <w:rsid w:val="008603D5"/>
    <w:rsid w:val="00860580"/>
    <w:rsid w:val="00861ACA"/>
    <w:rsid w:val="00862123"/>
    <w:rsid w:val="00863D8F"/>
    <w:rsid w:val="00865A63"/>
    <w:rsid w:val="00865B42"/>
    <w:rsid w:val="00865BB1"/>
    <w:rsid w:val="00866084"/>
    <w:rsid w:val="008668D0"/>
    <w:rsid w:val="00866CB9"/>
    <w:rsid w:val="0086754D"/>
    <w:rsid w:val="008677D3"/>
    <w:rsid w:val="00867B65"/>
    <w:rsid w:val="00867D72"/>
    <w:rsid w:val="008700ED"/>
    <w:rsid w:val="0087188E"/>
    <w:rsid w:val="00871FBB"/>
    <w:rsid w:val="0087303B"/>
    <w:rsid w:val="00873A1C"/>
    <w:rsid w:val="00874CEA"/>
    <w:rsid w:val="00875BB2"/>
    <w:rsid w:val="0087631A"/>
    <w:rsid w:val="00876813"/>
    <w:rsid w:val="00877139"/>
    <w:rsid w:val="00877844"/>
    <w:rsid w:val="008801A8"/>
    <w:rsid w:val="0088068A"/>
    <w:rsid w:val="00881073"/>
    <w:rsid w:val="008810DD"/>
    <w:rsid w:val="008818E9"/>
    <w:rsid w:val="00882063"/>
    <w:rsid w:val="0088256B"/>
    <w:rsid w:val="00882B2B"/>
    <w:rsid w:val="008840DD"/>
    <w:rsid w:val="00885E11"/>
    <w:rsid w:val="0088756B"/>
    <w:rsid w:val="00887C1A"/>
    <w:rsid w:val="008903EF"/>
    <w:rsid w:val="008914A0"/>
    <w:rsid w:val="00892A6E"/>
    <w:rsid w:val="00894468"/>
    <w:rsid w:val="00896C46"/>
    <w:rsid w:val="008A0AE7"/>
    <w:rsid w:val="008A0C33"/>
    <w:rsid w:val="008A0F5F"/>
    <w:rsid w:val="008A122A"/>
    <w:rsid w:val="008A1887"/>
    <w:rsid w:val="008A25E8"/>
    <w:rsid w:val="008A271D"/>
    <w:rsid w:val="008A2C93"/>
    <w:rsid w:val="008A36D8"/>
    <w:rsid w:val="008A4C5A"/>
    <w:rsid w:val="008A5472"/>
    <w:rsid w:val="008A5BEA"/>
    <w:rsid w:val="008A6A85"/>
    <w:rsid w:val="008B0E69"/>
    <w:rsid w:val="008B1271"/>
    <w:rsid w:val="008B17C5"/>
    <w:rsid w:val="008B1D41"/>
    <w:rsid w:val="008B2784"/>
    <w:rsid w:val="008B3A92"/>
    <w:rsid w:val="008B3D77"/>
    <w:rsid w:val="008B505F"/>
    <w:rsid w:val="008B5E9E"/>
    <w:rsid w:val="008B6322"/>
    <w:rsid w:val="008B6596"/>
    <w:rsid w:val="008B6A81"/>
    <w:rsid w:val="008C1037"/>
    <w:rsid w:val="008C145D"/>
    <w:rsid w:val="008C16AC"/>
    <w:rsid w:val="008C17B6"/>
    <w:rsid w:val="008C191C"/>
    <w:rsid w:val="008C2360"/>
    <w:rsid w:val="008C33D9"/>
    <w:rsid w:val="008C45F2"/>
    <w:rsid w:val="008C7129"/>
    <w:rsid w:val="008C7F55"/>
    <w:rsid w:val="008D0372"/>
    <w:rsid w:val="008D0431"/>
    <w:rsid w:val="008D186C"/>
    <w:rsid w:val="008D200C"/>
    <w:rsid w:val="008D4844"/>
    <w:rsid w:val="008D654E"/>
    <w:rsid w:val="008E0F40"/>
    <w:rsid w:val="008E1032"/>
    <w:rsid w:val="008E14D6"/>
    <w:rsid w:val="008E1D3D"/>
    <w:rsid w:val="008E2A0D"/>
    <w:rsid w:val="008E2C8D"/>
    <w:rsid w:val="008E48BA"/>
    <w:rsid w:val="008E61ED"/>
    <w:rsid w:val="008E69B2"/>
    <w:rsid w:val="008E6CE7"/>
    <w:rsid w:val="008E78E2"/>
    <w:rsid w:val="008E7C29"/>
    <w:rsid w:val="008F121C"/>
    <w:rsid w:val="008F20E6"/>
    <w:rsid w:val="008F32EF"/>
    <w:rsid w:val="008F34D0"/>
    <w:rsid w:val="008F3F4A"/>
    <w:rsid w:val="008F4B3F"/>
    <w:rsid w:val="008F5C03"/>
    <w:rsid w:val="008F62F1"/>
    <w:rsid w:val="008F681C"/>
    <w:rsid w:val="00900220"/>
    <w:rsid w:val="009009CC"/>
    <w:rsid w:val="00900FDF"/>
    <w:rsid w:val="00901254"/>
    <w:rsid w:val="009015C2"/>
    <w:rsid w:val="009018BE"/>
    <w:rsid w:val="00901CC7"/>
    <w:rsid w:val="0090219A"/>
    <w:rsid w:val="009025EB"/>
    <w:rsid w:val="0090323A"/>
    <w:rsid w:val="00903F93"/>
    <w:rsid w:val="0090487D"/>
    <w:rsid w:val="00904DF5"/>
    <w:rsid w:val="00904F59"/>
    <w:rsid w:val="00907F4D"/>
    <w:rsid w:val="00910206"/>
    <w:rsid w:val="009103FC"/>
    <w:rsid w:val="00910B67"/>
    <w:rsid w:val="00910B78"/>
    <w:rsid w:val="00913010"/>
    <w:rsid w:val="009130CB"/>
    <w:rsid w:val="00914A87"/>
    <w:rsid w:val="0091713C"/>
    <w:rsid w:val="00920205"/>
    <w:rsid w:val="00920F46"/>
    <w:rsid w:val="0092245F"/>
    <w:rsid w:val="00922E47"/>
    <w:rsid w:val="009246D4"/>
    <w:rsid w:val="00924749"/>
    <w:rsid w:val="0092499B"/>
    <w:rsid w:val="00925504"/>
    <w:rsid w:val="00925AA0"/>
    <w:rsid w:val="009264C0"/>
    <w:rsid w:val="00926CD9"/>
    <w:rsid w:val="00931B48"/>
    <w:rsid w:val="00932139"/>
    <w:rsid w:val="00933AE8"/>
    <w:rsid w:val="00935DCD"/>
    <w:rsid w:val="00936317"/>
    <w:rsid w:val="00936A26"/>
    <w:rsid w:val="00936BD3"/>
    <w:rsid w:val="009408E6"/>
    <w:rsid w:val="00941545"/>
    <w:rsid w:val="00942286"/>
    <w:rsid w:val="009428DC"/>
    <w:rsid w:val="00942907"/>
    <w:rsid w:val="00943821"/>
    <w:rsid w:val="00943B54"/>
    <w:rsid w:val="0094446A"/>
    <w:rsid w:val="00944C4F"/>
    <w:rsid w:val="00945783"/>
    <w:rsid w:val="00946305"/>
    <w:rsid w:val="0094667F"/>
    <w:rsid w:val="00947AEE"/>
    <w:rsid w:val="00950721"/>
    <w:rsid w:val="0095090E"/>
    <w:rsid w:val="00950AAF"/>
    <w:rsid w:val="00950B51"/>
    <w:rsid w:val="00950B91"/>
    <w:rsid w:val="00950C47"/>
    <w:rsid w:val="00951712"/>
    <w:rsid w:val="00951F67"/>
    <w:rsid w:val="009530EE"/>
    <w:rsid w:val="009544FD"/>
    <w:rsid w:val="00955777"/>
    <w:rsid w:val="00956EFF"/>
    <w:rsid w:val="0095729C"/>
    <w:rsid w:val="00957782"/>
    <w:rsid w:val="00957AB0"/>
    <w:rsid w:val="00957DD6"/>
    <w:rsid w:val="00957F9A"/>
    <w:rsid w:val="0096053A"/>
    <w:rsid w:val="00960568"/>
    <w:rsid w:val="00960ED8"/>
    <w:rsid w:val="00960FE1"/>
    <w:rsid w:val="00961735"/>
    <w:rsid w:val="009619B1"/>
    <w:rsid w:val="00961CDA"/>
    <w:rsid w:val="009636A4"/>
    <w:rsid w:val="00963BD1"/>
    <w:rsid w:val="0096436F"/>
    <w:rsid w:val="009652C9"/>
    <w:rsid w:val="009654C3"/>
    <w:rsid w:val="00966609"/>
    <w:rsid w:val="00966D6C"/>
    <w:rsid w:val="00967314"/>
    <w:rsid w:val="00967EC2"/>
    <w:rsid w:val="00970533"/>
    <w:rsid w:val="00970679"/>
    <w:rsid w:val="0097076D"/>
    <w:rsid w:val="00970D0D"/>
    <w:rsid w:val="00971823"/>
    <w:rsid w:val="00971DE5"/>
    <w:rsid w:val="0097243C"/>
    <w:rsid w:val="009729BD"/>
    <w:rsid w:val="00973523"/>
    <w:rsid w:val="00973ECF"/>
    <w:rsid w:val="00975244"/>
    <w:rsid w:val="00975301"/>
    <w:rsid w:val="00976F13"/>
    <w:rsid w:val="009772C7"/>
    <w:rsid w:val="009775A2"/>
    <w:rsid w:val="00977ABC"/>
    <w:rsid w:val="0098054F"/>
    <w:rsid w:val="00980DA7"/>
    <w:rsid w:val="00981023"/>
    <w:rsid w:val="0098122B"/>
    <w:rsid w:val="00981338"/>
    <w:rsid w:val="0098341C"/>
    <w:rsid w:val="00983535"/>
    <w:rsid w:val="0098373E"/>
    <w:rsid w:val="00985923"/>
    <w:rsid w:val="009861DA"/>
    <w:rsid w:val="00987075"/>
    <w:rsid w:val="00990EF6"/>
    <w:rsid w:val="00991190"/>
    <w:rsid w:val="00992842"/>
    <w:rsid w:val="009940BB"/>
    <w:rsid w:val="009948C8"/>
    <w:rsid w:val="009949DD"/>
    <w:rsid w:val="00994DC9"/>
    <w:rsid w:val="00994F2E"/>
    <w:rsid w:val="0099518C"/>
    <w:rsid w:val="00995767"/>
    <w:rsid w:val="00996645"/>
    <w:rsid w:val="00997076"/>
    <w:rsid w:val="009A0397"/>
    <w:rsid w:val="009A14E4"/>
    <w:rsid w:val="009A2584"/>
    <w:rsid w:val="009A33A6"/>
    <w:rsid w:val="009A3ECF"/>
    <w:rsid w:val="009A4796"/>
    <w:rsid w:val="009A4AD0"/>
    <w:rsid w:val="009A4EB9"/>
    <w:rsid w:val="009A5591"/>
    <w:rsid w:val="009A587E"/>
    <w:rsid w:val="009A68FA"/>
    <w:rsid w:val="009A761A"/>
    <w:rsid w:val="009A7983"/>
    <w:rsid w:val="009A7E05"/>
    <w:rsid w:val="009A7F18"/>
    <w:rsid w:val="009B00F2"/>
    <w:rsid w:val="009B0A92"/>
    <w:rsid w:val="009B0B46"/>
    <w:rsid w:val="009B103C"/>
    <w:rsid w:val="009B119C"/>
    <w:rsid w:val="009B12F1"/>
    <w:rsid w:val="009B1694"/>
    <w:rsid w:val="009B1DE0"/>
    <w:rsid w:val="009B2E71"/>
    <w:rsid w:val="009B323F"/>
    <w:rsid w:val="009B3A38"/>
    <w:rsid w:val="009B4485"/>
    <w:rsid w:val="009B49A9"/>
    <w:rsid w:val="009B52FA"/>
    <w:rsid w:val="009B5375"/>
    <w:rsid w:val="009C02A2"/>
    <w:rsid w:val="009C102C"/>
    <w:rsid w:val="009C1180"/>
    <w:rsid w:val="009C14DC"/>
    <w:rsid w:val="009C180D"/>
    <w:rsid w:val="009C258E"/>
    <w:rsid w:val="009C417F"/>
    <w:rsid w:val="009C454F"/>
    <w:rsid w:val="009C54DE"/>
    <w:rsid w:val="009C5872"/>
    <w:rsid w:val="009C6F2C"/>
    <w:rsid w:val="009C7A46"/>
    <w:rsid w:val="009C7B26"/>
    <w:rsid w:val="009D09A8"/>
    <w:rsid w:val="009D4BE6"/>
    <w:rsid w:val="009D53A1"/>
    <w:rsid w:val="009D60BA"/>
    <w:rsid w:val="009D651D"/>
    <w:rsid w:val="009D71B3"/>
    <w:rsid w:val="009D76F6"/>
    <w:rsid w:val="009D7CCE"/>
    <w:rsid w:val="009D7EB5"/>
    <w:rsid w:val="009E0204"/>
    <w:rsid w:val="009E13CE"/>
    <w:rsid w:val="009E2474"/>
    <w:rsid w:val="009E2C68"/>
    <w:rsid w:val="009E33B0"/>
    <w:rsid w:val="009E430F"/>
    <w:rsid w:val="009E4EBE"/>
    <w:rsid w:val="009E50CF"/>
    <w:rsid w:val="009E73C8"/>
    <w:rsid w:val="009F08BB"/>
    <w:rsid w:val="009F20C9"/>
    <w:rsid w:val="009F2251"/>
    <w:rsid w:val="009F22E8"/>
    <w:rsid w:val="009F265E"/>
    <w:rsid w:val="009F2B68"/>
    <w:rsid w:val="009F37FF"/>
    <w:rsid w:val="009F3B8D"/>
    <w:rsid w:val="009F465C"/>
    <w:rsid w:val="009F4757"/>
    <w:rsid w:val="009F5633"/>
    <w:rsid w:val="009F6B5C"/>
    <w:rsid w:val="009F7A2F"/>
    <w:rsid w:val="00A00025"/>
    <w:rsid w:val="00A00802"/>
    <w:rsid w:val="00A00CBA"/>
    <w:rsid w:val="00A016DE"/>
    <w:rsid w:val="00A01F02"/>
    <w:rsid w:val="00A0212E"/>
    <w:rsid w:val="00A0223F"/>
    <w:rsid w:val="00A0342A"/>
    <w:rsid w:val="00A044EC"/>
    <w:rsid w:val="00A054B0"/>
    <w:rsid w:val="00A061ED"/>
    <w:rsid w:val="00A065C8"/>
    <w:rsid w:val="00A067F7"/>
    <w:rsid w:val="00A06A94"/>
    <w:rsid w:val="00A070A2"/>
    <w:rsid w:val="00A10A2E"/>
    <w:rsid w:val="00A12E36"/>
    <w:rsid w:val="00A14257"/>
    <w:rsid w:val="00A17836"/>
    <w:rsid w:val="00A17F95"/>
    <w:rsid w:val="00A20CD4"/>
    <w:rsid w:val="00A20DCC"/>
    <w:rsid w:val="00A21886"/>
    <w:rsid w:val="00A221F7"/>
    <w:rsid w:val="00A2322C"/>
    <w:rsid w:val="00A235A3"/>
    <w:rsid w:val="00A25261"/>
    <w:rsid w:val="00A25EF3"/>
    <w:rsid w:val="00A261E4"/>
    <w:rsid w:val="00A3046A"/>
    <w:rsid w:val="00A31330"/>
    <w:rsid w:val="00A3158C"/>
    <w:rsid w:val="00A3173C"/>
    <w:rsid w:val="00A31B70"/>
    <w:rsid w:val="00A323B4"/>
    <w:rsid w:val="00A32D8E"/>
    <w:rsid w:val="00A33537"/>
    <w:rsid w:val="00A33541"/>
    <w:rsid w:val="00A33E71"/>
    <w:rsid w:val="00A347A8"/>
    <w:rsid w:val="00A34826"/>
    <w:rsid w:val="00A35664"/>
    <w:rsid w:val="00A35FC9"/>
    <w:rsid w:val="00A40930"/>
    <w:rsid w:val="00A40C0C"/>
    <w:rsid w:val="00A40FDA"/>
    <w:rsid w:val="00A41076"/>
    <w:rsid w:val="00A4216A"/>
    <w:rsid w:val="00A42812"/>
    <w:rsid w:val="00A42D56"/>
    <w:rsid w:val="00A42EBB"/>
    <w:rsid w:val="00A43952"/>
    <w:rsid w:val="00A45159"/>
    <w:rsid w:val="00A45BDD"/>
    <w:rsid w:val="00A46CD2"/>
    <w:rsid w:val="00A47441"/>
    <w:rsid w:val="00A4766E"/>
    <w:rsid w:val="00A47E15"/>
    <w:rsid w:val="00A50AC9"/>
    <w:rsid w:val="00A5136F"/>
    <w:rsid w:val="00A5271A"/>
    <w:rsid w:val="00A52B00"/>
    <w:rsid w:val="00A53C3B"/>
    <w:rsid w:val="00A53E01"/>
    <w:rsid w:val="00A549D3"/>
    <w:rsid w:val="00A54CB6"/>
    <w:rsid w:val="00A55A20"/>
    <w:rsid w:val="00A55F30"/>
    <w:rsid w:val="00A55FD2"/>
    <w:rsid w:val="00A561A1"/>
    <w:rsid w:val="00A565D2"/>
    <w:rsid w:val="00A56A35"/>
    <w:rsid w:val="00A56FA2"/>
    <w:rsid w:val="00A57DC1"/>
    <w:rsid w:val="00A60EAB"/>
    <w:rsid w:val="00A611EA"/>
    <w:rsid w:val="00A615E5"/>
    <w:rsid w:val="00A61744"/>
    <w:rsid w:val="00A61E91"/>
    <w:rsid w:val="00A63577"/>
    <w:rsid w:val="00A6371E"/>
    <w:rsid w:val="00A63928"/>
    <w:rsid w:val="00A63B72"/>
    <w:rsid w:val="00A65091"/>
    <w:rsid w:val="00A6544A"/>
    <w:rsid w:val="00A65463"/>
    <w:rsid w:val="00A66028"/>
    <w:rsid w:val="00A6679D"/>
    <w:rsid w:val="00A66D5C"/>
    <w:rsid w:val="00A67FE5"/>
    <w:rsid w:val="00A70249"/>
    <w:rsid w:val="00A70F67"/>
    <w:rsid w:val="00A71348"/>
    <w:rsid w:val="00A71467"/>
    <w:rsid w:val="00A715CD"/>
    <w:rsid w:val="00A71DD0"/>
    <w:rsid w:val="00A73304"/>
    <w:rsid w:val="00A7442F"/>
    <w:rsid w:val="00A749C9"/>
    <w:rsid w:val="00A75378"/>
    <w:rsid w:val="00A7547F"/>
    <w:rsid w:val="00A7550B"/>
    <w:rsid w:val="00A767E8"/>
    <w:rsid w:val="00A77131"/>
    <w:rsid w:val="00A77730"/>
    <w:rsid w:val="00A77D2B"/>
    <w:rsid w:val="00A8244D"/>
    <w:rsid w:val="00A8269F"/>
    <w:rsid w:val="00A82AB2"/>
    <w:rsid w:val="00A82FF6"/>
    <w:rsid w:val="00A835D7"/>
    <w:rsid w:val="00A83F0B"/>
    <w:rsid w:val="00A84A3C"/>
    <w:rsid w:val="00A84A8B"/>
    <w:rsid w:val="00A860F2"/>
    <w:rsid w:val="00A86828"/>
    <w:rsid w:val="00A90318"/>
    <w:rsid w:val="00A9057A"/>
    <w:rsid w:val="00A90E90"/>
    <w:rsid w:val="00A91632"/>
    <w:rsid w:val="00A91AB7"/>
    <w:rsid w:val="00A91FEF"/>
    <w:rsid w:val="00A921C3"/>
    <w:rsid w:val="00A92EB1"/>
    <w:rsid w:val="00A934D2"/>
    <w:rsid w:val="00A935A4"/>
    <w:rsid w:val="00A937A1"/>
    <w:rsid w:val="00A94904"/>
    <w:rsid w:val="00A95473"/>
    <w:rsid w:val="00A9596A"/>
    <w:rsid w:val="00A95970"/>
    <w:rsid w:val="00A95AE2"/>
    <w:rsid w:val="00A95F7E"/>
    <w:rsid w:val="00A961C2"/>
    <w:rsid w:val="00A9783A"/>
    <w:rsid w:val="00AA037B"/>
    <w:rsid w:val="00AA16FD"/>
    <w:rsid w:val="00AA1D9B"/>
    <w:rsid w:val="00AA1FD4"/>
    <w:rsid w:val="00AA2CF4"/>
    <w:rsid w:val="00AA2EC6"/>
    <w:rsid w:val="00AA3DDC"/>
    <w:rsid w:val="00AA4671"/>
    <w:rsid w:val="00AA4BA7"/>
    <w:rsid w:val="00AA4F4A"/>
    <w:rsid w:val="00AA5FFC"/>
    <w:rsid w:val="00AA647C"/>
    <w:rsid w:val="00AA7363"/>
    <w:rsid w:val="00AA7CBA"/>
    <w:rsid w:val="00AB033A"/>
    <w:rsid w:val="00AB0C53"/>
    <w:rsid w:val="00AB17D2"/>
    <w:rsid w:val="00AB1D7D"/>
    <w:rsid w:val="00AB305C"/>
    <w:rsid w:val="00AB34ED"/>
    <w:rsid w:val="00AB3D0A"/>
    <w:rsid w:val="00AB4186"/>
    <w:rsid w:val="00AB4C06"/>
    <w:rsid w:val="00AB58F6"/>
    <w:rsid w:val="00AB5C52"/>
    <w:rsid w:val="00AB5EA4"/>
    <w:rsid w:val="00AB727E"/>
    <w:rsid w:val="00AC0098"/>
    <w:rsid w:val="00AC03C4"/>
    <w:rsid w:val="00AC0412"/>
    <w:rsid w:val="00AC1302"/>
    <w:rsid w:val="00AC14E9"/>
    <w:rsid w:val="00AC156E"/>
    <w:rsid w:val="00AC1D49"/>
    <w:rsid w:val="00AC2543"/>
    <w:rsid w:val="00AC2EBF"/>
    <w:rsid w:val="00AC3905"/>
    <w:rsid w:val="00AC392F"/>
    <w:rsid w:val="00AC49F7"/>
    <w:rsid w:val="00AC4EE6"/>
    <w:rsid w:val="00AC51EB"/>
    <w:rsid w:val="00AC6A7F"/>
    <w:rsid w:val="00AC7F03"/>
    <w:rsid w:val="00AD0910"/>
    <w:rsid w:val="00AD0B71"/>
    <w:rsid w:val="00AD132D"/>
    <w:rsid w:val="00AD1AD9"/>
    <w:rsid w:val="00AD20DE"/>
    <w:rsid w:val="00AD2307"/>
    <w:rsid w:val="00AD248C"/>
    <w:rsid w:val="00AD2DFC"/>
    <w:rsid w:val="00AD2E47"/>
    <w:rsid w:val="00AD3393"/>
    <w:rsid w:val="00AD3530"/>
    <w:rsid w:val="00AD461B"/>
    <w:rsid w:val="00AD5104"/>
    <w:rsid w:val="00AD6AF0"/>
    <w:rsid w:val="00AD6C99"/>
    <w:rsid w:val="00AD6F64"/>
    <w:rsid w:val="00AD6FC7"/>
    <w:rsid w:val="00AD755F"/>
    <w:rsid w:val="00AD7703"/>
    <w:rsid w:val="00AD77DD"/>
    <w:rsid w:val="00AD7AB2"/>
    <w:rsid w:val="00AE130A"/>
    <w:rsid w:val="00AE2999"/>
    <w:rsid w:val="00AE34DB"/>
    <w:rsid w:val="00AE5B12"/>
    <w:rsid w:val="00AF0B7A"/>
    <w:rsid w:val="00AF0F59"/>
    <w:rsid w:val="00AF1457"/>
    <w:rsid w:val="00AF23E9"/>
    <w:rsid w:val="00AF284D"/>
    <w:rsid w:val="00AF2CA4"/>
    <w:rsid w:val="00AF33CC"/>
    <w:rsid w:val="00AF3FA6"/>
    <w:rsid w:val="00AF42F6"/>
    <w:rsid w:val="00AF5582"/>
    <w:rsid w:val="00AF6043"/>
    <w:rsid w:val="00AF6890"/>
    <w:rsid w:val="00AF7D5E"/>
    <w:rsid w:val="00B00FA4"/>
    <w:rsid w:val="00B0171C"/>
    <w:rsid w:val="00B022EA"/>
    <w:rsid w:val="00B02B78"/>
    <w:rsid w:val="00B03ECA"/>
    <w:rsid w:val="00B0419A"/>
    <w:rsid w:val="00B04468"/>
    <w:rsid w:val="00B04F1D"/>
    <w:rsid w:val="00B05426"/>
    <w:rsid w:val="00B06D96"/>
    <w:rsid w:val="00B07728"/>
    <w:rsid w:val="00B1186F"/>
    <w:rsid w:val="00B13441"/>
    <w:rsid w:val="00B13517"/>
    <w:rsid w:val="00B142BC"/>
    <w:rsid w:val="00B1444A"/>
    <w:rsid w:val="00B14DA0"/>
    <w:rsid w:val="00B16675"/>
    <w:rsid w:val="00B16A60"/>
    <w:rsid w:val="00B17464"/>
    <w:rsid w:val="00B17791"/>
    <w:rsid w:val="00B17E9C"/>
    <w:rsid w:val="00B2144C"/>
    <w:rsid w:val="00B2145B"/>
    <w:rsid w:val="00B22010"/>
    <w:rsid w:val="00B22225"/>
    <w:rsid w:val="00B22E54"/>
    <w:rsid w:val="00B22F22"/>
    <w:rsid w:val="00B2353D"/>
    <w:rsid w:val="00B24652"/>
    <w:rsid w:val="00B24913"/>
    <w:rsid w:val="00B24A7E"/>
    <w:rsid w:val="00B25061"/>
    <w:rsid w:val="00B25560"/>
    <w:rsid w:val="00B25AD1"/>
    <w:rsid w:val="00B30803"/>
    <w:rsid w:val="00B30A4A"/>
    <w:rsid w:val="00B31228"/>
    <w:rsid w:val="00B331E9"/>
    <w:rsid w:val="00B33641"/>
    <w:rsid w:val="00B339D0"/>
    <w:rsid w:val="00B33F24"/>
    <w:rsid w:val="00B34383"/>
    <w:rsid w:val="00B346FF"/>
    <w:rsid w:val="00B34FA5"/>
    <w:rsid w:val="00B356A0"/>
    <w:rsid w:val="00B35C91"/>
    <w:rsid w:val="00B35CDE"/>
    <w:rsid w:val="00B37CF6"/>
    <w:rsid w:val="00B40279"/>
    <w:rsid w:val="00B4028E"/>
    <w:rsid w:val="00B40637"/>
    <w:rsid w:val="00B407D4"/>
    <w:rsid w:val="00B40B03"/>
    <w:rsid w:val="00B41A4F"/>
    <w:rsid w:val="00B41DBE"/>
    <w:rsid w:val="00B420FA"/>
    <w:rsid w:val="00B42327"/>
    <w:rsid w:val="00B42AC2"/>
    <w:rsid w:val="00B42E4E"/>
    <w:rsid w:val="00B42FCF"/>
    <w:rsid w:val="00B436FE"/>
    <w:rsid w:val="00B438EA"/>
    <w:rsid w:val="00B43A3C"/>
    <w:rsid w:val="00B44BC2"/>
    <w:rsid w:val="00B450D4"/>
    <w:rsid w:val="00B45144"/>
    <w:rsid w:val="00B454EB"/>
    <w:rsid w:val="00B45CFE"/>
    <w:rsid w:val="00B4735F"/>
    <w:rsid w:val="00B474AF"/>
    <w:rsid w:val="00B47562"/>
    <w:rsid w:val="00B47B95"/>
    <w:rsid w:val="00B50A7F"/>
    <w:rsid w:val="00B50AA0"/>
    <w:rsid w:val="00B50AF4"/>
    <w:rsid w:val="00B51636"/>
    <w:rsid w:val="00B517E9"/>
    <w:rsid w:val="00B51BC6"/>
    <w:rsid w:val="00B5266C"/>
    <w:rsid w:val="00B5360A"/>
    <w:rsid w:val="00B53C20"/>
    <w:rsid w:val="00B54408"/>
    <w:rsid w:val="00B548E9"/>
    <w:rsid w:val="00B55F1D"/>
    <w:rsid w:val="00B56CC7"/>
    <w:rsid w:val="00B616A3"/>
    <w:rsid w:val="00B62923"/>
    <w:rsid w:val="00B63562"/>
    <w:rsid w:val="00B63C7D"/>
    <w:rsid w:val="00B652D8"/>
    <w:rsid w:val="00B653F8"/>
    <w:rsid w:val="00B65819"/>
    <w:rsid w:val="00B65DE1"/>
    <w:rsid w:val="00B66237"/>
    <w:rsid w:val="00B664DF"/>
    <w:rsid w:val="00B66F9A"/>
    <w:rsid w:val="00B66FB3"/>
    <w:rsid w:val="00B70C17"/>
    <w:rsid w:val="00B70F63"/>
    <w:rsid w:val="00B71120"/>
    <w:rsid w:val="00B7245A"/>
    <w:rsid w:val="00B73521"/>
    <w:rsid w:val="00B743E0"/>
    <w:rsid w:val="00B74446"/>
    <w:rsid w:val="00B76B41"/>
    <w:rsid w:val="00B76E5B"/>
    <w:rsid w:val="00B77165"/>
    <w:rsid w:val="00B8018D"/>
    <w:rsid w:val="00B80773"/>
    <w:rsid w:val="00B808E7"/>
    <w:rsid w:val="00B8293E"/>
    <w:rsid w:val="00B82D13"/>
    <w:rsid w:val="00B832A3"/>
    <w:rsid w:val="00B837E8"/>
    <w:rsid w:val="00B83885"/>
    <w:rsid w:val="00B83E51"/>
    <w:rsid w:val="00B83F2B"/>
    <w:rsid w:val="00B84B1E"/>
    <w:rsid w:val="00B85358"/>
    <w:rsid w:val="00B86753"/>
    <w:rsid w:val="00B86A87"/>
    <w:rsid w:val="00B902A4"/>
    <w:rsid w:val="00B90609"/>
    <w:rsid w:val="00B90BBF"/>
    <w:rsid w:val="00B93E3D"/>
    <w:rsid w:val="00B94F69"/>
    <w:rsid w:val="00B95BAC"/>
    <w:rsid w:val="00B97055"/>
    <w:rsid w:val="00B97EBD"/>
    <w:rsid w:val="00BA0000"/>
    <w:rsid w:val="00BA053C"/>
    <w:rsid w:val="00BA0A14"/>
    <w:rsid w:val="00BA18B0"/>
    <w:rsid w:val="00BA19BC"/>
    <w:rsid w:val="00BA2B08"/>
    <w:rsid w:val="00BA3062"/>
    <w:rsid w:val="00BA3F56"/>
    <w:rsid w:val="00BA560B"/>
    <w:rsid w:val="00BA6175"/>
    <w:rsid w:val="00BA70E2"/>
    <w:rsid w:val="00BA778B"/>
    <w:rsid w:val="00BA79B7"/>
    <w:rsid w:val="00BA7E65"/>
    <w:rsid w:val="00BB016B"/>
    <w:rsid w:val="00BB034C"/>
    <w:rsid w:val="00BB25B0"/>
    <w:rsid w:val="00BB2B3F"/>
    <w:rsid w:val="00BB30A3"/>
    <w:rsid w:val="00BB32F7"/>
    <w:rsid w:val="00BB38A5"/>
    <w:rsid w:val="00BB3AAC"/>
    <w:rsid w:val="00BB5DC7"/>
    <w:rsid w:val="00BB651F"/>
    <w:rsid w:val="00BC1629"/>
    <w:rsid w:val="00BC2DBD"/>
    <w:rsid w:val="00BC3186"/>
    <w:rsid w:val="00BC3948"/>
    <w:rsid w:val="00BC3BFD"/>
    <w:rsid w:val="00BC485F"/>
    <w:rsid w:val="00BC545B"/>
    <w:rsid w:val="00BC5EE6"/>
    <w:rsid w:val="00BC6743"/>
    <w:rsid w:val="00BC688B"/>
    <w:rsid w:val="00BC79A3"/>
    <w:rsid w:val="00BC79A8"/>
    <w:rsid w:val="00BD0720"/>
    <w:rsid w:val="00BD0831"/>
    <w:rsid w:val="00BD0978"/>
    <w:rsid w:val="00BD118D"/>
    <w:rsid w:val="00BD2A68"/>
    <w:rsid w:val="00BD35CD"/>
    <w:rsid w:val="00BD35CE"/>
    <w:rsid w:val="00BD36C3"/>
    <w:rsid w:val="00BD4380"/>
    <w:rsid w:val="00BD442D"/>
    <w:rsid w:val="00BD4C55"/>
    <w:rsid w:val="00BD5331"/>
    <w:rsid w:val="00BD68B4"/>
    <w:rsid w:val="00BD6B6E"/>
    <w:rsid w:val="00BD6BB6"/>
    <w:rsid w:val="00BD7D53"/>
    <w:rsid w:val="00BE14F3"/>
    <w:rsid w:val="00BE1521"/>
    <w:rsid w:val="00BE17E0"/>
    <w:rsid w:val="00BE2870"/>
    <w:rsid w:val="00BE4701"/>
    <w:rsid w:val="00BE527B"/>
    <w:rsid w:val="00BE5A0D"/>
    <w:rsid w:val="00BE63D1"/>
    <w:rsid w:val="00BE6906"/>
    <w:rsid w:val="00BE78AB"/>
    <w:rsid w:val="00BF0A45"/>
    <w:rsid w:val="00BF23DE"/>
    <w:rsid w:val="00BF34E4"/>
    <w:rsid w:val="00BF358A"/>
    <w:rsid w:val="00BF3C0C"/>
    <w:rsid w:val="00BF3EFE"/>
    <w:rsid w:val="00BF4EB1"/>
    <w:rsid w:val="00BF5737"/>
    <w:rsid w:val="00BF7D2A"/>
    <w:rsid w:val="00C00BF0"/>
    <w:rsid w:val="00C01783"/>
    <w:rsid w:val="00C02273"/>
    <w:rsid w:val="00C02AD4"/>
    <w:rsid w:val="00C02BAD"/>
    <w:rsid w:val="00C031E0"/>
    <w:rsid w:val="00C05766"/>
    <w:rsid w:val="00C05798"/>
    <w:rsid w:val="00C06963"/>
    <w:rsid w:val="00C1019D"/>
    <w:rsid w:val="00C10E84"/>
    <w:rsid w:val="00C11085"/>
    <w:rsid w:val="00C1161C"/>
    <w:rsid w:val="00C11854"/>
    <w:rsid w:val="00C123BF"/>
    <w:rsid w:val="00C13B78"/>
    <w:rsid w:val="00C13DF3"/>
    <w:rsid w:val="00C140E2"/>
    <w:rsid w:val="00C1413F"/>
    <w:rsid w:val="00C151F5"/>
    <w:rsid w:val="00C1524A"/>
    <w:rsid w:val="00C1526F"/>
    <w:rsid w:val="00C15A88"/>
    <w:rsid w:val="00C1694D"/>
    <w:rsid w:val="00C174D3"/>
    <w:rsid w:val="00C17670"/>
    <w:rsid w:val="00C17F06"/>
    <w:rsid w:val="00C20205"/>
    <w:rsid w:val="00C2043E"/>
    <w:rsid w:val="00C20744"/>
    <w:rsid w:val="00C214C1"/>
    <w:rsid w:val="00C2357A"/>
    <w:rsid w:val="00C24193"/>
    <w:rsid w:val="00C244FC"/>
    <w:rsid w:val="00C251B9"/>
    <w:rsid w:val="00C313B9"/>
    <w:rsid w:val="00C318EA"/>
    <w:rsid w:val="00C31C6D"/>
    <w:rsid w:val="00C33CB4"/>
    <w:rsid w:val="00C342DA"/>
    <w:rsid w:val="00C343BF"/>
    <w:rsid w:val="00C35347"/>
    <w:rsid w:val="00C3631A"/>
    <w:rsid w:val="00C36BB4"/>
    <w:rsid w:val="00C402D9"/>
    <w:rsid w:val="00C405C8"/>
    <w:rsid w:val="00C40D1E"/>
    <w:rsid w:val="00C413EA"/>
    <w:rsid w:val="00C418EB"/>
    <w:rsid w:val="00C42739"/>
    <w:rsid w:val="00C43A82"/>
    <w:rsid w:val="00C44803"/>
    <w:rsid w:val="00C44AB7"/>
    <w:rsid w:val="00C44F62"/>
    <w:rsid w:val="00C46B32"/>
    <w:rsid w:val="00C512DF"/>
    <w:rsid w:val="00C51470"/>
    <w:rsid w:val="00C51506"/>
    <w:rsid w:val="00C52224"/>
    <w:rsid w:val="00C52B53"/>
    <w:rsid w:val="00C53078"/>
    <w:rsid w:val="00C53366"/>
    <w:rsid w:val="00C536E5"/>
    <w:rsid w:val="00C53D61"/>
    <w:rsid w:val="00C54703"/>
    <w:rsid w:val="00C54E52"/>
    <w:rsid w:val="00C56184"/>
    <w:rsid w:val="00C56621"/>
    <w:rsid w:val="00C56660"/>
    <w:rsid w:val="00C56A6F"/>
    <w:rsid w:val="00C6049B"/>
    <w:rsid w:val="00C60726"/>
    <w:rsid w:val="00C61B9F"/>
    <w:rsid w:val="00C6254B"/>
    <w:rsid w:val="00C62E16"/>
    <w:rsid w:val="00C63502"/>
    <w:rsid w:val="00C642CB"/>
    <w:rsid w:val="00C6432A"/>
    <w:rsid w:val="00C662A1"/>
    <w:rsid w:val="00C669C0"/>
    <w:rsid w:val="00C67B28"/>
    <w:rsid w:val="00C70427"/>
    <w:rsid w:val="00C72BF0"/>
    <w:rsid w:val="00C734A1"/>
    <w:rsid w:val="00C73922"/>
    <w:rsid w:val="00C74AD6"/>
    <w:rsid w:val="00C800E6"/>
    <w:rsid w:val="00C80D06"/>
    <w:rsid w:val="00C81843"/>
    <w:rsid w:val="00C819A2"/>
    <w:rsid w:val="00C81F37"/>
    <w:rsid w:val="00C82DDB"/>
    <w:rsid w:val="00C8336A"/>
    <w:rsid w:val="00C83664"/>
    <w:rsid w:val="00C83B88"/>
    <w:rsid w:val="00C83E9A"/>
    <w:rsid w:val="00C84E19"/>
    <w:rsid w:val="00C8506B"/>
    <w:rsid w:val="00C85C48"/>
    <w:rsid w:val="00C8781B"/>
    <w:rsid w:val="00C90C8D"/>
    <w:rsid w:val="00C90F0C"/>
    <w:rsid w:val="00C9192C"/>
    <w:rsid w:val="00C93EBE"/>
    <w:rsid w:val="00C9428C"/>
    <w:rsid w:val="00C94FF3"/>
    <w:rsid w:val="00C95FB6"/>
    <w:rsid w:val="00C9721B"/>
    <w:rsid w:val="00C97739"/>
    <w:rsid w:val="00CA085D"/>
    <w:rsid w:val="00CA0C78"/>
    <w:rsid w:val="00CA0D01"/>
    <w:rsid w:val="00CA1621"/>
    <w:rsid w:val="00CA39E8"/>
    <w:rsid w:val="00CA415C"/>
    <w:rsid w:val="00CA41E7"/>
    <w:rsid w:val="00CA57AA"/>
    <w:rsid w:val="00CA58ED"/>
    <w:rsid w:val="00CA6C40"/>
    <w:rsid w:val="00CA7E0E"/>
    <w:rsid w:val="00CB1983"/>
    <w:rsid w:val="00CB38E6"/>
    <w:rsid w:val="00CB3DA2"/>
    <w:rsid w:val="00CB5339"/>
    <w:rsid w:val="00CB57AA"/>
    <w:rsid w:val="00CB5918"/>
    <w:rsid w:val="00CB5E9F"/>
    <w:rsid w:val="00CB6393"/>
    <w:rsid w:val="00CB6A06"/>
    <w:rsid w:val="00CC1503"/>
    <w:rsid w:val="00CC350A"/>
    <w:rsid w:val="00CC4500"/>
    <w:rsid w:val="00CC6412"/>
    <w:rsid w:val="00CC73A6"/>
    <w:rsid w:val="00CC7AD4"/>
    <w:rsid w:val="00CD0D44"/>
    <w:rsid w:val="00CD206D"/>
    <w:rsid w:val="00CD233E"/>
    <w:rsid w:val="00CD268C"/>
    <w:rsid w:val="00CD3601"/>
    <w:rsid w:val="00CD3AC7"/>
    <w:rsid w:val="00CD4E8A"/>
    <w:rsid w:val="00CD67B8"/>
    <w:rsid w:val="00CD6B61"/>
    <w:rsid w:val="00CD727D"/>
    <w:rsid w:val="00CE1418"/>
    <w:rsid w:val="00CE192B"/>
    <w:rsid w:val="00CE1D20"/>
    <w:rsid w:val="00CE2116"/>
    <w:rsid w:val="00CE2259"/>
    <w:rsid w:val="00CE2AD5"/>
    <w:rsid w:val="00CE2E41"/>
    <w:rsid w:val="00CE2EC4"/>
    <w:rsid w:val="00CE2FB9"/>
    <w:rsid w:val="00CE3D1B"/>
    <w:rsid w:val="00CE4261"/>
    <w:rsid w:val="00CE510E"/>
    <w:rsid w:val="00CE5AF9"/>
    <w:rsid w:val="00CE7FA9"/>
    <w:rsid w:val="00CF019F"/>
    <w:rsid w:val="00CF0822"/>
    <w:rsid w:val="00CF1B7A"/>
    <w:rsid w:val="00CF1C5B"/>
    <w:rsid w:val="00CF1D2D"/>
    <w:rsid w:val="00CF2297"/>
    <w:rsid w:val="00CF2B2E"/>
    <w:rsid w:val="00CF3D1C"/>
    <w:rsid w:val="00CF4553"/>
    <w:rsid w:val="00CF47CA"/>
    <w:rsid w:val="00CF49F0"/>
    <w:rsid w:val="00CF4AD6"/>
    <w:rsid w:val="00CF587B"/>
    <w:rsid w:val="00CF6CFD"/>
    <w:rsid w:val="00CF7458"/>
    <w:rsid w:val="00CF7D14"/>
    <w:rsid w:val="00CF7E27"/>
    <w:rsid w:val="00D0083C"/>
    <w:rsid w:val="00D01272"/>
    <w:rsid w:val="00D01567"/>
    <w:rsid w:val="00D016C4"/>
    <w:rsid w:val="00D02D8B"/>
    <w:rsid w:val="00D03252"/>
    <w:rsid w:val="00D03284"/>
    <w:rsid w:val="00D04B0D"/>
    <w:rsid w:val="00D05208"/>
    <w:rsid w:val="00D064BF"/>
    <w:rsid w:val="00D0690A"/>
    <w:rsid w:val="00D06DDF"/>
    <w:rsid w:val="00D07339"/>
    <w:rsid w:val="00D07474"/>
    <w:rsid w:val="00D113E6"/>
    <w:rsid w:val="00D11838"/>
    <w:rsid w:val="00D13FB8"/>
    <w:rsid w:val="00D143FF"/>
    <w:rsid w:val="00D15F7B"/>
    <w:rsid w:val="00D15FBE"/>
    <w:rsid w:val="00D165AE"/>
    <w:rsid w:val="00D16FD5"/>
    <w:rsid w:val="00D17B95"/>
    <w:rsid w:val="00D21080"/>
    <w:rsid w:val="00D21909"/>
    <w:rsid w:val="00D22864"/>
    <w:rsid w:val="00D2580A"/>
    <w:rsid w:val="00D25C58"/>
    <w:rsid w:val="00D2685B"/>
    <w:rsid w:val="00D269AA"/>
    <w:rsid w:val="00D26EDC"/>
    <w:rsid w:val="00D2732E"/>
    <w:rsid w:val="00D302C7"/>
    <w:rsid w:val="00D3150A"/>
    <w:rsid w:val="00D31636"/>
    <w:rsid w:val="00D31AB4"/>
    <w:rsid w:val="00D32D54"/>
    <w:rsid w:val="00D34198"/>
    <w:rsid w:val="00D34C0C"/>
    <w:rsid w:val="00D36268"/>
    <w:rsid w:val="00D363AB"/>
    <w:rsid w:val="00D37F15"/>
    <w:rsid w:val="00D41F24"/>
    <w:rsid w:val="00D430D7"/>
    <w:rsid w:val="00D43643"/>
    <w:rsid w:val="00D439C0"/>
    <w:rsid w:val="00D44D2B"/>
    <w:rsid w:val="00D44FEC"/>
    <w:rsid w:val="00D458D0"/>
    <w:rsid w:val="00D471F4"/>
    <w:rsid w:val="00D472DC"/>
    <w:rsid w:val="00D47BE5"/>
    <w:rsid w:val="00D47DFF"/>
    <w:rsid w:val="00D5019E"/>
    <w:rsid w:val="00D50B84"/>
    <w:rsid w:val="00D513CB"/>
    <w:rsid w:val="00D518E5"/>
    <w:rsid w:val="00D5194E"/>
    <w:rsid w:val="00D51EE8"/>
    <w:rsid w:val="00D526FA"/>
    <w:rsid w:val="00D54904"/>
    <w:rsid w:val="00D559A6"/>
    <w:rsid w:val="00D55A07"/>
    <w:rsid w:val="00D5655E"/>
    <w:rsid w:val="00D565D1"/>
    <w:rsid w:val="00D56E98"/>
    <w:rsid w:val="00D57199"/>
    <w:rsid w:val="00D57755"/>
    <w:rsid w:val="00D577AC"/>
    <w:rsid w:val="00D57EDC"/>
    <w:rsid w:val="00D60A05"/>
    <w:rsid w:val="00D60C80"/>
    <w:rsid w:val="00D61578"/>
    <w:rsid w:val="00D61B4D"/>
    <w:rsid w:val="00D61BE6"/>
    <w:rsid w:val="00D67063"/>
    <w:rsid w:val="00D70405"/>
    <w:rsid w:val="00D70C60"/>
    <w:rsid w:val="00D70FE2"/>
    <w:rsid w:val="00D7121E"/>
    <w:rsid w:val="00D72449"/>
    <w:rsid w:val="00D72577"/>
    <w:rsid w:val="00D7552F"/>
    <w:rsid w:val="00D75872"/>
    <w:rsid w:val="00D75BD4"/>
    <w:rsid w:val="00D76042"/>
    <w:rsid w:val="00D76235"/>
    <w:rsid w:val="00D76326"/>
    <w:rsid w:val="00D76827"/>
    <w:rsid w:val="00D76B75"/>
    <w:rsid w:val="00D80D24"/>
    <w:rsid w:val="00D81149"/>
    <w:rsid w:val="00D81407"/>
    <w:rsid w:val="00D81535"/>
    <w:rsid w:val="00D82305"/>
    <w:rsid w:val="00D8331C"/>
    <w:rsid w:val="00D84293"/>
    <w:rsid w:val="00D84D26"/>
    <w:rsid w:val="00D84D56"/>
    <w:rsid w:val="00D868EF"/>
    <w:rsid w:val="00D86AA8"/>
    <w:rsid w:val="00D8761E"/>
    <w:rsid w:val="00D87AD8"/>
    <w:rsid w:val="00D87DAD"/>
    <w:rsid w:val="00D90865"/>
    <w:rsid w:val="00D91514"/>
    <w:rsid w:val="00D9247E"/>
    <w:rsid w:val="00D92E0F"/>
    <w:rsid w:val="00D93CEE"/>
    <w:rsid w:val="00D947A8"/>
    <w:rsid w:val="00D95FC1"/>
    <w:rsid w:val="00D9661C"/>
    <w:rsid w:val="00D970F9"/>
    <w:rsid w:val="00D97524"/>
    <w:rsid w:val="00DA0250"/>
    <w:rsid w:val="00DA0259"/>
    <w:rsid w:val="00DA0C82"/>
    <w:rsid w:val="00DA1008"/>
    <w:rsid w:val="00DA1615"/>
    <w:rsid w:val="00DA2E7B"/>
    <w:rsid w:val="00DA3479"/>
    <w:rsid w:val="00DA3C6C"/>
    <w:rsid w:val="00DA440A"/>
    <w:rsid w:val="00DA443F"/>
    <w:rsid w:val="00DA4FD5"/>
    <w:rsid w:val="00DA501B"/>
    <w:rsid w:val="00DA5503"/>
    <w:rsid w:val="00DA5784"/>
    <w:rsid w:val="00DA6811"/>
    <w:rsid w:val="00DA7C5B"/>
    <w:rsid w:val="00DA7DE1"/>
    <w:rsid w:val="00DA7EAC"/>
    <w:rsid w:val="00DB0B6A"/>
    <w:rsid w:val="00DB1F6B"/>
    <w:rsid w:val="00DB4DCF"/>
    <w:rsid w:val="00DB5637"/>
    <w:rsid w:val="00DB65E6"/>
    <w:rsid w:val="00DB6767"/>
    <w:rsid w:val="00DB69FD"/>
    <w:rsid w:val="00DB6A12"/>
    <w:rsid w:val="00DB7699"/>
    <w:rsid w:val="00DB7985"/>
    <w:rsid w:val="00DB7FE2"/>
    <w:rsid w:val="00DC0C3E"/>
    <w:rsid w:val="00DC3BFC"/>
    <w:rsid w:val="00DC4460"/>
    <w:rsid w:val="00DC58C5"/>
    <w:rsid w:val="00DC58F5"/>
    <w:rsid w:val="00DC65FE"/>
    <w:rsid w:val="00DC7807"/>
    <w:rsid w:val="00DC7B18"/>
    <w:rsid w:val="00DD0DE6"/>
    <w:rsid w:val="00DD1D0D"/>
    <w:rsid w:val="00DD1FF9"/>
    <w:rsid w:val="00DD2472"/>
    <w:rsid w:val="00DD2748"/>
    <w:rsid w:val="00DD3461"/>
    <w:rsid w:val="00DD3FE7"/>
    <w:rsid w:val="00DD4413"/>
    <w:rsid w:val="00DD5A5B"/>
    <w:rsid w:val="00DD5B6C"/>
    <w:rsid w:val="00DD6031"/>
    <w:rsid w:val="00DD6E4E"/>
    <w:rsid w:val="00DD70B7"/>
    <w:rsid w:val="00DD765C"/>
    <w:rsid w:val="00DD79C0"/>
    <w:rsid w:val="00DE1F6B"/>
    <w:rsid w:val="00DE261C"/>
    <w:rsid w:val="00DE26FC"/>
    <w:rsid w:val="00DE29EB"/>
    <w:rsid w:val="00DE2C51"/>
    <w:rsid w:val="00DE3B99"/>
    <w:rsid w:val="00DE3C9D"/>
    <w:rsid w:val="00DE4242"/>
    <w:rsid w:val="00DE4362"/>
    <w:rsid w:val="00DE4FE2"/>
    <w:rsid w:val="00DE50CE"/>
    <w:rsid w:val="00DE5CD1"/>
    <w:rsid w:val="00DE6A2B"/>
    <w:rsid w:val="00DE6C29"/>
    <w:rsid w:val="00DF01A1"/>
    <w:rsid w:val="00DF02CB"/>
    <w:rsid w:val="00DF0E8E"/>
    <w:rsid w:val="00DF1412"/>
    <w:rsid w:val="00DF1D59"/>
    <w:rsid w:val="00DF2749"/>
    <w:rsid w:val="00DF285A"/>
    <w:rsid w:val="00DF2EF1"/>
    <w:rsid w:val="00DF3361"/>
    <w:rsid w:val="00DF3D8F"/>
    <w:rsid w:val="00DF3E0B"/>
    <w:rsid w:val="00DF3F8A"/>
    <w:rsid w:val="00DF41AB"/>
    <w:rsid w:val="00DF4E24"/>
    <w:rsid w:val="00DF4EA1"/>
    <w:rsid w:val="00DF5311"/>
    <w:rsid w:val="00DF6098"/>
    <w:rsid w:val="00DF665D"/>
    <w:rsid w:val="00E006C2"/>
    <w:rsid w:val="00E0084B"/>
    <w:rsid w:val="00E008DB"/>
    <w:rsid w:val="00E00CA2"/>
    <w:rsid w:val="00E00EC9"/>
    <w:rsid w:val="00E0253B"/>
    <w:rsid w:val="00E02D0F"/>
    <w:rsid w:val="00E03A43"/>
    <w:rsid w:val="00E03BFD"/>
    <w:rsid w:val="00E04164"/>
    <w:rsid w:val="00E04908"/>
    <w:rsid w:val="00E056DA"/>
    <w:rsid w:val="00E05CFC"/>
    <w:rsid w:val="00E10548"/>
    <w:rsid w:val="00E10AA2"/>
    <w:rsid w:val="00E11361"/>
    <w:rsid w:val="00E114A7"/>
    <w:rsid w:val="00E116B9"/>
    <w:rsid w:val="00E11AC2"/>
    <w:rsid w:val="00E11BA0"/>
    <w:rsid w:val="00E12C0E"/>
    <w:rsid w:val="00E12F46"/>
    <w:rsid w:val="00E1316E"/>
    <w:rsid w:val="00E1487B"/>
    <w:rsid w:val="00E15D8C"/>
    <w:rsid w:val="00E162B9"/>
    <w:rsid w:val="00E16D32"/>
    <w:rsid w:val="00E1794F"/>
    <w:rsid w:val="00E22EA8"/>
    <w:rsid w:val="00E22F20"/>
    <w:rsid w:val="00E23B92"/>
    <w:rsid w:val="00E23E00"/>
    <w:rsid w:val="00E24244"/>
    <w:rsid w:val="00E25C21"/>
    <w:rsid w:val="00E26053"/>
    <w:rsid w:val="00E26471"/>
    <w:rsid w:val="00E279BC"/>
    <w:rsid w:val="00E27CDF"/>
    <w:rsid w:val="00E30DB3"/>
    <w:rsid w:val="00E31C3A"/>
    <w:rsid w:val="00E3344C"/>
    <w:rsid w:val="00E33BCC"/>
    <w:rsid w:val="00E34217"/>
    <w:rsid w:val="00E34492"/>
    <w:rsid w:val="00E363F3"/>
    <w:rsid w:val="00E37B32"/>
    <w:rsid w:val="00E37BEE"/>
    <w:rsid w:val="00E41069"/>
    <w:rsid w:val="00E4199B"/>
    <w:rsid w:val="00E43F9D"/>
    <w:rsid w:val="00E44CD9"/>
    <w:rsid w:val="00E44FEB"/>
    <w:rsid w:val="00E460D4"/>
    <w:rsid w:val="00E4682E"/>
    <w:rsid w:val="00E46DD2"/>
    <w:rsid w:val="00E470BE"/>
    <w:rsid w:val="00E471DC"/>
    <w:rsid w:val="00E473DD"/>
    <w:rsid w:val="00E47706"/>
    <w:rsid w:val="00E47A4A"/>
    <w:rsid w:val="00E502E6"/>
    <w:rsid w:val="00E504B3"/>
    <w:rsid w:val="00E50D64"/>
    <w:rsid w:val="00E51785"/>
    <w:rsid w:val="00E52155"/>
    <w:rsid w:val="00E52356"/>
    <w:rsid w:val="00E532F0"/>
    <w:rsid w:val="00E534C2"/>
    <w:rsid w:val="00E539DD"/>
    <w:rsid w:val="00E55367"/>
    <w:rsid w:val="00E562A4"/>
    <w:rsid w:val="00E568E5"/>
    <w:rsid w:val="00E56B1E"/>
    <w:rsid w:val="00E56FC2"/>
    <w:rsid w:val="00E5732A"/>
    <w:rsid w:val="00E57501"/>
    <w:rsid w:val="00E60AFF"/>
    <w:rsid w:val="00E611F4"/>
    <w:rsid w:val="00E617C6"/>
    <w:rsid w:val="00E62A5F"/>
    <w:rsid w:val="00E63AB4"/>
    <w:rsid w:val="00E64156"/>
    <w:rsid w:val="00E660F8"/>
    <w:rsid w:val="00E674C9"/>
    <w:rsid w:val="00E67DC8"/>
    <w:rsid w:val="00E700C7"/>
    <w:rsid w:val="00E72CB2"/>
    <w:rsid w:val="00E730CC"/>
    <w:rsid w:val="00E7639A"/>
    <w:rsid w:val="00E76408"/>
    <w:rsid w:val="00E76444"/>
    <w:rsid w:val="00E77570"/>
    <w:rsid w:val="00E77B55"/>
    <w:rsid w:val="00E8067A"/>
    <w:rsid w:val="00E80AF7"/>
    <w:rsid w:val="00E81DB9"/>
    <w:rsid w:val="00E859C0"/>
    <w:rsid w:val="00E86F2C"/>
    <w:rsid w:val="00E87D9E"/>
    <w:rsid w:val="00E87E03"/>
    <w:rsid w:val="00E90DF3"/>
    <w:rsid w:val="00E917B3"/>
    <w:rsid w:val="00E92287"/>
    <w:rsid w:val="00E938E9"/>
    <w:rsid w:val="00E95E69"/>
    <w:rsid w:val="00E966BE"/>
    <w:rsid w:val="00E96962"/>
    <w:rsid w:val="00E9769D"/>
    <w:rsid w:val="00E97C55"/>
    <w:rsid w:val="00EA0BC2"/>
    <w:rsid w:val="00EA0EF8"/>
    <w:rsid w:val="00EA0F4C"/>
    <w:rsid w:val="00EA117C"/>
    <w:rsid w:val="00EA23D0"/>
    <w:rsid w:val="00EA29EA"/>
    <w:rsid w:val="00EA2E25"/>
    <w:rsid w:val="00EA2FBD"/>
    <w:rsid w:val="00EA6C03"/>
    <w:rsid w:val="00EA75DC"/>
    <w:rsid w:val="00EB0000"/>
    <w:rsid w:val="00EB0A91"/>
    <w:rsid w:val="00EB1EC7"/>
    <w:rsid w:val="00EB2285"/>
    <w:rsid w:val="00EB2523"/>
    <w:rsid w:val="00EB2588"/>
    <w:rsid w:val="00EB3219"/>
    <w:rsid w:val="00EB396D"/>
    <w:rsid w:val="00EB3A56"/>
    <w:rsid w:val="00EB4954"/>
    <w:rsid w:val="00EB4BBC"/>
    <w:rsid w:val="00EB5472"/>
    <w:rsid w:val="00EB5792"/>
    <w:rsid w:val="00EB6C89"/>
    <w:rsid w:val="00EC0983"/>
    <w:rsid w:val="00EC0F71"/>
    <w:rsid w:val="00EC104A"/>
    <w:rsid w:val="00EC115E"/>
    <w:rsid w:val="00EC1D92"/>
    <w:rsid w:val="00EC2123"/>
    <w:rsid w:val="00EC2199"/>
    <w:rsid w:val="00EC2603"/>
    <w:rsid w:val="00EC28DE"/>
    <w:rsid w:val="00EC322A"/>
    <w:rsid w:val="00EC78A4"/>
    <w:rsid w:val="00EC7D54"/>
    <w:rsid w:val="00ED0C82"/>
    <w:rsid w:val="00ED37D0"/>
    <w:rsid w:val="00ED395B"/>
    <w:rsid w:val="00ED39E4"/>
    <w:rsid w:val="00ED415A"/>
    <w:rsid w:val="00ED525C"/>
    <w:rsid w:val="00ED6451"/>
    <w:rsid w:val="00ED6619"/>
    <w:rsid w:val="00ED69C7"/>
    <w:rsid w:val="00ED6DF0"/>
    <w:rsid w:val="00ED6EE7"/>
    <w:rsid w:val="00ED7025"/>
    <w:rsid w:val="00ED786E"/>
    <w:rsid w:val="00EE1AF0"/>
    <w:rsid w:val="00EE206A"/>
    <w:rsid w:val="00EE36F9"/>
    <w:rsid w:val="00EE47B9"/>
    <w:rsid w:val="00EE5381"/>
    <w:rsid w:val="00EF05FF"/>
    <w:rsid w:val="00EF08E3"/>
    <w:rsid w:val="00EF0F73"/>
    <w:rsid w:val="00EF1B2A"/>
    <w:rsid w:val="00EF253C"/>
    <w:rsid w:val="00EF27EC"/>
    <w:rsid w:val="00EF2813"/>
    <w:rsid w:val="00EF2E43"/>
    <w:rsid w:val="00EF3303"/>
    <w:rsid w:val="00EF36EF"/>
    <w:rsid w:val="00EF41E0"/>
    <w:rsid w:val="00EF44BE"/>
    <w:rsid w:val="00EF4D0F"/>
    <w:rsid w:val="00EF5B00"/>
    <w:rsid w:val="00EF6717"/>
    <w:rsid w:val="00EF68D5"/>
    <w:rsid w:val="00EF7772"/>
    <w:rsid w:val="00EF77A3"/>
    <w:rsid w:val="00F01528"/>
    <w:rsid w:val="00F0170A"/>
    <w:rsid w:val="00F01DD6"/>
    <w:rsid w:val="00F02309"/>
    <w:rsid w:val="00F02A11"/>
    <w:rsid w:val="00F02C09"/>
    <w:rsid w:val="00F0312A"/>
    <w:rsid w:val="00F035CB"/>
    <w:rsid w:val="00F036CE"/>
    <w:rsid w:val="00F03B46"/>
    <w:rsid w:val="00F03DBC"/>
    <w:rsid w:val="00F045D3"/>
    <w:rsid w:val="00F04C2F"/>
    <w:rsid w:val="00F05FA4"/>
    <w:rsid w:val="00F062E2"/>
    <w:rsid w:val="00F07937"/>
    <w:rsid w:val="00F10949"/>
    <w:rsid w:val="00F12C6B"/>
    <w:rsid w:val="00F1428D"/>
    <w:rsid w:val="00F144BD"/>
    <w:rsid w:val="00F14852"/>
    <w:rsid w:val="00F1496E"/>
    <w:rsid w:val="00F14BF3"/>
    <w:rsid w:val="00F155FD"/>
    <w:rsid w:val="00F15A3D"/>
    <w:rsid w:val="00F15E80"/>
    <w:rsid w:val="00F16902"/>
    <w:rsid w:val="00F201AB"/>
    <w:rsid w:val="00F20E85"/>
    <w:rsid w:val="00F20F57"/>
    <w:rsid w:val="00F2181F"/>
    <w:rsid w:val="00F219D7"/>
    <w:rsid w:val="00F2290B"/>
    <w:rsid w:val="00F248F9"/>
    <w:rsid w:val="00F256F9"/>
    <w:rsid w:val="00F26224"/>
    <w:rsid w:val="00F26615"/>
    <w:rsid w:val="00F26DDE"/>
    <w:rsid w:val="00F27B81"/>
    <w:rsid w:val="00F30066"/>
    <w:rsid w:val="00F3060F"/>
    <w:rsid w:val="00F31597"/>
    <w:rsid w:val="00F32262"/>
    <w:rsid w:val="00F327B3"/>
    <w:rsid w:val="00F3332B"/>
    <w:rsid w:val="00F33EF2"/>
    <w:rsid w:val="00F33FAC"/>
    <w:rsid w:val="00F33FD3"/>
    <w:rsid w:val="00F36A3F"/>
    <w:rsid w:val="00F36BA1"/>
    <w:rsid w:val="00F4079F"/>
    <w:rsid w:val="00F408F6"/>
    <w:rsid w:val="00F40EAC"/>
    <w:rsid w:val="00F4120A"/>
    <w:rsid w:val="00F415B8"/>
    <w:rsid w:val="00F42055"/>
    <w:rsid w:val="00F42F48"/>
    <w:rsid w:val="00F44BBB"/>
    <w:rsid w:val="00F44CB0"/>
    <w:rsid w:val="00F44EAD"/>
    <w:rsid w:val="00F45AB8"/>
    <w:rsid w:val="00F47307"/>
    <w:rsid w:val="00F47BA9"/>
    <w:rsid w:val="00F50152"/>
    <w:rsid w:val="00F50451"/>
    <w:rsid w:val="00F51061"/>
    <w:rsid w:val="00F51562"/>
    <w:rsid w:val="00F5248D"/>
    <w:rsid w:val="00F5264E"/>
    <w:rsid w:val="00F530DD"/>
    <w:rsid w:val="00F53E0A"/>
    <w:rsid w:val="00F53EDC"/>
    <w:rsid w:val="00F548CA"/>
    <w:rsid w:val="00F5500D"/>
    <w:rsid w:val="00F56268"/>
    <w:rsid w:val="00F56321"/>
    <w:rsid w:val="00F5669B"/>
    <w:rsid w:val="00F56C2B"/>
    <w:rsid w:val="00F5730F"/>
    <w:rsid w:val="00F611F3"/>
    <w:rsid w:val="00F61602"/>
    <w:rsid w:val="00F619EF"/>
    <w:rsid w:val="00F62586"/>
    <w:rsid w:val="00F6258C"/>
    <w:rsid w:val="00F62A6D"/>
    <w:rsid w:val="00F63BEE"/>
    <w:rsid w:val="00F65B88"/>
    <w:rsid w:val="00F65CF4"/>
    <w:rsid w:val="00F66741"/>
    <w:rsid w:val="00F668D6"/>
    <w:rsid w:val="00F66AB9"/>
    <w:rsid w:val="00F67354"/>
    <w:rsid w:val="00F67865"/>
    <w:rsid w:val="00F67C16"/>
    <w:rsid w:val="00F67CDB"/>
    <w:rsid w:val="00F67DBD"/>
    <w:rsid w:val="00F7098D"/>
    <w:rsid w:val="00F70BF4"/>
    <w:rsid w:val="00F72281"/>
    <w:rsid w:val="00F72ABB"/>
    <w:rsid w:val="00F73476"/>
    <w:rsid w:val="00F736A2"/>
    <w:rsid w:val="00F739E6"/>
    <w:rsid w:val="00F74548"/>
    <w:rsid w:val="00F745C0"/>
    <w:rsid w:val="00F74E43"/>
    <w:rsid w:val="00F7587E"/>
    <w:rsid w:val="00F807BA"/>
    <w:rsid w:val="00F8134E"/>
    <w:rsid w:val="00F817C1"/>
    <w:rsid w:val="00F818A3"/>
    <w:rsid w:val="00F82330"/>
    <w:rsid w:val="00F83715"/>
    <w:rsid w:val="00F8399F"/>
    <w:rsid w:val="00F90024"/>
    <w:rsid w:val="00F90D4B"/>
    <w:rsid w:val="00F90F0A"/>
    <w:rsid w:val="00F91FD9"/>
    <w:rsid w:val="00F93069"/>
    <w:rsid w:val="00F930BD"/>
    <w:rsid w:val="00F93B6B"/>
    <w:rsid w:val="00F94024"/>
    <w:rsid w:val="00F94CA0"/>
    <w:rsid w:val="00F94F96"/>
    <w:rsid w:val="00F95CA8"/>
    <w:rsid w:val="00F9786F"/>
    <w:rsid w:val="00F97A47"/>
    <w:rsid w:val="00F97B31"/>
    <w:rsid w:val="00F97BC9"/>
    <w:rsid w:val="00F97C6C"/>
    <w:rsid w:val="00F97F52"/>
    <w:rsid w:val="00FA06B1"/>
    <w:rsid w:val="00FA11FA"/>
    <w:rsid w:val="00FA155F"/>
    <w:rsid w:val="00FA288D"/>
    <w:rsid w:val="00FA28AB"/>
    <w:rsid w:val="00FA2A55"/>
    <w:rsid w:val="00FA648E"/>
    <w:rsid w:val="00FA66D2"/>
    <w:rsid w:val="00FA6905"/>
    <w:rsid w:val="00FA6C8C"/>
    <w:rsid w:val="00FA739C"/>
    <w:rsid w:val="00FA78FE"/>
    <w:rsid w:val="00FA7E6E"/>
    <w:rsid w:val="00FB17EA"/>
    <w:rsid w:val="00FB19B0"/>
    <w:rsid w:val="00FB1FFC"/>
    <w:rsid w:val="00FB2105"/>
    <w:rsid w:val="00FB2FCE"/>
    <w:rsid w:val="00FB46D6"/>
    <w:rsid w:val="00FB4F7B"/>
    <w:rsid w:val="00FB5F7C"/>
    <w:rsid w:val="00FB64EC"/>
    <w:rsid w:val="00FC18A5"/>
    <w:rsid w:val="00FC1CE6"/>
    <w:rsid w:val="00FC24C8"/>
    <w:rsid w:val="00FC32B2"/>
    <w:rsid w:val="00FC34AF"/>
    <w:rsid w:val="00FC519A"/>
    <w:rsid w:val="00FC5355"/>
    <w:rsid w:val="00FC58E8"/>
    <w:rsid w:val="00FC61B5"/>
    <w:rsid w:val="00FC66AE"/>
    <w:rsid w:val="00FC6708"/>
    <w:rsid w:val="00FC6C36"/>
    <w:rsid w:val="00FC74BB"/>
    <w:rsid w:val="00FC775A"/>
    <w:rsid w:val="00FC792E"/>
    <w:rsid w:val="00FD0245"/>
    <w:rsid w:val="00FD0642"/>
    <w:rsid w:val="00FD0A21"/>
    <w:rsid w:val="00FD0B81"/>
    <w:rsid w:val="00FD0D42"/>
    <w:rsid w:val="00FD14DB"/>
    <w:rsid w:val="00FD159F"/>
    <w:rsid w:val="00FD1FA6"/>
    <w:rsid w:val="00FD21F1"/>
    <w:rsid w:val="00FD26E6"/>
    <w:rsid w:val="00FD28DE"/>
    <w:rsid w:val="00FD2E37"/>
    <w:rsid w:val="00FD3614"/>
    <w:rsid w:val="00FD3738"/>
    <w:rsid w:val="00FD377B"/>
    <w:rsid w:val="00FD55DF"/>
    <w:rsid w:val="00FD59AD"/>
    <w:rsid w:val="00FD6F72"/>
    <w:rsid w:val="00FD7AB8"/>
    <w:rsid w:val="00FD7C87"/>
    <w:rsid w:val="00FE0E1E"/>
    <w:rsid w:val="00FE1CA0"/>
    <w:rsid w:val="00FE281A"/>
    <w:rsid w:val="00FE3EED"/>
    <w:rsid w:val="00FE4533"/>
    <w:rsid w:val="00FE5D4B"/>
    <w:rsid w:val="00FE7E36"/>
    <w:rsid w:val="00FF19B4"/>
    <w:rsid w:val="00FF2702"/>
    <w:rsid w:val="00FF3DBA"/>
    <w:rsid w:val="00FF3EB9"/>
    <w:rsid w:val="00FF5349"/>
    <w:rsid w:val="00FF6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6BA469"/>
  <w15:chartTrackingRefBased/>
  <w15:docId w15:val="{024E02EA-684F-4E54-9F3F-E1A5F266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3DE"/>
    <w:pPr>
      <w:suppressAutoHyphens/>
    </w:pPr>
  </w:style>
  <w:style w:type="paragraph" w:styleId="Heading1">
    <w:name w:val="heading 1"/>
    <w:basedOn w:val="Normal"/>
    <w:next w:val="Normal"/>
    <w:link w:val="Heading1Char"/>
    <w:uiPriority w:val="9"/>
    <w:qFormat/>
    <w:rsid w:val="00410A81"/>
    <w:pPr>
      <w:keepNext/>
      <w:keepLines/>
      <w:numPr>
        <w:numId w:val="5"/>
      </w:numPr>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E700C7"/>
    <w:pPr>
      <w:keepNext/>
      <w:keepLines/>
      <w:numPr>
        <w:ilvl w:val="1"/>
        <w:numId w:val="5"/>
      </w:numPr>
      <w:spacing w:before="24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F2B68"/>
    <w:pPr>
      <w:keepNext/>
      <w:keepLines/>
      <w:numPr>
        <w:ilvl w:val="2"/>
        <w:numId w:val="5"/>
      </w:numPr>
      <w:spacing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4063DE"/>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1"/>
    <w:qFormat/>
    <w:rsid w:val="003261CF"/>
    <w:pPr>
      <w:numPr>
        <w:ilvl w:val="1"/>
      </w:numPr>
      <w:spacing w:before="48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1"/>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CMA Footnote Text,ABA Footnote Text"/>
    <w:basedOn w:val="Normal"/>
    <w:link w:val="FootnoteTextChar"/>
    <w:rsid w:val="005912BE"/>
    <w:pPr>
      <w:spacing w:before="0" w:after="0"/>
      <w:ind w:left="284" w:hanging="284"/>
    </w:pPr>
    <w:rPr>
      <w:sz w:val="18"/>
    </w:rPr>
  </w:style>
  <w:style w:type="character" w:customStyle="1" w:styleId="FootnoteTextChar">
    <w:name w:val="Footnote Text Char"/>
    <w:aliases w:val="ACMA Footnote Text Char,ABA Footnote Text Char"/>
    <w:basedOn w:val="DefaultParagraphFont"/>
    <w:link w:val="FootnoteText"/>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410A81"/>
    <w:rPr>
      <w:rFonts w:asciiTheme="majorHAnsi" w:eastAsiaTheme="majorEastAsia" w:hAnsiTheme="majorHAnsi" w:cstheme="majorBidi"/>
      <w:color w:val="081E3E" w:themeColor="text2"/>
      <w:sz w:val="44"/>
      <w:szCs w:val="32"/>
    </w:rPr>
  </w:style>
  <w:style w:type="character" w:customStyle="1" w:styleId="Heading2Char">
    <w:name w:val="Heading 2 Char"/>
    <w:basedOn w:val="DefaultParagraphFont"/>
    <w:link w:val="Heading2"/>
    <w:uiPriority w:val="9"/>
    <w:rsid w:val="00E700C7"/>
    <w:rPr>
      <w:rFonts w:asciiTheme="majorHAnsi" w:eastAsiaTheme="majorEastAsia" w:hAnsiTheme="majorHAnsi" w:cstheme="majorBidi"/>
      <w:color w:val="081E3E" w:themeColor="text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410A81"/>
    <w:rPr>
      <w:rFonts w:asciiTheme="majorHAnsi" w:eastAsiaTheme="majorEastAsia" w:hAnsiTheme="majorHAnsi" w:cstheme="majorBidi"/>
      <w:b/>
      <w:color w:val="6D7989" w:themeColor="accent4" w:themeShade="BF"/>
      <w:sz w:val="32"/>
      <w:szCs w:val="24"/>
    </w:rPr>
  </w:style>
  <w:style w:type="character" w:customStyle="1" w:styleId="Heading4Char">
    <w:name w:val="Heading 4 Char"/>
    <w:basedOn w:val="DefaultParagraphFont"/>
    <w:link w:val="Heading4"/>
    <w:uiPriority w:val="9"/>
    <w:rsid w:val="004063DE"/>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4"/>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045D3"/>
    <w:pPr>
      <w:numPr>
        <w:numId w:val="32"/>
      </w:numPr>
      <w:spacing w:before="80"/>
    </w:pPr>
    <w:rPr>
      <w:lang w:val="en-US"/>
    </w:rPr>
  </w:style>
  <w:style w:type="paragraph" w:customStyle="1" w:styleId="ListNumbered21">
    <w:name w:val="List Numbered 2.1"/>
    <w:basedOn w:val="ListNumbered1"/>
    <w:uiPriority w:val="3"/>
    <w:rsid w:val="00FC32B2"/>
    <w:pPr>
      <w:numPr>
        <w:ilvl w:val="1"/>
        <w:numId w:val="3"/>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9D7CCE"/>
    <w:pPr>
      <w:numPr>
        <w:numId w:val="9"/>
      </w:numPr>
      <w:spacing w:before="80"/>
    </w:pPr>
    <w:rPr>
      <w:kern w:val="12"/>
      <w:sz w:val="20"/>
      <w:szCs w:val="20"/>
    </w:rPr>
  </w:style>
  <w:style w:type="paragraph" w:customStyle="1" w:styleId="Box2Text">
    <w:name w:val="Box 2 Text"/>
    <w:basedOn w:val="Normal"/>
    <w:uiPriority w:val="24"/>
    <w:qFormat/>
    <w:rsid w:val="009D7CCE"/>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9D7CCE"/>
    <w:pPr>
      <w:numPr>
        <w:ilvl w:val="1"/>
        <w:numId w:val="10"/>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
      </w:numPr>
    </w:pPr>
  </w:style>
  <w:style w:type="numbering" w:customStyle="1" w:styleId="ListLegal">
    <w:name w:val="List Legal"/>
    <w:uiPriority w:val="99"/>
    <w:rsid w:val="00477E77"/>
    <w:pPr>
      <w:numPr>
        <w:numId w:val="21"/>
      </w:numPr>
    </w:pPr>
  </w:style>
  <w:style w:type="numbering" w:customStyle="1" w:styleId="ListNumbered">
    <w:name w:val="List Numbered"/>
    <w:uiPriority w:val="99"/>
    <w:rsid w:val="00477E77"/>
    <w:pPr>
      <w:numPr>
        <w:numId w:val="17"/>
      </w:numPr>
    </w:pPr>
  </w:style>
  <w:style w:type="paragraph" w:customStyle="1" w:styleId="Heading1Numbered">
    <w:name w:val="Heading 1 Numbered"/>
    <w:basedOn w:val="Heading1"/>
    <w:uiPriority w:val="10"/>
    <w:rsid w:val="003F775D"/>
  </w:style>
  <w:style w:type="paragraph" w:customStyle="1" w:styleId="Heading2Numbered">
    <w:name w:val="Heading 2 Numbered"/>
    <w:basedOn w:val="Heading2"/>
    <w:uiPriority w:val="10"/>
    <w:rsid w:val="003F775D"/>
  </w:style>
  <w:style w:type="paragraph" w:customStyle="1" w:styleId="Heading3Numbered">
    <w:name w:val="Heading 3 Numbered"/>
    <w:basedOn w:val="Heading3"/>
    <w:uiPriority w:val="10"/>
    <w:rsid w:val="003F775D"/>
  </w:style>
  <w:style w:type="paragraph" w:customStyle="1" w:styleId="Heading4Numbered">
    <w:name w:val="Heading 4 Numbered"/>
    <w:basedOn w:val="Heading4"/>
    <w:uiPriority w:val="10"/>
    <w:rsid w:val="009F2B68"/>
    <w:pPr>
      <w:numPr>
        <w:ilvl w:val="3"/>
        <w:numId w:val="5"/>
      </w:numPr>
      <w:spacing w:before="160"/>
    </w:pPr>
  </w:style>
  <w:style w:type="paragraph" w:customStyle="1" w:styleId="Heading5Numbered">
    <w:name w:val="Heading 5 Numbered"/>
    <w:basedOn w:val="Heading5"/>
    <w:uiPriority w:val="10"/>
    <w:rsid w:val="003F775D"/>
    <w:pPr>
      <w:numPr>
        <w:ilvl w:val="4"/>
        <w:numId w:val="5"/>
      </w:numPr>
    </w:pPr>
  </w:style>
  <w:style w:type="numbering" w:customStyle="1" w:styleId="NumberedHeadings">
    <w:name w:val="Numbered Headings"/>
    <w:uiPriority w:val="99"/>
    <w:rsid w:val="003F775D"/>
    <w:pPr>
      <w:numPr>
        <w:numId w:val="4"/>
      </w:numPr>
    </w:pPr>
  </w:style>
  <w:style w:type="paragraph" w:customStyle="1" w:styleId="AppendixHeading1">
    <w:name w:val="Appendix Heading 1"/>
    <w:basedOn w:val="Heading1"/>
    <w:uiPriority w:val="11"/>
    <w:qFormat/>
    <w:rsid w:val="0001430B"/>
    <w:pPr>
      <w:numPr>
        <w:numId w:val="7"/>
      </w:numPr>
    </w:pPr>
  </w:style>
  <w:style w:type="paragraph" w:customStyle="1" w:styleId="AppendixHeading2">
    <w:name w:val="Appendix Heading 2"/>
    <w:basedOn w:val="Heading2"/>
    <w:uiPriority w:val="11"/>
    <w:rsid w:val="0001430B"/>
    <w:pPr>
      <w:numPr>
        <w:numId w:val="7"/>
      </w:numPr>
    </w:pPr>
  </w:style>
  <w:style w:type="paragraph" w:customStyle="1" w:styleId="AttachmentHeading1">
    <w:name w:val="Attachment Heading 1"/>
    <w:basedOn w:val="Heading1"/>
    <w:uiPriority w:val="11"/>
    <w:qFormat/>
    <w:rsid w:val="0001430B"/>
    <w:pPr>
      <w:numPr>
        <w:numId w:val="8"/>
      </w:numPr>
    </w:pPr>
  </w:style>
  <w:style w:type="paragraph" w:customStyle="1" w:styleId="AttachmentHeading2">
    <w:name w:val="Attachment Heading 2"/>
    <w:basedOn w:val="Heading2"/>
    <w:uiPriority w:val="11"/>
    <w:rsid w:val="0001430B"/>
    <w:pPr>
      <w:numPr>
        <w:numId w:val="8"/>
      </w:numPr>
    </w:pPr>
  </w:style>
  <w:style w:type="numbering" w:customStyle="1" w:styleId="AppendixNumbers">
    <w:name w:val="Appendix Numbers"/>
    <w:uiPriority w:val="99"/>
    <w:rsid w:val="0001430B"/>
    <w:pPr>
      <w:numPr>
        <w:numId w:val="6"/>
      </w:numPr>
    </w:pPr>
  </w:style>
  <w:style w:type="numbering" w:customStyle="1" w:styleId="AttachmentNumbers">
    <w:name w:val="Attachment Numbers"/>
    <w:uiPriority w:val="99"/>
    <w:rsid w:val="0001430B"/>
    <w:pPr>
      <w:numPr>
        <w:numId w:val="8"/>
      </w:numPr>
    </w:pPr>
  </w:style>
  <w:style w:type="paragraph" w:styleId="Quote">
    <w:name w:val="Quote"/>
    <w:basedOn w:val="Normal"/>
    <w:next w:val="Normal"/>
    <w:link w:val="QuoteChar"/>
    <w:uiPriority w:val="29"/>
    <w:qFormat/>
    <w:rsid w:val="00B06D96"/>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B06D96"/>
    <w:rPr>
      <w:b/>
      <w:iCs/>
      <w:color w:val="404040" w:themeColor="text1" w:themeTint="BF"/>
    </w:rPr>
  </w:style>
  <w:style w:type="paragraph" w:styleId="TOC1">
    <w:name w:val="toc 1"/>
    <w:basedOn w:val="Normal"/>
    <w:next w:val="Normal"/>
    <w:autoRedefine/>
    <w:uiPriority w:val="39"/>
    <w:rsid w:val="00B664DF"/>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B664DF"/>
    <w:pPr>
      <w:tabs>
        <w:tab w:val="left" w:pos="1320"/>
        <w:tab w:val="right" w:pos="9854"/>
      </w:tabs>
      <w:spacing w:before="80"/>
      <w:ind w:left="1134" w:hanging="567"/>
    </w:pPr>
  </w:style>
  <w:style w:type="paragraph" w:styleId="TableofFigures">
    <w:name w:val="table of figures"/>
    <w:basedOn w:val="Normal"/>
    <w:next w:val="Normal"/>
    <w:uiPriority w:val="99"/>
    <w:unhideWhenUsed/>
    <w:rsid w:val="006E1ECA"/>
    <w:pPr>
      <w:spacing w:before="80"/>
    </w:pPr>
  </w:style>
  <w:style w:type="paragraph" w:customStyle="1" w:styleId="AreaHeading">
    <w:name w:val="Area Heading"/>
    <w:basedOn w:val="Normal"/>
    <w:qFormat/>
    <w:rsid w:val="004063DE"/>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9D7CCE"/>
    <w:pPr>
      <w:numPr>
        <w:ilvl w:val="2"/>
        <w:numId w:val="10"/>
      </w:numPr>
    </w:pPr>
    <w:rPr>
      <w:kern w:val="12"/>
      <w:sz w:val="20"/>
      <w:szCs w:val="20"/>
    </w:rPr>
  </w:style>
  <w:style w:type="numbering" w:customStyle="1" w:styleId="BoxedBullets">
    <w:name w:val="Boxed Bullets"/>
    <w:uiPriority w:val="99"/>
    <w:rsid w:val="009D7CCE"/>
    <w:pPr>
      <w:numPr>
        <w:numId w:val="9"/>
      </w:numPr>
    </w:pPr>
  </w:style>
  <w:style w:type="character" w:styleId="UnresolvedMention">
    <w:name w:val="Unresolved Mention"/>
    <w:basedOn w:val="DefaultParagraphFont"/>
    <w:uiPriority w:val="99"/>
    <w:semiHidden/>
    <w:unhideWhenUsed/>
    <w:rsid w:val="008F5C03"/>
    <w:rPr>
      <w:color w:val="605E5C"/>
      <w:shd w:val="clear" w:color="auto" w:fill="E1DFDD"/>
    </w:rPr>
  </w:style>
  <w:style w:type="paragraph" w:customStyle="1" w:styleId="Listparagraphbullets">
    <w:name w:val="List paragraph—bullets"/>
    <w:basedOn w:val="ListParagraph"/>
    <w:qFormat/>
    <w:rsid w:val="008F5C03"/>
    <w:pPr>
      <w:numPr>
        <w:numId w:val="11"/>
      </w:numPr>
      <w:tabs>
        <w:tab w:val="num" w:pos="643"/>
      </w:tabs>
      <w:suppressAutoHyphens w:val="0"/>
      <w:spacing w:before="0" w:after="160"/>
      <w:ind w:left="567" w:hanging="567"/>
    </w:pPr>
    <w:rPr>
      <w:rFonts w:ascii="Calibri" w:hAnsi="Calibri"/>
      <w:color w:val="auto"/>
      <w:lang w:eastAsia="zh-TW"/>
    </w:rPr>
  </w:style>
  <w:style w:type="paragraph" w:styleId="ListParagraph">
    <w:name w:val="List Paragraph"/>
    <w:aliases w:val="CAB - List Bullet,List Bullet Cab"/>
    <w:basedOn w:val="Normal"/>
    <w:uiPriority w:val="34"/>
    <w:unhideWhenUsed/>
    <w:qFormat/>
    <w:rsid w:val="008F5C03"/>
    <w:pPr>
      <w:ind w:left="720"/>
      <w:contextualSpacing/>
    </w:pPr>
  </w:style>
  <w:style w:type="character" w:styleId="CommentReference">
    <w:name w:val="annotation reference"/>
    <w:basedOn w:val="DefaultParagraphFont"/>
    <w:uiPriority w:val="99"/>
    <w:semiHidden/>
    <w:unhideWhenUsed/>
    <w:rsid w:val="00A63B72"/>
    <w:rPr>
      <w:sz w:val="16"/>
      <w:szCs w:val="16"/>
    </w:rPr>
  </w:style>
  <w:style w:type="paragraph" w:styleId="CommentText">
    <w:name w:val="annotation text"/>
    <w:basedOn w:val="Normal"/>
    <w:link w:val="CommentTextChar"/>
    <w:uiPriority w:val="99"/>
    <w:unhideWhenUsed/>
    <w:rsid w:val="00A63B72"/>
    <w:rPr>
      <w:sz w:val="20"/>
      <w:szCs w:val="20"/>
    </w:rPr>
  </w:style>
  <w:style w:type="character" w:customStyle="1" w:styleId="CommentTextChar">
    <w:name w:val="Comment Text Char"/>
    <w:basedOn w:val="DefaultParagraphFont"/>
    <w:link w:val="CommentText"/>
    <w:uiPriority w:val="99"/>
    <w:rsid w:val="00A63B72"/>
    <w:rPr>
      <w:sz w:val="20"/>
      <w:szCs w:val="20"/>
    </w:rPr>
  </w:style>
  <w:style w:type="paragraph" w:styleId="CommentSubject">
    <w:name w:val="annotation subject"/>
    <w:basedOn w:val="CommentText"/>
    <w:next w:val="CommentText"/>
    <w:link w:val="CommentSubjectChar"/>
    <w:uiPriority w:val="99"/>
    <w:semiHidden/>
    <w:unhideWhenUsed/>
    <w:rsid w:val="00A63B72"/>
    <w:rPr>
      <w:b/>
      <w:bCs/>
    </w:rPr>
  </w:style>
  <w:style w:type="character" w:customStyle="1" w:styleId="CommentSubjectChar">
    <w:name w:val="Comment Subject Char"/>
    <w:basedOn w:val="CommentTextChar"/>
    <w:link w:val="CommentSubject"/>
    <w:uiPriority w:val="99"/>
    <w:semiHidden/>
    <w:rsid w:val="00A63B72"/>
    <w:rPr>
      <w:b/>
      <w:bCs/>
      <w:sz w:val="20"/>
      <w:szCs w:val="20"/>
    </w:rPr>
  </w:style>
  <w:style w:type="paragraph" w:styleId="BalloonText">
    <w:name w:val="Balloon Text"/>
    <w:basedOn w:val="Normal"/>
    <w:link w:val="BalloonTextChar"/>
    <w:uiPriority w:val="99"/>
    <w:semiHidden/>
    <w:unhideWhenUsed/>
    <w:rsid w:val="00A63B7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B72"/>
    <w:rPr>
      <w:rFonts w:ascii="Segoe UI" w:hAnsi="Segoe UI" w:cs="Segoe UI"/>
      <w:sz w:val="18"/>
      <w:szCs w:val="18"/>
    </w:rPr>
  </w:style>
  <w:style w:type="paragraph" w:styleId="NormalWeb">
    <w:name w:val="Normal (Web)"/>
    <w:basedOn w:val="Normal"/>
    <w:uiPriority w:val="99"/>
    <w:semiHidden/>
    <w:unhideWhenUsed/>
    <w:rsid w:val="00AC14E9"/>
    <w:pPr>
      <w:suppressAutoHyphens w:val="0"/>
      <w:spacing w:before="100" w:beforeAutospacing="1" w:after="100" w:afterAutospacing="1"/>
    </w:pPr>
    <w:rPr>
      <w:rFonts w:ascii="Times New Roman" w:eastAsiaTheme="minorEastAsia" w:hAnsi="Times New Roman" w:cs="Times New Roman"/>
      <w:color w:val="auto"/>
      <w:sz w:val="24"/>
      <w:szCs w:val="24"/>
      <w:lang w:eastAsia="en-AU"/>
    </w:rPr>
  </w:style>
  <w:style w:type="paragraph" w:styleId="Revision">
    <w:name w:val="Revision"/>
    <w:hidden/>
    <w:uiPriority w:val="99"/>
    <w:semiHidden/>
    <w:rsid w:val="00F10949"/>
    <w:pPr>
      <w:spacing w:before="0" w:after="0"/>
    </w:pPr>
  </w:style>
  <w:style w:type="character" w:styleId="FollowedHyperlink">
    <w:name w:val="FollowedHyperlink"/>
    <w:basedOn w:val="DefaultParagraphFont"/>
    <w:uiPriority w:val="99"/>
    <w:semiHidden/>
    <w:unhideWhenUsed/>
    <w:rsid w:val="00695C3E"/>
    <w:rPr>
      <w:color w:val="0046FF" w:themeColor="followedHyperlink"/>
      <w:u w:val="single"/>
    </w:rPr>
  </w:style>
  <w:style w:type="paragraph" w:styleId="EndnoteText">
    <w:name w:val="endnote text"/>
    <w:basedOn w:val="Normal"/>
    <w:link w:val="EndnoteTextChar"/>
    <w:uiPriority w:val="99"/>
    <w:semiHidden/>
    <w:unhideWhenUsed/>
    <w:rsid w:val="001A2EFF"/>
    <w:pPr>
      <w:spacing w:before="0" w:after="0"/>
    </w:pPr>
    <w:rPr>
      <w:sz w:val="20"/>
      <w:szCs w:val="20"/>
    </w:rPr>
  </w:style>
  <w:style w:type="character" w:customStyle="1" w:styleId="EndnoteTextChar">
    <w:name w:val="Endnote Text Char"/>
    <w:basedOn w:val="DefaultParagraphFont"/>
    <w:link w:val="EndnoteText"/>
    <w:uiPriority w:val="99"/>
    <w:semiHidden/>
    <w:rsid w:val="001A2EFF"/>
    <w:rPr>
      <w:sz w:val="20"/>
      <w:szCs w:val="20"/>
    </w:rPr>
  </w:style>
  <w:style w:type="character" w:styleId="EndnoteReference">
    <w:name w:val="endnote reference"/>
    <w:basedOn w:val="DefaultParagraphFont"/>
    <w:uiPriority w:val="99"/>
    <w:semiHidden/>
    <w:unhideWhenUsed/>
    <w:rsid w:val="001A2EFF"/>
    <w:rPr>
      <w:vertAlign w:val="superscript"/>
    </w:rPr>
  </w:style>
  <w:style w:type="character" w:styleId="Strong">
    <w:name w:val="Strong"/>
    <w:basedOn w:val="DefaultParagraphFont"/>
    <w:uiPriority w:val="22"/>
    <w:qFormat/>
    <w:rsid w:val="00387F98"/>
    <w:rPr>
      <w:b/>
      <w:bCs/>
    </w:rPr>
  </w:style>
  <w:style w:type="character" w:customStyle="1" w:styleId="citation-1">
    <w:name w:val="citation-1"/>
    <w:basedOn w:val="DefaultParagraphFont"/>
    <w:rsid w:val="00387F98"/>
  </w:style>
  <w:style w:type="character" w:customStyle="1" w:styleId="button-container">
    <w:name w:val="button-container"/>
    <w:basedOn w:val="DefaultParagraphFont"/>
    <w:rsid w:val="00387F98"/>
  </w:style>
  <w:style w:type="character" w:customStyle="1" w:styleId="citation-2">
    <w:name w:val="citation-2"/>
    <w:basedOn w:val="DefaultParagraphFont"/>
    <w:rsid w:val="00387F98"/>
  </w:style>
  <w:style w:type="character" w:customStyle="1" w:styleId="citation-3">
    <w:name w:val="citation-3"/>
    <w:basedOn w:val="DefaultParagraphFont"/>
    <w:rsid w:val="00387F98"/>
  </w:style>
  <w:style w:type="paragraph" w:styleId="BodyText">
    <w:name w:val="Body Text"/>
    <w:aliases w:val="Body Text Cab,CAB - Body Text,CAB Body Text"/>
    <w:link w:val="BodyTextChar"/>
    <w:qFormat/>
    <w:rsid w:val="00437225"/>
    <w:pPr>
      <w:spacing w:before="120" w:after="0"/>
    </w:pPr>
    <w:rPr>
      <w:rFonts w:ascii="Arial" w:hAnsi="Arial"/>
      <w:color w:val="auto"/>
    </w:rPr>
  </w:style>
  <w:style w:type="character" w:customStyle="1" w:styleId="BodyTextChar">
    <w:name w:val="Body Text Char"/>
    <w:aliases w:val="Body Text Cab Char,CAB - Body Text Char,CAB Body Text Char"/>
    <w:basedOn w:val="DefaultParagraphFont"/>
    <w:link w:val="BodyText"/>
    <w:rsid w:val="00437225"/>
    <w:rPr>
      <w:rFonts w:ascii="Arial" w:hAnsi="Arial"/>
      <w:color w:val="auto"/>
    </w:rPr>
  </w:style>
  <w:style w:type="paragraph" w:customStyle="1" w:styleId="CABBulletList">
    <w:name w:val="CAB Bullet List"/>
    <w:basedOn w:val="ListParagraph"/>
    <w:uiPriority w:val="98"/>
    <w:qFormat/>
    <w:rsid w:val="00437225"/>
    <w:pPr>
      <w:numPr>
        <w:numId w:val="12"/>
      </w:numPr>
      <w:tabs>
        <w:tab w:val="left" w:pos="851"/>
      </w:tabs>
      <w:suppressAutoHyphens w:val="0"/>
      <w:spacing w:before="60" w:after="60"/>
    </w:pPr>
    <w:rPr>
      <w:rFonts w:ascii="Arial" w:hAnsi="Arial"/>
      <w:color w:val="auto"/>
    </w:rPr>
  </w:style>
  <w:style w:type="paragraph" w:customStyle="1" w:styleId="CABBodyTextBold">
    <w:name w:val="CAB Body Text Bold"/>
    <w:basedOn w:val="BodyText"/>
    <w:qFormat/>
    <w:rsid w:val="00437225"/>
    <w:rPr>
      <w:b/>
      <w:bCs/>
    </w:rPr>
  </w:style>
  <w:style w:type="paragraph" w:styleId="TOC4">
    <w:name w:val="toc 4"/>
    <w:basedOn w:val="Normal"/>
    <w:next w:val="Normal"/>
    <w:autoRedefine/>
    <w:uiPriority w:val="39"/>
    <w:unhideWhenUsed/>
    <w:rsid w:val="00E470BE"/>
    <w:pPr>
      <w:spacing w:after="100"/>
      <w:ind w:left="660"/>
    </w:pPr>
  </w:style>
  <w:style w:type="paragraph" w:customStyle="1" w:styleId="SecurityMarker">
    <w:name w:val="Security Marker"/>
    <w:basedOn w:val="Normal"/>
    <w:qFormat/>
    <w:rsid w:val="00553039"/>
    <w:pPr>
      <w:spacing w:before="60" w:after="60"/>
      <w:jc w:val="center"/>
    </w:pPr>
    <w:rPr>
      <w:b/>
      <w:bCs/>
      <w:caps/>
      <w:color w:val="E10000"/>
      <w:sz w:val="28"/>
      <w:szCs w:val="28"/>
      <w:shd w:val="clear" w:color="auto" w:fill="FFFFFF" w:themeFill="background1"/>
    </w:rPr>
  </w:style>
  <w:style w:type="character" w:customStyle="1" w:styleId="normaltextrun">
    <w:name w:val="normaltextrun"/>
    <w:basedOn w:val="DefaultParagraphFont"/>
    <w:rsid w:val="009A4EB9"/>
  </w:style>
  <w:style w:type="character" w:customStyle="1" w:styleId="eop">
    <w:name w:val="eop"/>
    <w:basedOn w:val="DefaultParagraphFont"/>
    <w:rsid w:val="009A4EB9"/>
  </w:style>
  <w:style w:type="paragraph" w:customStyle="1" w:styleId="Listparagraphbulletssecondlevel">
    <w:name w:val="List paragraph—bullets—second level"/>
    <w:basedOn w:val="Listparagraphbullets"/>
    <w:autoRedefine/>
    <w:qFormat/>
    <w:rsid w:val="001C20E8"/>
    <w:pPr>
      <w:numPr>
        <w:numId w:val="13"/>
      </w:numPr>
      <w:spacing w:before="80"/>
      <w:ind w:left="1134" w:hanging="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599">
      <w:bodyDiv w:val="1"/>
      <w:marLeft w:val="0"/>
      <w:marRight w:val="0"/>
      <w:marTop w:val="0"/>
      <w:marBottom w:val="0"/>
      <w:divBdr>
        <w:top w:val="none" w:sz="0" w:space="0" w:color="auto"/>
        <w:left w:val="none" w:sz="0" w:space="0" w:color="auto"/>
        <w:bottom w:val="none" w:sz="0" w:space="0" w:color="auto"/>
        <w:right w:val="none" w:sz="0" w:space="0" w:color="auto"/>
      </w:divBdr>
    </w:div>
    <w:div w:id="100297157">
      <w:bodyDiv w:val="1"/>
      <w:marLeft w:val="0"/>
      <w:marRight w:val="0"/>
      <w:marTop w:val="0"/>
      <w:marBottom w:val="0"/>
      <w:divBdr>
        <w:top w:val="none" w:sz="0" w:space="0" w:color="auto"/>
        <w:left w:val="none" w:sz="0" w:space="0" w:color="auto"/>
        <w:bottom w:val="none" w:sz="0" w:space="0" w:color="auto"/>
        <w:right w:val="none" w:sz="0" w:space="0" w:color="auto"/>
      </w:divBdr>
    </w:div>
    <w:div w:id="136801547">
      <w:bodyDiv w:val="1"/>
      <w:marLeft w:val="0"/>
      <w:marRight w:val="0"/>
      <w:marTop w:val="0"/>
      <w:marBottom w:val="0"/>
      <w:divBdr>
        <w:top w:val="none" w:sz="0" w:space="0" w:color="auto"/>
        <w:left w:val="none" w:sz="0" w:space="0" w:color="auto"/>
        <w:bottom w:val="none" w:sz="0" w:space="0" w:color="auto"/>
        <w:right w:val="none" w:sz="0" w:space="0" w:color="auto"/>
      </w:divBdr>
    </w:div>
    <w:div w:id="196554773">
      <w:bodyDiv w:val="1"/>
      <w:marLeft w:val="0"/>
      <w:marRight w:val="0"/>
      <w:marTop w:val="0"/>
      <w:marBottom w:val="0"/>
      <w:divBdr>
        <w:top w:val="none" w:sz="0" w:space="0" w:color="auto"/>
        <w:left w:val="none" w:sz="0" w:space="0" w:color="auto"/>
        <w:bottom w:val="none" w:sz="0" w:space="0" w:color="auto"/>
        <w:right w:val="none" w:sz="0" w:space="0" w:color="auto"/>
      </w:divBdr>
    </w:div>
    <w:div w:id="326059307">
      <w:bodyDiv w:val="1"/>
      <w:marLeft w:val="0"/>
      <w:marRight w:val="0"/>
      <w:marTop w:val="0"/>
      <w:marBottom w:val="0"/>
      <w:divBdr>
        <w:top w:val="none" w:sz="0" w:space="0" w:color="auto"/>
        <w:left w:val="none" w:sz="0" w:space="0" w:color="auto"/>
        <w:bottom w:val="none" w:sz="0" w:space="0" w:color="auto"/>
        <w:right w:val="none" w:sz="0" w:space="0" w:color="auto"/>
      </w:divBdr>
    </w:div>
    <w:div w:id="440610068">
      <w:bodyDiv w:val="1"/>
      <w:marLeft w:val="0"/>
      <w:marRight w:val="0"/>
      <w:marTop w:val="0"/>
      <w:marBottom w:val="0"/>
      <w:divBdr>
        <w:top w:val="none" w:sz="0" w:space="0" w:color="auto"/>
        <w:left w:val="none" w:sz="0" w:space="0" w:color="auto"/>
        <w:bottom w:val="none" w:sz="0" w:space="0" w:color="auto"/>
        <w:right w:val="none" w:sz="0" w:space="0" w:color="auto"/>
      </w:divBdr>
      <w:divsChild>
        <w:div w:id="9224515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5984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097575">
      <w:bodyDiv w:val="1"/>
      <w:marLeft w:val="0"/>
      <w:marRight w:val="0"/>
      <w:marTop w:val="0"/>
      <w:marBottom w:val="0"/>
      <w:divBdr>
        <w:top w:val="none" w:sz="0" w:space="0" w:color="auto"/>
        <w:left w:val="none" w:sz="0" w:space="0" w:color="auto"/>
        <w:bottom w:val="none" w:sz="0" w:space="0" w:color="auto"/>
        <w:right w:val="none" w:sz="0" w:space="0" w:color="auto"/>
      </w:divBdr>
    </w:div>
    <w:div w:id="746806614">
      <w:bodyDiv w:val="1"/>
      <w:marLeft w:val="0"/>
      <w:marRight w:val="0"/>
      <w:marTop w:val="0"/>
      <w:marBottom w:val="0"/>
      <w:divBdr>
        <w:top w:val="none" w:sz="0" w:space="0" w:color="auto"/>
        <w:left w:val="none" w:sz="0" w:space="0" w:color="auto"/>
        <w:bottom w:val="none" w:sz="0" w:space="0" w:color="auto"/>
        <w:right w:val="none" w:sz="0" w:space="0" w:color="auto"/>
      </w:divBdr>
    </w:div>
    <w:div w:id="811600811">
      <w:bodyDiv w:val="1"/>
      <w:marLeft w:val="0"/>
      <w:marRight w:val="0"/>
      <w:marTop w:val="0"/>
      <w:marBottom w:val="0"/>
      <w:divBdr>
        <w:top w:val="none" w:sz="0" w:space="0" w:color="auto"/>
        <w:left w:val="none" w:sz="0" w:space="0" w:color="auto"/>
        <w:bottom w:val="none" w:sz="0" w:space="0" w:color="auto"/>
        <w:right w:val="none" w:sz="0" w:space="0" w:color="auto"/>
      </w:divBdr>
    </w:div>
    <w:div w:id="832070544">
      <w:bodyDiv w:val="1"/>
      <w:marLeft w:val="0"/>
      <w:marRight w:val="0"/>
      <w:marTop w:val="0"/>
      <w:marBottom w:val="0"/>
      <w:divBdr>
        <w:top w:val="none" w:sz="0" w:space="0" w:color="auto"/>
        <w:left w:val="none" w:sz="0" w:space="0" w:color="auto"/>
        <w:bottom w:val="none" w:sz="0" w:space="0" w:color="auto"/>
        <w:right w:val="none" w:sz="0" w:space="0" w:color="auto"/>
      </w:divBdr>
    </w:div>
    <w:div w:id="844127263">
      <w:bodyDiv w:val="1"/>
      <w:marLeft w:val="0"/>
      <w:marRight w:val="0"/>
      <w:marTop w:val="0"/>
      <w:marBottom w:val="0"/>
      <w:divBdr>
        <w:top w:val="none" w:sz="0" w:space="0" w:color="auto"/>
        <w:left w:val="none" w:sz="0" w:space="0" w:color="auto"/>
        <w:bottom w:val="none" w:sz="0" w:space="0" w:color="auto"/>
        <w:right w:val="none" w:sz="0" w:space="0" w:color="auto"/>
      </w:divBdr>
    </w:div>
    <w:div w:id="903905013">
      <w:bodyDiv w:val="1"/>
      <w:marLeft w:val="0"/>
      <w:marRight w:val="0"/>
      <w:marTop w:val="0"/>
      <w:marBottom w:val="0"/>
      <w:divBdr>
        <w:top w:val="none" w:sz="0" w:space="0" w:color="auto"/>
        <w:left w:val="none" w:sz="0" w:space="0" w:color="auto"/>
        <w:bottom w:val="none" w:sz="0" w:space="0" w:color="auto"/>
        <w:right w:val="none" w:sz="0" w:space="0" w:color="auto"/>
      </w:divBdr>
    </w:div>
    <w:div w:id="946742695">
      <w:bodyDiv w:val="1"/>
      <w:marLeft w:val="0"/>
      <w:marRight w:val="0"/>
      <w:marTop w:val="0"/>
      <w:marBottom w:val="0"/>
      <w:divBdr>
        <w:top w:val="none" w:sz="0" w:space="0" w:color="auto"/>
        <w:left w:val="none" w:sz="0" w:space="0" w:color="auto"/>
        <w:bottom w:val="none" w:sz="0" w:space="0" w:color="auto"/>
        <w:right w:val="none" w:sz="0" w:space="0" w:color="auto"/>
      </w:divBdr>
    </w:div>
    <w:div w:id="971638211">
      <w:bodyDiv w:val="1"/>
      <w:marLeft w:val="0"/>
      <w:marRight w:val="0"/>
      <w:marTop w:val="0"/>
      <w:marBottom w:val="0"/>
      <w:divBdr>
        <w:top w:val="none" w:sz="0" w:space="0" w:color="auto"/>
        <w:left w:val="none" w:sz="0" w:space="0" w:color="auto"/>
        <w:bottom w:val="none" w:sz="0" w:space="0" w:color="auto"/>
        <w:right w:val="none" w:sz="0" w:space="0" w:color="auto"/>
      </w:divBdr>
    </w:div>
    <w:div w:id="1030884147">
      <w:bodyDiv w:val="1"/>
      <w:marLeft w:val="0"/>
      <w:marRight w:val="0"/>
      <w:marTop w:val="0"/>
      <w:marBottom w:val="0"/>
      <w:divBdr>
        <w:top w:val="none" w:sz="0" w:space="0" w:color="auto"/>
        <w:left w:val="none" w:sz="0" w:space="0" w:color="auto"/>
        <w:bottom w:val="none" w:sz="0" w:space="0" w:color="auto"/>
        <w:right w:val="none" w:sz="0" w:space="0" w:color="auto"/>
      </w:divBdr>
    </w:div>
    <w:div w:id="1098983723">
      <w:bodyDiv w:val="1"/>
      <w:marLeft w:val="0"/>
      <w:marRight w:val="0"/>
      <w:marTop w:val="0"/>
      <w:marBottom w:val="0"/>
      <w:divBdr>
        <w:top w:val="none" w:sz="0" w:space="0" w:color="auto"/>
        <w:left w:val="none" w:sz="0" w:space="0" w:color="auto"/>
        <w:bottom w:val="none" w:sz="0" w:space="0" w:color="auto"/>
        <w:right w:val="none" w:sz="0" w:space="0" w:color="auto"/>
      </w:divBdr>
    </w:div>
    <w:div w:id="1174371065">
      <w:bodyDiv w:val="1"/>
      <w:marLeft w:val="0"/>
      <w:marRight w:val="0"/>
      <w:marTop w:val="0"/>
      <w:marBottom w:val="0"/>
      <w:divBdr>
        <w:top w:val="none" w:sz="0" w:space="0" w:color="auto"/>
        <w:left w:val="none" w:sz="0" w:space="0" w:color="auto"/>
        <w:bottom w:val="none" w:sz="0" w:space="0" w:color="auto"/>
        <w:right w:val="none" w:sz="0" w:space="0" w:color="auto"/>
      </w:divBdr>
    </w:div>
    <w:div w:id="1242956460">
      <w:bodyDiv w:val="1"/>
      <w:marLeft w:val="0"/>
      <w:marRight w:val="0"/>
      <w:marTop w:val="0"/>
      <w:marBottom w:val="0"/>
      <w:divBdr>
        <w:top w:val="none" w:sz="0" w:space="0" w:color="auto"/>
        <w:left w:val="none" w:sz="0" w:space="0" w:color="auto"/>
        <w:bottom w:val="none" w:sz="0" w:space="0" w:color="auto"/>
        <w:right w:val="none" w:sz="0" w:space="0" w:color="auto"/>
      </w:divBdr>
    </w:div>
    <w:div w:id="1289824012">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60861881">
      <w:bodyDiv w:val="1"/>
      <w:marLeft w:val="0"/>
      <w:marRight w:val="0"/>
      <w:marTop w:val="0"/>
      <w:marBottom w:val="0"/>
      <w:divBdr>
        <w:top w:val="none" w:sz="0" w:space="0" w:color="auto"/>
        <w:left w:val="none" w:sz="0" w:space="0" w:color="auto"/>
        <w:bottom w:val="none" w:sz="0" w:space="0" w:color="auto"/>
        <w:right w:val="none" w:sz="0" w:space="0" w:color="auto"/>
      </w:divBdr>
    </w:div>
    <w:div w:id="1393427753">
      <w:bodyDiv w:val="1"/>
      <w:marLeft w:val="0"/>
      <w:marRight w:val="0"/>
      <w:marTop w:val="0"/>
      <w:marBottom w:val="0"/>
      <w:divBdr>
        <w:top w:val="none" w:sz="0" w:space="0" w:color="auto"/>
        <w:left w:val="none" w:sz="0" w:space="0" w:color="auto"/>
        <w:bottom w:val="none" w:sz="0" w:space="0" w:color="auto"/>
        <w:right w:val="none" w:sz="0" w:space="0" w:color="auto"/>
      </w:divBdr>
    </w:div>
    <w:div w:id="1396977099">
      <w:bodyDiv w:val="1"/>
      <w:marLeft w:val="0"/>
      <w:marRight w:val="0"/>
      <w:marTop w:val="0"/>
      <w:marBottom w:val="0"/>
      <w:divBdr>
        <w:top w:val="none" w:sz="0" w:space="0" w:color="auto"/>
        <w:left w:val="none" w:sz="0" w:space="0" w:color="auto"/>
        <w:bottom w:val="none" w:sz="0" w:space="0" w:color="auto"/>
        <w:right w:val="none" w:sz="0" w:space="0" w:color="auto"/>
      </w:divBdr>
    </w:div>
    <w:div w:id="1406685895">
      <w:bodyDiv w:val="1"/>
      <w:marLeft w:val="0"/>
      <w:marRight w:val="0"/>
      <w:marTop w:val="0"/>
      <w:marBottom w:val="0"/>
      <w:divBdr>
        <w:top w:val="none" w:sz="0" w:space="0" w:color="auto"/>
        <w:left w:val="none" w:sz="0" w:space="0" w:color="auto"/>
        <w:bottom w:val="none" w:sz="0" w:space="0" w:color="auto"/>
        <w:right w:val="none" w:sz="0" w:space="0" w:color="auto"/>
      </w:divBdr>
    </w:div>
    <w:div w:id="1425030501">
      <w:bodyDiv w:val="1"/>
      <w:marLeft w:val="0"/>
      <w:marRight w:val="0"/>
      <w:marTop w:val="0"/>
      <w:marBottom w:val="0"/>
      <w:divBdr>
        <w:top w:val="none" w:sz="0" w:space="0" w:color="auto"/>
        <w:left w:val="none" w:sz="0" w:space="0" w:color="auto"/>
        <w:bottom w:val="none" w:sz="0" w:space="0" w:color="auto"/>
        <w:right w:val="none" w:sz="0" w:space="0" w:color="auto"/>
      </w:divBdr>
    </w:div>
    <w:div w:id="1429622874">
      <w:bodyDiv w:val="1"/>
      <w:marLeft w:val="0"/>
      <w:marRight w:val="0"/>
      <w:marTop w:val="0"/>
      <w:marBottom w:val="0"/>
      <w:divBdr>
        <w:top w:val="none" w:sz="0" w:space="0" w:color="auto"/>
        <w:left w:val="none" w:sz="0" w:space="0" w:color="auto"/>
        <w:bottom w:val="none" w:sz="0" w:space="0" w:color="auto"/>
        <w:right w:val="none" w:sz="0" w:space="0" w:color="auto"/>
      </w:divBdr>
    </w:div>
    <w:div w:id="1452747282">
      <w:bodyDiv w:val="1"/>
      <w:marLeft w:val="0"/>
      <w:marRight w:val="0"/>
      <w:marTop w:val="0"/>
      <w:marBottom w:val="0"/>
      <w:divBdr>
        <w:top w:val="none" w:sz="0" w:space="0" w:color="auto"/>
        <w:left w:val="none" w:sz="0" w:space="0" w:color="auto"/>
        <w:bottom w:val="none" w:sz="0" w:space="0" w:color="auto"/>
        <w:right w:val="none" w:sz="0" w:space="0" w:color="auto"/>
      </w:divBdr>
    </w:div>
    <w:div w:id="1463885191">
      <w:bodyDiv w:val="1"/>
      <w:marLeft w:val="0"/>
      <w:marRight w:val="0"/>
      <w:marTop w:val="0"/>
      <w:marBottom w:val="0"/>
      <w:divBdr>
        <w:top w:val="none" w:sz="0" w:space="0" w:color="auto"/>
        <w:left w:val="none" w:sz="0" w:space="0" w:color="auto"/>
        <w:bottom w:val="none" w:sz="0" w:space="0" w:color="auto"/>
        <w:right w:val="none" w:sz="0" w:space="0" w:color="auto"/>
      </w:divBdr>
    </w:div>
    <w:div w:id="1546138343">
      <w:bodyDiv w:val="1"/>
      <w:marLeft w:val="0"/>
      <w:marRight w:val="0"/>
      <w:marTop w:val="0"/>
      <w:marBottom w:val="0"/>
      <w:divBdr>
        <w:top w:val="none" w:sz="0" w:space="0" w:color="auto"/>
        <w:left w:val="none" w:sz="0" w:space="0" w:color="auto"/>
        <w:bottom w:val="none" w:sz="0" w:space="0" w:color="auto"/>
        <w:right w:val="none" w:sz="0" w:space="0" w:color="auto"/>
      </w:divBdr>
    </w:div>
    <w:div w:id="1563758224">
      <w:bodyDiv w:val="1"/>
      <w:marLeft w:val="0"/>
      <w:marRight w:val="0"/>
      <w:marTop w:val="0"/>
      <w:marBottom w:val="0"/>
      <w:divBdr>
        <w:top w:val="none" w:sz="0" w:space="0" w:color="auto"/>
        <w:left w:val="none" w:sz="0" w:space="0" w:color="auto"/>
        <w:bottom w:val="none" w:sz="0" w:space="0" w:color="auto"/>
        <w:right w:val="none" w:sz="0" w:space="0" w:color="auto"/>
      </w:divBdr>
    </w:div>
    <w:div w:id="1582176761">
      <w:bodyDiv w:val="1"/>
      <w:marLeft w:val="0"/>
      <w:marRight w:val="0"/>
      <w:marTop w:val="0"/>
      <w:marBottom w:val="0"/>
      <w:divBdr>
        <w:top w:val="none" w:sz="0" w:space="0" w:color="auto"/>
        <w:left w:val="none" w:sz="0" w:space="0" w:color="auto"/>
        <w:bottom w:val="none" w:sz="0" w:space="0" w:color="auto"/>
        <w:right w:val="none" w:sz="0" w:space="0" w:color="auto"/>
      </w:divBdr>
    </w:div>
    <w:div w:id="1726493124">
      <w:bodyDiv w:val="1"/>
      <w:marLeft w:val="0"/>
      <w:marRight w:val="0"/>
      <w:marTop w:val="0"/>
      <w:marBottom w:val="0"/>
      <w:divBdr>
        <w:top w:val="none" w:sz="0" w:space="0" w:color="auto"/>
        <w:left w:val="none" w:sz="0" w:space="0" w:color="auto"/>
        <w:bottom w:val="none" w:sz="0" w:space="0" w:color="auto"/>
        <w:right w:val="none" w:sz="0" w:space="0" w:color="auto"/>
      </w:divBdr>
    </w:div>
    <w:div w:id="1867325370">
      <w:bodyDiv w:val="1"/>
      <w:marLeft w:val="0"/>
      <w:marRight w:val="0"/>
      <w:marTop w:val="0"/>
      <w:marBottom w:val="0"/>
      <w:divBdr>
        <w:top w:val="none" w:sz="0" w:space="0" w:color="auto"/>
        <w:left w:val="none" w:sz="0" w:space="0" w:color="auto"/>
        <w:bottom w:val="none" w:sz="0" w:space="0" w:color="auto"/>
        <w:right w:val="none" w:sz="0" w:space="0" w:color="auto"/>
      </w:divBdr>
    </w:div>
    <w:div w:id="1925065584">
      <w:bodyDiv w:val="1"/>
      <w:marLeft w:val="0"/>
      <w:marRight w:val="0"/>
      <w:marTop w:val="0"/>
      <w:marBottom w:val="0"/>
      <w:divBdr>
        <w:top w:val="none" w:sz="0" w:space="0" w:color="auto"/>
        <w:left w:val="none" w:sz="0" w:space="0" w:color="auto"/>
        <w:bottom w:val="none" w:sz="0" w:space="0" w:color="auto"/>
        <w:right w:val="none" w:sz="0" w:space="0" w:color="auto"/>
      </w:divBdr>
    </w:div>
    <w:div w:id="2008286051">
      <w:bodyDiv w:val="1"/>
      <w:marLeft w:val="0"/>
      <w:marRight w:val="0"/>
      <w:marTop w:val="0"/>
      <w:marBottom w:val="0"/>
      <w:divBdr>
        <w:top w:val="none" w:sz="0" w:space="0" w:color="auto"/>
        <w:left w:val="none" w:sz="0" w:space="0" w:color="auto"/>
        <w:bottom w:val="none" w:sz="0" w:space="0" w:color="auto"/>
        <w:right w:val="none" w:sz="0" w:space="0" w:color="auto"/>
      </w:divBdr>
    </w:div>
    <w:div w:id="20558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communitybroadcasting@infrastructure.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www.pm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finance.gov.au/government/commonwealth-grants/australian-government-grants-framework" TargetMode="External"/><Relationship Id="rId13" Type="http://schemas.openxmlformats.org/officeDocument/2006/relationships/hyperlink" Target="https://www.niaa.gov.au/sites/default/files/documents/2024-04/niaa-ctg-grants-prioritisation-guide-1.pdf" TargetMode="External"/><Relationship Id="rId3" Type="http://schemas.openxmlformats.org/officeDocument/2006/relationships/hyperlink" Target="https://www.infrastructure.gov.au/node/40944" TargetMode="External"/><Relationship Id="rId7" Type="http://schemas.openxmlformats.org/officeDocument/2006/relationships/hyperlink" Target="https://minister.infrastructure.gov.au/rowland/media-release/charting-course-diverse-and-sustainable-news-sector" TargetMode="External"/><Relationship Id="rId12" Type="http://schemas.openxmlformats.org/officeDocument/2006/relationships/hyperlink" Target="https://firstnationsmedia.org.au/sites/default/files/files/2018%20Calls%20for%20Action/2.%20Operational%20Employment%20Funding-CFA-2018%20Updated.pdf" TargetMode="External"/><Relationship Id="rId17" Type="http://schemas.openxmlformats.org/officeDocument/2006/relationships/hyperlink" Target="https://firstnationsmedia.org.au/sites/default/files/files/DigitalDreaming.pdf" TargetMode="External"/><Relationship Id="rId2" Type="http://schemas.openxmlformats.org/officeDocument/2006/relationships/hyperlink" Target="https://www.infrastructure.gov.au/department/media/publications/evaluation-community-broadcasting-program-final-report-june-2024" TargetMode="External"/><Relationship Id="rId16" Type="http://schemas.openxmlformats.org/officeDocument/2006/relationships/hyperlink" Target="https://firstnationsmedia.org.au/sites/default/files/files/Stevens-Review-2010-review-broadcasting-investment.pdf" TargetMode="External"/><Relationship Id="rId1" Type="http://schemas.openxmlformats.org/officeDocument/2006/relationships/hyperlink" Target="https://view.officeapps.live.com/op/view.aspx?src=https%3A%2F%2Fwww.infrastructure.gov.au%2Fsites%2Fdefault%2Ffiles%2Fdocuments%2Fcommunity-broadcasting-review-terms-of-reference-final.docx&amp;wdOrigin=BROWSELINK" TargetMode="External"/><Relationship Id="rId6" Type="http://schemas.openxmlformats.org/officeDocument/2006/relationships/hyperlink" Target="https://www.infrastructure.gov.au/sites/default/files/documents/2024-25_infra_pbs_02_itrdca.pdf" TargetMode="External"/><Relationship Id="rId11" Type="http://schemas.openxmlformats.org/officeDocument/2006/relationships/hyperlink" Target="https://www.digitalinclusion.gov.au/sites/default/files/documents/first-nations-digital-inclusion-advisory-group-initial-report.pdf" TargetMode="External"/><Relationship Id="rId5" Type="http://schemas.openxmlformats.org/officeDocument/2006/relationships/hyperlink" Target="https://www.infrastructure.gov.au/sites/default/files/documents/2022-23_infra_pbs_02_ditrdc.pdf" TargetMode="External"/><Relationship Id="rId15" Type="http://schemas.openxmlformats.org/officeDocument/2006/relationships/hyperlink" Target="https://firstnationsmedia.org.au/sites/default/files/files/2018%20Calls%20for%20Action/2.%20Operational%20Employment%20Funding-CFA-2018%20Updated.pdf" TargetMode="External"/><Relationship Id="rId10" Type="http://schemas.openxmlformats.org/officeDocument/2006/relationships/hyperlink" Target="https://www.roadmap2033.org.au/" TargetMode="External"/><Relationship Id="rId4" Type="http://schemas.openxmlformats.org/officeDocument/2006/relationships/hyperlink" Target="https://www.infrastructure.gov.au/have-your-say/community-broadcasting-sector-sustainability-review" TargetMode="External"/><Relationship Id="rId9" Type="http://schemas.openxmlformats.org/officeDocument/2006/relationships/hyperlink" Target="https://www.niaa.gov.au/our-work/grants-and-funding/indigenous-advancement-strategy" TargetMode="External"/><Relationship Id="rId14" Type="http://schemas.openxmlformats.org/officeDocument/2006/relationships/hyperlink" Target="https://www.digitalinclusion.gov.au/sites/default/files/documents/first-nations-digital-inclusion-advisory-group-initia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gnenovski.INTERNAL\AppData\Local\Temp\1\a97cc243-a067-40fa-975a-fb5464631e0d_Corporate%20Word%20and%20PowerPoint%20templates_1%20July%202022.zip.e0d\DITRDCA_Report%20template_1%20July%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837226CFE394A3594C47B3742835420"/>
        <w:category>
          <w:name w:val="General"/>
          <w:gallery w:val="placeholder"/>
        </w:category>
        <w:types>
          <w:type w:val="bbPlcHdr"/>
        </w:types>
        <w:behaviors>
          <w:behavior w:val="content"/>
        </w:behaviors>
        <w:guid w:val="{454E8465-8984-4734-8C92-A41138C9DCA8}"/>
      </w:docPartPr>
      <w:docPartBody>
        <w:p w:rsidR="005D787A" w:rsidRDefault="005D787A">
          <w:pPr>
            <w:pStyle w:val="1837226CFE394A3594C47B3742835420"/>
          </w:pPr>
          <w:r w:rsidRPr="00EC51DD">
            <w:rPr>
              <w:rStyle w:val="PlaceholderText"/>
            </w:rPr>
            <w:t>[Title]</w:t>
          </w:r>
        </w:p>
      </w:docPartBody>
    </w:docPart>
    <w:docPart>
      <w:docPartPr>
        <w:name w:val="4AC0B99731F84390AF114ACA7586047B"/>
        <w:category>
          <w:name w:val="General"/>
          <w:gallery w:val="placeholder"/>
        </w:category>
        <w:types>
          <w:type w:val="bbPlcHdr"/>
        </w:types>
        <w:behaviors>
          <w:behavior w:val="content"/>
        </w:behaviors>
        <w:guid w:val="{06D8AEAE-A83E-4C1F-9B86-5FD8C81C9DAA}"/>
      </w:docPartPr>
      <w:docPartBody>
        <w:p w:rsidR="00342B2D" w:rsidRDefault="005D787A">
          <w:pPr>
            <w:pStyle w:val="4AC0B99731F84390AF114ACA7586047B"/>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87A"/>
    <w:rsid w:val="0000263E"/>
    <w:rsid w:val="00031129"/>
    <w:rsid w:val="00067509"/>
    <w:rsid w:val="00162DCA"/>
    <w:rsid w:val="00191311"/>
    <w:rsid w:val="00222EEC"/>
    <w:rsid w:val="00297F72"/>
    <w:rsid w:val="002B5BCF"/>
    <w:rsid w:val="002F09EF"/>
    <w:rsid w:val="00300378"/>
    <w:rsid w:val="0033355A"/>
    <w:rsid w:val="00342B2D"/>
    <w:rsid w:val="003E0C17"/>
    <w:rsid w:val="004254B6"/>
    <w:rsid w:val="00460D73"/>
    <w:rsid w:val="004B59D2"/>
    <w:rsid w:val="004B5FE0"/>
    <w:rsid w:val="005023A0"/>
    <w:rsid w:val="00545F3A"/>
    <w:rsid w:val="005A7193"/>
    <w:rsid w:val="005B6033"/>
    <w:rsid w:val="005B6F71"/>
    <w:rsid w:val="005D0F65"/>
    <w:rsid w:val="005D787A"/>
    <w:rsid w:val="00601A62"/>
    <w:rsid w:val="00662A0F"/>
    <w:rsid w:val="007011CF"/>
    <w:rsid w:val="00732B18"/>
    <w:rsid w:val="00743D43"/>
    <w:rsid w:val="007751B5"/>
    <w:rsid w:val="007F2FA4"/>
    <w:rsid w:val="007F6D69"/>
    <w:rsid w:val="008161C4"/>
    <w:rsid w:val="008550B5"/>
    <w:rsid w:val="00860473"/>
    <w:rsid w:val="008729A9"/>
    <w:rsid w:val="009269B0"/>
    <w:rsid w:val="00983994"/>
    <w:rsid w:val="009902C9"/>
    <w:rsid w:val="009B39B9"/>
    <w:rsid w:val="009C12C7"/>
    <w:rsid w:val="009C5150"/>
    <w:rsid w:val="009D2647"/>
    <w:rsid w:val="009D5431"/>
    <w:rsid w:val="00A0263D"/>
    <w:rsid w:val="00A1461A"/>
    <w:rsid w:val="00A66439"/>
    <w:rsid w:val="00A67EF0"/>
    <w:rsid w:val="00AB2A22"/>
    <w:rsid w:val="00AE725F"/>
    <w:rsid w:val="00B358AB"/>
    <w:rsid w:val="00B710DA"/>
    <w:rsid w:val="00B73A93"/>
    <w:rsid w:val="00BC6642"/>
    <w:rsid w:val="00BE2907"/>
    <w:rsid w:val="00C648EC"/>
    <w:rsid w:val="00CA1595"/>
    <w:rsid w:val="00CA3C6E"/>
    <w:rsid w:val="00CE3692"/>
    <w:rsid w:val="00D1273D"/>
    <w:rsid w:val="00D3656A"/>
    <w:rsid w:val="00DB3597"/>
    <w:rsid w:val="00E008AA"/>
    <w:rsid w:val="00E67470"/>
    <w:rsid w:val="00EE4ED5"/>
    <w:rsid w:val="00F16390"/>
    <w:rsid w:val="00FC26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837226CFE394A3594C47B3742835420">
    <w:name w:val="1837226CFE394A3594C47B3742835420"/>
  </w:style>
  <w:style w:type="paragraph" w:customStyle="1" w:styleId="40D44290DC0A44DAAAA6A0562E9EC777">
    <w:name w:val="40D44290DC0A44DAAAA6A0562E9EC777"/>
  </w:style>
  <w:style w:type="paragraph" w:customStyle="1" w:styleId="8D1D677E247249A1A448F88A31B0D15F">
    <w:name w:val="8D1D677E247249A1A448F88A31B0D15F"/>
  </w:style>
  <w:style w:type="paragraph" w:customStyle="1" w:styleId="1A45A77058EF424DB81C603278996217">
    <w:name w:val="1A45A77058EF424DB81C603278996217"/>
  </w:style>
  <w:style w:type="paragraph" w:customStyle="1" w:styleId="72C1E56EBFC346E0BE99DD6E65879B50">
    <w:name w:val="72C1E56EBFC346E0BE99DD6E65879B50"/>
  </w:style>
  <w:style w:type="paragraph" w:customStyle="1" w:styleId="52AE8E36062A4D79903D81458ED7A29F">
    <w:name w:val="52AE8E36062A4D79903D81458ED7A29F"/>
  </w:style>
  <w:style w:type="paragraph" w:customStyle="1" w:styleId="F92152A7589D4756BD130D38C89CE9B5">
    <w:name w:val="F92152A7589D4756BD130D38C89CE9B5"/>
  </w:style>
  <w:style w:type="paragraph" w:customStyle="1" w:styleId="4AC0B99731F84390AF114ACA7586047B">
    <w:name w:val="4AC0B99731F84390AF114ACA758604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1ABE410-6AF3-42C4-A6A0-B9ECD3AF8A8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4B6CC02B00D244ACF1B4D805A17E23" ma:contentTypeVersion="15" ma:contentTypeDescription="Create a new document." ma:contentTypeScope="" ma:versionID="6d581284bf67463a5fd2e6fdf630b876">
  <xsd:schema xmlns:xsd="http://www.w3.org/2001/XMLSchema" xmlns:xs="http://www.w3.org/2001/XMLSchema" xmlns:p="http://schemas.microsoft.com/office/2006/metadata/properties" xmlns:ns2="f866b990-aa60-4831-97c2-adad1bf5a72e" targetNamespace="http://schemas.microsoft.com/office/2006/metadata/properties" ma:root="true" ma:fieldsID="b620deb400a1c18555e640af550407b5" ns2:_="">
    <xsd:import namespace="f866b990-aa60-4831-97c2-adad1bf5a72e"/>
    <xsd:element name="properties">
      <xsd:complexType>
        <xsd:sequence>
          <xsd:element name="documentManagement">
            <xsd:complexType>
              <xsd:all>
                <xsd:element ref="ns2:RecordNumber" minOccurs="0"/>
                <xsd:element ref="ns2:gc11eaaf41e9419cbdf24f264755becc" minOccurs="0"/>
                <xsd:element ref="ns2:TaxCatchAll" minOccurs="0"/>
                <xsd:element ref="ns2:TaxCatchAllLabel" minOccurs="0"/>
                <xsd:element ref="ns2:jb9953b22aac466ca8f45f7773f8da29" minOccurs="0"/>
                <xsd:element ref="ns2:Destroy Item46" minOccurs="0"/>
                <xsd:element ref="ns2:Justification for Destruction47" minOccurs="0"/>
                <xsd:element ref="ns2:Document_x0020_SP_x0020_Type" minOccurs="0"/>
                <xsd:element ref="ns2:SharedWithUsers" minOccurs="0"/>
                <xsd:element ref="ns2:SharedWithDetails" minOccurs="0"/>
                <xsd:element ref="ns2:Calendar_x0020_Year" minOccurs="0"/>
                <xsd:element ref="ns2:Grant_x0020_Name" minOccurs="0"/>
                <xsd:element ref="ns2:Grant_x0020_Round" minOccurs="0"/>
                <xsd:element ref="ns2:Grant_x0020_Activity" minOccurs="0"/>
                <xsd:element ref="ns2:Financial_x0020_Year" minOccurs="0"/>
                <xsd:element ref="ns2:Project" minOccurs="0"/>
                <xsd:element ref="ns2:Program" minOccurs="0"/>
                <xsd:element ref="ns2:Stakeholder_x002f_Agency" minOccurs="0"/>
                <xsd:element ref="ns2:Record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6b990-aa60-4831-97c2-adad1bf5a72e"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gc11eaaf41e9419cbdf24f264755becc" ma:index="9" ma:taxonomy="true" ma:internalName="gc11eaaf41e9419cbdf24f264755becc" ma:taxonomyFieldName="Security_x0020_Classification" ma:displayName="Security Classification" ma:readOnly="false" ma:default="1;#OFFICIAL|66ee57a8-59d0-46bc-a5fc-78440ee0cf81" ma:fieldId="{0c11eaaf-41e9-419c-bdf2-4f264755becc}"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1992ecf-b25d-40ca-aa98-e0e68bad0a23}" ma:internalName="TaxCatchAll" ma:showField="CatchAllData" ma:web="f866b990-aa60-4831-97c2-adad1bf5a72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1992ecf-b25d-40ca-aa98-e0e68bad0a23}" ma:internalName="TaxCatchAllLabel" ma:readOnly="true" ma:showField="CatchAllDataLabel" ma:web="f866b990-aa60-4831-97c2-adad1bf5a72e">
      <xsd:complexType>
        <xsd:complexContent>
          <xsd:extension base="dms:MultiChoiceLookup">
            <xsd:sequence>
              <xsd:element name="Value" type="dms:Lookup" maxOccurs="unbounded" minOccurs="0" nillable="true"/>
            </xsd:sequence>
          </xsd:extension>
        </xsd:complexContent>
      </xsd:complexType>
    </xsd:element>
    <xsd:element name="jb9953b22aac466ca8f45f7773f8da29" ma:index="13" nillable="true" ma:taxonomy="true" ma:internalName="jb9953b22aac466ca8f45f7773f8da29" ma:taxonomyFieldName="Information_x0020_Management_x0020_Marker" ma:displayName="Information Management Marker" ma:default="" ma:fieldId="{3b9953b2-2aac-466c-a8f4-5f7773f8da29}"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Calendar_x0020_Year" ma:index="20" nillable="true" ma:displayName="Calendar Year" ma:internalName="Calendar_x0020_Year">
      <xsd:simpleType>
        <xsd:restriction base="dms:Choice">
          <xsd:enumeration value="2020"/>
          <xsd:enumeration value="2021"/>
          <xsd:enumeration value="2022"/>
          <xsd:enumeration value="2023"/>
        </xsd:restriction>
      </xsd:simpleType>
    </xsd:element>
    <xsd:element name="Grant_x0020_Name" ma:index="21" nillable="true" ma:displayName="Grant Name" ma:internalName="Grant_x0020_Name">
      <xsd:simpleType>
        <xsd:restriction base="dms:Text"/>
      </xsd:simpleType>
    </xsd:element>
    <xsd:element name="Grant_x0020_Round" ma:index="22" nillable="true" ma:displayName="Grant Round" ma:internalName="Grant_x0020_Round">
      <xsd:simpleType>
        <xsd:restriction base="dms:Text"/>
      </xsd:simpleType>
    </xsd:element>
    <xsd:element name="Grant_x0020_Activity" ma:index="23" nillable="true" ma:displayName="Grant Activity" ma:internalName="Grant_x0020_Activity">
      <xsd:simpleType>
        <xsd:restriction base="dms:Text"/>
      </xsd:simpleType>
    </xsd:element>
    <xsd:element name="Financial_x0020_Year" ma:index="24"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Project" ma:index="25" nillable="true" ma:displayName="Project" ma:internalName="Project">
      <xsd:simpleType>
        <xsd:restriction base="dms:Text"/>
      </xsd:simpleType>
    </xsd:element>
    <xsd:element name="Program" ma:index="26" nillable="true" ma:displayName="Program" ma:internalName="Program">
      <xsd:simpleType>
        <xsd:restriction base="dms:Text"/>
      </xsd:simpleType>
    </xsd:element>
    <xsd:element name="Stakeholder_x002f_Agency" ma:index="27" nillable="true" ma:displayName="Stakeholder" ma:internalName="Stakeholder_x002F_Agency">
      <xsd:simpleType>
        <xsd:restriction base="dms:Text">
          <xsd:maxLength value="255"/>
        </xsd:restriction>
      </xsd:simpleType>
    </xsd:element>
    <xsd:element name="Record_x0020_Type" ma:index="28" nillable="true" ma:displayName="Record Type" ma:internalName="Record_x0020_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339880-7DB1-4A0B-8AA2-1E666925313B}">
  <ds:schemaRefs>
    <ds:schemaRef ds:uri="http://schemas.microsoft.com/sharepoint/v3/contenttype/forms"/>
  </ds:schemaRefs>
</ds:datastoreItem>
</file>

<file path=customXml/itemProps3.xml><?xml version="1.0" encoding="utf-8"?>
<ds:datastoreItem xmlns:ds="http://schemas.openxmlformats.org/officeDocument/2006/customXml" ds:itemID="{BDDA77D0-9F86-4E49-B481-73DF1135B899}">
  <ds:schemaRefs>
    <ds:schemaRef ds:uri="http://schemas.microsoft.com/office/2006/metadata/properties"/>
    <ds:schemaRef ds:uri="http://purl.org/dc/terms/"/>
    <ds:schemaRef ds:uri="C1ABE410-6AF3-42C4-A6A0-B9ECD3AF8A8C"/>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F20ADD7-E548-4402-ADF4-8A75136DC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6b990-aa60-4831-97c2-adad1bf5a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302925-BC9C-4E3F-B791-367E2B8D5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DITRDCA_Report template_1 July 2022.dotx</Template>
  <TotalTime>259</TotalTime>
  <Pages>18</Pages>
  <Words>8407</Words>
  <Characters>47926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Community Broadcasting Sector Sustainability Review</vt:lpstr>
    </vt:vector>
  </TitlesOfParts>
  <Company>Department of Infrastructure &amp; Regional Development</Company>
  <LinksUpToDate>false</LinksUpToDate>
  <CharactersWithSpaces>56221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Broadcasting Sector Sustainability Review</dc:title>
  <dc:subject/>
  <dc:creator>DITRDCA</dc:creator>
  <cp:keywords/>
  <dc:description/>
  <cp:lastModifiedBy>Ognenovski, Lauren</cp:lastModifiedBy>
  <cp:revision>21</cp:revision>
  <cp:lastPrinted>2025-03-04T03:28:00Z</cp:lastPrinted>
  <dcterms:created xsi:type="dcterms:W3CDTF">2025-02-25T21:28:00Z</dcterms:created>
  <dcterms:modified xsi:type="dcterms:W3CDTF">2025-03-04T03:29:00Z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0x010100334B6CC02B00D244ACF1B4D805A17E23</vt:lpwstr>
  </property>
</Properties>
</file>