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5A1881">
      <w:pPr>
        <w:spacing w:after="1320"/>
      </w:pPr>
      <w:bookmarkStart w:id="0" w:name="_GoBack"/>
      <w:bookmarkEnd w:id="0"/>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rsidR="00B041CB" w:rsidRPr="00B041CB" w:rsidRDefault="005A1881" w:rsidP="005A1881">
      <w:pPr>
        <w:pStyle w:val="Heading1"/>
        <w:spacing w:before="720"/>
      </w:pPr>
      <w:r w:rsidRPr="00C83F93">
        <w:t>Community broadcasting sector sustainability revie</w:t>
      </w:r>
      <w:r>
        <w:t>w</w:t>
      </w:r>
    </w:p>
    <w:p w:rsidR="00B041CB" w:rsidRPr="00B041CB" w:rsidRDefault="005A1881" w:rsidP="00C817A5">
      <w:pPr>
        <w:pStyle w:val="Subtitle"/>
      </w:pPr>
      <w:r w:rsidRPr="00C83F93">
        <w:t>Discussion Paper</w:t>
      </w:r>
    </w:p>
    <w:p w:rsidR="00B041CB" w:rsidRPr="00B041CB" w:rsidRDefault="005A1881"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June</w:t>
      </w:r>
      <w:r w:rsidR="00B041CB" w:rsidRPr="00B041CB">
        <w:rPr>
          <w:rFonts w:eastAsia="Calibri" w:cs="Times New Roman"/>
          <w:b/>
          <w:color w:val="081E3E"/>
          <w:kern w:val="12"/>
          <w:sz w:val="20"/>
          <w:szCs w:val="20"/>
        </w:rPr>
        <w:t xml:space="preserve"> 202</w:t>
      </w:r>
      <w:r w:rsidR="00D10954">
        <w:rPr>
          <w:rFonts w:eastAsia="Calibri" w:cs="Times New Roman"/>
          <w:b/>
          <w:color w:val="081E3E"/>
          <w:kern w:val="12"/>
          <w:sz w:val="20"/>
          <w:szCs w:val="20"/>
        </w:rPr>
        <w:t>4</w:t>
      </w:r>
    </w:p>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E644EC" w:rsidRPr="00C83F93" w:rsidRDefault="00E644EC" w:rsidP="00316B73">
      <w:r w:rsidRPr="00C83F93">
        <w:lastRenderedPageBreak/>
        <w:t>© Commonwealth of Australia 2024</w:t>
      </w:r>
    </w:p>
    <w:p w:rsidR="00E644EC" w:rsidRPr="00C83F93" w:rsidRDefault="00E644EC" w:rsidP="00BC3C6B">
      <w:pPr>
        <w:pStyle w:val="Heading2notshowing"/>
      </w:pPr>
      <w:r w:rsidRPr="00C83F93">
        <w:t>Ownership of intellectual property rights in this publication</w:t>
      </w:r>
    </w:p>
    <w:p w:rsidR="00E644EC" w:rsidRPr="00C83F93" w:rsidRDefault="00E644EC" w:rsidP="00E644EC">
      <w:pPr>
        <w:spacing w:before="120"/>
      </w:pPr>
      <w:r w:rsidRPr="00C83F93">
        <w:t>Unless otherwise noted, copyright (and any other intellectual property rights, if any) in this publication is owned by the Commonwealth of Australia (referred to below as the Commonwealth).</w:t>
      </w:r>
    </w:p>
    <w:p w:rsidR="00E644EC" w:rsidRPr="00C83F93" w:rsidRDefault="00E644EC" w:rsidP="00BC3C6B">
      <w:pPr>
        <w:pStyle w:val="Heading2notshowing"/>
      </w:pPr>
      <w:r w:rsidRPr="00C83F93">
        <w:t>Disclaimer</w:t>
      </w:r>
    </w:p>
    <w:p w:rsidR="00E644EC" w:rsidRPr="00C83F93" w:rsidRDefault="00E644EC" w:rsidP="00E644EC">
      <w:pPr>
        <w:spacing w:before="120"/>
      </w:pPr>
      <w:r w:rsidRPr="00C83F93">
        <w:t>The material contained in this publication is made available on the understanding that the Commonwealth is not providing professional advice, and that users exercise their own skill and care with respect to its use, and seek independent advice if necessary.</w:t>
      </w:r>
    </w:p>
    <w:p w:rsidR="00E644EC" w:rsidRPr="00C83F93" w:rsidRDefault="00E644EC" w:rsidP="00E644EC">
      <w:pPr>
        <w:spacing w:before="120"/>
      </w:pPr>
      <w:r w:rsidRPr="00C83F93">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E644EC" w:rsidRPr="00C83F93" w:rsidRDefault="00E644EC" w:rsidP="00BC3C6B">
      <w:pPr>
        <w:pStyle w:val="Heading2notshowing"/>
      </w:pPr>
      <w:r w:rsidRPr="00C83F93">
        <w:t>Creative Commons licence</w:t>
      </w:r>
    </w:p>
    <w:p w:rsidR="00E644EC" w:rsidRPr="00C83F93" w:rsidRDefault="00E644EC" w:rsidP="00E644EC">
      <w:pPr>
        <w:spacing w:before="120"/>
        <w:outlineLvl w:val="1"/>
      </w:pPr>
      <w:r w:rsidRPr="00C83F93">
        <w:t xml:space="preserve">With the exception of: (a) the Coat of Arms; and (b) the Department of Infrastructure, Transport, Regional Development, Communications and the Arts photos and graphics, copyright in this publication is licensed under a Creative Commons Attribution 4.0 Australia Licence. </w:t>
      </w:r>
    </w:p>
    <w:p w:rsidR="00E644EC" w:rsidRPr="00C83F93" w:rsidRDefault="00E644EC" w:rsidP="00E644EC">
      <w:pPr>
        <w:spacing w:before="120"/>
        <w:outlineLvl w:val="1"/>
      </w:pPr>
      <w:r w:rsidRPr="00C83F93">
        <w:t xml:space="preserve">Creative Commons Attribution 4.0 Australia Licence is a standard form licence agreement that allows you to copy, communicate and adapt this publication provided that you attribute the work to the Commonwealth and abide by the other licence terms. </w:t>
      </w:r>
    </w:p>
    <w:p w:rsidR="00E644EC" w:rsidRPr="00C83F93" w:rsidRDefault="00E644EC" w:rsidP="00E644EC">
      <w:pPr>
        <w:spacing w:before="120"/>
        <w:outlineLvl w:val="1"/>
        <w:rPr>
          <w:b/>
        </w:rPr>
      </w:pPr>
      <w:r w:rsidRPr="00C83F93">
        <w:t xml:space="preserve">Further information on the licence terms is available from </w:t>
      </w:r>
      <w:hyperlink r:id="rId12" w:history="1">
        <w:r w:rsidRPr="00C83F93">
          <w:rPr>
            <w:rStyle w:val="Hyperlink"/>
          </w:rPr>
          <w:t>https://creativecommons.org/licenses/by/4.0/</w:t>
        </w:r>
      </w:hyperlink>
      <w:r w:rsidRPr="00C83F93">
        <w:t>. This publication should be attributed in the following way: © Commonwealth of Australia 202</w:t>
      </w:r>
      <w:r w:rsidR="0001705C">
        <w:t>4.</w:t>
      </w:r>
    </w:p>
    <w:p w:rsidR="00E644EC" w:rsidRPr="00C83F93" w:rsidRDefault="00E644EC" w:rsidP="00BC3C6B">
      <w:pPr>
        <w:pStyle w:val="Heading2notshowing"/>
      </w:pPr>
      <w:r w:rsidRPr="00C83F93">
        <w:t>Use of the Coat of Arms</w:t>
      </w:r>
    </w:p>
    <w:p w:rsidR="00E644EC" w:rsidRPr="00C83F93" w:rsidRDefault="00E644EC" w:rsidP="00E644EC">
      <w:pPr>
        <w:spacing w:before="120"/>
      </w:pPr>
      <w:r w:rsidRPr="00C83F93">
        <w:t>The Department of the Prime Minister and Cabinet sets the terms under which the Coat of Arms is used. Please refer to the Commonwealth Coat of Arms</w:t>
      </w:r>
      <w:r w:rsidR="004B698F">
        <w:t>—</w:t>
      </w:r>
      <w:r w:rsidRPr="00C83F93">
        <w:t xml:space="preserve">Information and Guidelines publication available at </w:t>
      </w:r>
      <w:hyperlink r:id="rId13" w:tooltip="Department of Prime Minister and Cabinet website" w:history="1">
        <w:r w:rsidRPr="00C83F93">
          <w:rPr>
            <w:rStyle w:val="Hyperlink"/>
          </w:rPr>
          <w:t>http://www.pmc.gov.au</w:t>
        </w:r>
      </w:hyperlink>
      <w:r w:rsidRPr="00C83F93">
        <w:t>.</w:t>
      </w:r>
    </w:p>
    <w:p w:rsidR="00E644EC" w:rsidRPr="00C83F93" w:rsidRDefault="00E644EC" w:rsidP="00BC3C6B">
      <w:pPr>
        <w:pStyle w:val="Heading2notshowing"/>
      </w:pPr>
      <w:r w:rsidRPr="00C83F93">
        <w:t>Contact us</w:t>
      </w:r>
    </w:p>
    <w:p w:rsidR="00E644EC" w:rsidRPr="00C83F93" w:rsidRDefault="00E644EC" w:rsidP="00E644EC">
      <w:pPr>
        <w:spacing w:before="120"/>
      </w:pPr>
      <w:r w:rsidRPr="00C83F93">
        <w:t>This publication is available in hard copy or PDF format. All other rights are reserved, including in relation to any departmental logos or trademarks which may exist. For enquiries regarding the licence and any use of this publication, please contact:</w:t>
      </w:r>
    </w:p>
    <w:p w:rsidR="00E644EC" w:rsidRPr="00C83F93" w:rsidRDefault="00E644EC" w:rsidP="00E644EC">
      <w:pPr>
        <w:spacing w:after="0"/>
        <w:rPr>
          <w:kern w:val="12"/>
        </w:rPr>
      </w:pPr>
      <w:r w:rsidRPr="00C83F93">
        <w:rPr>
          <w:kern w:val="12"/>
        </w:rPr>
        <w:t>Director – Publishing and Communications</w:t>
      </w:r>
    </w:p>
    <w:p w:rsidR="00E644EC" w:rsidRPr="00C83F93" w:rsidRDefault="00E644EC" w:rsidP="00E644EC">
      <w:pPr>
        <w:spacing w:after="0"/>
        <w:rPr>
          <w:kern w:val="12"/>
        </w:rPr>
      </w:pPr>
      <w:r w:rsidRPr="00C83F93">
        <w:rPr>
          <w:kern w:val="12"/>
        </w:rPr>
        <w:t>Communication Branch</w:t>
      </w:r>
    </w:p>
    <w:p w:rsidR="00E644EC" w:rsidRPr="00C83F93" w:rsidRDefault="00E644EC" w:rsidP="00E644EC">
      <w:pPr>
        <w:spacing w:after="0"/>
        <w:rPr>
          <w:kern w:val="12"/>
        </w:rPr>
      </w:pPr>
      <w:r w:rsidRPr="00C83F93">
        <w:rPr>
          <w:kern w:val="12"/>
        </w:rPr>
        <w:t>Department of Infrastructure, Transport, Regional Development, Communications and the Arts</w:t>
      </w:r>
    </w:p>
    <w:p w:rsidR="00E644EC" w:rsidRPr="00C83F93" w:rsidRDefault="00E644EC" w:rsidP="00E644EC">
      <w:pPr>
        <w:spacing w:after="0"/>
        <w:rPr>
          <w:kern w:val="12"/>
        </w:rPr>
      </w:pPr>
      <w:r w:rsidRPr="00C83F93">
        <w:rPr>
          <w:kern w:val="12"/>
        </w:rPr>
        <w:t>GPO Box 594</w:t>
      </w:r>
    </w:p>
    <w:p w:rsidR="00E644EC" w:rsidRPr="00C83F93" w:rsidRDefault="00E644EC" w:rsidP="00E644EC">
      <w:pPr>
        <w:spacing w:after="0"/>
        <w:rPr>
          <w:kern w:val="12"/>
        </w:rPr>
      </w:pPr>
      <w:r w:rsidRPr="00C83F93">
        <w:rPr>
          <w:kern w:val="12"/>
        </w:rPr>
        <w:t>Canberra ACT 2601</w:t>
      </w:r>
    </w:p>
    <w:p w:rsidR="00E644EC" w:rsidRPr="00C83F93" w:rsidRDefault="00E644EC" w:rsidP="00E644EC">
      <w:pPr>
        <w:spacing w:after="0"/>
        <w:rPr>
          <w:kern w:val="12"/>
        </w:rPr>
      </w:pPr>
      <w:r w:rsidRPr="00C83F93">
        <w:rPr>
          <w:kern w:val="12"/>
        </w:rPr>
        <w:t>Australia</w:t>
      </w:r>
    </w:p>
    <w:p w:rsidR="00E644EC" w:rsidRPr="00C83F93" w:rsidRDefault="00E644EC" w:rsidP="00E644EC">
      <w:pPr>
        <w:spacing w:before="120"/>
      </w:pPr>
      <w:r w:rsidRPr="00C83F93">
        <w:t xml:space="preserve">Email: </w:t>
      </w:r>
      <w:hyperlink r:id="rId14" w:history="1">
        <w:r w:rsidRPr="00C83F93">
          <w:rPr>
            <w:rStyle w:val="Hyperlink"/>
            <w:kern w:val="12"/>
          </w:rPr>
          <w:t>publishing@communications.gov.au</w:t>
        </w:r>
      </w:hyperlink>
      <w:r w:rsidRPr="00C83F93">
        <w:rPr>
          <w:i/>
          <w:kern w:val="12"/>
        </w:rPr>
        <w:t xml:space="preserve"> </w:t>
      </w:r>
    </w:p>
    <w:p w:rsidR="00E644EC" w:rsidRPr="00C83F93" w:rsidRDefault="00E644EC" w:rsidP="00E644EC">
      <w:pPr>
        <w:spacing w:before="120"/>
        <w:rPr>
          <w:rStyle w:val="Hyperlink"/>
        </w:rPr>
      </w:pPr>
      <w:r w:rsidRPr="00C83F93">
        <w:t xml:space="preserve">Website: </w:t>
      </w:r>
      <w:hyperlink r:id="rId15" w:history="1">
        <w:r w:rsidRPr="00C83F93">
          <w:rPr>
            <w:rStyle w:val="Hyperlink"/>
          </w:rPr>
          <w:t>www.infrastructure.gov.au</w:t>
        </w:r>
      </w:hyperlink>
      <w:r w:rsidRPr="00C83F93">
        <w:t xml:space="preserve"> | </w:t>
      </w:r>
      <w:hyperlink r:id="rId16" w:history="1">
        <w:r w:rsidRPr="00C83F93">
          <w:rPr>
            <w:rStyle w:val="Hyperlink"/>
          </w:rPr>
          <w:t>www.arts.gov.au</w:t>
        </w:r>
      </w:hyperlink>
    </w:p>
    <w:p w:rsidR="009C1ECD" w:rsidRDefault="009C1ECD" w:rsidP="009C1ECD">
      <w: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01705C"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69789840" w:history="1">
        <w:r w:rsidR="0001705C" w:rsidRPr="007C51AA">
          <w:rPr>
            <w:rStyle w:val="Hyperlink"/>
            <w:noProof/>
          </w:rPr>
          <w:t>Make your views known</w:t>
        </w:r>
        <w:r w:rsidR="0001705C">
          <w:rPr>
            <w:noProof/>
            <w:webHidden/>
          </w:rPr>
          <w:tab/>
        </w:r>
        <w:r w:rsidR="0001705C">
          <w:rPr>
            <w:noProof/>
            <w:webHidden/>
          </w:rPr>
          <w:fldChar w:fldCharType="begin"/>
        </w:r>
        <w:r w:rsidR="0001705C">
          <w:rPr>
            <w:noProof/>
            <w:webHidden/>
          </w:rPr>
          <w:instrText xml:space="preserve"> PAGEREF _Toc169789840 \h </w:instrText>
        </w:r>
        <w:r w:rsidR="0001705C">
          <w:rPr>
            <w:noProof/>
            <w:webHidden/>
          </w:rPr>
        </w:r>
        <w:r w:rsidR="0001705C">
          <w:rPr>
            <w:noProof/>
            <w:webHidden/>
          </w:rPr>
          <w:fldChar w:fldCharType="separate"/>
        </w:r>
        <w:r w:rsidR="0001705C">
          <w:rPr>
            <w:noProof/>
            <w:webHidden/>
          </w:rPr>
          <w:t>4</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41" w:history="1">
        <w:r w:rsidR="0001705C" w:rsidRPr="007C51AA">
          <w:rPr>
            <w:rStyle w:val="Hyperlink"/>
            <w:noProof/>
          </w:rPr>
          <w:t>Making a submission</w:t>
        </w:r>
        <w:r w:rsidR="0001705C">
          <w:rPr>
            <w:noProof/>
            <w:webHidden/>
          </w:rPr>
          <w:tab/>
        </w:r>
        <w:r w:rsidR="0001705C">
          <w:rPr>
            <w:noProof/>
            <w:webHidden/>
          </w:rPr>
          <w:fldChar w:fldCharType="begin"/>
        </w:r>
        <w:r w:rsidR="0001705C">
          <w:rPr>
            <w:noProof/>
            <w:webHidden/>
          </w:rPr>
          <w:instrText xml:space="preserve"> PAGEREF _Toc169789841 \h </w:instrText>
        </w:r>
        <w:r w:rsidR="0001705C">
          <w:rPr>
            <w:noProof/>
            <w:webHidden/>
          </w:rPr>
        </w:r>
        <w:r w:rsidR="0001705C">
          <w:rPr>
            <w:noProof/>
            <w:webHidden/>
          </w:rPr>
          <w:fldChar w:fldCharType="separate"/>
        </w:r>
        <w:r w:rsidR="0001705C">
          <w:rPr>
            <w:noProof/>
            <w:webHidden/>
          </w:rPr>
          <w:t>4</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42" w:history="1">
        <w:r w:rsidR="0001705C" w:rsidRPr="007C51AA">
          <w:rPr>
            <w:rStyle w:val="Hyperlink"/>
            <w:noProof/>
          </w:rPr>
          <w:t>Publication of submissions and confidentiality</w:t>
        </w:r>
        <w:r w:rsidR="0001705C">
          <w:rPr>
            <w:noProof/>
            <w:webHidden/>
          </w:rPr>
          <w:tab/>
        </w:r>
        <w:r w:rsidR="0001705C">
          <w:rPr>
            <w:noProof/>
            <w:webHidden/>
          </w:rPr>
          <w:fldChar w:fldCharType="begin"/>
        </w:r>
        <w:r w:rsidR="0001705C">
          <w:rPr>
            <w:noProof/>
            <w:webHidden/>
          </w:rPr>
          <w:instrText xml:space="preserve"> PAGEREF _Toc169789842 \h </w:instrText>
        </w:r>
        <w:r w:rsidR="0001705C">
          <w:rPr>
            <w:noProof/>
            <w:webHidden/>
          </w:rPr>
        </w:r>
        <w:r w:rsidR="0001705C">
          <w:rPr>
            <w:noProof/>
            <w:webHidden/>
          </w:rPr>
          <w:fldChar w:fldCharType="separate"/>
        </w:r>
        <w:r w:rsidR="0001705C">
          <w:rPr>
            <w:noProof/>
            <w:webHidden/>
          </w:rPr>
          <w:t>4</w:t>
        </w:r>
        <w:r w:rsidR="0001705C">
          <w:rPr>
            <w:noProof/>
            <w:webHidden/>
          </w:rPr>
          <w:fldChar w:fldCharType="end"/>
        </w:r>
      </w:hyperlink>
    </w:p>
    <w:p w:rsidR="0001705C" w:rsidRDefault="00F859AC">
      <w:pPr>
        <w:pStyle w:val="TOC1"/>
        <w:rPr>
          <w:rFonts w:asciiTheme="minorHAnsi" w:eastAsiaTheme="minorEastAsia" w:hAnsiTheme="minorHAnsi"/>
          <w:b w:val="0"/>
          <w:noProof/>
          <w:color w:val="auto"/>
          <w:u w:val="none"/>
          <w:lang w:eastAsia="en-AU"/>
        </w:rPr>
      </w:pPr>
      <w:hyperlink w:anchor="_Toc169789843" w:history="1">
        <w:r w:rsidR="0001705C" w:rsidRPr="007C51AA">
          <w:rPr>
            <w:rStyle w:val="Hyperlink"/>
            <w:noProof/>
          </w:rPr>
          <w:t>Introduction</w:t>
        </w:r>
        <w:r w:rsidR="0001705C">
          <w:rPr>
            <w:noProof/>
            <w:webHidden/>
          </w:rPr>
          <w:tab/>
        </w:r>
        <w:r w:rsidR="0001705C">
          <w:rPr>
            <w:noProof/>
            <w:webHidden/>
          </w:rPr>
          <w:fldChar w:fldCharType="begin"/>
        </w:r>
        <w:r w:rsidR="0001705C">
          <w:rPr>
            <w:noProof/>
            <w:webHidden/>
          </w:rPr>
          <w:instrText xml:space="preserve"> PAGEREF _Toc169789843 \h </w:instrText>
        </w:r>
        <w:r w:rsidR="0001705C">
          <w:rPr>
            <w:noProof/>
            <w:webHidden/>
          </w:rPr>
        </w:r>
        <w:r w:rsidR="0001705C">
          <w:rPr>
            <w:noProof/>
            <w:webHidden/>
          </w:rPr>
          <w:fldChar w:fldCharType="separate"/>
        </w:r>
        <w:r w:rsidR="0001705C">
          <w:rPr>
            <w:noProof/>
            <w:webHidden/>
          </w:rPr>
          <w:t>5</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44" w:history="1">
        <w:r w:rsidR="0001705C" w:rsidRPr="007C51AA">
          <w:rPr>
            <w:rStyle w:val="Hyperlink"/>
            <w:noProof/>
          </w:rPr>
          <w:t>Phase 1 evaluation</w:t>
        </w:r>
        <w:r w:rsidR="0001705C">
          <w:rPr>
            <w:noProof/>
            <w:webHidden/>
          </w:rPr>
          <w:tab/>
        </w:r>
        <w:r w:rsidR="0001705C">
          <w:rPr>
            <w:noProof/>
            <w:webHidden/>
          </w:rPr>
          <w:fldChar w:fldCharType="begin"/>
        </w:r>
        <w:r w:rsidR="0001705C">
          <w:rPr>
            <w:noProof/>
            <w:webHidden/>
          </w:rPr>
          <w:instrText xml:space="preserve"> PAGEREF _Toc169789844 \h </w:instrText>
        </w:r>
        <w:r w:rsidR="0001705C">
          <w:rPr>
            <w:noProof/>
            <w:webHidden/>
          </w:rPr>
        </w:r>
        <w:r w:rsidR="0001705C">
          <w:rPr>
            <w:noProof/>
            <w:webHidden/>
          </w:rPr>
          <w:fldChar w:fldCharType="separate"/>
        </w:r>
        <w:r w:rsidR="0001705C">
          <w:rPr>
            <w:noProof/>
            <w:webHidden/>
          </w:rPr>
          <w:t>5</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45" w:history="1">
        <w:r w:rsidR="0001705C" w:rsidRPr="007C51AA">
          <w:rPr>
            <w:rStyle w:val="Hyperlink"/>
            <w:noProof/>
          </w:rPr>
          <w:t>Phase 2 sustainability review</w:t>
        </w:r>
        <w:r w:rsidR="0001705C">
          <w:rPr>
            <w:noProof/>
            <w:webHidden/>
          </w:rPr>
          <w:tab/>
        </w:r>
        <w:r w:rsidR="0001705C">
          <w:rPr>
            <w:noProof/>
            <w:webHidden/>
          </w:rPr>
          <w:fldChar w:fldCharType="begin"/>
        </w:r>
        <w:r w:rsidR="0001705C">
          <w:rPr>
            <w:noProof/>
            <w:webHidden/>
          </w:rPr>
          <w:instrText xml:space="preserve"> PAGEREF _Toc169789845 \h </w:instrText>
        </w:r>
        <w:r w:rsidR="0001705C">
          <w:rPr>
            <w:noProof/>
            <w:webHidden/>
          </w:rPr>
        </w:r>
        <w:r w:rsidR="0001705C">
          <w:rPr>
            <w:noProof/>
            <w:webHidden/>
          </w:rPr>
          <w:fldChar w:fldCharType="separate"/>
        </w:r>
        <w:r w:rsidR="0001705C">
          <w:rPr>
            <w:noProof/>
            <w:webHidden/>
          </w:rPr>
          <w:t>5</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46" w:history="1">
        <w:r w:rsidR="0001705C" w:rsidRPr="007C51AA">
          <w:rPr>
            <w:rStyle w:val="Hyperlink"/>
            <w:noProof/>
          </w:rPr>
          <w:t>Community broadcasting</w:t>
        </w:r>
        <w:r w:rsidR="0001705C">
          <w:rPr>
            <w:noProof/>
            <w:webHidden/>
          </w:rPr>
          <w:tab/>
        </w:r>
        <w:r w:rsidR="0001705C">
          <w:rPr>
            <w:noProof/>
            <w:webHidden/>
          </w:rPr>
          <w:fldChar w:fldCharType="begin"/>
        </w:r>
        <w:r w:rsidR="0001705C">
          <w:rPr>
            <w:noProof/>
            <w:webHidden/>
          </w:rPr>
          <w:instrText xml:space="preserve"> PAGEREF _Toc169789846 \h </w:instrText>
        </w:r>
        <w:r w:rsidR="0001705C">
          <w:rPr>
            <w:noProof/>
            <w:webHidden/>
          </w:rPr>
        </w:r>
        <w:r w:rsidR="0001705C">
          <w:rPr>
            <w:noProof/>
            <w:webHidden/>
          </w:rPr>
          <w:fldChar w:fldCharType="separate"/>
        </w:r>
        <w:r w:rsidR="0001705C">
          <w:rPr>
            <w:noProof/>
            <w:webHidden/>
          </w:rPr>
          <w:t>6</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47" w:history="1">
        <w:r w:rsidR="0001705C" w:rsidRPr="007C51AA">
          <w:rPr>
            <w:rStyle w:val="Hyperlink"/>
            <w:noProof/>
          </w:rPr>
          <w:t>Community Broadcasting Program (CBP)</w:t>
        </w:r>
        <w:r w:rsidR="0001705C">
          <w:rPr>
            <w:noProof/>
            <w:webHidden/>
          </w:rPr>
          <w:tab/>
        </w:r>
        <w:r w:rsidR="0001705C">
          <w:rPr>
            <w:noProof/>
            <w:webHidden/>
          </w:rPr>
          <w:fldChar w:fldCharType="begin"/>
        </w:r>
        <w:r w:rsidR="0001705C">
          <w:rPr>
            <w:noProof/>
            <w:webHidden/>
          </w:rPr>
          <w:instrText xml:space="preserve"> PAGEREF _Toc169789847 \h </w:instrText>
        </w:r>
        <w:r w:rsidR="0001705C">
          <w:rPr>
            <w:noProof/>
            <w:webHidden/>
          </w:rPr>
        </w:r>
        <w:r w:rsidR="0001705C">
          <w:rPr>
            <w:noProof/>
            <w:webHidden/>
          </w:rPr>
          <w:fldChar w:fldCharType="separate"/>
        </w:r>
        <w:r w:rsidR="0001705C">
          <w:rPr>
            <w:noProof/>
            <w:webHidden/>
          </w:rPr>
          <w:t>6</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48" w:history="1">
        <w:r w:rsidR="0001705C" w:rsidRPr="007C51AA">
          <w:rPr>
            <w:rStyle w:val="Hyperlink"/>
            <w:noProof/>
          </w:rPr>
          <w:t>Indigenous Broadcasting and Media Program (IBMP)</w:t>
        </w:r>
        <w:r w:rsidR="0001705C">
          <w:rPr>
            <w:noProof/>
            <w:webHidden/>
          </w:rPr>
          <w:tab/>
        </w:r>
        <w:r w:rsidR="0001705C">
          <w:rPr>
            <w:noProof/>
            <w:webHidden/>
          </w:rPr>
          <w:fldChar w:fldCharType="begin"/>
        </w:r>
        <w:r w:rsidR="0001705C">
          <w:rPr>
            <w:noProof/>
            <w:webHidden/>
          </w:rPr>
          <w:instrText xml:space="preserve"> PAGEREF _Toc169789848 \h </w:instrText>
        </w:r>
        <w:r w:rsidR="0001705C">
          <w:rPr>
            <w:noProof/>
            <w:webHidden/>
          </w:rPr>
        </w:r>
        <w:r w:rsidR="0001705C">
          <w:rPr>
            <w:noProof/>
            <w:webHidden/>
          </w:rPr>
          <w:fldChar w:fldCharType="separate"/>
        </w:r>
        <w:r w:rsidR="0001705C">
          <w:rPr>
            <w:noProof/>
            <w:webHidden/>
          </w:rPr>
          <w:t>6</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49" w:history="1">
        <w:r w:rsidR="0001705C" w:rsidRPr="007C51AA">
          <w:rPr>
            <w:rStyle w:val="Hyperlink"/>
            <w:noProof/>
          </w:rPr>
          <w:t>Roadmap 2033</w:t>
        </w:r>
        <w:r w:rsidR="0001705C">
          <w:rPr>
            <w:noProof/>
            <w:webHidden/>
          </w:rPr>
          <w:tab/>
        </w:r>
        <w:r w:rsidR="0001705C">
          <w:rPr>
            <w:noProof/>
            <w:webHidden/>
          </w:rPr>
          <w:fldChar w:fldCharType="begin"/>
        </w:r>
        <w:r w:rsidR="0001705C">
          <w:rPr>
            <w:noProof/>
            <w:webHidden/>
          </w:rPr>
          <w:instrText xml:space="preserve"> PAGEREF _Toc169789849 \h </w:instrText>
        </w:r>
        <w:r w:rsidR="0001705C">
          <w:rPr>
            <w:noProof/>
            <w:webHidden/>
          </w:rPr>
        </w:r>
        <w:r w:rsidR="0001705C">
          <w:rPr>
            <w:noProof/>
            <w:webHidden/>
          </w:rPr>
          <w:fldChar w:fldCharType="separate"/>
        </w:r>
        <w:r w:rsidR="0001705C">
          <w:rPr>
            <w:noProof/>
            <w:webHidden/>
          </w:rPr>
          <w:t>6</w:t>
        </w:r>
        <w:r w:rsidR="0001705C">
          <w:rPr>
            <w:noProof/>
            <w:webHidden/>
          </w:rPr>
          <w:fldChar w:fldCharType="end"/>
        </w:r>
      </w:hyperlink>
    </w:p>
    <w:p w:rsidR="0001705C" w:rsidRDefault="00F859AC">
      <w:pPr>
        <w:pStyle w:val="TOC1"/>
        <w:rPr>
          <w:rFonts w:asciiTheme="minorHAnsi" w:eastAsiaTheme="minorEastAsia" w:hAnsiTheme="minorHAnsi"/>
          <w:b w:val="0"/>
          <w:noProof/>
          <w:color w:val="auto"/>
          <w:u w:val="none"/>
          <w:lang w:eastAsia="en-AU"/>
        </w:rPr>
      </w:pPr>
      <w:hyperlink w:anchor="_Toc169789850" w:history="1">
        <w:r w:rsidR="0001705C" w:rsidRPr="007C51AA">
          <w:rPr>
            <w:rStyle w:val="Hyperlink"/>
            <w:noProof/>
          </w:rPr>
          <w:t>Consultation scope</w:t>
        </w:r>
        <w:r w:rsidR="0001705C">
          <w:rPr>
            <w:noProof/>
            <w:webHidden/>
          </w:rPr>
          <w:tab/>
        </w:r>
        <w:r w:rsidR="0001705C">
          <w:rPr>
            <w:noProof/>
            <w:webHidden/>
          </w:rPr>
          <w:fldChar w:fldCharType="begin"/>
        </w:r>
        <w:r w:rsidR="0001705C">
          <w:rPr>
            <w:noProof/>
            <w:webHidden/>
          </w:rPr>
          <w:instrText xml:space="preserve"> PAGEREF _Toc169789850 \h </w:instrText>
        </w:r>
        <w:r w:rsidR="0001705C">
          <w:rPr>
            <w:noProof/>
            <w:webHidden/>
          </w:rPr>
        </w:r>
        <w:r w:rsidR="0001705C">
          <w:rPr>
            <w:noProof/>
            <w:webHidden/>
          </w:rPr>
          <w:fldChar w:fldCharType="separate"/>
        </w:r>
        <w:r w:rsidR="0001705C">
          <w:rPr>
            <w:noProof/>
            <w:webHidden/>
          </w:rPr>
          <w:t>7</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51" w:history="1">
        <w:r w:rsidR="0001705C" w:rsidRPr="007C51AA">
          <w:rPr>
            <w:rStyle w:val="Hyperlink"/>
            <w:noProof/>
          </w:rPr>
          <w:t>In scope</w:t>
        </w:r>
        <w:r w:rsidR="0001705C">
          <w:rPr>
            <w:noProof/>
            <w:webHidden/>
          </w:rPr>
          <w:tab/>
        </w:r>
        <w:r w:rsidR="0001705C">
          <w:rPr>
            <w:noProof/>
            <w:webHidden/>
          </w:rPr>
          <w:fldChar w:fldCharType="begin"/>
        </w:r>
        <w:r w:rsidR="0001705C">
          <w:rPr>
            <w:noProof/>
            <w:webHidden/>
          </w:rPr>
          <w:instrText xml:space="preserve"> PAGEREF _Toc169789851 \h </w:instrText>
        </w:r>
        <w:r w:rsidR="0001705C">
          <w:rPr>
            <w:noProof/>
            <w:webHidden/>
          </w:rPr>
        </w:r>
        <w:r w:rsidR="0001705C">
          <w:rPr>
            <w:noProof/>
            <w:webHidden/>
          </w:rPr>
          <w:fldChar w:fldCharType="separate"/>
        </w:r>
        <w:r w:rsidR="0001705C">
          <w:rPr>
            <w:noProof/>
            <w:webHidden/>
          </w:rPr>
          <w:t>7</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52" w:history="1">
        <w:r w:rsidR="0001705C" w:rsidRPr="007C51AA">
          <w:rPr>
            <w:rStyle w:val="Hyperlink"/>
            <w:noProof/>
          </w:rPr>
          <w:t>Out of scope</w:t>
        </w:r>
        <w:r w:rsidR="0001705C">
          <w:rPr>
            <w:noProof/>
            <w:webHidden/>
          </w:rPr>
          <w:tab/>
        </w:r>
        <w:r w:rsidR="0001705C">
          <w:rPr>
            <w:noProof/>
            <w:webHidden/>
          </w:rPr>
          <w:fldChar w:fldCharType="begin"/>
        </w:r>
        <w:r w:rsidR="0001705C">
          <w:rPr>
            <w:noProof/>
            <w:webHidden/>
          </w:rPr>
          <w:instrText xml:space="preserve"> PAGEREF _Toc169789852 \h </w:instrText>
        </w:r>
        <w:r w:rsidR="0001705C">
          <w:rPr>
            <w:noProof/>
            <w:webHidden/>
          </w:rPr>
        </w:r>
        <w:r w:rsidR="0001705C">
          <w:rPr>
            <w:noProof/>
            <w:webHidden/>
          </w:rPr>
          <w:fldChar w:fldCharType="separate"/>
        </w:r>
        <w:r w:rsidR="0001705C">
          <w:rPr>
            <w:noProof/>
            <w:webHidden/>
          </w:rPr>
          <w:t>7</w:t>
        </w:r>
        <w:r w:rsidR="0001705C">
          <w:rPr>
            <w:noProof/>
            <w:webHidden/>
          </w:rPr>
          <w:fldChar w:fldCharType="end"/>
        </w:r>
      </w:hyperlink>
    </w:p>
    <w:p w:rsidR="0001705C" w:rsidRDefault="00F859AC">
      <w:pPr>
        <w:pStyle w:val="TOC1"/>
        <w:rPr>
          <w:rFonts w:asciiTheme="minorHAnsi" w:eastAsiaTheme="minorEastAsia" w:hAnsiTheme="minorHAnsi"/>
          <w:b w:val="0"/>
          <w:noProof/>
          <w:color w:val="auto"/>
          <w:u w:val="none"/>
          <w:lang w:eastAsia="en-AU"/>
        </w:rPr>
      </w:pPr>
      <w:hyperlink w:anchor="_Toc169789853" w:history="1">
        <w:r w:rsidR="0001705C" w:rsidRPr="007C51AA">
          <w:rPr>
            <w:rStyle w:val="Hyperlink"/>
            <w:noProof/>
          </w:rPr>
          <w:t>Priority area 1: CBP funding, structure and outcomes</w:t>
        </w:r>
        <w:r w:rsidR="0001705C">
          <w:rPr>
            <w:noProof/>
            <w:webHidden/>
          </w:rPr>
          <w:tab/>
        </w:r>
        <w:r w:rsidR="0001705C">
          <w:rPr>
            <w:noProof/>
            <w:webHidden/>
          </w:rPr>
          <w:fldChar w:fldCharType="begin"/>
        </w:r>
        <w:r w:rsidR="0001705C">
          <w:rPr>
            <w:noProof/>
            <w:webHidden/>
          </w:rPr>
          <w:instrText xml:space="preserve"> PAGEREF _Toc169789853 \h </w:instrText>
        </w:r>
        <w:r w:rsidR="0001705C">
          <w:rPr>
            <w:noProof/>
            <w:webHidden/>
          </w:rPr>
        </w:r>
        <w:r w:rsidR="0001705C">
          <w:rPr>
            <w:noProof/>
            <w:webHidden/>
          </w:rPr>
          <w:fldChar w:fldCharType="separate"/>
        </w:r>
        <w:r w:rsidR="0001705C">
          <w:rPr>
            <w:noProof/>
            <w:webHidden/>
          </w:rPr>
          <w:t>8</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54" w:history="1">
        <w:r w:rsidR="0001705C" w:rsidRPr="007C51AA">
          <w:rPr>
            <w:rStyle w:val="Hyperlink"/>
            <w:noProof/>
          </w:rPr>
          <w:t>The sector is reliant on grants to meet funding needs</w:t>
        </w:r>
        <w:r w:rsidR="0001705C">
          <w:rPr>
            <w:noProof/>
            <w:webHidden/>
          </w:rPr>
          <w:tab/>
        </w:r>
        <w:r w:rsidR="0001705C">
          <w:rPr>
            <w:noProof/>
            <w:webHidden/>
          </w:rPr>
          <w:fldChar w:fldCharType="begin"/>
        </w:r>
        <w:r w:rsidR="0001705C">
          <w:rPr>
            <w:noProof/>
            <w:webHidden/>
          </w:rPr>
          <w:instrText xml:space="preserve"> PAGEREF _Toc169789854 \h </w:instrText>
        </w:r>
        <w:r w:rsidR="0001705C">
          <w:rPr>
            <w:noProof/>
            <w:webHidden/>
          </w:rPr>
        </w:r>
        <w:r w:rsidR="0001705C">
          <w:rPr>
            <w:noProof/>
            <w:webHidden/>
          </w:rPr>
          <w:fldChar w:fldCharType="separate"/>
        </w:r>
        <w:r w:rsidR="0001705C">
          <w:rPr>
            <w:noProof/>
            <w:webHidden/>
          </w:rPr>
          <w:t>8</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55" w:history="1">
        <w:r w:rsidR="0001705C" w:rsidRPr="007C51AA">
          <w:rPr>
            <w:rStyle w:val="Hyperlink"/>
            <w:noProof/>
          </w:rPr>
          <w:t>The sector reports funding needs are unmet</w:t>
        </w:r>
        <w:r w:rsidR="0001705C">
          <w:rPr>
            <w:noProof/>
            <w:webHidden/>
          </w:rPr>
          <w:tab/>
        </w:r>
        <w:r w:rsidR="0001705C">
          <w:rPr>
            <w:noProof/>
            <w:webHidden/>
          </w:rPr>
          <w:fldChar w:fldCharType="begin"/>
        </w:r>
        <w:r w:rsidR="0001705C">
          <w:rPr>
            <w:noProof/>
            <w:webHidden/>
          </w:rPr>
          <w:instrText xml:space="preserve"> PAGEREF _Toc169789855 \h </w:instrText>
        </w:r>
        <w:r w:rsidR="0001705C">
          <w:rPr>
            <w:noProof/>
            <w:webHidden/>
          </w:rPr>
        </w:r>
        <w:r w:rsidR="0001705C">
          <w:rPr>
            <w:noProof/>
            <w:webHidden/>
          </w:rPr>
          <w:fldChar w:fldCharType="separate"/>
        </w:r>
        <w:r w:rsidR="0001705C">
          <w:rPr>
            <w:noProof/>
            <w:webHidden/>
          </w:rPr>
          <w:t>8</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56" w:history="1">
        <w:r w:rsidR="0001705C" w:rsidRPr="007C51AA">
          <w:rPr>
            <w:rStyle w:val="Hyperlink"/>
            <w:noProof/>
          </w:rPr>
          <w:t>The sector has called for an outcomes framework</w:t>
        </w:r>
        <w:r w:rsidR="0001705C">
          <w:rPr>
            <w:noProof/>
            <w:webHidden/>
          </w:rPr>
          <w:tab/>
        </w:r>
        <w:r w:rsidR="0001705C">
          <w:rPr>
            <w:noProof/>
            <w:webHidden/>
          </w:rPr>
          <w:fldChar w:fldCharType="begin"/>
        </w:r>
        <w:r w:rsidR="0001705C">
          <w:rPr>
            <w:noProof/>
            <w:webHidden/>
          </w:rPr>
          <w:instrText xml:space="preserve"> PAGEREF _Toc169789856 \h </w:instrText>
        </w:r>
        <w:r w:rsidR="0001705C">
          <w:rPr>
            <w:noProof/>
            <w:webHidden/>
          </w:rPr>
        </w:r>
        <w:r w:rsidR="0001705C">
          <w:rPr>
            <w:noProof/>
            <w:webHidden/>
          </w:rPr>
          <w:fldChar w:fldCharType="separate"/>
        </w:r>
        <w:r w:rsidR="0001705C">
          <w:rPr>
            <w:noProof/>
            <w:webHidden/>
          </w:rPr>
          <w:t>8</w:t>
        </w:r>
        <w:r w:rsidR="0001705C">
          <w:rPr>
            <w:noProof/>
            <w:webHidden/>
          </w:rPr>
          <w:fldChar w:fldCharType="end"/>
        </w:r>
      </w:hyperlink>
    </w:p>
    <w:p w:rsidR="0001705C" w:rsidRDefault="00F859AC">
      <w:pPr>
        <w:pStyle w:val="TOC1"/>
        <w:rPr>
          <w:rFonts w:asciiTheme="minorHAnsi" w:eastAsiaTheme="minorEastAsia" w:hAnsiTheme="minorHAnsi"/>
          <w:b w:val="0"/>
          <w:noProof/>
          <w:color w:val="auto"/>
          <w:u w:val="none"/>
          <w:lang w:eastAsia="en-AU"/>
        </w:rPr>
      </w:pPr>
      <w:hyperlink w:anchor="_Toc169789857" w:history="1">
        <w:r w:rsidR="0001705C" w:rsidRPr="007C51AA">
          <w:rPr>
            <w:rStyle w:val="Hyperlink"/>
            <w:noProof/>
          </w:rPr>
          <w:t>Consortium and partnership models present an opportunity</w:t>
        </w:r>
        <w:r w:rsidR="0001705C">
          <w:rPr>
            <w:noProof/>
            <w:webHidden/>
          </w:rPr>
          <w:tab/>
        </w:r>
        <w:r w:rsidR="0001705C">
          <w:rPr>
            <w:noProof/>
            <w:webHidden/>
          </w:rPr>
          <w:fldChar w:fldCharType="begin"/>
        </w:r>
        <w:r w:rsidR="0001705C">
          <w:rPr>
            <w:noProof/>
            <w:webHidden/>
          </w:rPr>
          <w:instrText xml:space="preserve"> PAGEREF _Toc169789857 \h </w:instrText>
        </w:r>
        <w:r w:rsidR="0001705C">
          <w:rPr>
            <w:noProof/>
            <w:webHidden/>
          </w:rPr>
        </w:r>
        <w:r w:rsidR="0001705C">
          <w:rPr>
            <w:noProof/>
            <w:webHidden/>
          </w:rPr>
          <w:fldChar w:fldCharType="separate"/>
        </w:r>
        <w:r w:rsidR="0001705C">
          <w:rPr>
            <w:noProof/>
            <w:webHidden/>
          </w:rPr>
          <w:t>8</w:t>
        </w:r>
        <w:r w:rsidR="0001705C">
          <w:rPr>
            <w:noProof/>
            <w:webHidden/>
          </w:rPr>
          <w:fldChar w:fldCharType="end"/>
        </w:r>
      </w:hyperlink>
    </w:p>
    <w:p w:rsidR="0001705C" w:rsidRDefault="00F859AC">
      <w:pPr>
        <w:pStyle w:val="TOC1"/>
        <w:rPr>
          <w:rFonts w:asciiTheme="minorHAnsi" w:eastAsiaTheme="minorEastAsia" w:hAnsiTheme="minorHAnsi"/>
          <w:b w:val="0"/>
          <w:noProof/>
          <w:color w:val="auto"/>
          <w:u w:val="none"/>
          <w:lang w:eastAsia="en-AU"/>
        </w:rPr>
      </w:pPr>
      <w:hyperlink w:anchor="_Toc169789858" w:history="1">
        <w:r w:rsidR="0001705C" w:rsidRPr="007C51AA">
          <w:rPr>
            <w:rStyle w:val="Hyperlink"/>
            <w:noProof/>
          </w:rPr>
          <w:t>Priority area 2: Legislative and regulatory issues</w:t>
        </w:r>
        <w:r w:rsidR="0001705C">
          <w:rPr>
            <w:noProof/>
            <w:webHidden/>
          </w:rPr>
          <w:tab/>
        </w:r>
        <w:r w:rsidR="0001705C">
          <w:rPr>
            <w:noProof/>
            <w:webHidden/>
          </w:rPr>
          <w:fldChar w:fldCharType="begin"/>
        </w:r>
        <w:r w:rsidR="0001705C">
          <w:rPr>
            <w:noProof/>
            <w:webHidden/>
          </w:rPr>
          <w:instrText xml:space="preserve"> PAGEREF _Toc169789858 \h </w:instrText>
        </w:r>
        <w:r w:rsidR="0001705C">
          <w:rPr>
            <w:noProof/>
            <w:webHidden/>
          </w:rPr>
        </w:r>
        <w:r w:rsidR="0001705C">
          <w:rPr>
            <w:noProof/>
            <w:webHidden/>
          </w:rPr>
          <w:fldChar w:fldCharType="separate"/>
        </w:r>
        <w:r w:rsidR="0001705C">
          <w:rPr>
            <w:noProof/>
            <w:webHidden/>
          </w:rPr>
          <w:t>9</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59" w:history="1">
        <w:r w:rsidR="0001705C" w:rsidRPr="007C51AA">
          <w:rPr>
            <w:rStyle w:val="Hyperlink"/>
            <w:noProof/>
          </w:rPr>
          <w:t>The sector reports that restrictions limit revenue opportunities</w:t>
        </w:r>
        <w:r w:rsidR="0001705C">
          <w:rPr>
            <w:noProof/>
            <w:webHidden/>
          </w:rPr>
          <w:tab/>
        </w:r>
        <w:r w:rsidR="0001705C">
          <w:rPr>
            <w:noProof/>
            <w:webHidden/>
          </w:rPr>
          <w:fldChar w:fldCharType="begin"/>
        </w:r>
        <w:r w:rsidR="0001705C">
          <w:rPr>
            <w:noProof/>
            <w:webHidden/>
          </w:rPr>
          <w:instrText xml:space="preserve"> PAGEREF _Toc169789859 \h </w:instrText>
        </w:r>
        <w:r w:rsidR="0001705C">
          <w:rPr>
            <w:noProof/>
            <w:webHidden/>
          </w:rPr>
        </w:r>
        <w:r w:rsidR="0001705C">
          <w:rPr>
            <w:noProof/>
            <w:webHidden/>
          </w:rPr>
          <w:fldChar w:fldCharType="separate"/>
        </w:r>
        <w:r w:rsidR="0001705C">
          <w:rPr>
            <w:noProof/>
            <w:webHidden/>
          </w:rPr>
          <w:t>9</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60" w:history="1">
        <w:r w:rsidR="0001705C" w:rsidRPr="007C51AA">
          <w:rPr>
            <w:rStyle w:val="Hyperlink"/>
            <w:noProof/>
          </w:rPr>
          <w:t>Community participation is a challenge</w:t>
        </w:r>
        <w:r w:rsidR="0001705C">
          <w:rPr>
            <w:noProof/>
            <w:webHidden/>
          </w:rPr>
          <w:tab/>
        </w:r>
        <w:r w:rsidR="0001705C">
          <w:rPr>
            <w:noProof/>
            <w:webHidden/>
          </w:rPr>
          <w:fldChar w:fldCharType="begin"/>
        </w:r>
        <w:r w:rsidR="0001705C">
          <w:rPr>
            <w:noProof/>
            <w:webHidden/>
          </w:rPr>
          <w:instrText xml:space="preserve"> PAGEREF _Toc169789860 \h </w:instrText>
        </w:r>
        <w:r w:rsidR="0001705C">
          <w:rPr>
            <w:noProof/>
            <w:webHidden/>
          </w:rPr>
        </w:r>
        <w:r w:rsidR="0001705C">
          <w:rPr>
            <w:noProof/>
            <w:webHidden/>
          </w:rPr>
          <w:fldChar w:fldCharType="separate"/>
        </w:r>
        <w:r w:rsidR="0001705C">
          <w:rPr>
            <w:noProof/>
            <w:webHidden/>
          </w:rPr>
          <w:t>9</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61" w:history="1">
        <w:r w:rsidR="0001705C" w:rsidRPr="007C51AA">
          <w:rPr>
            <w:rStyle w:val="Hyperlink"/>
            <w:noProof/>
          </w:rPr>
          <w:t>A volunteer workforce is not a sustainable workforce</w:t>
        </w:r>
        <w:r w:rsidR="0001705C">
          <w:rPr>
            <w:noProof/>
            <w:webHidden/>
          </w:rPr>
          <w:tab/>
        </w:r>
        <w:r w:rsidR="0001705C">
          <w:rPr>
            <w:noProof/>
            <w:webHidden/>
          </w:rPr>
          <w:fldChar w:fldCharType="begin"/>
        </w:r>
        <w:r w:rsidR="0001705C">
          <w:rPr>
            <w:noProof/>
            <w:webHidden/>
          </w:rPr>
          <w:instrText xml:space="preserve"> PAGEREF _Toc169789861 \h </w:instrText>
        </w:r>
        <w:r w:rsidR="0001705C">
          <w:rPr>
            <w:noProof/>
            <w:webHidden/>
          </w:rPr>
        </w:r>
        <w:r w:rsidR="0001705C">
          <w:rPr>
            <w:noProof/>
            <w:webHidden/>
          </w:rPr>
          <w:fldChar w:fldCharType="separate"/>
        </w:r>
        <w:r w:rsidR="0001705C">
          <w:rPr>
            <w:noProof/>
            <w:webHidden/>
          </w:rPr>
          <w:t>9</w:t>
        </w:r>
        <w:r w:rsidR="0001705C">
          <w:rPr>
            <w:noProof/>
            <w:webHidden/>
          </w:rPr>
          <w:fldChar w:fldCharType="end"/>
        </w:r>
      </w:hyperlink>
    </w:p>
    <w:p w:rsidR="0001705C" w:rsidRDefault="00F859AC">
      <w:pPr>
        <w:pStyle w:val="TOC1"/>
        <w:rPr>
          <w:rFonts w:asciiTheme="minorHAnsi" w:eastAsiaTheme="minorEastAsia" w:hAnsiTheme="minorHAnsi"/>
          <w:b w:val="0"/>
          <w:noProof/>
          <w:color w:val="auto"/>
          <w:u w:val="none"/>
          <w:lang w:eastAsia="en-AU"/>
        </w:rPr>
      </w:pPr>
      <w:hyperlink w:anchor="_Toc169789862" w:history="1">
        <w:r w:rsidR="0001705C" w:rsidRPr="007C51AA">
          <w:rPr>
            <w:rStyle w:val="Hyperlink"/>
            <w:noProof/>
          </w:rPr>
          <w:t>Priority area 3: First Nations funding and licensing</w:t>
        </w:r>
        <w:r w:rsidR="0001705C">
          <w:rPr>
            <w:noProof/>
            <w:webHidden/>
          </w:rPr>
          <w:tab/>
        </w:r>
        <w:r w:rsidR="0001705C">
          <w:rPr>
            <w:noProof/>
            <w:webHidden/>
          </w:rPr>
          <w:fldChar w:fldCharType="begin"/>
        </w:r>
        <w:r w:rsidR="0001705C">
          <w:rPr>
            <w:noProof/>
            <w:webHidden/>
          </w:rPr>
          <w:instrText xml:space="preserve"> PAGEREF _Toc169789862 \h </w:instrText>
        </w:r>
        <w:r w:rsidR="0001705C">
          <w:rPr>
            <w:noProof/>
            <w:webHidden/>
          </w:rPr>
        </w:r>
        <w:r w:rsidR="0001705C">
          <w:rPr>
            <w:noProof/>
            <w:webHidden/>
          </w:rPr>
          <w:fldChar w:fldCharType="separate"/>
        </w:r>
        <w:r w:rsidR="0001705C">
          <w:rPr>
            <w:noProof/>
            <w:webHidden/>
          </w:rPr>
          <w:t>10</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63" w:history="1">
        <w:r w:rsidR="0001705C" w:rsidRPr="007C51AA">
          <w:rPr>
            <w:rStyle w:val="Hyperlink"/>
            <w:noProof/>
          </w:rPr>
          <w:t>Renewing a Vital Indigenous Voice and Community Asset</w:t>
        </w:r>
        <w:r w:rsidR="0001705C">
          <w:rPr>
            <w:noProof/>
            <w:webHidden/>
          </w:rPr>
          <w:tab/>
        </w:r>
        <w:r w:rsidR="0001705C">
          <w:rPr>
            <w:noProof/>
            <w:webHidden/>
          </w:rPr>
          <w:fldChar w:fldCharType="begin"/>
        </w:r>
        <w:r w:rsidR="0001705C">
          <w:rPr>
            <w:noProof/>
            <w:webHidden/>
          </w:rPr>
          <w:instrText xml:space="preserve"> PAGEREF _Toc169789863 \h </w:instrText>
        </w:r>
        <w:r w:rsidR="0001705C">
          <w:rPr>
            <w:noProof/>
            <w:webHidden/>
          </w:rPr>
        </w:r>
        <w:r w:rsidR="0001705C">
          <w:rPr>
            <w:noProof/>
            <w:webHidden/>
          </w:rPr>
          <w:fldChar w:fldCharType="separate"/>
        </w:r>
        <w:r w:rsidR="0001705C">
          <w:rPr>
            <w:noProof/>
            <w:webHidden/>
          </w:rPr>
          <w:t>10</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64" w:history="1">
        <w:r w:rsidR="0001705C" w:rsidRPr="007C51AA">
          <w:rPr>
            <w:rStyle w:val="Hyperlink"/>
            <w:noProof/>
          </w:rPr>
          <w:t>The sector reports funding needs are unmet</w:t>
        </w:r>
        <w:r w:rsidR="0001705C">
          <w:rPr>
            <w:noProof/>
            <w:webHidden/>
          </w:rPr>
          <w:tab/>
        </w:r>
        <w:r w:rsidR="0001705C">
          <w:rPr>
            <w:noProof/>
            <w:webHidden/>
          </w:rPr>
          <w:fldChar w:fldCharType="begin"/>
        </w:r>
        <w:r w:rsidR="0001705C">
          <w:rPr>
            <w:noProof/>
            <w:webHidden/>
          </w:rPr>
          <w:instrText xml:space="preserve"> PAGEREF _Toc169789864 \h </w:instrText>
        </w:r>
        <w:r w:rsidR="0001705C">
          <w:rPr>
            <w:noProof/>
            <w:webHidden/>
          </w:rPr>
        </w:r>
        <w:r w:rsidR="0001705C">
          <w:rPr>
            <w:noProof/>
            <w:webHidden/>
          </w:rPr>
          <w:fldChar w:fldCharType="separate"/>
        </w:r>
        <w:r w:rsidR="0001705C">
          <w:rPr>
            <w:noProof/>
            <w:webHidden/>
          </w:rPr>
          <w:t>10</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65" w:history="1">
        <w:r w:rsidR="0001705C" w:rsidRPr="007C51AA">
          <w:rPr>
            <w:rStyle w:val="Hyperlink"/>
            <w:noProof/>
          </w:rPr>
          <w:t>The sector wants funding to be brought under one department</w:t>
        </w:r>
        <w:r w:rsidR="0001705C">
          <w:rPr>
            <w:noProof/>
            <w:webHidden/>
          </w:rPr>
          <w:tab/>
        </w:r>
        <w:r w:rsidR="0001705C">
          <w:rPr>
            <w:noProof/>
            <w:webHidden/>
          </w:rPr>
          <w:fldChar w:fldCharType="begin"/>
        </w:r>
        <w:r w:rsidR="0001705C">
          <w:rPr>
            <w:noProof/>
            <w:webHidden/>
          </w:rPr>
          <w:instrText xml:space="preserve"> PAGEREF _Toc169789865 \h </w:instrText>
        </w:r>
        <w:r w:rsidR="0001705C">
          <w:rPr>
            <w:noProof/>
            <w:webHidden/>
          </w:rPr>
        </w:r>
        <w:r w:rsidR="0001705C">
          <w:rPr>
            <w:noProof/>
            <w:webHidden/>
          </w:rPr>
          <w:fldChar w:fldCharType="separate"/>
        </w:r>
        <w:r w:rsidR="0001705C">
          <w:rPr>
            <w:noProof/>
            <w:webHidden/>
          </w:rPr>
          <w:t>10</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66" w:history="1">
        <w:r w:rsidR="0001705C" w:rsidRPr="007C51AA">
          <w:rPr>
            <w:rStyle w:val="Hyperlink"/>
            <w:noProof/>
          </w:rPr>
          <w:t>Calls for a First Nations entity to deliver IBMP grants</w:t>
        </w:r>
        <w:r w:rsidR="0001705C">
          <w:rPr>
            <w:noProof/>
            <w:webHidden/>
          </w:rPr>
          <w:tab/>
        </w:r>
        <w:r w:rsidR="0001705C">
          <w:rPr>
            <w:noProof/>
            <w:webHidden/>
          </w:rPr>
          <w:fldChar w:fldCharType="begin"/>
        </w:r>
        <w:r w:rsidR="0001705C">
          <w:rPr>
            <w:noProof/>
            <w:webHidden/>
          </w:rPr>
          <w:instrText xml:space="preserve"> PAGEREF _Toc169789866 \h </w:instrText>
        </w:r>
        <w:r w:rsidR="0001705C">
          <w:rPr>
            <w:noProof/>
            <w:webHidden/>
          </w:rPr>
        </w:r>
        <w:r w:rsidR="0001705C">
          <w:rPr>
            <w:noProof/>
            <w:webHidden/>
          </w:rPr>
          <w:fldChar w:fldCharType="separate"/>
        </w:r>
        <w:r w:rsidR="0001705C">
          <w:rPr>
            <w:noProof/>
            <w:webHidden/>
          </w:rPr>
          <w:t>10</w:t>
        </w:r>
        <w:r w:rsidR="0001705C">
          <w:rPr>
            <w:noProof/>
            <w:webHidden/>
          </w:rPr>
          <w:fldChar w:fldCharType="end"/>
        </w:r>
      </w:hyperlink>
    </w:p>
    <w:p w:rsidR="0001705C" w:rsidRDefault="00F859AC">
      <w:pPr>
        <w:pStyle w:val="TOC2"/>
        <w:rPr>
          <w:rFonts w:asciiTheme="minorHAnsi" w:eastAsiaTheme="minorEastAsia" w:hAnsiTheme="minorHAnsi"/>
          <w:noProof/>
          <w:sz w:val="22"/>
          <w:lang w:eastAsia="en-AU"/>
        </w:rPr>
      </w:pPr>
      <w:hyperlink w:anchor="_Toc169789867" w:history="1">
        <w:r w:rsidR="0001705C" w:rsidRPr="007C51AA">
          <w:rPr>
            <w:rStyle w:val="Hyperlink"/>
            <w:noProof/>
          </w:rPr>
          <w:t>The sector proposes a new licence category</w:t>
        </w:r>
        <w:r w:rsidR="0001705C">
          <w:rPr>
            <w:noProof/>
            <w:webHidden/>
          </w:rPr>
          <w:tab/>
        </w:r>
        <w:r w:rsidR="0001705C">
          <w:rPr>
            <w:noProof/>
            <w:webHidden/>
          </w:rPr>
          <w:fldChar w:fldCharType="begin"/>
        </w:r>
        <w:r w:rsidR="0001705C">
          <w:rPr>
            <w:noProof/>
            <w:webHidden/>
          </w:rPr>
          <w:instrText xml:space="preserve"> PAGEREF _Toc169789867 \h </w:instrText>
        </w:r>
        <w:r w:rsidR="0001705C">
          <w:rPr>
            <w:noProof/>
            <w:webHidden/>
          </w:rPr>
        </w:r>
        <w:r w:rsidR="0001705C">
          <w:rPr>
            <w:noProof/>
            <w:webHidden/>
          </w:rPr>
          <w:fldChar w:fldCharType="separate"/>
        </w:r>
        <w:r w:rsidR="0001705C">
          <w:rPr>
            <w:noProof/>
            <w:webHidden/>
          </w:rPr>
          <w:t>11</w:t>
        </w:r>
        <w:r w:rsidR="0001705C">
          <w:rPr>
            <w:noProof/>
            <w:webHidden/>
          </w:rPr>
          <w:fldChar w:fldCharType="end"/>
        </w:r>
      </w:hyperlink>
    </w:p>
    <w:p w:rsidR="00BF5FA4" w:rsidRPr="005F794B" w:rsidRDefault="006E5952" w:rsidP="0001705C">
      <w:pPr>
        <w:suppressAutoHyphens/>
        <w:rPr>
          <w:lang w:val="x-none"/>
        </w:rPr>
      </w:pPr>
      <w:r>
        <w:rPr>
          <w:b/>
          <w:color w:val="000000" w:themeColor="text1"/>
          <w:u w:val="single" w:color="4BB3B5"/>
        </w:rPr>
        <w:fldChar w:fldCharType="end"/>
      </w:r>
    </w:p>
    <w:p w:rsidR="00796AB4" w:rsidRDefault="00796AB4">
      <w:pPr>
        <w:spacing w:line="259" w:lineRule="auto"/>
        <w:sectPr w:rsidR="00796AB4" w:rsidSect="000E29BE">
          <w:footerReference w:type="default" r:id="rId17"/>
          <w:type w:val="continuous"/>
          <w:pgSz w:w="11906" w:h="16838"/>
          <w:pgMar w:top="1276" w:right="991" w:bottom="1276" w:left="1440" w:header="567" w:footer="0" w:gutter="0"/>
          <w:cols w:space="708"/>
          <w:titlePg/>
          <w:docGrid w:linePitch="360"/>
        </w:sectPr>
      </w:pPr>
    </w:p>
    <w:p w:rsidR="00E644EC" w:rsidRPr="00C83F93" w:rsidRDefault="00E644EC" w:rsidP="00E644EC">
      <w:pPr>
        <w:pStyle w:val="Heading2"/>
      </w:pPr>
      <w:bookmarkStart w:id="1" w:name="_Most_common_accessibility"/>
      <w:bookmarkStart w:id="2" w:name="_Toc169789840"/>
      <w:bookmarkStart w:id="3" w:name="_Toc150236000"/>
      <w:bookmarkStart w:id="4" w:name="_Toc150237998"/>
      <w:bookmarkStart w:id="5" w:name="_Toc150861568"/>
      <w:bookmarkStart w:id="6" w:name="_Toc150180480"/>
      <w:bookmarkStart w:id="7" w:name="_Toc150235996"/>
      <w:bookmarkEnd w:id="1"/>
      <w:r w:rsidRPr="00C83F93">
        <w:lastRenderedPageBreak/>
        <w:t>Make your views known</w:t>
      </w:r>
      <w:bookmarkEnd w:id="2"/>
    </w:p>
    <w:p w:rsidR="00E644EC" w:rsidRPr="00C83F93" w:rsidRDefault="00E644EC" w:rsidP="00E644EC">
      <w:r w:rsidRPr="00C83F93">
        <w:t xml:space="preserve">The Department of Infrastructure, Transport, Regional Development, Communications and the Arts (the department) is seeking input from interested parties on the Community Broadcasting </w:t>
      </w:r>
      <w:r>
        <w:t xml:space="preserve">Sector </w:t>
      </w:r>
      <w:r w:rsidRPr="00C83F93">
        <w:t>Sustainability Review, with the submissions period closing on Friday,</w:t>
      </w:r>
      <w:r>
        <w:t xml:space="preserve"> 30 August 2024</w:t>
      </w:r>
      <w:r w:rsidRPr="00C83F93">
        <w:t>. Submissions received by the department as part of this consultation process will be used to inform reform options.</w:t>
      </w:r>
    </w:p>
    <w:p w:rsidR="00E644EC" w:rsidRPr="0001705C" w:rsidRDefault="00E644EC" w:rsidP="0001705C">
      <w:pPr>
        <w:pStyle w:val="Heading3"/>
      </w:pPr>
      <w:bookmarkStart w:id="8" w:name="_Toc160569255"/>
      <w:bookmarkStart w:id="9" w:name="_Toc169789841"/>
      <w:r w:rsidRPr="00C83F93">
        <w:t>Making a submission</w:t>
      </w:r>
      <w:bookmarkEnd w:id="8"/>
      <w:bookmarkEnd w:id="9"/>
    </w:p>
    <w:p w:rsidR="00E644EC" w:rsidRPr="00C83F93" w:rsidRDefault="00E644EC" w:rsidP="00E644EC">
      <w:r w:rsidRPr="00C83F93">
        <w:t xml:space="preserve">The department is welcoming written comments and submission on the matters outlined in this paper. Comments and submissions should be received by 5:00pm AEST on Friday, </w:t>
      </w:r>
      <w:r>
        <w:t>30 August 2024.</w:t>
      </w:r>
    </w:p>
    <w:p w:rsidR="00E644EC" w:rsidRPr="00C83F93" w:rsidRDefault="00E644EC" w:rsidP="00E644EC">
      <w:r w:rsidRPr="00C83F93">
        <w:t>The department encourages you to respond to questions and issues outlined in this paper as relevant to you.</w:t>
      </w:r>
    </w:p>
    <w:p w:rsidR="00E644EC" w:rsidRPr="00C83F93" w:rsidRDefault="00E644EC" w:rsidP="00E644EC">
      <w:pPr>
        <w:rPr>
          <w:rFonts w:cstheme="minorHAnsi"/>
        </w:rPr>
      </w:pPr>
      <w:r w:rsidRPr="00C83F93">
        <w:rPr>
          <w:rFonts w:cstheme="minorHAnsi"/>
        </w:rPr>
        <w:t xml:space="preserve">You can make an online submission at </w:t>
      </w:r>
      <w:hyperlink r:id="rId18" w:history="1">
        <w:r w:rsidRPr="00C83F93">
          <w:rPr>
            <w:rStyle w:val="Hyperlink"/>
          </w:rPr>
          <w:t>infrastructure.gov.au/have-your-say</w:t>
        </w:r>
      </w:hyperlink>
      <w:r w:rsidRPr="00C83F93">
        <w:t>.</w:t>
      </w:r>
      <w:r w:rsidRPr="00C83F93">
        <w:rPr>
          <w:rFonts w:cstheme="minorHAnsi"/>
        </w:rPr>
        <w:t xml:space="preserve"> </w:t>
      </w:r>
    </w:p>
    <w:p w:rsidR="00E644EC" w:rsidRPr="00C83F93" w:rsidRDefault="00E644EC" w:rsidP="00E644EC">
      <w:r w:rsidRPr="00C83F93">
        <w:t>You can send submissions via mail to:</w:t>
      </w:r>
    </w:p>
    <w:p w:rsidR="00E644EC" w:rsidRDefault="00E644EC" w:rsidP="00E644EC">
      <w:pPr>
        <w:ind w:left="567"/>
      </w:pPr>
      <w:r w:rsidRPr="00C83F93">
        <w:t>Director</w:t>
      </w:r>
      <w:r>
        <w:t>,</w:t>
      </w:r>
      <w:r w:rsidRPr="00C83F93">
        <w:t xml:space="preserve"> Media Programs</w:t>
      </w:r>
      <w:r>
        <w:br/>
        <w:t>o</w:t>
      </w:r>
      <w:r w:rsidRPr="00C83F93">
        <w:t>nline Safety, Media and Platforms Division</w:t>
      </w:r>
      <w:r>
        <w:br/>
        <w:t>d</w:t>
      </w:r>
      <w:r w:rsidRPr="00C83F93">
        <w:t>epartment of Infrastructure, Transport, Regional Development, Communications and the Arts</w:t>
      </w:r>
      <w:r>
        <w:br/>
      </w:r>
      <w:r w:rsidRPr="00C83F93">
        <w:t>GPO Box 594 Canberra, ACT 2601</w:t>
      </w:r>
    </w:p>
    <w:p w:rsidR="00E644EC" w:rsidRPr="00C83F93" w:rsidRDefault="00E644EC" w:rsidP="00E644EC">
      <w:r w:rsidRPr="00C83F93">
        <w:t xml:space="preserve">If you have any questions, please email </w:t>
      </w:r>
      <w:hyperlink r:id="rId19" w:history="1">
        <w:r w:rsidRPr="00C83F93">
          <w:rPr>
            <w:rStyle w:val="Hyperlink"/>
            <w:rFonts w:cstheme="minorHAnsi"/>
          </w:rPr>
          <w:t>communitybroadcasting@infrastructure.gov.au</w:t>
        </w:r>
      </w:hyperlink>
      <w:r w:rsidRPr="00C83F93">
        <w:t xml:space="preserve">. </w:t>
      </w:r>
    </w:p>
    <w:p w:rsidR="00E644EC" w:rsidRPr="00C83F93" w:rsidRDefault="00E644EC" w:rsidP="00E644EC">
      <w:pPr>
        <w:pStyle w:val="Heading3"/>
      </w:pPr>
      <w:bookmarkStart w:id="10" w:name="_Toc160569256"/>
      <w:bookmarkStart w:id="11" w:name="_Toc169789842"/>
      <w:r w:rsidRPr="00C83F93">
        <w:t>Publication of submissions and confidentiality</w:t>
      </w:r>
      <w:bookmarkEnd w:id="10"/>
      <w:bookmarkEnd w:id="11"/>
    </w:p>
    <w:p w:rsidR="00E644EC" w:rsidRPr="00C83F93" w:rsidRDefault="00E644EC" w:rsidP="00E644EC">
      <w:r w:rsidRPr="00C83F93">
        <w:t>All submissions will be made publicly available by the department unless a respondent specifically requests that a submission, or part of a submission, be kept confidential. Comments will not be published.</w:t>
      </w:r>
    </w:p>
    <w:p w:rsidR="00E644EC" w:rsidRPr="00C83F93" w:rsidRDefault="00E644EC" w:rsidP="00E644EC">
      <w:r w:rsidRPr="00C83F93">
        <w:t>The department reserves the right not to publish any submission, or part of a submission, which in its view contains potentially offensive or defamatory material, or for confidentiality reasons.</w:t>
      </w:r>
    </w:p>
    <w:p w:rsidR="00E644EC" w:rsidRPr="00C83F93" w:rsidRDefault="00E644EC" w:rsidP="00E644EC">
      <w:r w:rsidRPr="00C83F93">
        <w:t xml:space="preserve">The department is subject to the </w:t>
      </w:r>
      <w:r w:rsidRPr="00C83F93">
        <w:rPr>
          <w:i/>
        </w:rPr>
        <w:t>Freedom of Information Act 1982</w:t>
      </w:r>
      <w:r w:rsidRPr="00C83F93">
        <w:t xml:space="preserve"> and comments and submissions may be required to be disclosed by the department in response to requests made under that Act.</w:t>
      </w:r>
    </w:p>
    <w:p w:rsidR="00E644EC" w:rsidRPr="00E644EC" w:rsidRDefault="00E644EC" w:rsidP="00E644EC">
      <w:r w:rsidRPr="00E644EC">
        <w:br w:type="page"/>
      </w:r>
    </w:p>
    <w:p w:rsidR="00E644EC" w:rsidRPr="00C83F93" w:rsidRDefault="00E644EC" w:rsidP="00E644EC">
      <w:pPr>
        <w:pStyle w:val="Heading2"/>
      </w:pPr>
      <w:bookmarkStart w:id="12" w:name="_Toc169789843"/>
      <w:bookmarkEnd w:id="3"/>
      <w:bookmarkEnd w:id="4"/>
      <w:bookmarkEnd w:id="5"/>
      <w:r w:rsidRPr="00C83F93">
        <w:lastRenderedPageBreak/>
        <w:t>Introduction</w:t>
      </w:r>
      <w:bookmarkEnd w:id="12"/>
    </w:p>
    <w:p w:rsidR="00E644EC" w:rsidRDefault="00E644EC" w:rsidP="00E644EC">
      <w:r>
        <w:t xml:space="preserve">This discussion paper is part of the </w:t>
      </w:r>
      <w:r w:rsidRPr="00B4233B">
        <w:rPr>
          <w:b/>
        </w:rPr>
        <w:t>Community Broadcasting Sector Sustainability Review</w:t>
      </w:r>
      <w:r>
        <w:t xml:space="preserve"> being conducted by the Department of Infrastructure, Transport, Regional Development, Communications and the Arts (the department) </w:t>
      </w:r>
      <w:r w:rsidRPr="001F7CDA" w:rsidDel="003D3B16">
        <w:t xml:space="preserve">in partnership with the community broadcasting sector. </w:t>
      </w:r>
    </w:p>
    <w:p w:rsidR="00E644EC" w:rsidRPr="001C0286" w:rsidRDefault="00E644EC" w:rsidP="00E644EC">
      <w:r>
        <w:t>The Australian Government committed to working with the sector to identify a sustainable funding base for the future, in the context of the May 2022 Federal election. The commencement of the sustainability review was announced in October 2022</w:t>
      </w:r>
      <w:r w:rsidRPr="001C0286">
        <w:rPr>
          <w:vertAlign w:val="superscript"/>
        </w:rPr>
        <w:footnoteReference w:id="1"/>
      </w:r>
      <w:r w:rsidRPr="001C0286">
        <w:rPr>
          <w:vertAlign w:val="superscript"/>
        </w:rPr>
        <w:t xml:space="preserve"> </w:t>
      </w:r>
      <w:r>
        <w:t xml:space="preserve">and is being undertaken in two phases. </w:t>
      </w:r>
    </w:p>
    <w:p w:rsidR="00E644EC" w:rsidRDefault="00E644EC" w:rsidP="00E644EC">
      <w:pPr>
        <w:pStyle w:val="Heading3"/>
      </w:pPr>
      <w:bookmarkStart w:id="13" w:name="_Toc169789844"/>
      <w:r>
        <w:t>Phase 1 evaluation</w:t>
      </w:r>
      <w:bookmarkEnd w:id="13"/>
    </w:p>
    <w:p w:rsidR="00E644EC" w:rsidRDefault="00E644EC" w:rsidP="00E644EC">
      <w:r w:rsidRPr="00C83F93">
        <w:t>Phase 1 commenced in March 2023 with an independent evaluation</w:t>
      </w:r>
      <w:r>
        <w:t xml:space="preserve"> of the Community Broadcasting Program (CBP), commissioned by the department and undertaken by the Social Research Centre</w:t>
      </w:r>
      <w:r w:rsidRPr="00C83F93">
        <w:t>.</w:t>
      </w:r>
      <w:r>
        <w:rPr>
          <w:rStyle w:val="FootnoteReference"/>
        </w:rPr>
        <w:footnoteReference w:id="2"/>
      </w:r>
      <w:r w:rsidRPr="00C83F93">
        <w:t xml:space="preserve"> </w:t>
      </w:r>
      <w:r>
        <w:t>The evaluation found that while the CBP is mostly effective, has a range of positive impacts and</w:t>
      </w:r>
      <w:r w:rsidRPr="00571560">
        <w:t xml:space="preserve"> funding has been vital for continuation of operation, it has not achieved significant impact in terms of promoting sustainability through reducing reliance on grant funding and building station resilience.</w:t>
      </w:r>
      <w:r>
        <w:t xml:space="preserve"> </w:t>
      </w:r>
    </w:p>
    <w:p w:rsidR="00E644EC" w:rsidRDefault="00E644EC" w:rsidP="00E644EC">
      <w:r>
        <w:t>The evaluation found that the CBP is only partially achieving its objectives. This includes that:</w:t>
      </w:r>
    </w:p>
    <w:p w:rsidR="00E644EC" w:rsidRDefault="00E644EC" w:rsidP="00E644EC">
      <w:pPr>
        <w:pStyle w:val="Listparagraphbullets"/>
      </w:pPr>
      <w:r>
        <w:t>the grants assessment and decision-making processes could be more effective</w:t>
      </w:r>
    </w:p>
    <w:p w:rsidR="00E644EC" w:rsidRDefault="00E644EC" w:rsidP="00E644EC">
      <w:pPr>
        <w:pStyle w:val="Listparagraphbullets"/>
      </w:pPr>
      <w:r>
        <w:t>the CBP can more effectively help grantees undertake day-to-day operations, development, capacity building and sector wide projects, and</w:t>
      </w:r>
    </w:p>
    <w:p w:rsidR="00E644EC" w:rsidRDefault="00E644EC" w:rsidP="00E644EC">
      <w:pPr>
        <w:pStyle w:val="Listparagraphbullets"/>
      </w:pPr>
      <w:r>
        <w:t>the CBP can better identify and address emerging and unmet needs in the sector (e.g. operational costs, capacity building, self-sufficiency, promotion, community engagement, digital transformation and infrastructure).</w:t>
      </w:r>
    </w:p>
    <w:p w:rsidR="00E644EC" w:rsidRDefault="00E644EC" w:rsidP="00E644EC">
      <w:r>
        <w:t>The evaluation further found that there are opportunities to:</w:t>
      </w:r>
    </w:p>
    <w:p w:rsidR="00E644EC" w:rsidRDefault="00E644EC" w:rsidP="00E644EC">
      <w:pPr>
        <w:pStyle w:val="Listparagraphbullets"/>
      </w:pPr>
      <w:r>
        <w:t>tailor funding to organisational needs</w:t>
      </w:r>
    </w:p>
    <w:p w:rsidR="00E644EC" w:rsidRDefault="00E644EC" w:rsidP="00E644EC">
      <w:pPr>
        <w:pStyle w:val="Listparagraphbullets"/>
      </w:pPr>
      <w:r>
        <w:t>fund long-term, larger-value grants that allow for strategic initiatives to facilitate diversification</w:t>
      </w:r>
    </w:p>
    <w:p w:rsidR="00E644EC" w:rsidRDefault="00E644EC" w:rsidP="00E644EC">
      <w:pPr>
        <w:pStyle w:val="Listparagraphbullets"/>
      </w:pPr>
      <w:r>
        <w:t>expand the scope of CBP grants (e.g. news, journalism and emergency broadcasting), and</w:t>
      </w:r>
    </w:p>
    <w:p w:rsidR="00E644EC" w:rsidRDefault="00E644EC" w:rsidP="00E644EC">
      <w:pPr>
        <w:pStyle w:val="Listparagraphbullets"/>
      </w:pPr>
      <w:r>
        <w:t>focus on partnerships and networking to support content, knowledge and skill sharing in the sector.</w:t>
      </w:r>
    </w:p>
    <w:p w:rsidR="00E644EC" w:rsidRDefault="00E644EC" w:rsidP="00E644EC">
      <w:pPr>
        <w:pStyle w:val="Heading3"/>
      </w:pPr>
      <w:bookmarkStart w:id="14" w:name="_Toc169789845"/>
      <w:r>
        <w:t>Phase 2 sustainability review</w:t>
      </w:r>
      <w:bookmarkEnd w:id="14"/>
    </w:p>
    <w:p w:rsidR="00E644EC" w:rsidRDefault="00E644EC" w:rsidP="00E644EC">
      <w:r>
        <w:t>This next phase seeks to</w:t>
      </w:r>
      <w:r w:rsidRPr="00C83F93">
        <w:t xml:space="preserve"> identify </w:t>
      </w:r>
      <w:r>
        <w:t>options to support the sustainability of the sector</w:t>
      </w:r>
      <w:r w:rsidRPr="00C83F93">
        <w:t xml:space="preserve"> by gathering views and ideas on funding</w:t>
      </w:r>
      <w:r>
        <w:t>, administration and</w:t>
      </w:r>
      <w:r w:rsidRPr="00C83F93">
        <w:t xml:space="preserve"> legislative environments </w:t>
      </w:r>
      <w:r>
        <w:t>for</w:t>
      </w:r>
      <w:r w:rsidRPr="00C83F93">
        <w:t xml:space="preserve"> the CBP</w:t>
      </w:r>
      <w:r>
        <w:t xml:space="preserve"> and the Indigenous Broadcasting and Media Program (IBMP)</w:t>
      </w:r>
      <w:r w:rsidRPr="00C83F93">
        <w:t xml:space="preserve">. </w:t>
      </w:r>
    </w:p>
    <w:p w:rsidR="00E644EC" w:rsidRDefault="00E644EC" w:rsidP="00E644EC">
      <w:pPr>
        <w:rPr>
          <w:lang w:eastAsia="en-AU"/>
        </w:rPr>
      </w:pPr>
      <w:r w:rsidRPr="00C83F93">
        <w:t xml:space="preserve">This discussion paper is a key element of </w:t>
      </w:r>
      <w:r>
        <w:t>stakeholder consultation, and will help to inform</w:t>
      </w:r>
      <w:r w:rsidRPr="00C83F93">
        <w:rPr>
          <w:lang w:eastAsia="en-AU"/>
        </w:rPr>
        <w:t xml:space="preserve"> options </w:t>
      </w:r>
      <w:r>
        <w:rPr>
          <w:lang w:eastAsia="en-AU"/>
        </w:rPr>
        <w:t>for</w:t>
      </w:r>
      <w:r w:rsidRPr="00C83F93">
        <w:rPr>
          <w:lang w:eastAsia="en-AU"/>
        </w:rPr>
        <w:t xml:space="preserve"> </w:t>
      </w:r>
      <w:r>
        <w:rPr>
          <w:lang w:eastAsia="en-AU"/>
        </w:rPr>
        <w:t>government consideration. There will also be other consultation opportunities through roundtables and meetings.</w:t>
      </w:r>
    </w:p>
    <w:p w:rsidR="00E644EC" w:rsidRDefault="00E644EC" w:rsidP="00E644EC">
      <w:pPr>
        <w:keepNext/>
      </w:pPr>
      <w:r>
        <w:t>In parallel, the Government has also been undertaking related work to promote the sustainability of the media sector and support Closing the Gap in digital inclusion for First Nations Australians, including:</w:t>
      </w:r>
    </w:p>
    <w:p w:rsidR="00E644EC" w:rsidRDefault="00E644EC" w:rsidP="0001705C">
      <w:pPr>
        <w:pStyle w:val="Listparagraphbullets"/>
        <w:keepNext/>
      </w:pPr>
      <w:r>
        <w:t>News Media Assistance Program (News MAP) consultation and development</w:t>
      </w:r>
      <w:r>
        <w:rPr>
          <w:rStyle w:val="FootnoteReference"/>
        </w:rPr>
        <w:footnoteReference w:id="3"/>
      </w:r>
    </w:p>
    <w:p w:rsidR="00E644EC" w:rsidRDefault="00E644EC" w:rsidP="00E644EC">
      <w:pPr>
        <w:pStyle w:val="Listparagraphbullets"/>
      </w:pPr>
      <w:r>
        <w:t>First Nations Digital Inclusion Advisory Group (FNDIAG) establishment, which has released an initial report and is now consulting on a roadmap.</w:t>
      </w:r>
      <w:r>
        <w:rPr>
          <w:rStyle w:val="FootnoteReference"/>
        </w:rPr>
        <w:footnoteReference w:id="4"/>
      </w:r>
    </w:p>
    <w:p w:rsidR="00E644EC" w:rsidRDefault="00E644EC" w:rsidP="0001705C">
      <w:pPr>
        <w:pStyle w:val="Heading3"/>
        <w:spacing w:before="160"/>
      </w:pPr>
      <w:bookmarkStart w:id="15" w:name="_Toc169789846"/>
      <w:r>
        <w:lastRenderedPageBreak/>
        <w:t>Community broadcasting</w:t>
      </w:r>
      <w:bookmarkEnd w:id="15"/>
    </w:p>
    <w:p w:rsidR="00E644EC" w:rsidRDefault="00E644EC" w:rsidP="00E644EC">
      <w:pPr>
        <w:pStyle w:val="ListLegal1"/>
        <w:numPr>
          <w:ilvl w:val="0"/>
          <w:numId w:val="0"/>
        </w:numPr>
      </w:pPr>
      <w:r>
        <w:t xml:space="preserve">The </w:t>
      </w:r>
      <w:r>
        <w:rPr>
          <w:i/>
        </w:rPr>
        <w:t xml:space="preserve">Broadcasting Services Act 1992 </w:t>
      </w:r>
      <w:r>
        <w:t>(BSA) regulates community broadcasting services in Australia. Community broadcasting services:</w:t>
      </w:r>
    </w:p>
    <w:p w:rsidR="00E644EC" w:rsidRDefault="00E644EC" w:rsidP="00E644EC">
      <w:pPr>
        <w:pStyle w:val="Listparagraphbullets"/>
      </w:pPr>
      <w:r>
        <w:t>are provided for community purposes; and</w:t>
      </w:r>
    </w:p>
    <w:p w:rsidR="00E644EC" w:rsidRDefault="00E644EC" w:rsidP="00E644EC">
      <w:pPr>
        <w:pStyle w:val="Listparagraphbullets"/>
      </w:pPr>
      <w:r>
        <w:t>are not operated for profit or as part of a profit</w:t>
      </w:r>
      <w:r w:rsidRPr="00574F9D">
        <w:rPr>
          <w:rFonts w:ascii="Cambria Math" w:hAnsi="Cambria Math" w:cs="Cambria Math"/>
        </w:rPr>
        <w:t>‑</w:t>
      </w:r>
      <w:r>
        <w:t>making enterprise; and</w:t>
      </w:r>
    </w:p>
    <w:p w:rsidR="00E644EC" w:rsidRDefault="00E644EC" w:rsidP="00E644EC">
      <w:pPr>
        <w:pStyle w:val="Listparagraphbullets"/>
        <w:spacing w:after="0"/>
      </w:pPr>
      <w:r>
        <w:t>provide programs that:</w:t>
      </w:r>
    </w:p>
    <w:p w:rsidR="00E644EC" w:rsidRDefault="00E644EC" w:rsidP="00E644EC">
      <w:pPr>
        <w:pStyle w:val="Listparagraphbulletssecondlevel"/>
        <w:spacing w:before="0" w:after="0"/>
      </w:pPr>
      <w:r>
        <w:t>are able to be received by commonly available equipment; and</w:t>
      </w:r>
    </w:p>
    <w:p w:rsidR="00E644EC" w:rsidRDefault="00E644EC" w:rsidP="00E644EC">
      <w:pPr>
        <w:pStyle w:val="Listparagraphbulletssecondlevel"/>
        <w:spacing w:before="0" w:after="0"/>
      </w:pPr>
      <w:r>
        <w:t>are made available free to the general public; and</w:t>
      </w:r>
    </w:p>
    <w:p w:rsidR="00E644EC" w:rsidRDefault="00E644EC" w:rsidP="00E644EC">
      <w:pPr>
        <w:pStyle w:val="Listparagraphbullets"/>
      </w:pPr>
      <w:r w:rsidRPr="00574F9D">
        <w:t>comply with any determinations or clarifications under section 19 of the BSA in relation to community broadcasting services</w:t>
      </w:r>
      <w:r>
        <w:t>.</w:t>
      </w:r>
      <w:r w:rsidRPr="0028295E">
        <w:rPr>
          <w:vertAlign w:val="superscript"/>
        </w:rPr>
        <w:footnoteReference w:id="5"/>
      </w:r>
    </w:p>
    <w:p w:rsidR="00E644EC" w:rsidRDefault="00E644EC" w:rsidP="00E644EC">
      <w:r>
        <w:t>There are over 450 community radio services and 2 community television services operating across Australia.</w:t>
      </w:r>
    </w:p>
    <w:p w:rsidR="00E644EC" w:rsidRDefault="00E644EC" w:rsidP="0001705C">
      <w:pPr>
        <w:pStyle w:val="Heading3"/>
        <w:spacing w:before="160"/>
      </w:pPr>
      <w:bookmarkStart w:id="16" w:name="_Toc169789847"/>
      <w:r>
        <w:t>Community Broadcasting Program (CBP)</w:t>
      </w:r>
      <w:bookmarkEnd w:id="16"/>
    </w:p>
    <w:p w:rsidR="00E644EC" w:rsidRDefault="00E644EC" w:rsidP="00E644EC">
      <w:r>
        <w:t>The CBP is the Australian Government-funded grants program to</w:t>
      </w:r>
      <w:r w:rsidRPr="00C83F93">
        <w:t xml:space="preserve"> support a diverse, innovative and resilient community broadcasting sector. </w:t>
      </w:r>
      <w:r>
        <w:t>Since 1984, t</w:t>
      </w:r>
      <w:r w:rsidRPr="00C83F93">
        <w:t xml:space="preserve">he Community Broadcasting Foundation (CBF) </w:t>
      </w:r>
      <w:r>
        <w:t xml:space="preserve">has </w:t>
      </w:r>
      <w:r w:rsidRPr="00C83F93">
        <w:t>distribute</w:t>
      </w:r>
      <w:r>
        <w:t>d</w:t>
      </w:r>
      <w:r w:rsidRPr="00C83F93">
        <w:t xml:space="preserve"> CBP funding </w:t>
      </w:r>
      <w:r>
        <w:t>to service</w:t>
      </w:r>
      <w:r w:rsidRPr="00C83F93">
        <w:t xml:space="preserve">s </w:t>
      </w:r>
      <w:r>
        <w:t>through a merit-based grants process. The department currently provides $22.5 million per year for the CBP.</w:t>
      </w:r>
    </w:p>
    <w:p w:rsidR="00E644EC" w:rsidRDefault="00E644EC" w:rsidP="00E644EC">
      <w:r>
        <w:t>There are 3 grant streams under the CBP:</w:t>
      </w:r>
    </w:p>
    <w:p w:rsidR="00E644EC" w:rsidRDefault="00E644EC" w:rsidP="00E644EC">
      <w:pPr>
        <w:pStyle w:val="ListParagraph"/>
        <w:numPr>
          <w:ilvl w:val="0"/>
          <w:numId w:val="21"/>
        </w:numPr>
        <w:ind w:left="567" w:hanging="567"/>
      </w:pPr>
      <w:r>
        <w:t>content</w:t>
      </w:r>
    </w:p>
    <w:p w:rsidR="00E644EC" w:rsidRDefault="00E644EC" w:rsidP="00E644EC">
      <w:pPr>
        <w:pStyle w:val="ListParagraph"/>
        <w:numPr>
          <w:ilvl w:val="0"/>
          <w:numId w:val="21"/>
        </w:numPr>
        <w:ind w:left="567" w:hanging="567"/>
      </w:pPr>
      <w:r>
        <w:t>development and operations, and</w:t>
      </w:r>
    </w:p>
    <w:p w:rsidR="00E644EC" w:rsidRDefault="00E644EC" w:rsidP="00E644EC">
      <w:pPr>
        <w:pStyle w:val="ListParagraph"/>
        <w:numPr>
          <w:ilvl w:val="0"/>
          <w:numId w:val="21"/>
        </w:numPr>
        <w:ind w:left="567" w:hanging="567"/>
      </w:pPr>
      <w:r>
        <w:t>s</w:t>
      </w:r>
      <w:r w:rsidRPr="000F7CE6">
        <w:t xml:space="preserve">ector </w:t>
      </w:r>
      <w:r>
        <w:t>i</w:t>
      </w:r>
      <w:r w:rsidRPr="000F7CE6">
        <w:t xml:space="preserve">nvestment grants </w:t>
      </w:r>
      <w:r>
        <w:t xml:space="preserve">to </w:t>
      </w:r>
      <w:r w:rsidRPr="000F7CE6">
        <w:t>support sector coordination and sector-wide development projects</w:t>
      </w:r>
      <w:r>
        <w:t>.</w:t>
      </w:r>
    </w:p>
    <w:p w:rsidR="00E644EC" w:rsidRDefault="00E644EC" w:rsidP="00E644EC">
      <w:r>
        <w:t>There is a</w:t>
      </w:r>
      <w:r w:rsidRPr="00C83F93">
        <w:t xml:space="preserve"> First Nations Community Broadcasting Fund in the CBP</w:t>
      </w:r>
      <w:r>
        <w:t>, which is $</w:t>
      </w:r>
      <w:r w:rsidRPr="000F7CE6">
        <w:t>1</w:t>
      </w:r>
      <w:r>
        <w:t>.</w:t>
      </w:r>
      <w:r w:rsidRPr="000F7CE6">
        <w:t>4</w:t>
      </w:r>
      <w:r>
        <w:t xml:space="preserve"> million of overall funding.</w:t>
      </w:r>
    </w:p>
    <w:p w:rsidR="00E644EC" w:rsidRDefault="00E644EC" w:rsidP="0001705C">
      <w:pPr>
        <w:pStyle w:val="Heading3"/>
        <w:spacing w:before="160"/>
      </w:pPr>
      <w:bookmarkStart w:id="17" w:name="_Toc169789848"/>
      <w:r>
        <w:t>Indigenous Broadcasting and Media Program (IBMP)</w:t>
      </w:r>
      <w:bookmarkEnd w:id="17"/>
    </w:p>
    <w:p w:rsidR="00E644EC" w:rsidRDefault="00E644EC" w:rsidP="00E644EC">
      <w:r>
        <w:t>T</w:t>
      </w:r>
      <w:r w:rsidRPr="00C83F93">
        <w:t xml:space="preserve">he </w:t>
      </w:r>
      <w:r>
        <w:t xml:space="preserve">First Nations broadcasting </w:t>
      </w:r>
      <w:r w:rsidRPr="00C83F93">
        <w:t>sector</w:t>
      </w:r>
      <w:r>
        <w:t xml:space="preserve"> is also funded</w:t>
      </w:r>
      <w:r w:rsidRPr="00C83F93">
        <w:t xml:space="preserve"> through</w:t>
      </w:r>
      <w:r>
        <w:t xml:space="preserve"> </w:t>
      </w:r>
      <w:r w:rsidRPr="00C83F93">
        <w:t>the</w:t>
      </w:r>
      <w:r>
        <w:t xml:space="preserve"> Indigenous Advancement Strategy.</w:t>
      </w:r>
      <w:r w:rsidRPr="000F7CE6">
        <w:t xml:space="preserve"> </w:t>
      </w:r>
      <w:r>
        <w:t>T</w:t>
      </w:r>
      <w:r w:rsidRPr="00C83F93">
        <w:t>he N</w:t>
      </w:r>
      <w:r>
        <w:t>ational Indigenous Australians Agency (</w:t>
      </w:r>
      <w:r w:rsidRPr="000F7CE6">
        <w:t>NIAA</w:t>
      </w:r>
      <w:r>
        <w:t>)</w:t>
      </w:r>
      <w:r w:rsidRPr="000F7CE6">
        <w:t xml:space="preserve"> currently </w:t>
      </w:r>
      <w:r>
        <w:t>provides $21 million per year in operational and employment funding to 49 organisations that support First Nations broadcasting.</w:t>
      </w:r>
    </w:p>
    <w:p w:rsidR="00E644EC" w:rsidRPr="00C83F93" w:rsidRDefault="00E644EC" w:rsidP="0001705C">
      <w:pPr>
        <w:pStyle w:val="Heading3"/>
        <w:spacing w:before="160"/>
      </w:pPr>
      <w:bookmarkStart w:id="18" w:name="_Toc169789849"/>
      <w:r>
        <w:t>Roadmap 2033</w:t>
      </w:r>
      <w:bookmarkEnd w:id="18"/>
    </w:p>
    <w:p w:rsidR="00E644EC" w:rsidRDefault="00E644EC" w:rsidP="00E644EC">
      <w:r w:rsidRPr="00C83F93">
        <w:t xml:space="preserve">In 2023, the </w:t>
      </w:r>
      <w:r>
        <w:t xml:space="preserve">community broadcasting </w:t>
      </w:r>
      <w:r w:rsidRPr="00C83F93">
        <w:t xml:space="preserve">sector released its own </w:t>
      </w:r>
      <w:r>
        <w:t>roadmap</w:t>
      </w:r>
      <w:r w:rsidRPr="00C83F93">
        <w:t>, which identifies</w:t>
      </w:r>
      <w:r>
        <w:t xml:space="preserve"> 4 key priorities:</w:t>
      </w:r>
    </w:p>
    <w:p w:rsidR="00E644EC" w:rsidRDefault="00E644EC" w:rsidP="00E644EC">
      <w:pPr>
        <w:pStyle w:val="Listparagraphbullets"/>
      </w:pPr>
      <w:r>
        <w:t>grow the sector’s capability</w:t>
      </w:r>
    </w:p>
    <w:p w:rsidR="00E644EC" w:rsidRDefault="00E644EC" w:rsidP="00E644EC">
      <w:pPr>
        <w:pStyle w:val="Listparagraphbullets"/>
      </w:pPr>
      <w:r>
        <w:t>celebrate the sector’s identity and demonstrate impact</w:t>
      </w:r>
    </w:p>
    <w:p w:rsidR="00E644EC" w:rsidRDefault="00E644EC" w:rsidP="00E644EC">
      <w:pPr>
        <w:pStyle w:val="Listparagraphbullets"/>
      </w:pPr>
      <w:r>
        <w:t>amplify diverse voices</w:t>
      </w:r>
    </w:p>
    <w:p w:rsidR="00E644EC" w:rsidRDefault="00E644EC" w:rsidP="00E644EC">
      <w:pPr>
        <w:pStyle w:val="Listparagraphbullets"/>
      </w:pPr>
      <w:r>
        <w:t>secure capacity to meet community need.</w:t>
      </w:r>
    </w:p>
    <w:p w:rsidR="00E644EC" w:rsidRPr="00C83F93" w:rsidRDefault="00E644EC" w:rsidP="0001705C">
      <w:pPr>
        <w:keepNext/>
      </w:pPr>
      <w:r>
        <w:t xml:space="preserve">Roadmap 2033 outlines </w:t>
      </w:r>
      <w:r w:rsidRPr="00C83F93">
        <w:t>key strategic priorities. These include:</w:t>
      </w:r>
    </w:p>
    <w:p w:rsidR="00E644EC" w:rsidRPr="00C83F93" w:rsidRDefault="00E644EC" w:rsidP="00E644EC">
      <w:pPr>
        <w:pStyle w:val="Listparagraphbullets"/>
      </w:pPr>
      <w:r w:rsidRPr="00C83F93">
        <w:t xml:space="preserve">community broadcasting infrastructure </w:t>
      </w:r>
      <w:r>
        <w:t>being able to</w:t>
      </w:r>
      <w:r w:rsidRPr="00C83F93">
        <w:t xml:space="preserve"> withstand disruption and natural disasters</w:t>
      </w:r>
    </w:p>
    <w:p w:rsidR="00E644EC" w:rsidRPr="00C83F93" w:rsidRDefault="00E644EC" w:rsidP="00E644EC">
      <w:pPr>
        <w:pStyle w:val="Listparagraphbullets"/>
      </w:pPr>
      <w:r w:rsidRPr="00C83F93">
        <w:t>increasing the prominence of First Nations media</w:t>
      </w:r>
    </w:p>
    <w:p w:rsidR="00E644EC" w:rsidRPr="00C83F93" w:rsidRDefault="00E644EC" w:rsidP="00E644EC">
      <w:pPr>
        <w:pStyle w:val="Listparagraphbullets"/>
      </w:pPr>
      <w:r w:rsidRPr="00C83F93">
        <w:t>utilising community media to counter the rise of misinformation and disinformation</w:t>
      </w:r>
    </w:p>
    <w:p w:rsidR="00E644EC" w:rsidRPr="00C83F93" w:rsidRDefault="00E644EC" w:rsidP="00E644EC">
      <w:pPr>
        <w:pStyle w:val="Listparagraphbullets"/>
      </w:pPr>
      <w:r w:rsidRPr="00C83F93">
        <w:t>increasing collaborative capability and capacity to secure sponsorship, fundraising and other revenue</w:t>
      </w:r>
    </w:p>
    <w:p w:rsidR="00E644EC" w:rsidRPr="00C83F93" w:rsidRDefault="00E644EC" w:rsidP="00E644EC">
      <w:pPr>
        <w:pStyle w:val="Listparagraphbullets"/>
      </w:pPr>
      <w:r w:rsidRPr="00C83F93">
        <w:t>increasing access to technology, resources and skills to deliver content across platforms</w:t>
      </w:r>
    </w:p>
    <w:p w:rsidR="00E644EC" w:rsidRPr="00C83F93" w:rsidRDefault="00E644EC" w:rsidP="00E644EC">
      <w:pPr>
        <w:pStyle w:val="Listparagraphbullets"/>
      </w:pPr>
      <w:r w:rsidRPr="00C83F93">
        <w:t>a clear, evidence-based case for funding shifting from activities to outcomes</w:t>
      </w:r>
      <w:r>
        <w:t>, and</w:t>
      </w:r>
    </w:p>
    <w:p w:rsidR="00E644EC" w:rsidRDefault="00E644EC" w:rsidP="00E644EC">
      <w:pPr>
        <w:pStyle w:val="Listparagraphbullets"/>
      </w:pPr>
      <w:r w:rsidRPr="00C83F93">
        <w:t>developing a skilled and sustainable workforce that can adapt to evolving community needs.</w:t>
      </w:r>
      <w:r w:rsidRPr="00C83F93">
        <w:rPr>
          <w:rStyle w:val="FootnoteReference"/>
        </w:rPr>
        <w:footnoteReference w:id="6"/>
      </w:r>
    </w:p>
    <w:p w:rsidR="00E644EC" w:rsidRPr="00A615D6" w:rsidRDefault="00E644EC" w:rsidP="00E644EC">
      <w:pPr>
        <w:pStyle w:val="Bullet1"/>
        <w:numPr>
          <w:ilvl w:val="0"/>
          <w:numId w:val="0"/>
        </w:numPr>
        <w:spacing w:after="0"/>
        <w:ind w:left="568" w:hanging="284"/>
        <w:rPr>
          <w:sz w:val="2"/>
          <w:szCs w:val="2"/>
        </w:rPr>
      </w:pPr>
    </w:p>
    <w:p w:rsidR="00E644EC" w:rsidRPr="00C83F93" w:rsidRDefault="00E644EC" w:rsidP="00E644EC">
      <w:pPr>
        <w:pStyle w:val="Heading2"/>
      </w:pPr>
      <w:bookmarkStart w:id="19" w:name="_Toc169789850"/>
      <w:r>
        <w:lastRenderedPageBreak/>
        <w:t>C</w:t>
      </w:r>
      <w:r w:rsidRPr="00C83F93">
        <w:t>onsultation</w:t>
      </w:r>
      <w:r>
        <w:t xml:space="preserve"> scope</w:t>
      </w:r>
      <w:bookmarkEnd w:id="19"/>
    </w:p>
    <w:p w:rsidR="00E644EC" w:rsidRPr="00C83F93" w:rsidRDefault="00E644EC" w:rsidP="00E644EC">
      <w:pPr>
        <w:pStyle w:val="Heading3"/>
      </w:pPr>
      <w:bookmarkStart w:id="20" w:name="_Toc169789851"/>
      <w:r>
        <w:t>In s</w:t>
      </w:r>
      <w:r w:rsidRPr="00C83F93">
        <w:t>cope</w:t>
      </w:r>
      <w:bookmarkEnd w:id="20"/>
    </w:p>
    <w:p w:rsidR="00E644EC" w:rsidRDefault="00E644EC" w:rsidP="00E644EC">
      <w:pPr>
        <w:pStyle w:val="Bullet1"/>
        <w:numPr>
          <w:ilvl w:val="0"/>
          <w:numId w:val="0"/>
        </w:numPr>
        <w:ind w:left="284" w:hanging="284"/>
      </w:pPr>
      <w:r>
        <w:rPr>
          <w:shd w:val="clear" w:color="auto" w:fill="FFFFFF"/>
        </w:rPr>
        <w:t>The scope of this consultation includes: </w:t>
      </w:r>
    </w:p>
    <w:p w:rsidR="00E644EC" w:rsidRDefault="00E644EC" w:rsidP="00E644EC">
      <w:pPr>
        <w:pStyle w:val="Listparagraphbullets"/>
      </w:pPr>
      <w:r>
        <w:t>h</w:t>
      </w:r>
      <w:r w:rsidRPr="00CE010C">
        <w:t>ow to increase sector sustainability, capability and capacity</w:t>
      </w:r>
    </w:p>
    <w:p w:rsidR="00E644EC" w:rsidRDefault="00E644EC" w:rsidP="00E644EC">
      <w:pPr>
        <w:pStyle w:val="Listparagraphbullets"/>
      </w:pPr>
      <w:r>
        <w:t>i</w:t>
      </w:r>
      <w:r w:rsidRPr="00CE010C">
        <w:t xml:space="preserve">dentifying emerging </w:t>
      </w:r>
      <w:r>
        <w:t>needs</w:t>
      </w:r>
      <w:r w:rsidRPr="00CE010C">
        <w:t>, for example, local news and disaster response</w:t>
      </w:r>
    </w:p>
    <w:p w:rsidR="00E644EC" w:rsidRDefault="00E644EC" w:rsidP="00E644EC">
      <w:pPr>
        <w:pStyle w:val="Listparagraphbullets"/>
      </w:pPr>
      <w:r>
        <w:t>a</w:t>
      </w:r>
      <w:r w:rsidRPr="00CE010C">
        <w:t xml:space="preserve"> shared outcomes framework to help measure impact and inform decisions</w:t>
      </w:r>
    </w:p>
    <w:p w:rsidR="00E644EC" w:rsidRPr="005A6EE3" w:rsidRDefault="00E644EC" w:rsidP="00E644EC">
      <w:pPr>
        <w:pStyle w:val="Listparagraphbullets"/>
      </w:pPr>
      <w:r>
        <w:t>c</w:t>
      </w:r>
      <w:r w:rsidRPr="00CE010C">
        <w:t xml:space="preserve">onsideration of regulatory </w:t>
      </w:r>
      <w:r>
        <w:t>issues under the BSA</w:t>
      </w:r>
      <w:r w:rsidRPr="00DE071A">
        <w:t>, and</w:t>
      </w:r>
    </w:p>
    <w:p w:rsidR="00E644EC" w:rsidRDefault="00E644EC" w:rsidP="00E644EC">
      <w:pPr>
        <w:pStyle w:val="Listparagraphbullets"/>
      </w:pPr>
      <w:r>
        <w:t>First Nations broadcasting funding and licensing.</w:t>
      </w:r>
    </w:p>
    <w:p w:rsidR="00E644EC" w:rsidRDefault="00E644EC" w:rsidP="00E644EC">
      <w:r w:rsidRPr="00C83F93">
        <w:t>The department is seeking input on</w:t>
      </w:r>
      <w:r w:rsidRPr="00C83F93">
        <w:rPr>
          <w:b/>
        </w:rPr>
        <w:t xml:space="preserve"> </w:t>
      </w:r>
      <w:r>
        <w:rPr>
          <w:b/>
        </w:rPr>
        <w:t xml:space="preserve">3 </w:t>
      </w:r>
      <w:r w:rsidRPr="00C83F93">
        <w:rPr>
          <w:b/>
        </w:rPr>
        <w:t>key priority areas</w:t>
      </w:r>
      <w:r w:rsidRPr="00C83F93">
        <w:t>:</w:t>
      </w:r>
    </w:p>
    <w:p w:rsidR="00E644EC" w:rsidRPr="005A6EE3" w:rsidRDefault="00E644EC" w:rsidP="00E644EC">
      <w:pPr>
        <w:pStyle w:val="ListParagraph"/>
        <w:numPr>
          <w:ilvl w:val="0"/>
          <w:numId w:val="22"/>
        </w:numPr>
        <w:ind w:left="567" w:hanging="567"/>
      </w:pPr>
      <w:r w:rsidRPr="00E644EC">
        <w:rPr>
          <w:lang w:val="en-US"/>
        </w:rPr>
        <w:t>CBP funding, structure and outcomes</w:t>
      </w:r>
    </w:p>
    <w:p w:rsidR="00E644EC" w:rsidRPr="005A6EE3" w:rsidRDefault="00E644EC" w:rsidP="00E644EC">
      <w:pPr>
        <w:pStyle w:val="ListParagraph"/>
      </w:pPr>
      <w:r>
        <w:rPr>
          <w:lang w:val="en-US"/>
        </w:rPr>
        <w:t>Legislative and regulatory issues</w:t>
      </w:r>
    </w:p>
    <w:p w:rsidR="00E644EC" w:rsidRPr="00C83F93" w:rsidRDefault="00E644EC" w:rsidP="00E644EC">
      <w:pPr>
        <w:pStyle w:val="ListParagraph"/>
      </w:pPr>
      <w:r>
        <w:rPr>
          <w:lang w:val="en-US"/>
        </w:rPr>
        <w:t>First Nations funding and licensing.</w:t>
      </w:r>
    </w:p>
    <w:p w:rsidR="00E644EC" w:rsidRPr="00C83F93" w:rsidRDefault="00E644EC" w:rsidP="00E644EC">
      <w:pPr>
        <w:pStyle w:val="Heading3"/>
      </w:pPr>
      <w:bookmarkStart w:id="21" w:name="_Toc169789852"/>
      <w:r w:rsidRPr="00C83F93">
        <w:t>Out of scope</w:t>
      </w:r>
      <w:bookmarkEnd w:id="21"/>
    </w:p>
    <w:p w:rsidR="00E644EC" w:rsidRDefault="00E644EC" w:rsidP="00E644EC">
      <w:r w:rsidRPr="00C83F93">
        <w:t>The</w:t>
      </w:r>
      <w:r>
        <w:t>se areas</w:t>
      </w:r>
      <w:r w:rsidRPr="00C83F93">
        <w:t xml:space="preserve"> are out of scope:</w:t>
      </w:r>
    </w:p>
    <w:p w:rsidR="00E644EC" w:rsidRPr="00C83F93" w:rsidRDefault="00E644EC" w:rsidP="00E644EC">
      <w:pPr>
        <w:pStyle w:val="Listparagraphbullets"/>
      </w:pPr>
      <w:r>
        <w:t>the sector’s implementation of Roadmap 2033</w:t>
      </w:r>
    </w:p>
    <w:p w:rsidR="00E644EC" w:rsidRPr="00A70B79" w:rsidRDefault="00E644EC" w:rsidP="00E644EC">
      <w:pPr>
        <w:pStyle w:val="Listparagraphbullets"/>
      </w:pPr>
      <w:r w:rsidRPr="00A70B79">
        <w:t>state and territory laws regarding incorporated associations and deductible gift recipient (DGR) status</w:t>
      </w:r>
    </w:p>
    <w:p w:rsidR="00E644EC" w:rsidRDefault="00E644EC" w:rsidP="00E644EC">
      <w:pPr>
        <w:pStyle w:val="Listparagraphbullets"/>
      </w:pPr>
      <w:r w:rsidRPr="00704DD6">
        <w:t>the Australian Charities and Not-for-profits Commission</w:t>
      </w:r>
      <w:r>
        <w:t xml:space="preserve">’s </w:t>
      </w:r>
      <w:r w:rsidRPr="00704DD6">
        <w:t>review of charity size thresholds, reporting and compliance obligations</w:t>
      </w:r>
    </w:p>
    <w:p w:rsidR="00E644EC" w:rsidRPr="00704DD6" w:rsidRDefault="00E644EC" w:rsidP="00E644EC">
      <w:pPr>
        <w:pStyle w:val="Listparagraphbullets"/>
      </w:pPr>
      <w:r>
        <w:t>the Productivity Commission’s public inquiry into philanthropy</w:t>
      </w:r>
    </w:p>
    <w:p w:rsidR="00E644EC" w:rsidRDefault="00E644EC" w:rsidP="00E644EC">
      <w:pPr>
        <w:pStyle w:val="Listparagraphbullets"/>
      </w:pPr>
      <w:r>
        <w:t xml:space="preserve">the Department of Finance’s review of the Australian Government advertising guidelines, and </w:t>
      </w:r>
    </w:p>
    <w:p w:rsidR="00E644EC" w:rsidRPr="00C83F93" w:rsidRDefault="00E644EC" w:rsidP="00E644EC">
      <w:pPr>
        <w:pStyle w:val="Listparagraphbullets"/>
      </w:pPr>
      <w:r>
        <w:t>the Treasury’s review of the DGR Register to streamline reporting arrangements</w:t>
      </w:r>
      <w:r w:rsidRPr="00B77D2B">
        <w:rPr>
          <w:rFonts w:cstheme="minorHAnsi"/>
        </w:rPr>
        <w:t>.</w:t>
      </w:r>
      <w:bookmarkStart w:id="22" w:name="_Toc142315030"/>
      <w:bookmarkEnd w:id="6"/>
      <w:bookmarkEnd w:id="7"/>
      <w:r w:rsidRPr="00C83F93">
        <w:br w:type="page"/>
      </w:r>
    </w:p>
    <w:p w:rsidR="00E644EC" w:rsidRDefault="00E644EC" w:rsidP="00F841AF">
      <w:pPr>
        <w:pStyle w:val="Heading2"/>
        <w:spacing w:before="0"/>
      </w:pPr>
      <w:bookmarkStart w:id="23" w:name="_Toc169789853"/>
      <w:bookmarkStart w:id="24" w:name="_Toc150861570"/>
      <w:bookmarkEnd w:id="22"/>
      <w:r>
        <w:lastRenderedPageBreak/>
        <w:t>Priority area 1: CBP funding, structure and outcomes</w:t>
      </w:r>
      <w:bookmarkEnd w:id="23"/>
    </w:p>
    <w:p w:rsidR="00E644EC" w:rsidRDefault="00E644EC" w:rsidP="00E644EC">
      <w:pPr>
        <w:pStyle w:val="Heading3"/>
      </w:pPr>
      <w:bookmarkStart w:id="25" w:name="_Toc169789854"/>
      <w:r>
        <w:t>The sector is reliant on grants to meet funding needs</w:t>
      </w:r>
      <w:bookmarkEnd w:id="25"/>
    </w:p>
    <w:p w:rsidR="00E644EC" w:rsidRDefault="00E644EC" w:rsidP="00E644EC">
      <w:r>
        <w:t xml:space="preserve">Approximately 33% of broader sector revenue, and 67% of First Nations broadcasting sector revenue, is from grants. Of all CBP applicants in 2022-23, </w:t>
      </w:r>
      <w:r w:rsidRPr="007C5AAA">
        <w:t>77</w:t>
      </w:r>
      <w:r>
        <w:t>%</w:t>
      </w:r>
      <w:r w:rsidRPr="007C5AAA">
        <w:t xml:space="preserve"> view </w:t>
      </w:r>
      <w:r>
        <w:t>grants</w:t>
      </w:r>
      <w:r w:rsidRPr="007C5AAA">
        <w:t xml:space="preserve"> as very important to </w:t>
      </w:r>
      <w:r>
        <w:t xml:space="preserve">ongoing service viability. </w:t>
      </w:r>
    </w:p>
    <w:p w:rsidR="00E644EC" w:rsidRPr="00BD52C7" w:rsidRDefault="00E644EC" w:rsidP="00E644EC">
      <w:r>
        <w:t xml:space="preserve">The </w:t>
      </w:r>
      <w:r w:rsidRPr="00EF790E">
        <w:t xml:space="preserve">CBF </w:t>
      </w:r>
      <w:r>
        <w:t>reported</w:t>
      </w:r>
      <w:r w:rsidRPr="00EF790E">
        <w:t xml:space="preserve"> a</w:t>
      </w:r>
      <w:r>
        <w:t xml:space="preserve"> 37% </w:t>
      </w:r>
      <w:r w:rsidRPr="00EF790E">
        <w:t>increase in grant applications</w:t>
      </w:r>
      <w:r>
        <w:t xml:space="preserve"> in 2024, particularly</w:t>
      </w:r>
      <w:r w:rsidRPr="00EF790E">
        <w:t xml:space="preserve"> </w:t>
      </w:r>
      <w:r>
        <w:t>for</w:t>
      </w:r>
      <w:r w:rsidRPr="00EF790E">
        <w:t xml:space="preserve"> local news and journalism</w:t>
      </w:r>
      <w:r>
        <w:t xml:space="preserve"> in </w:t>
      </w:r>
      <w:r w:rsidRPr="00376FA6">
        <w:t xml:space="preserve">regional and underserved </w:t>
      </w:r>
      <w:r>
        <w:t xml:space="preserve">areas, and the First Nations Community Broadcasting Fund. </w:t>
      </w:r>
    </w:p>
    <w:p w:rsidR="00E644EC" w:rsidRDefault="00E644EC" w:rsidP="00E644EC">
      <w:pPr>
        <w:pStyle w:val="Heading3"/>
      </w:pPr>
      <w:bookmarkStart w:id="26" w:name="_Toc169789855"/>
      <w:r>
        <w:t>The sector reports funding needs are unmet</w:t>
      </w:r>
      <w:bookmarkEnd w:id="26"/>
    </w:p>
    <w:p w:rsidR="00E644EC" w:rsidRDefault="00E644EC" w:rsidP="00E644EC">
      <w:r>
        <w:t xml:space="preserve">The CBF reports that $9.5 million in funding requests have not been met each year since 2017. The sector reports not applying for grants due to time and skills required, or perceived ineligibility due to higher revenue. </w:t>
      </w:r>
    </w:p>
    <w:p w:rsidR="00E644EC" w:rsidRDefault="00E644EC" w:rsidP="00E644EC">
      <w:r w:rsidRPr="00704420">
        <w:t xml:space="preserve">The Community Broadcasting Association of Australia (CBAA) </w:t>
      </w:r>
      <w:r>
        <w:t xml:space="preserve">has identified there </w:t>
      </w:r>
      <w:r w:rsidRPr="00704420">
        <w:t>is</w:t>
      </w:r>
      <w:r>
        <w:t xml:space="preserve"> </w:t>
      </w:r>
      <w:r w:rsidRPr="00704420">
        <w:t xml:space="preserve">an opportunity </w:t>
      </w:r>
      <w:r>
        <w:t>for</w:t>
      </w:r>
      <w:r w:rsidRPr="00704420">
        <w:t xml:space="preserve"> multi-year grants</w:t>
      </w:r>
      <w:r>
        <w:t xml:space="preserve"> through the CBP, which would allow services to work towards longer-term </w:t>
      </w:r>
      <w:r w:rsidR="00F841AF">
        <w:t xml:space="preserve">and </w:t>
      </w:r>
      <w:r>
        <w:t xml:space="preserve">strategic outcomes. </w:t>
      </w:r>
    </w:p>
    <w:p w:rsidR="00E644EC" w:rsidRDefault="00E644EC" w:rsidP="00E644EC">
      <w:r>
        <w:t xml:space="preserve">The CBAA also </w:t>
      </w:r>
      <w:r w:rsidRPr="00704420">
        <w:t>requested a</w:t>
      </w:r>
      <w:r>
        <w:t xml:space="preserve"> 100%</w:t>
      </w:r>
      <w:r w:rsidRPr="00704420">
        <w:t xml:space="preserve"> increase in </w:t>
      </w:r>
      <w:r>
        <w:t xml:space="preserve">current </w:t>
      </w:r>
      <w:r w:rsidRPr="00704420">
        <w:t>funding</w:t>
      </w:r>
      <w:r>
        <w:t>, with a portion targeted at priority outcomes under Roadmap 2033.</w:t>
      </w:r>
      <w:r w:rsidRPr="00704420">
        <w:t xml:space="preserve"> </w:t>
      </w:r>
    </w:p>
    <w:p w:rsidR="00E644EC" w:rsidRDefault="00E644EC" w:rsidP="00E644EC">
      <w:pPr>
        <w:pStyle w:val="Heading3"/>
      </w:pPr>
      <w:bookmarkStart w:id="27" w:name="_Toc169789856"/>
      <w:r>
        <w:t>The sector has called for an outcomes framework</w:t>
      </w:r>
      <w:bookmarkEnd w:id="27"/>
    </w:p>
    <w:p w:rsidR="00E644EC" w:rsidRPr="00927A53" w:rsidRDefault="00E644EC" w:rsidP="00E644EC">
      <w:r w:rsidRPr="00902682">
        <w:rPr>
          <w:rFonts w:eastAsia="Times New Roman" w:cs="Calibri"/>
          <w:lang w:eastAsia="en-AU"/>
        </w:rPr>
        <w:t xml:space="preserve">Since 2017, the CBF has been </w:t>
      </w:r>
      <w:r>
        <w:rPr>
          <w:rFonts w:eastAsia="Times New Roman" w:cs="Calibri"/>
          <w:lang w:eastAsia="en-AU"/>
        </w:rPr>
        <w:t xml:space="preserve">using </w:t>
      </w:r>
      <w:r w:rsidRPr="00902682">
        <w:rPr>
          <w:rFonts w:eastAsia="Times New Roman" w:cs="Calibri"/>
          <w:lang w:eastAsia="en-AU"/>
        </w:rPr>
        <w:t>an outcomes-based funding model</w:t>
      </w:r>
      <w:r>
        <w:rPr>
          <w:rFonts w:eastAsia="Times New Roman" w:cs="Calibri"/>
          <w:lang w:eastAsia="en-AU"/>
        </w:rPr>
        <w:t xml:space="preserve"> to support services to achieve</w:t>
      </w:r>
      <w:r w:rsidRPr="003B7233">
        <w:rPr>
          <w:rFonts w:eastAsia="Times New Roman" w:cs="Calibri"/>
          <w:lang w:eastAsia="en-AU"/>
        </w:rPr>
        <w:t xml:space="preserve"> greater long-term impact</w:t>
      </w:r>
      <w:r>
        <w:rPr>
          <w:rFonts w:eastAsia="Times New Roman" w:cs="Calibri"/>
          <w:lang w:eastAsia="en-AU"/>
        </w:rPr>
        <w:t>s. However, Ph</w:t>
      </w:r>
      <w:r w:rsidRPr="00902682">
        <w:rPr>
          <w:rFonts w:eastAsia="Times New Roman" w:cs="Calibri"/>
          <w:lang w:eastAsia="en-AU"/>
        </w:rPr>
        <w:t xml:space="preserve">ase 1 identified </w:t>
      </w:r>
      <w:r>
        <w:rPr>
          <w:rFonts w:eastAsia="Times New Roman" w:cs="Calibri"/>
          <w:lang w:eastAsia="en-AU"/>
        </w:rPr>
        <w:t>a</w:t>
      </w:r>
      <w:r w:rsidRPr="00902682">
        <w:rPr>
          <w:rFonts w:eastAsia="Times New Roman" w:cs="Calibri"/>
          <w:lang w:eastAsia="en-AU"/>
        </w:rPr>
        <w:t xml:space="preserve"> lack of outcomes data and limited ability to </w:t>
      </w:r>
      <w:r>
        <w:rPr>
          <w:rFonts w:eastAsia="Times New Roman" w:cs="Calibri"/>
          <w:lang w:eastAsia="en-AU"/>
        </w:rPr>
        <w:t>evaluate objectives.</w:t>
      </w:r>
      <w:r w:rsidRPr="00902682">
        <w:rPr>
          <w:rFonts w:eastAsia="Times New Roman" w:cs="Calibri"/>
          <w:lang w:eastAsia="en-AU"/>
        </w:rPr>
        <w:t xml:space="preserve"> A shared outcomes framework </w:t>
      </w:r>
      <w:r>
        <w:rPr>
          <w:rFonts w:eastAsia="Times New Roman" w:cs="Calibri"/>
          <w:lang w:eastAsia="en-AU"/>
        </w:rPr>
        <w:t xml:space="preserve">could </w:t>
      </w:r>
      <w:r w:rsidRPr="00902682">
        <w:rPr>
          <w:rFonts w:eastAsia="Times New Roman" w:cs="Calibri"/>
          <w:lang w:eastAsia="en-AU"/>
        </w:rPr>
        <w:t>enable</w:t>
      </w:r>
      <w:r>
        <w:rPr>
          <w:rFonts w:eastAsia="Times New Roman" w:cs="Calibri"/>
          <w:lang w:eastAsia="en-AU"/>
        </w:rPr>
        <w:t xml:space="preserve"> </w:t>
      </w:r>
      <w:r w:rsidRPr="00902682">
        <w:rPr>
          <w:lang w:eastAsia="en-AU"/>
        </w:rPr>
        <w:t>better data collection</w:t>
      </w:r>
      <w:r>
        <w:rPr>
          <w:lang w:eastAsia="en-AU"/>
        </w:rPr>
        <w:t xml:space="preserve"> and</w:t>
      </w:r>
      <w:r w:rsidRPr="00902682">
        <w:rPr>
          <w:lang w:eastAsia="en-AU"/>
        </w:rPr>
        <w:t xml:space="preserve"> impact measurement</w:t>
      </w:r>
      <w:r>
        <w:rPr>
          <w:lang w:eastAsia="en-AU"/>
        </w:rPr>
        <w:t xml:space="preserve"> to show if and how the sector are achieving its goals.</w:t>
      </w:r>
    </w:p>
    <w:p w:rsidR="00E644EC" w:rsidRDefault="00E644EC" w:rsidP="00E644EC">
      <w:pPr>
        <w:rPr>
          <w:rFonts w:eastAsia="Times New Roman" w:cs="Calibri"/>
          <w:lang w:eastAsia="en-AU"/>
        </w:rPr>
      </w:pPr>
      <w:r>
        <w:rPr>
          <w:rFonts w:eastAsia="Times New Roman" w:cs="Calibri"/>
          <w:lang w:eastAsia="en-AU"/>
        </w:rPr>
        <w:t>It also allows the department and CBF to:</w:t>
      </w:r>
    </w:p>
    <w:p w:rsidR="00E644EC" w:rsidRDefault="00E644EC" w:rsidP="00E644EC">
      <w:pPr>
        <w:pStyle w:val="Listparagraphbullets"/>
      </w:pPr>
      <w:r>
        <w:t>measure</w:t>
      </w:r>
      <w:r w:rsidRPr="003D1BA0">
        <w:t xml:space="preserve"> the impact of grants</w:t>
      </w:r>
    </w:p>
    <w:p w:rsidR="00E644EC" w:rsidRDefault="00E644EC" w:rsidP="00E644EC">
      <w:pPr>
        <w:pStyle w:val="Listparagraphbullets"/>
      </w:pPr>
      <w:r>
        <w:t>support continuous improvement</w:t>
      </w:r>
    </w:p>
    <w:p w:rsidR="00E644EC" w:rsidRDefault="00E644EC" w:rsidP="00E644EC">
      <w:pPr>
        <w:pStyle w:val="Listparagraphbullets"/>
      </w:pPr>
      <w:r>
        <w:t xml:space="preserve">support the sector to address strategic, business planning and governance issues, </w:t>
      </w:r>
      <w:r w:rsidRPr="003D1BA0">
        <w:t xml:space="preserve">and </w:t>
      </w:r>
    </w:p>
    <w:p w:rsidR="00E644EC" w:rsidRDefault="00E644EC" w:rsidP="00E644EC">
      <w:pPr>
        <w:pStyle w:val="Listparagraphbullets"/>
      </w:pPr>
      <w:r w:rsidRPr="003D1BA0">
        <w:t xml:space="preserve">make </w:t>
      </w:r>
      <w:r>
        <w:t>data-driven</w:t>
      </w:r>
      <w:r w:rsidRPr="003D1BA0">
        <w:t xml:space="preserve"> </w:t>
      </w:r>
      <w:r>
        <w:t>funding decisions that contribute to the sustainability of the sector.</w:t>
      </w:r>
    </w:p>
    <w:p w:rsidR="00E644EC" w:rsidRDefault="00E644EC" w:rsidP="00F841AF">
      <w:pPr>
        <w:pStyle w:val="Heading3"/>
      </w:pPr>
      <w:bookmarkStart w:id="28" w:name="_Toc169789857"/>
      <w:r>
        <w:t>Consortium and partnership models present an opportunity</w:t>
      </w:r>
      <w:bookmarkEnd w:id="28"/>
    </w:p>
    <w:p w:rsidR="00E644EC" w:rsidRPr="00BD52C7" w:rsidRDefault="00E644EC" w:rsidP="00E644EC">
      <w:r w:rsidRPr="00E35E97">
        <w:t>Consortium and partnership model</w:t>
      </w:r>
      <w:r>
        <w:t xml:space="preserve">s, where 2 </w:t>
      </w:r>
      <w:r w:rsidRPr="00E35E97">
        <w:t xml:space="preserve">or more </w:t>
      </w:r>
      <w:r>
        <w:t>organisations</w:t>
      </w:r>
      <w:r w:rsidRPr="00E35E97">
        <w:t xml:space="preserve"> work</w:t>
      </w:r>
      <w:r>
        <w:t xml:space="preserve"> together on shared goals and/or are co-located, have been identified as a key enabler of sector sustainability. This will allow the sector to pool</w:t>
      </w:r>
      <w:r w:rsidRPr="00E35E97">
        <w:t xml:space="preserve"> their resources</w:t>
      </w:r>
      <w:r>
        <w:t xml:space="preserve"> and share risk, </w:t>
      </w:r>
      <w:r w:rsidRPr="00E35E97">
        <w:t xml:space="preserve">but not change the ownership </w:t>
      </w:r>
      <w:r>
        <w:t>or governance of services</w:t>
      </w:r>
      <w:r w:rsidRPr="00E35E97">
        <w:t>.</w:t>
      </w:r>
      <w:r>
        <w:t xml:space="preserve"> Partnerships may focus on</w:t>
      </w:r>
      <w:r w:rsidRPr="00E35E97">
        <w:t xml:space="preserve"> sharing</w:t>
      </w:r>
      <w:r>
        <w:t xml:space="preserve"> premises,</w:t>
      </w:r>
      <w:r w:rsidRPr="00E35E97">
        <w:t xml:space="preserve"> </w:t>
      </w:r>
      <w:r>
        <w:t>in</w:t>
      </w:r>
      <w:r w:rsidRPr="00E35E97">
        <w:t>frastructure</w:t>
      </w:r>
      <w:r>
        <w:t xml:space="preserve">, </w:t>
      </w:r>
      <w:r w:rsidRPr="00E35E97">
        <w:t>news provision</w:t>
      </w:r>
      <w:r>
        <w:t>, f</w:t>
      </w:r>
      <w:r w:rsidRPr="00E35E97">
        <w:t>undraising activities</w:t>
      </w:r>
      <w:r>
        <w:t xml:space="preserve"> or</w:t>
      </w:r>
      <w:r w:rsidRPr="00E35E97">
        <w:t xml:space="preserve"> grant</w:t>
      </w:r>
      <w:r>
        <w:t xml:space="preserve"> </w:t>
      </w:r>
      <w:r w:rsidRPr="00E35E97">
        <w:t>applications.</w:t>
      </w:r>
    </w:p>
    <w:p w:rsidR="00E644EC" w:rsidRPr="00C83F93" w:rsidRDefault="00E644EC" w:rsidP="0001705C">
      <w:pPr>
        <w:pStyle w:val="Box2Heading"/>
        <w:keepNext/>
        <w:shd w:val="clear" w:color="auto" w:fill="F2F6E8"/>
        <w:rPr>
          <w:lang w:val="en-AU"/>
        </w:rPr>
      </w:pPr>
      <w:r w:rsidRPr="00C83F93">
        <w:rPr>
          <w:lang w:val="en-AU"/>
        </w:rPr>
        <w:t>Questions</w:t>
      </w:r>
    </w:p>
    <w:p w:rsidR="00E644EC" w:rsidRDefault="00E644EC" w:rsidP="0001705C">
      <w:pPr>
        <w:pStyle w:val="Box2Bullet1"/>
        <w:keepNext/>
        <w:shd w:val="clear" w:color="auto" w:fill="F2F6E8"/>
        <w:ind w:left="567" w:hanging="283"/>
      </w:pPr>
      <w:r w:rsidRPr="007F3542">
        <w:t xml:space="preserve">What </w:t>
      </w:r>
      <w:r>
        <w:t>should the</w:t>
      </w:r>
      <w:r w:rsidRPr="007F3542">
        <w:t xml:space="preserve"> funding </w:t>
      </w:r>
      <w:r w:rsidRPr="000B5723">
        <w:t>priorities</w:t>
      </w:r>
      <w:r w:rsidRPr="007F3542">
        <w:t xml:space="preserve"> </w:t>
      </w:r>
      <w:r>
        <w:t>and granting streams be for the CBP from 2025 onwards</w:t>
      </w:r>
      <w:r w:rsidRPr="007F3542">
        <w:t>?</w:t>
      </w:r>
      <w:r>
        <w:t xml:space="preserve"> </w:t>
      </w:r>
    </w:p>
    <w:p w:rsidR="00E644EC" w:rsidRDefault="00E644EC" w:rsidP="0001705C">
      <w:pPr>
        <w:pStyle w:val="Box2Bullet1"/>
        <w:keepNext/>
        <w:shd w:val="clear" w:color="auto" w:fill="F2F6E8"/>
        <w:ind w:left="567" w:hanging="283"/>
      </w:pPr>
      <w:r>
        <w:t>What are the advantages and/or disadvantages of:</w:t>
      </w:r>
    </w:p>
    <w:p w:rsidR="00E644EC" w:rsidRPr="00E66842" w:rsidRDefault="008864AA" w:rsidP="0001705C">
      <w:pPr>
        <w:pStyle w:val="Box2Checklist"/>
        <w:keepNext/>
        <w:numPr>
          <w:ilvl w:val="0"/>
          <w:numId w:val="0"/>
        </w:numPr>
        <w:shd w:val="clear" w:color="auto" w:fill="F2F6E8"/>
        <w:spacing w:before="60" w:after="60"/>
        <w:ind w:left="284"/>
        <w:rPr>
          <w:sz w:val="22"/>
          <w:szCs w:val="22"/>
        </w:rPr>
      </w:pPr>
      <w:r w:rsidRPr="00190A0C">
        <w:rPr>
          <w:rFonts w:eastAsia="Calibri" w:cs="Mangal"/>
        </w:rPr>
        <w:tab/>
      </w:r>
      <w:r w:rsidRPr="00190A0C">
        <w:rPr>
          <w:rFonts w:eastAsia="Calibri" w:cs="Mangal"/>
        </w:rPr>
        <w:sym w:font="Symbol" w:char="F0B7"/>
      </w:r>
      <w:r w:rsidRPr="00190A0C">
        <w:rPr>
          <w:rFonts w:eastAsia="Calibri" w:cs="Mangal"/>
        </w:rPr>
        <w:tab/>
      </w:r>
      <w:r w:rsidR="00E644EC" w:rsidRPr="00E66842">
        <w:rPr>
          <w:sz w:val="22"/>
          <w:szCs w:val="22"/>
        </w:rPr>
        <w:t>the 3 grants streams under the CBP?</w:t>
      </w:r>
    </w:p>
    <w:p w:rsidR="00E644EC" w:rsidRPr="00E66842" w:rsidRDefault="008864AA" w:rsidP="0001705C">
      <w:pPr>
        <w:pStyle w:val="Box2Checklist"/>
        <w:keepNext/>
        <w:numPr>
          <w:ilvl w:val="0"/>
          <w:numId w:val="0"/>
        </w:numPr>
        <w:shd w:val="clear" w:color="auto" w:fill="F2F6E8"/>
        <w:spacing w:before="60" w:after="60"/>
        <w:ind w:left="284"/>
        <w:rPr>
          <w:sz w:val="22"/>
          <w:szCs w:val="22"/>
        </w:rPr>
      </w:pPr>
      <w:r w:rsidRPr="00190A0C">
        <w:rPr>
          <w:rFonts w:eastAsia="Calibri" w:cs="Mangal"/>
        </w:rPr>
        <w:tab/>
      </w:r>
      <w:r w:rsidRPr="00190A0C">
        <w:rPr>
          <w:rFonts w:eastAsia="Calibri" w:cs="Mangal"/>
        </w:rPr>
        <w:sym w:font="Symbol" w:char="F0B7"/>
      </w:r>
      <w:r w:rsidRPr="00190A0C">
        <w:rPr>
          <w:rFonts w:eastAsia="Calibri" w:cs="Mangal"/>
        </w:rPr>
        <w:tab/>
      </w:r>
      <w:r w:rsidR="00E644EC">
        <w:rPr>
          <w:sz w:val="22"/>
          <w:szCs w:val="22"/>
          <w:lang w:val="en-US"/>
        </w:rPr>
        <w:t xml:space="preserve">single-organisation and single year grants versus </w:t>
      </w:r>
      <w:r w:rsidR="00E644EC" w:rsidRPr="00E66842">
        <w:rPr>
          <w:sz w:val="22"/>
          <w:szCs w:val="22"/>
        </w:rPr>
        <w:t>multi-organisation</w:t>
      </w:r>
      <w:r w:rsidR="00E644EC">
        <w:rPr>
          <w:sz w:val="22"/>
          <w:szCs w:val="22"/>
          <w:lang w:val="en-US"/>
        </w:rPr>
        <w:t xml:space="preserve"> and</w:t>
      </w:r>
      <w:r w:rsidR="00E644EC" w:rsidRPr="00E66842">
        <w:rPr>
          <w:sz w:val="22"/>
          <w:szCs w:val="22"/>
        </w:rPr>
        <w:t xml:space="preserve"> multi-year grants?</w:t>
      </w:r>
    </w:p>
    <w:p w:rsidR="00E644EC" w:rsidRDefault="008864AA" w:rsidP="0001705C">
      <w:pPr>
        <w:pStyle w:val="Box2Checklist"/>
        <w:keepNext/>
        <w:numPr>
          <w:ilvl w:val="0"/>
          <w:numId w:val="0"/>
        </w:numPr>
        <w:shd w:val="clear" w:color="auto" w:fill="F2F6E8"/>
        <w:spacing w:before="60" w:after="60"/>
        <w:ind w:left="567" w:hanging="283"/>
        <w:rPr>
          <w:sz w:val="22"/>
          <w:szCs w:val="22"/>
        </w:rPr>
      </w:pPr>
      <w:r w:rsidRPr="00190A0C">
        <w:rPr>
          <w:rFonts w:eastAsia="Calibri" w:cs="Mangal"/>
        </w:rPr>
        <w:tab/>
      </w:r>
      <w:r w:rsidRPr="00190A0C">
        <w:rPr>
          <w:rFonts w:eastAsia="Calibri" w:cs="Mangal"/>
        </w:rPr>
        <w:sym w:font="Symbol" w:char="F0B7"/>
      </w:r>
      <w:r w:rsidRPr="00190A0C">
        <w:rPr>
          <w:rFonts w:eastAsia="Calibri" w:cs="Mangal"/>
        </w:rPr>
        <w:tab/>
      </w:r>
      <w:r w:rsidR="00E644EC" w:rsidRPr="00E66842">
        <w:rPr>
          <w:sz w:val="22"/>
          <w:szCs w:val="22"/>
        </w:rPr>
        <w:t>the consortium model, co-location, sharing infrastructure and network content?</w:t>
      </w:r>
    </w:p>
    <w:p w:rsidR="00E644EC" w:rsidRDefault="008864AA" w:rsidP="00E644EC">
      <w:pPr>
        <w:pStyle w:val="Box2Checklist"/>
        <w:numPr>
          <w:ilvl w:val="0"/>
          <w:numId w:val="0"/>
        </w:numPr>
        <w:shd w:val="clear" w:color="auto" w:fill="F2F6E8"/>
        <w:spacing w:before="60" w:after="60"/>
        <w:ind w:left="567" w:hanging="283"/>
        <w:rPr>
          <w:sz w:val="22"/>
          <w:szCs w:val="22"/>
        </w:rPr>
      </w:pPr>
      <w:r w:rsidRPr="00190A0C">
        <w:rPr>
          <w:rFonts w:eastAsia="Calibri" w:cs="Mangal"/>
        </w:rPr>
        <w:tab/>
      </w:r>
      <w:r w:rsidRPr="00190A0C">
        <w:rPr>
          <w:rFonts w:eastAsia="Calibri" w:cs="Mangal"/>
        </w:rPr>
        <w:sym w:font="Symbol" w:char="F0B7"/>
      </w:r>
      <w:r w:rsidRPr="00190A0C">
        <w:rPr>
          <w:rFonts w:eastAsia="Calibri" w:cs="Mangal"/>
        </w:rPr>
        <w:tab/>
      </w:r>
      <w:r w:rsidR="00E644EC">
        <w:rPr>
          <w:sz w:val="22"/>
          <w:szCs w:val="22"/>
          <w:lang w:val="en-US"/>
        </w:rPr>
        <w:t>sector-coordinated initiatives to assist with governance, strategic and business planning</w:t>
      </w:r>
      <w:r w:rsidR="00E644EC" w:rsidRPr="00E66842">
        <w:rPr>
          <w:sz w:val="22"/>
          <w:szCs w:val="22"/>
        </w:rPr>
        <w:t>?</w:t>
      </w:r>
    </w:p>
    <w:p w:rsidR="00E644EC" w:rsidRDefault="00E644EC" w:rsidP="00E644EC">
      <w:pPr>
        <w:pStyle w:val="Box2Bullet1"/>
        <w:shd w:val="clear" w:color="auto" w:fill="F2F6E8"/>
        <w:ind w:left="567" w:hanging="283"/>
      </w:pPr>
      <w:r>
        <w:t>Which quantitative and/or qualitative outcomes should the framework consider?</w:t>
      </w:r>
    </w:p>
    <w:p w:rsidR="00E644EC" w:rsidRPr="00135A8A" w:rsidRDefault="00E644EC" w:rsidP="00E644EC">
      <w:pPr>
        <w:pStyle w:val="Box2Bullet1"/>
        <w:shd w:val="clear" w:color="auto" w:fill="F2F6E8"/>
        <w:ind w:left="567" w:hanging="283"/>
      </w:pPr>
      <w:r>
        <w:t>How can services be supported to collect and report on data?</w:t>
      </w:r>
    </w:p>
    <w:p w:rsidR="00E644EC" w:rsidRDefault="00E644EC" w:rsidP="00E644EC">
      <w:pPr>
        <w:pStyle w:val="Heading2"/>
      </w:pPr>
      <w:bookmarkStart w:id="29" w:name="_Toc169789858"/>
      <w:r>
        <w:lastRenderedPageBreak/>
        <w:t>Priority area 2: Legislative and regulatory issues</w:t>
      </w:r>
      <w:bookmarkEnd w:id="29"/>
    </w:p>
    <w:p w:rsidR="00E644EC" w:rsidRPr="007B6939" w:rsidRDefault="00E644EC" w:rsidP="00E644EC">
      <w:pPr>
        <w:pStyle w:val="Heading3"/>
      </w:pPr>
      <w:bookmarkStart w:id="30" w:name="_Toc169789859"/>
      <w:r>
        <w:t xml:space="preserve">The sector reports that restrictions </w:t>
      </w:r>
      <w:r w:rsidRPr="007B6939">
        <w:t>limit revenue</w:t>
      </w:r>
      <w:r>
        <w:t xml:space="preserve"> opportunities</w:t>
      </w:r>
      <w:bookmarkEnd w:id="30"/>
    </w:p>
    <w:p w:rsidR="00E644EC" w:rsidRDefault="00E644EC" w:rsidP="00E644EC">
      <w:pPr>
        <w:spacing w:after="120"/>
        <w:rPr>
          <w:rFonts w:cstheme="minorHAnsi"/>
        </w:rPr>
      </w:pPr>
      <w:r w:rsidRPr="007B6939">
        <w:rPr>
          <w:rFonts w:cstheme="minorHAnsi"/>
        </w:rPr>
        <w:t xml:space="preserve">Community </w:t>
      </w:r>
      <w:r>
        <w:rPr>
          <w:rFonts w:cstheme="minorHAnsi"/>
        </w:rPr>
        <w:t>broadcasters</w:t>
      </w:r>
      <w:r w:rsidRPr="007B6939">
        <w:rPr>
          <w:rFonts w:cstheme="minorHAnsi"/>
        </w:rPr>
        <w:t xml:space="preserve"> are prohibited from carrying any advertising, but are permitted to promote sponsors. The BSA currently limits sponsorship content to 5 minutes in any hour of radio broadcasting and 7 minutes in any hour of television broadcasting.</w:t>
      </w:r>
    </w:p>
    <w:p w:rsidR="00E644EC" w:rsidRPr="007B6939" w:rsidRDefault="00E644EC" w:rsidP="00E644EC">
      <w:pPr>
        <w:spacing w:after="120"/>
        <w:rPr>
          <w:rFonts w:cstheme="minorHAnsi"/>
        </w:rPr>
      </w:pPr>
      <w:r w:rsidRPr="007B6939">
        <w:rPr>
          <w:rFonts w:cstheme="minorHAnsi"/>
        </w:rPr>
        <w:t>The sector receives 33% of their revenue from sponsorship, and report that increasing the sponsorship limits under the BSA would increase sponsorship opportunities</w:t>
      </w:r>
      <w:r>
        <w:rPr>
          <w:rFonts w:cstheme="minorHAnsi"/>
        </w:rPr>
        <w:t xml:space="preserve">. </w:t>
      </w:r>
      <w:r w:rsidRPr="00C83F93">
        <w:t>The First Nations sector also has limited opportunities to generate revenue through</w:t>
      </w:r>
      <w:r>
        <w:t xml:space="preserve"> membership,</w:t>
      </w:r>
      <w:r w:rsidRPr="00C83F93">
        <w:t xml:space="preserve"> fundraising and sponsorship</w:t>
      </w:r>
      <w:r>
        <w:t>;</w:t>
      </w:r>
      <w:r w:rsidRPr="00C83F93">
        <w:t xml:space="preserve"> particularly in remote areas.</w:t>
      </w:r>
    </w:p>
    <w:p w:rsidR="00E644EC" w:rsidRDefault="00E644EC" w:rsidP="00E644EC">
      <w:pPr>
        <w:pStyle w:val="Heading3"/>
      </w:pPr>
      <w:bookmarkStart w:id="31" w:name="_Toc169789860"/>
      <w:r>
        <w:t>Community participation is a challenge</w:t>
      </w:r>
      <w:bookmarkEnd w:id="31"/>
    </w:p>
    <w:p w:rsidR="00E644EC" w:rsidRDefault="00E644EC" w:rsidP="00E644EC">
      <w:r w:rsidRPr="000B5723">
        <w:t xml:space="preserve">The sector relies on a 93% volunteer workforce. Not all stations have the same access to resources, with metropolitan </w:t>
      </w:r>
      <w:r>
        <w:t xml:space="preserve">services </w:t>
      </w:r>
      <w:r w:rsidRPr="000B5723">
        <w:t>attracting more volunteers, sponsorship and members than their non-metropolitan counterparts. However, volunteering declined during the COVID-19 pandemic and has not rebounded</w:t>
      </w:r>
      <w:r>
        <w:t>.</w:t>
      </w:r>
      <w:r w:rsidRPr="000B5723">
        <w:t xml:space="preserve"> </w:t>
      </w:r>
    </w:p>
    <w:p w:rsidR="00E644EC" w:rsidRDefault="00E644EC" w:rsidP="00E644EC">
      <w:pPr>
        <w:keepNext/>
        <w:autoSpaceDE w:val="0"/>
        <w:autoSpaceDN w:val="0"/>
        <w:adjustRightInd w:val="0"/>
        <w:spacing w:after="120"/>
        <w:rPr>
          <w:rFonts w:cstheme="minorHAnsi"/>
        </w:rPr>
      </w:pPr>
      <w:r w:rsidRPr="007B6939">
        <w:rPr>
          <w:rFonts w:cstheme="minorHAnsi"/>
        </w:rPr>
        <w:t xml:space="preserve">Another challenge is growing the membership or subscriber base. High listenership does not always translate to paying members or subscribers, with only 6% of revenue coming from </w:t>
      </w:r>
      <w:r>
        <w:rPr>
          <w:rFonts w:cstheme="minorHAnsi"/>
        </w:rPr>
        <w:t>membership</w:t>
      </w:r>
      <w:r w:rsidRPr="007B6939">
        <w:rPr>
          <w:rFonts w:cstheme="minorHAnsi"/>
        </w:rPr>
        <w:t xml:space="preserve"> fees.</w:t>
      </w:r>
      <w:r>
        <w:rPr>
          <w:rFonts w:cstheme="minorHAnsi"/>
        </w:rPr>
        <w:t xml:space="preserve"> </w:t>
      </w:r>
      <w:r w:rsidRPr="0064756F">
        <w:rPr>
          <w:rFonts w:cstheme="minorHAnsi"/>
        </w:rPr>
        <w:t>Community television stations do not</w:t>
      </w:r>
      <w:r>
        <w:rPr>
          <w:rFonts w:cstheme="minorHAnsi"/>
        </w:rPr>
        <w:t xml:space="preserve"> have</w:t>
      </w:r>
      <w:r w:rsidRPr="0064756F">
        <w:rPr>
          <w:rFonts w:cstheme="minorHAnsi"/>
        </w:rPr>
        <w:t xml:space="preserve"> a membership base that they can call upon for support</w:t>
      </w:r>
      <w:r>
        <w:rPr>
          <w:rFonts w:cstheme="minorHAnsi"/>
        </w:rPr>
        <w:t>.</w:t>
      </w:r>
    </w:p>
    <w:p w:rsidR="00E644EC" w:rsidRDefault="00E644EC" w:rsidP="00E644EC">
      <w:pPr>
        <w:keepNext/>
        <w:autoSpaceDE w:val="0"/>
        <w:autoSpaceDN w:val="0"/>
        <w:adjustRightInd w:val="0"/>
        <w:spacing w:after="120"/>
        <w:rPr>
          <w:rFonts w:cstheme="minorHAnsi"/>
        </w:rPr>
      </w:pPr>
      <w:r>
        <w:rPr>
          <w:rFonts w:cstheme="minorHAnsi"/>
        </w:rPr>
        <w:t>It is</w:t>
      </w:r>
      <w:r w:rsidRPr="00C83F93">
        <w:rPr>
          <w:rFonts w:cstheme="minorHAnsi"/>
        </w:rPr>
        <w:t xml:space="preserve"> difficult </w:t>
      </w:r>
      <w:r>
        <w:rPr>
          <w:rFonts w:cstheme="minorHAnsi"/>
        </w:rPr>
        <w:t>for</w:t>
      </w:r>
      <w:r w:rsidRPr="00C83F93">
        <w:rPr>
          <w:rFonts w:cstheme="minorHAnsi"/>
        </w:rPr>
        <w:t xml:space="preserve"> First Nations broadcasters </w:t>
      </w:r>
      <w:r>
        <w:rPr>
          <w:rFonts w:cstheme="minorHAnsi"/>
        </w:rPr>
        <w:t>to meet</w:t>
      </w:r>
      <w:r w:rsidRPr="00C83F93">
        <w:rPr>
          <w:rFonts w:cstheme="minorHAnsi"/>
        </w:rPr>
        <w:t xml:space="preserve"> the current participation obligation under the </w:t>
      </w:r>
      <w:r>
        <w:rPr>
          <w:rFonts w:cstheme="minorHAnsi"/>
        </w:rPr>
        <w:t>BSA using volunteers</w:t>
      </w:r>
      <w:r w:rsidRPr="00C83F93">
        <w:rPr>
          <w:rFonts w:cstheme="minorHAnsi"/>
        </w:rPr>
        <w:t xml:space="preserve">, as there is an emphasis </w:t>
      </w:r>
      <w:r>
        <w:rPr>
          <w:rFonts w:cstheme="minorHAnsi"/>
        </w:rPr>
        <w:t>on paid staff to support Closing the Gap measures.</w:t>
      </w:r>
    </w:p>
    <w:p w:rsidR="00E644EC" w:rsidRDefault="00E644EC" w:rsidP="00E644EC">
      <w:pPr>
        <w:pStyle w:val="Heading3"/>
      </w:pPr>
      <w:bookmarkStart w:id="32" w:name="_Toc169789861"/>
      <w:r>
        <w:t>A volunteer workforce is not a sustainable workforce</w:t>
      </w:r>
      <w:bookmarkEnd w:id="32"/>
    </w:p>
    <w:p w:rsidR="00E644EC" w:rsidRDefault="00E644EC" w:rsidP="00E644EC">
      <w:r>
        <w:t xml:space="preserve">Further, volunteer models are not a sustainable option for those seeking paid employment. Services commonly report high turnover of volunteers, being unable to offer paid work, and losing staff to other sectors that can offer pay or higher pay. This is often after the service has invested in the developing the capabilities of its staff and volunteers, with no longer-term return on investment. </w:t>
      </w:r>
    </w:p>
    <w:p w:rsidR="00E644EC" w:rsidRDefault="00E644EC" w:rsidP="00E644EC">
      <w:pPr>
        <w:spacing w:after="240"/>
      </w:pPr>
      <w:r>
        <w:t>Across the sector, 50% of services overall and 70% of services in regional, rural and remote areas report a need for training. In turn, this increases</w:t>
      </w:r>
      <w:r w:rsidRPr="00D854A5">
        <w:rPr>
          <w:rFonts w:cstheme="minorHAnsi"/>
        </w:rPr>
        <w:t xml:space="preserve"> pressure on and reduce</w:t>
      </w:r>
      <w:r>
        <w:rPr>
          <w:rFonts w:cstheme="minorHAnsi"/>
        </w:rPr>
        <w:t xml:space="preserve">s </w:t>
      </w:r>
      <w:r w:rsidRPr="00D854A5">
        <w:rPr>
          <w:rFonts w:cstheme="minorHAnsi"/>
        </w:rPr>
        <w:t>the capacity of paid staff</w:t>
      </w:r>
      <w:r>
        <w:rPr>
          <w:rFonts w:cstheme="minorHAnsi"/>
        </w:rPr>
        <w:t xml:space="preserve">; particularly in </w:t>
      </w:r>
      <w:r w:rsidRPr="000B5723">
        <w:t xml:space="preserve">regional, rural and remote </w:t>
      </w:r>
      <w:r>
        <w:t xml:space="preserve">areas. As a result, these services are </w:t>
      </w:r>
      <w:r w:rsidRPr="000B5723">
        <w:t xml:space="preserve">more likely to </w:t>
      </w:r>
      <w:r>
        <w:t>rely on</w:t>
      </w:r>
      <w:r w:rsidRPr="000B5723">
        <w:t xml:space="preserve"> core operational </w:t>
      </w:r>
      <w:r>
        <w:t>grants under the CBP.</w:t>
      </w:r>
    </w:p>
    <w:p w:rsidR="00E644EC" w:rsidRPr="00C83F93" w:rsidRDefault="00E644EC" w:rsidP="0001705C">
      <w:pPr>
        <w:pStyle w:val="Box2Heading"/>
        <w:keepNext/>
        <w:shd w:val="clear" w:color="auto" w:fill="F2F6E8"/>
        <w:rPr>
          <w:lang w:val="en-AU"/>
        </w:rPr>
      </w:pPr>
      <w:r w:rsidRPr="00C83F93">
        <w:rPr>
          <w:lang w:val="en-AU"/>
        </w:rPr>
        <w:t>Questions</w:t>
      </w:r>
    </w:p>
    <w:p w:rsidR="00E644EC" w:rsidRDefault="00E644EC" w:rsidP="00E644EC">
      <w:pPr>
        <w:pStyle w:val="Box2Bullet1"/>
        <w:shd w:val="clear" w:color="auto" w:fill="F2F6E8"/>
        <w:ind w:left="567" w:hanging="283"/>
      </w:pPr>
      <w:r>
        <w:t>What are the impacts of current licensing conditions on your organisation’s sustainability?</w:t>
      </w:r>
    </w:p>
    <w:p w:rsidR="00E644EC" w:rsidRDefault="00E644EC" w:rsidP="00E644EC">
      <w:pPr>
        <w:pStyle w:val="Box2Bullet1"/>
        <w:shd w:val="clear" w:color="auto" w:fill="F2F6E8"/>
        <w:ind w:left="567" w:hanging="283"/>
      </w:pPr>
      <w:r w:rsidRPr="000F1E9F">
        <w:t>What are the advantages and/or disadvantages of</w:t>
      </w:r>
      <w:r>
        <w:t>:</w:t>
      </w:r>
    </w:p>
    <w:p w:rsidR="00E644EC" w:rsidRDefault="008864AA" w:rsidP="00E644EC">
      <w:pPr>
        <w:pStyle w:val="Box2Bullet1"/>
        <w:numPr>
          <w:ilvl w:val="0"/>
          <w:numId w:val="0"/>
        </w:numPr>
        <w:shd w:val="clear" w:color="auto" w:fill="F2F6E8"/>
        <w:ind w:left="284"/>
      </w:pPr>
      <w:r w:rsidRPr="00190A0C">
        <w:rPr>
          <w:rFonts w:eastAsia="Calibri" w:cs="Mangal"/>
        </w:rPr>
        <w:tab/>
      </w:r>
      <w:r w:rsidRPr="00190A0C">
        <w:rPr>
          <w:rFonts w:eastAsia="Calibri" w:cs="Mangal"/>
        </w:rPr>
        <w:sym w:font="Symbol" w:char="F0B7"/>
      </w:r>
      <w:r w:rsidRPr="00190A0C">
        <w:rPr>
          <w:rFonts w:eastAsia="Calibri" w:cs="Mangal"/>
        </w:rPr>
        <w:tab/>
      </w:r>
      <w:r w:rsidR="00E644EC" w:rsidRPr="000F1E9F">
        <w:t xml:space="preserve">introducing </w:t>
      </w:r>
      <w:r w:rsidR="00E644EC">
        <w:t>c</w:t>
      </w:r>
      <w:r w:rsidR="00E644EC" w:rsidRPr="000F1E9F">
        <w:t>ommunity participation</w:t>
      </w:r>
      <w:r w:rsidR="00E644EC">
        <w:t xml:space="preserve"> tiers</w:t>
      </w:r>
      <w:r w:rsidR="00E644EC" w:rsidRPr="000F1E9F">
        <w:t xml:space="preserve"> for remote, rural, regional and metropolitan services?</w:t>
      </w:r>
    </w:p>
    <w:p w:rsidR="00E644EC" w:rsidRDefault="008864AA" w:rsidP="00E644EC">
      <w:pPr>
        <w:pStyle w:val="Box2Bullet1"/>
        <w:numPr>
          <w:ilvl w:val="0"/>
          <w:numId w:val="0"/>
        </w:numPr>
        <w:shd w:val="clear" w:color="auto" w:fill="F2F6E8"/>
        <w:ind w:left="284"/>
      </w:pPr>
      <w:r w:rsidRPr="00190A0C">
        <w:rPr>
          <w:rFonts w:eastAsia="Calibri" w:cs="Mangal"/>
        </w:rPr>
        <w:tab/>
      </w:r>
      <w:r w:rsidRPr="00190A0C">
        <w:rPr>
          <w:rFonts w:eastAsia="Calibri" w:cs="Mangal"/>
        </w:rPr>
        <w:sym w:font="Symbol" w:char="F0B7"/>
      </w:r>
      <w:r w:rsidRPr="00190A0C">
        <w:rPr>
          <w:rFonts w:eastAsia="Calibri" w:cs="Mangal"/>
        </w:rPr>
        <w:tab/>
      </w:r>
      <w:r w:rsidR="00E644EC">
        <w:t>including social media reach and listener data as part of community participation?</w:t>
      </w:r>
    </w:p>
    <w:p w:rsidR="00E644EC" w:rsidRDefault="008864AA" w:rsidP="00E644EC">
      <w:pPr>
        <w:pStyle w:val="Box2Bullet1"/>
        <w:numPr>
          <w:ilvl w:val="0"/>
          <w:numId w:val="0"/>
        </w:numPr>
        <w:shd w:val="clear" w:color="auto" w:fill="F2F6E8"/>
        <w:ind w:left="284"/>
      </w:pPr>
      <w:r w:rsidRPr="00190A0C">
        <w:rPr>
          <w:rFonts w:eastAsia="Calibri" w:cs="Mangal"/>
        </w:rPr>
        <w:tab/>
      </w:r>
      <w:r w:rsidRPr="00190A0C">
        <w:rPr>
          <w:rFonts w:eastAsia="Calibri" w:cs="Mangal"/>
        </w:rPr>
        <w:sym w:font="Symbol" w:char="F0B7"/>
      </w:r>
      <w:r w:rsidRPr="00190A0C">
        <w:rPr>
          <w:rFonts w:eastAsia="Calibri" w:cs="Mangal"/>
        </w:rPr>
        <w:tab/>
      </w:r>
      <w:r w:rsidR="00E644EC">
        <w:t xml:space="preserve">introducing fixed-term programs to train and retain paid staff in the sector? </w:t>
      </w:r>
    </w:p>
    <w:p w:rsidR="00E644EC" w:rsidRDefault="008864AA" w:rsidP="00E644EC">
      <w:pPr>
        <w:pStyle w:val="Box2Bullet1"/>
        <w:numPr>
          <w:ilvl w:val="0"/>
          <w:numId w:val="0"/>
        </w:numPr>
        <w:shd w:val="clear" w:color="auto" w:fill="F2F6E8"/>
        <w:ind w:left="284"/>
      </w:pPr>
      <w:r w:rsidRPr="00190A0C">
        <w:rPr>
          <w:rFonts w:eastAsia="Calibri" w:cs="Mangal"/>
        </w:rPr>
        <w:tab/>
      </w:r>
      <w:r w:rsidRPr="00190A0C">
        <w:rPr>
          <w:rFonts w:eastAsia="Calibri" w:cs="Mangal"/>
        </w:rPr>
        <w:sym w:font="Symbol" w:char="F0B7"/>
      </w:r>
      <w:r w:rsidRPr="00190A0C">
        <w:rPr>
          <w:rFonts w:eastAsia="Calibri" w:cs="Mangal"/>
        </w:rPr>
        <w:tab/>
      </w:r>
      <w:r w:rsidR="00E644EC">
        <w:t>the current sponsorship limit and/or process?</w:t>
      </w:r>
    </w:p>
    <w:p w:rsidR="00E644EC" w:rsidRPr="00C83F93" w:rsidRDefault="00E644EC" w:rsidP="00E644EC">
      <w:pPr>
        <w:pStyle w:val="Heading2"/>
      </w:pPr>
      <w:bookmarkStart w:id="33" w:name="_Toc169789862"/>
      <w:r w:rsidRPr="00C83F93">
        <w:lastRenderedPageBreak/>
        <w:t xml:space="preserve">Priority area </w:t>
      </w:r>
      <w:r>
        <w:t>3</w:t>
      </w:r>
      <w:r w:rsidRPr="00C83F93">
        <w:t xml:space="preserve">: First Nations </w:t>
      </w:r>
      <w:r>
        <w:t>funding and licensing</w:t>
      </w:r>
      <w:bookmarkEnd w:id="33"/>
      <w:r>
        <w:t xml:space="preserve"> </w:t>
      </w:r>
    </w:p>
    <w:p w:rsidR="00E644EC" w:rsidRPr="00C83F93" w:rsidRDefault="00E644EC" w:rsidP="00E644EC">
      <w:pPr>
        <w:pStyle w:val="Heading3"/>
      </w:pPr>
      <w:bookmarkStart w:id="34" w:name="_Toc169789863"/>
      <w:r w:rsidRPr="00C83F93">
        <w:t>Renewing a Vital Indigenous Voice and Community Asset</w:t>
      </w:r>
      <w:bookmarkEnd w:id="34"/>
      <w:r w:rsidRPr="00C83F93">
        <w:t xml:space="preserve"> </w:t>
      </w:r>
    </w:p>
    <w:p w:rsidR="00E644EC" w:rsidRPr="00C83F93" w:rsidRDefault="00E644EC" w:rsidP="00E644EC">
      <w:r>
        <w:t>T</w:t>
      </w:r>
      <w:r w:rsidRPr="00C83F93">
        <w:t xml:space="preserve">he </w:t>
      </w:r>
      <w:r>
        <w:t>NIAA</w:t>
      </w:r>
      <w:r w:rsidRPr="00C83F93">
        <w:t xml:space="preserve">-commissioned Hugh Watson report </w:t>
      </w:r>
      <w:r>
        <w:t xml:space="preserve">2021, </w:t>
      </w:r>
      <w:r>
        <w:rPr>
          <w:i/>
        </w:rPr>
        <w:t>Renewing a Vital Indigenous Voice and Community Asset</w:t>
      </w:r>
      <w:r>
        <w:t xml:space="preserve">, </w:t>
      </w:r>
      <w:r w:rsidRPr="00C83F93">
        <w:t>found that</w:t>
      </w:r>
      <w:r>
        <w:t xml:space="preserve"> sector capacity </w:t>
      </w:r>
      <w:r w:rsidRPr="00C83F93">
        <w:t>to meet community and government expectations is limited. This is due to</w:t>
      </w:r>
      <w:r>
        <w:t xml:space="preserve"> </w:t>
      </w:r>
      <w:r w:rsidRPr="00C83F93">
        <w:t>no real funding increase in a decade</w:t>
      </w:r>
      <w:r>
        <w:t xml:space="preserve"> and </w:t>
      </w:r>
      <w:r w:rsidRPr="005D02A9">
        <w:t>revenue constrained by ACMA regulations</w:t>
      </w:r>
      <w:r>
        <w:t xml:space="preserve">; </w:t>
      </w:r>
      <w:r w:rsidRPr="00C83F93">
        <w:t>ageing equipment and facilities impeding service delivery</w:t>
      </w:r>
      <w:r>
        <w:t xml:space="preserve">, and </w:t>
      </w:r>
      <w:r w:rsidRPr="00C83F93">
        <w:t>limited staff training and development opportunities available.</w:t>
      </w:r>
      <w:r w:rsidRPr="00C83F93">
        <w:rPr>
          <w:rStyle w:val="FootnoteReference"/>
        </w:rPr>
        <w:footnoteReference w:id="7"/>
      </w:r>
    </w:p>
    <w:p w:rsidR="00E644EC" w:rsidRPr="00C83F93" w:rsidRDefault="00E644EC" w:rsidP="00E644EC">
      <w:pPr>
        <w:pStyle w:val="Heading3"/>
      </w:pPr>
      <w:bookmarkStart w:id="35" w:name="_Toc169789864"/>
      <w:r w:rsidRPr="00C83F93">
        <w:t xml:space="preserve">The sector </w:t>
      </w:r>
      <w:r>
        <w:t>reports funding needs are unmet</w:t>
      </w:r>
      <w:bookmarkEnd w:id="35"/>
    </w:p>
    <w:p w:rsidR="00E644EC" w:rsidRDefault="00E644EC" w:rsidP="00E644EC">
      <w:r>
        <w:t>IBMP</w:t>
      </w:r>
      <w:r w:rsidRPr="00C83F93">
        <w:t xml:space="preserve"> funding has remained </w:t>
      </w:r>
      <w:r>
        <w:t>consistent</w:t>
      </w:r>
      <w:r w:rsidRPr="00C83F93">
        <w:t xml:space="preserve"> in the last 10 years</w:t>
      </w:r>
      <w:r>
        <w:t>, although indexation was introduced in Budget 2024-25</w:t>
      </w:r>
      <w:r w:rsidRPr="00C83F93">
        <w:t xml:space="preserve">. </w:t>
      </w:r>
      <w:r>
        <w:t xml:space="preserve">Successive reviews </w:t>
      </w:r>
      <w:r w:rsidRPr="00C83F93">
        <w:t xml:space="preserve">concluded that </w:t>
      </w:r>
      <w:r>
        <w:t>the IBMP</w:t>
      </w:r>
      <w:r w:rsidRPr="00C83F93">
        <w:t xml:space="preserve"> was substantially under-resourced.</w:t>
      </w:r>
      <w:r>
        <w:t xml:space="preserve"> </w:t>
      </w:r>
      <w:r w:rsidRPr="00C83F93">
        <w:t xml:space="preserve">The </w:t>
      </w:r>
      <w:r>
        <w:t xml:space="preserve">First Nations Community Broadcasting Fund under the CBP is indexed, however the </w:t>
      </w:r>
      <w:r w:rsidRPr="00C83F93">
        <w:t>CBF</w:t>
      </w:r>
      <w:r>
        <w:t xml:space="preserve"> reports </w:t>
      </w:r>
      <w:r w:rsidRPr="00C83F93">
        <w:t xml:space="preserve">that </w:t>
      </w:r>
      <w:r>
        <w:t xml:space="preserve">it </w:t>
      </w:r>
      <w:r w:rsidRPr="00C83F93">
        <w:t>is oversubscribed</w:t>
      </w:r>
      <w:r>
        <w:t>.</w:t>
      </w:r>
      <w:r w:rsidRPr="007F69F5">
        <w:t xml:space="preserve"> </w:t>
      </w:r>
    </w:p>
    <w:p w:rsidR="00E644EC" w:rsidRPr="00C83F93" w:rsidRDefault="00E644EC" w:rsidP="00E644EC">
      <w:r>
        <w:t>Services funded under the IBMP are not eligible to apply for core operations grants under the CBP. The First Nations sector commonly cites this as a barrier of the current funding model. A recommendation of Hugh Watson Report 2021 was that the Indigenous grants element of the CBP should be directed to First Nations sector-wide projects, rather than individual services.</w:t>
      </w:r>
    </w:p>
    <w:p w:rsidR="00E644EC" w:rsidRPr="00C83F93" w:rsidRDefault="00E644EC" w:rsidP="00E644EC">
      <w:pPr>
        <w:pStyle w:val="Heading3"/>
      </w:pPr>
      <w:bookmarkStart w:id="36" w:name="_Toc169789865"/>
      <w:r w:rsidRPr="00C83F93">
        <w:t>The sector wants funding to be brought under one department</w:t>
      </w:r>
      <w:bookmarkEnd w:id="36"/>
    </w:p>
    <w:p w:rsidR="00E644EC" w:rsidRPr="00C83F93" w:rsidRDefault="00E644EC" w:rsidP="00E644EC">
      <w:r>
        <w:t>Successive reviews into the First Nations broadcasting and media sector have called for consolidation of Commonwealth investment to maximise impact.</w:t>
      </w:r>
      <w:r>
        <w:rPr>
          <w:rStyle w:val="FootnoteReference"/>
        </w:rPr>
        <w:footnoteReference w:id="8"/>
      </w:r>
      <w:r>
        <w:t xml:space="preserve"> </w:t>
      </w:r>
      <w:r w:rsidRPr="00C83F93" w:rsidDel="00F1671B">
        <w:t xml:space="preserve"> </w:t>
      </w:r>
    </w:p>
    <w:p w:rsidR="00E644EC" w:rsidRDefault="00E644EC" w:rsidP="00E644EC">
      <w:pPr>
        <w:pStyle w:val="Heading3"/>
      </w:pPr>
      <w:bookmarkStart w:id="37" w:name="_Toc169789866"/>
      <w:r>
        <w:t>Calls for a First Nations entity to deliver IBMP grants</w:t>
      </w:r>
      <w:bookmarkEnd w:id="37"/>
    </w:p>
    <w:p w:rsidR="00E644EC" w:rsidRPr="00C83F93" w:rsidRDefault="00E644EC" w:rsidP="00E644EC">
      <w:r w:rsidRPr="00C83F93">
        <w:t>There ha</w:t>
      </w:r>
      <w:r>
        <w:t>ve</w:t>
      </w:r>
      <w:r w:rsidRPr="00C83F93">
        <w:t xml:space="preserve"> been calls to</w:t>
      </w:r>
      <w:r>
        <w:t xml:space="preserve"> work in partnership with </w:t>
      </w:r>
      <w:r w:rsidRPr="00C83F93">
        <w:t xml:space="preserve">the First Nations community-controlled sector to </w:t>
      </w:r>
      <w:r>
        <w:t>share decision-making, in line with Priority Reforms 1 and 2 under the National Agreement on Closing the Gap. The CBF is not a First Nations entity but has</w:t>
      </w:r>
      <w:r w:rsidRPr="00C83F93">
        <w:t xml:space="preserve"> 100% First Nations peer assessors on First Nations</w:t>
      </w:r>
      <w:r>
        <w:t xml:space="preserve"> </w:t>
      </w:r>
      <w:r w:rsidRPr="00C83F93">
        <w:t>applications.</w:t>
      </w:r>
      <w:r>
        <w:t xml:space="preserve"> </w:t>
      </w:r>
    </w:p>
    <w:p w:rsidR="00E644EC" w:rsidRPr="00C83F93" w:rsidRDefault="00E644EC" w:rsidP="00E644EC">
      <w:pPr>
        <w:pStyle w:val="Heading3"/>
      </w:pPr>
      <w:bookmarkStart w:id="38" w:name="_Toc169789867"/>
      <w:r w:rsidRPr="00C83F93">
        <w:t>The sector proposes a new licen</w:t>
      </w:r>
      <w:r>
        <w:t>c</w:t>
      </w:r>
      <w:r w:rsidRPr="00C83F93">
        <w:t>e category</w:t>
      </w:r>
      <w:bookmarkEnd w:id="38"/>
    </w:p>
    <w:p w:rsidR="00E644EC" w:rsidRDefault="00E644EC" w:rsidP="00E644EC">
      <w:pPr>
        <w:spacing w:after="240"/>
        <w:rPr>
          <w:rFonts w:cstheme="minorHAnsi"/>
        </w:rPr>
      </w:pPr>
      <w:r w:rsidRPr="00C83F93">
        <w:rPr>
          <w:rFonts w:cstheme="minorHAnsi"/>
        </w:rPr>
        <w:t>First Nations broadcasting services are generally licen</w:t>
      </w:r>
      <w:r>
        <w:rPr>
          <w:rFonts w:cstheme="minorHAnsi"/>
        </w:rPr>
        <w:t>c</w:t>
      </w:r>
      <w:r w:rsidRPr="00C83F93">
        <w:rPr>
          <w:rFonts w:cstheme="minorHAnsi"/>
        </w:rPr>
        <w:t>ed as community broadcasters under the</w:t>
      </w:r>
      <w:r w:rsidRPr="00C83F93">
        <w:rPr>
          <w:rFonts w:cstheme="minorHAnsi"/>
          <w:i/>
        </w:rPr>
        <w:t xml:space="preserve"> </w:t>
      </w:r>
      <w:r w:rsidRPr="00C83F93">
        <w:rPr>
          <w:rFonts w:cstheme="minorHAnsi"/>
        </w:rPr>
        <w:t>BSA.</w:t>
      </w:r>
      <w:r>
        <w:rPr>
          <w:rFonts w:cstheme="minorHAnsi"/>
        </w:rPr>
        <w:t xml:space="preserve"> S</w:t>
      </w:r>
      <w:r w:rsidRPr="00C83F93">
        <w:rPr>
          <w:rFonts w:cstheme="minorHAnsi"/>
        </w:rPr>
        <w:t>uccessive reviews since 2001 have recommended creating a separate licence for First Nations broadcasters</w:t>
      </w:r>
      <w:r>
        <w:rPr>
          <w:rFonts w:cstheme="minorHAnsi"/>
        </w:rPr>
        <w:t>.</w:t>
      </w:r>
      <w:r w:rsidRPr="00C83F93">
        <w:rPr>
          <w:rFonts w:cstheme="minorHAnsi"/>
        </w:rPr>
        <w:t xml:space="preserve"> </w:t>
      </w:r>
    </w:p>
    <w:p w:rsidR="00E644EC" w:rsidRPr="00C83F93" w:rsidRDefault="00E644EC" w:rsidP="00E644EC">
      <w:pPr>
        <w:pStyle w:val="Box2Heading"/>
        <w:keepNext/>
        <w:shd w:val="clear" w:color="auto" w:fill="F2F6E8"/>
        <w:rPr>
          <w:lang w:val="en-AU"/>
        </w:rPr>
      </w:pPr>
      <w:r w:rsidRPr="00C83F93">
        <w:rPr>
          <w:lang w:val="en-AU"/>
        </w:rPr>
        <w:t>Questions</w:t>
      </w:r>
    </w:p>
    <w:p w:rsidR="00E644EC" w:rsidRDefault="00E644EC" w:rsidP="00E644EC">
      <w:pPr>
        <w:pStyle w:val="Box2Bullet1"/>
        <w:shd w:val="clear" w:color="auto" w:fill="F2F6E8"/>
        <w:ind w:left="567" w:hanging="283"/>
      </w:pPr>
      <w:r>
        <w:t>What are the main funding, licensing and revenue challenges; and how might they be addressed?</w:t>
      </w:r>
    </w:p>
    <w:p w:rsidR="00E644EC" w:rsidRPr="00C47B1B" w:rsidRDefault="00E644EC" w:rsidP="00E644EC">
      <w:pPr>
        <w:pStyle w:val="Box2Bullet1"/>
        <w:shd w:val="clear" w:color="auto" w:fill="F2F6E8"/>
        <w:ind w:left="567" w:hanging="283"/>
      </w:pPr>
      <w:r w:rsidRPr="007F3542">
        <w:t xml:space="preserve">What </w:t>
      </w:r>
      <w:r>
        <w:t>should the</w:t>
      </w:r>
      <w:r w:rsidRPr="007F3542">
        <w:t xml:space="preserve"> funding </w:t>
      </w:r>
      <w:r w:rsidRPr="000B5723">
        <w:t>priorities</w:t>
      </w:r>
      <w:r w:rsidRPr="007F3542">
        <w:t xml:space="preserve"> </w:t>
      </w:r>
      <w:r>
        <w:t>be for the IBMP from 2025 onwards</w:t>
      </w:r>
      <w:r w:rsidRPr="007F3542">
        <w:t>?</w:t>
      </w:r>
      <w:r>
        <w:t xml:space="preserve"> </w:t>
      </w:r>
    </w:p>
    <w:p w:rsidR="00E644EC" w:rsidRDefault="00E644EC" w:rsidP="00E644EC">
      <w:pPr>
        <w:pStyle w:val="Box2Bullet1"/>
        <w:shd w:val="clear" w:color="auto" w:fill="F2F6E8"/>
        <w:ind w:left="567" w:hanging="283"/>
      </w:pPr>
      <w:r w:rsidRPr="00C83F93">
        <w:t xml:space="preserve">Which funding </w:t>
      </w:r>
      <w:r>
        <w:t>model and/o</w:t>
      </w:r>
      <w:r w:rsidRPr="00C83F93">
        <w:t>r grants structure would best support the First Nations sector?</w:t>
      </w:r>
    </w:p>
    <w:p w:rsidR="00E644EC" w:rsidRDefault="008864AA" w:rsidP="008864AA">
      <w:pPr>
        <w:pStyle w:val="Box2Bullet1"/>
        <w:numPr>
          <w:ilvl w:val="0"/>
          <w:numId w:val="0"/>
        </w:numPr>
        <w:shd w:val="clear" w:color="auto" w:fill="F2F6E8"/>
        <w:tabs>
          <w:tab w:val="left" w:pos="567"/>
        </w:tabs>
        <w:ind w:left="567" w:hanging="283"/>
      </w:pPr>
      <w:r w:rsidRPr="00190A0C">
        <w:rPr>
          <w:rFonts w:eastAsia="Calibri" w:cs="Mangal"/>
        </w:rPr>
        <w:tab/>
      </w:r>
      <w:r w:rsidRPr="00190A0C">
        <w:rPr>
          <w:rFonts w:eastAsia="Calibri" w:cs="Mangal"/>
        </w:rPr>
        <w:sym w:font="Symbol" w:char="F0B7"/>
      </w:r>
      <w:r w:rsidRPr="00190A0C">
        <w:rPr>
          <w:rFonts w:eastAsia="Calibri" w:cs="Mangal"/>
        </w:rPr>
        <w:tab/>
      </w:r>
      <w:r w:rsidR="00E644EC">
        <w:t>w</w:t>
      </w:r>
      <w:r w:rsidR="00E644EC" w:rsidRPr="005A6EE3">
        <w:t>hich Australian Government department could administer the IBMP?</w:t>
      </w:r>
    </w:p>
    <w:p w:rsidR="00E644EC" w:rsidRDefault="008864AA" w:rsidP="008864AA">
      <w:pPr>
        <w:pStyle w:val="Box2Bullet1"/>
        <w:numPr>
          <w:ilvl w:val="0"/>
          <w:numId w:val="0"/>
        </w:numPr>
        <w:shd w:val="clear" w:color="auto" w:fill="F2F6E8"/>
        <w:tabs>
          <w:tab w:val="left" w:pos="567"/>
        </w:tabs>
        <w:ind w:left="567" w:hanging="283"/>
      </w:pPr>
      <w:r w:rsidRPr="00190A0C">
        <w:rPr>
          <w:rFonts w:eastAsia="Calibri" w:cs="Mangal"/>
        </w:rPr>
        <w:tab/>
      </w:r>
      <w:r w:rsidRPr="00190A0C">
        <w:rPr>
          <w:rFonts w:eastAsia="Calibri" w:cs="Mangal"/>
        </w:rPr>
        <w:sym w:font="Symbol" w:char="F0B7"/>
      </w:r>
      <w:r w:rsidRPr="00190A0C">
        <w:rPr>
          <w:rFonts w:eastAsia="Calibri" w:cs="Mangal"/>
        </w:rPr>
        <w:tab/>
      </w:r>
      <w:r w:rsidR="00E644EC">
        <w:t xml:space="preserve">which </w:t>
      </w:r>
      <w:r w:rsidR="00E644EC" w:rsidRPr="005A6EE3">
        <w:t>organisation</w:t>
      </w:r>
      <w:r w:rsidR="00E644EC">
        <w:t xml:space="preserve"> could </w:t>
      </w:r>
      <w:r w:rsidR="00E644EC" w:rsidRPr="005A6EE3">
        <w:t xml:space="preserve">distribute/make decisions on First Nations </w:t>
      </w:r>
      <w:r w:rsidR="00E644EC">
        <w:t>funding?</w:t>
      </w:r>
    </w:p>
    <w:p w:rsidR="00E644EC" w:rsidRDefault="00E644EC" w:rsidP="00E644EC">
      <w:pPr>
        <w:pStyle w:val="Box2Bullet1"/>
        <w:shd w:val="clear" w:color="auto" w:fill="F2F6E8"/>
        <w:ind w:left="567" w:hanging="283"/>
      </w:pPr>
      <w:r w:rsidRPr="00C83F93">
        <w:t xml:space="preserve">What are the advantages and/or disadvantages </w:t>
      </w:r>
      <w:r>
        <w:t xml:space="preserve">of introducing a </w:t>
      </w:r>
      <w:r w:rsidRPr="00C83F93">
        <w:t>licen</w:t>
      </w:r>
      <w:r>
        <w:t>c</w:t>
      </w:r>
      <w:r w:rsidRPr="00C83F93">
        <w:t>e</w:t>
      </w:r>
      <w:r>
        <w:t xml:space="preserve"> type for</w:t>
      </w:r>
      <w:r w:rsidRPr="00BC226D">
        <w:t xml:space="preserve"> </w:t>
      </w:r>
      <w:r w:rsidRPr="00C83F93">
        <w:t>First Nations</w:t>
      </w:r>
      <w:r>
        <w:t xml:space="preserve"> broadcasters over the current licensing model?</w:t>
      </w:r>
    </w:p>
    <w:p w:rsidR="00BB3D46" w:rsidRDefault="008864AA" w:rsidP="00F841AF">
      <w:pPr>
        <w:pStyle w:val="Box2Bullet1"/>
        <w:numPr>
          <w:ilvl w:val="0"/>
          <w:numId w:val="0"/>
        </w:numPr>
        <w:shd w:val="clear" w:color="auto" w:fill="F2F6E8"/>
        <w:ind w:left="284"/>
      </w:pPr>
      <w:r w:rsidRPr="00190A0C">
        <w:rPr>
          <w:rFonts w:eastAsia="Calibri" w:cs="Mangal"/>
        </w:rPr>
        <w:tab/>
      </w:r>
      <w:r w:rsidRPr="00190A0C">
        <w:rPr>
          <w:rFonts w:eastAsia="Calibri" w:cs="Mangal"/>
        </w:rPr>
        <w:sym w:font="Symbol" w:char="F0B7"/>
      </w:r>
      <w:r w:rsidRPr="00190A0C">
        <w:rPr>
          <w:rFonts w:eastAsia="Calibri" w:cs="Mangal"/>
        </w:rPr>
        <w:tab/>
      </w:r>
      <w:r w:rsidR="00E644EC">
        <w:t>how would the First Nations licence differ from existing licence types?</w:t>
      </w:r>
      <w:bookmarkEnd w:id="24"/>
    </w:p>
    <w:sectPr w:rsidR="00BB3D46" w:rsidSect="00F841AF">
      <w:headerReference w:type="default" r:id="rId20"/>
      <w:headerReference w:type="first" r:id="rId21"/>
      <w:footerReference w:type="first" r:id="rId22"/>
      <w:pgSz w:w="11906" w:h="16838"/>
      <w:pgMar w:top="1276" w:right="992" w:bottom="993" w:left="992"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C6B" w:rsidRDefault="00BC3C6B" w:rsidP="00FC413F">
      <w:pPr>
        <w:spacing w:after="0"/>
      </w:pPr>
      <w:r>
        <w:separator/>
      </w:r>
    </w:p>
  </w:endnote>
  <w:endnote w:type="continuationSeparator" w:id="0">
    <w:p w:rsidR="00BC3C6B" w:rsidRDefault="00BC3C6B"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C6B" w:rsidRDefault="00BC3C6B"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BC3C6B" w:rsidRPr="00FC413F" w:rsidRDefault="00BC3C6B"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C6B" w:rsidRPr="00FC413F" w:rsidRDefault="00BC3C6B"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C6B" w:rsidRDefault="00BC3C6B"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859AC">
      <w:rPr>
        <w:rFonts w:cs="Segoe UI"/>
        <w:noProof/>
        <w:szCs w:val="18"/>
      </w:rPr>
      <w:t>Community broadcasting sector sustainability review</w:t>
    </w:r>
    <w:r>
      <w:rPr>
        <w:rFonts w:cs="Segoe UI"/>
        <w:noProof/>
        <w:szCs w:val="18"/>
      </w:rPr>
      <w:fldChar w:fldCharType="end"/>
    </w:r>
    <w:r>
      <w:rPr>
        <w:rFonts w:cs="Segoe UI"/>
        <w:noProof/>
        <w:szCs w:val="18"/>
      </w:rPr>
      <w:t>—discussion paper</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BC3C6B" w:rsidRPr="00FC413F" w:rsidRDefault="00BC3C6B"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C6B" w:rsidRDefault="00BC3C6B"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859AC">
      <w:rPr>
        <w:rFonts w:cs="Segoe UI"/>
        <w:noProof/>
        <w:szCs w:val="18"/>
      </w:rPr>
      <w:t>Community broadcasting sector sustainability review</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BC3C6B" w:rsidRPr="00FC413F" w:rsidRDefault="00BC3C6B"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C6B" w:rsidRDefault="00BC3C6B" w:rsidP="00FC413F">
      <w:pPr>
        <w:spacing w:after="0"/>
      </w:pPr>
      <w:r>
        <w:separator/>
      </w:r>
    </w:p>
  </w:footnote>
  <w:footnote w:type="continuationSeparator" w:id="0">
    <w:p w:rsidR="00BC3C6B" w:rsidRDefault="00BC3C6B" w:rsidP="00FC413F">
      <w:pPr>
        <w:spacing w:after="0"/>
      </w:pPr>
      <w:r>
        <w:continuationSeparator/>
      </w:r>
    </w:p>
  </w:footnote>
  <w:footnote w:id="1">
    <w:p w:rsidR="00BC3C6B" w:rsidRDefault="00BC3C6B" w:rsidP="00E644EC">
      <w:pPr>
        <w:pStyle w:val="FootnoteText"/>
      </w:pPr>
      <w:r>
        <w:rPr>
          <w:rStyle w:val="FootnoteReference"/>
        </w:rPr>
        <w:footnoteRef/>
      </w:r>
      <w:r>
        <w:t xml:space="preserve"> </w:t>
      </w:r>
      <w:hyperlink r:id="rId1" w:history="1">
        <w:r>
          <w:rPr>
            <w:rStyle w:val="Hyperlink"/>
          </w:rPr>
          <w:t>Media release: Albanese Government backs community broadcasting</w:t>
        </w:r>
      </w:hyperlink>
      <w:r>
        <w:t xml:space="preserve"> </w:t>
      </w:r>
    </w:p>
  </w:footnote>
  <w:footnote w:id="2">
    <w:p w:rsidR="00BC3C6B" w:rsidRPr="005912FC" w:rsidRDefault="00BC3C6B" w:rsidP="00E644EC">
      <w:pPr>
        <w:pStyle w:val="FootnoteText"/>
        <w:rPr>
          <w:lang w:val="en-US"/>
        </w:rPr>
      </w:pPr>
      <w:r>
        <w:rPr>
          <w:rStyle w:val="FootnoteReference"/>
        </w:rPr>
        <w:footnoteRef/>
      </w:r>
      <w:r>
        <w:t xml:space="preserve"> </w:t>
      </w:r>
      <w:hyperlink r:id="rId2" w:history="1">
        <w:r>
          <w:rPr>
            <w:rStyle w:val="Hyperlink"/>
          </w:rPr>
          <w:t>Evaluation of the Community Broadcasting Program: Final Report</w:t>
        </w:r>
      </w:hyperlink>
      <w:r>
        <w:t xml:space="preserve"> </w:t>
      </w:r>
    </w:p>
  </w:footnote>
  <w:footnote w:id="3">
    <w:p w:rsidR="00BC3C6B" w:rsidRDefault="00BC3C6B" w:rsidP="00E644EC">
      <w:pPr>
        <w:pStyle w:val="FootnoteText"/>
      </w:pPr>
      <w:r>
        <w:rPr>
          <w:rStyle w:val="FootnoteReference"/>
        </w:rPr>
        <w:footnoteRef/>
      </w:r>
      <w:r>
        <w:t xml:space="preserve"> </w:t>
      </w:r>
      <w:hyperlink r:id="rId3" w:history="1">
        <w:r w:rsidRPr="00FA0730">
          <w:rPr>
            <w:rStyle w:val="Hyperlink"/>
          </w:rPr>
          <w:t>infrastructure.gov.au/media-communications-arts/news-map</w:t>
        </w:r>
      </w:hyperlink>
      <w:r>
        <w:t xml:space="preserve"> </w:t>
      </w:r>
    </w:p>
  </w:footnote>
  <w:footnote w:id="4">
    <w:p w:rsidR="00BC3C6B" w:rsidRDefault="00BC3C6B" w:rsidP="00E644EC">
      <w:pPr>
        <w:pStyle w:val="FootnoteText"/>
      </w:pPr>
      <w:r>
        <w:rPr>
          <w:rStyle w:val="FootnoteReference"/>
        </w:rPr>
        <w:footnoteRef/>
      </w:r>
      <w:r>
        <w:t xml:space="preserve"> </w:t>
      </w:r>
      <w:hyperlink r:id="rId4" w:history="1">
        <w:r w:rsidRPr="00FA0730">
          <w:rPr>
            <w:rStyle w:val="Hyperlink"/>
          </w:rPr>
          <w:t>digitalinclusion.gov.au</w:t>
        </w:r>
      </w:hyperlink>
      <w:r>
        <w:t xml:space="preserve"> </w:t>
      </w:r>
    </w:p>
  </w:footnote>
  <w:footnote w:id="5">
    <w:p w:rsidR="00BC3C6B" w:rsidRPr="00927A53" w:rsidRDefault="00BC3C6B" w:rsidP="00E644EC">
      <w:pPr>
        <w:pStyle w:val="FootnoteText"/>
        <w:rPr>
          <w:lang w:val="en-US"/>
        </w:rPr>
      </w:pPr>
      <w:r>
        <w:rPr>
          <w:rStyle w:val="FootnoteReference"/>
        </w:rPr>
        <w:footnoteRef/>
      </w:r>
      <w:r>
        <w:t xml:space="preserve"> </w:t>
      </w:r>
      <w:hyperlink r:id="rId5" w:history="1">
        <w:r w:rsidRPr="00DD2F8C">
          <w:rPr>
            <w:rStyle w:val="Hyperlink"/>
            <w:i/>
            <w:lang w:val="en-US"/>
          </w:rPr>
          <w:t>Broadcasting Services Act 1992</w:t>
        </w:r>
        <w:r w:rsidRPr="00DD2F8C">
          <w:rPr>
            <w:rStyle w:val="Hyperlink"/>
            <w:lang w:val="en-US"/>
          </w:rPr>
          <w:t>, s 15</w:t>
        </w:r>
      </w:hyperlink>
      <w:r>
        <w:rPr>
          <w:lang w:val="en-US"/>
        </w:rPr>
        <w:t>.</w:t>
      </w:r>
    </w:p>
  </w:footnote>
  <w:footnote w:id="6">
    <w:p w:rsidR="00BC3C6B" w:rsidRPr="00742994" w:rsidRDefault="00BC3C6B" w:rsidP="00E644EC">
      <w:pPr>
        <w:pStyle w:val="FootnoteText"/>
        <w:rPr>
          <w:lang w:val="en-US"/>
        </w:rPr>
      </w:pPr>
      <w:r>
        <w:rPr>
          <w:rStyle w:val="FootnoteReference"/>
        </w:rPr>
        <w:footnoteRef/>
      </w:r>
      <w:r>
        <w:t xml:space="preserve"> </w:t>
      </w:r>
      <w:hyperlink r:id="rId6" w:history="1">
        <w:r w:rsidRPr="00DD2F8C">
          <w:rPr>
            <w:rStyle w:val="Hyperlink"/>
            <w:lang w:val="en-US"/>
          </w:rPr>
          <w:t>Roadmap 2033</w:t>
        </w:r>
      </w:hyperlink>
      <w:r>
        <w:rPr>
          <w:lang w:val="en-US"/>
        </w:rPr>
        <w:t>, 18.</w:t>
      </w:r>
    </w:p>
  </w:footnote>
  <w:footnote w:id="7">
    <w:p w:rsidR="00BC3C6B" w:rsidRPr="005752F4" w:rsidRDefault="00BC3C6B" w:rsidP="00E644EC">
      <w:pPr>
        <w:pStyle w:val="FootnoteText"/>
        <w:rPr>
          <w:lang w:val="en-US"/>
        </w:rPr>
      </w:pPr>
      <w:r>
        <w:rPr>
          <w:rStyle w:val="FootnoteReference"/>
        </w:rPr>
        <w:footnoteRef/>
      </w:r>
      <w:r>
        <w:t xml:space="preserve"> </w:t>
      </w:r>
      <w:hyperlink r:id="rId7" w:history="1">
        <w:r w:rsidRPr="00DD2F8C">
          <w:rPr>
            <w:rStyle w:val="Hyperlink"/>
            <w:i/>
          </w:rPr>
          <w:t>Renewing a Vital Indigenous Voice and Community Asset</w:t>
        </w:r>
      </w:hyperlink>
      <w:r w:rsidR="00F841AF">
        <w:rPr>
          <w:rStyle w:val="Hyperlink"/>
          <w:i/>
        </w:rPr>
        <w:t xml:space="preserve"> 2021</w:t>
      </w:r>
    </w:p>
  </w:footnote>
  <w:footnote w:id="8">
    <w:p w:rsidR="00BC3C6B" w:rsidRPr="00C86F45" w:rsidRDefault="00BC3C6B" w:rsidP="00E644EC">
      <w:pPr>
        <w:pStyle w:val="FootnoteText"/>
        <w:rPr>
          <w:lang w:val="en-US"/>
        </w:rPr>
      </w:pPr>
      <w:r>
        <w:rPr>
          <w:rStyle w:val="FootnoteReference"/>
        </w:rPr>
        <w:footnoteRef/>
      </w:r>
      <w:r>
        <w:t xml:space="preserve"> </w:t>
      </w:r>
      <w:hyperlink r:id="rId8" w:history="1">
        <w:r w:rsidRPr="00DD2F8C">
          <w:rPr>
            <w:rStyle w:val="Hyperlink"/>
            <w:i/>
          </w:rPr>
          <w:t>First Nations Digital Inclusion Advisory Group Initial Report 2023</w:t>
        </w:r>
      </w:hyperlink>
      <w:r>
        <w:t xml:space="preserve">; </w:t>
      </w:r>
      <w:hyperlink r:id="rId9" w:history="1">
        <w:r w:rsidRPr="00383874">
          <w:rPr>
            <w:rStyle w:val="Hyperlink"/>
            <w:i/>
          </w:rPr>
          <w:t>First Nations Media Australia Calls for Action</w:t>
        </w:r>
        <w:r w:rsidRPr="00DD2F8C">
          <w:rPr>
            <w:rStyle w:val="Hyperlink"/>
          </w:rPr>
          <w:t xml:space="preserve"> 2018</w:t>
        </w:r>
      </w:hyperlink>
      <w:r>
        <w:t xml:space="preserve">; </w:t>
      </w:r>
      <w:hyperlink r:id="rId10" w:history="1">
        <w:r w:rsidRPr="00383874">
          <w:rPr>
            <w:rStyle w:val="Hyperlink"/>
            <w:i/>
          </w:rPr>
          <w:t>Review of Australian Government Investment in the Indigenous Broadcasting and Media Sector</w:t>
        </w:r>
        <w:r w:rsidRPr="00383874">
          <w:rPr>
            <w:rStyle w:val="Hyperlink"/>
          </w:rPr>
          <w:t xml:space="preserve"> 2010</w:t>
        </w:r>
      </w:hyperlink>
      <w:r>
        <w:t xml:space="preserve">; </w:t>
      </w:r>
      <w:hyperlink r:id="rId11" w:history="1">
        <w:r w:rsidRPr="00383874">
          <w:rPr>
            <w:rStyle w:val="Hyperlink"/>
            <w:i/>
          </w:rPr>
          <w:t xml:space="preserve">Digital Dreaming: A National Review of Indigenous Media and Communications </w:t>
        </w:r>
        <w:r w:rsidRPr="00DD2F8C">
          <w:rPr>
            <w:rStyle w:val="Hyperlink"/>
          </w:rPr>
          <w:t>1999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C6B" w:rsidRPr="00D56936" w:rsidRDefault="00BC3C6B"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F859AC">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C6B" w:rsidRPr="00D56936" w:rsidRDefault="00BC3C6B" w:rsidP="00F841AF">
    <w:pPr>
      <w:pStyle w:val="Header"/>
      <w:tabs>
        <w:tab w:val="clear" w:pos="4678"/>
      </w:tabs>
      <w:spacing w:after="16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F859AC">
      <w:rPr>
        <w:rFonts w:cs="Segoe UI Light"/>
        <w:noProof/>
        <w:color w:val="001C40"/>
        <w:sz w:val="20"/>
        <w:szCs w:val="20"/>
      </w:rPr>
      <w:t>Priority area 3: First Nations funding and licensing</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C6B" w:rsidRPr="00D56936" w:rsidRDefault="00BC3C6B"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859AC">
      <w:rPr>
        <w:rFonts w:cs="Segoe UI Light"/>
        <w:noProof/>
        <w:color w:val="001C40"/>
        <w:sz w:val="20"/>
        <w:szCs w:val="20"/>
      </w:rPr>
      <w:t>Make your views known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47890"/>
    <w:multiLevelType w:val="hybridMultilevel"/>
    <w:tmpl w:val="E690C92E"/>
    <w:lvl w:ilvl="0" w:tplc="0C090001">
      <w:start w:val="1"/>
      <w:numFmt w:val="bullet"/>
      <w:lvlText w:val=""/>
      <w:lvlJc w:val="left"/>
      <w:pPr>
        <w:ind w:left="720" w:hanging="360"/>
      </w:pPr>
      <w:rPr>
        <w:rFonts w:ascii="Symbol" w:hAnsi="Symbol" w:hint="default"/>
      </w:rPr>
    </w:lvl>
    <w:lvl w:ilvl="1" w:tplc="2698D71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85209AD8"/>
    <w:styleLink w:val="Bullets"/>
    <w:lvl w:ilvl="0">
      <w:start w:val="1"/>
      <w:numFmt w:val="bullet"/>
      <w:pStyle w:val="Bullet1"/>
      <w:lvlText w:val="•"/>
      <w:lvlJc w:val="left"/>
      <w:pPr>
        <w:ind w:left="568" w:hanging="284"/>
      </w:pPr>
      <w:rPr>
        <w:rFonts w:ascii="Calibri" w:hAnsi="Calibri" w:hint="default"/>
        <w:color w:val="auto"/>
      </w:rPr>
    </w:lvl>
    <w:lvl w:ilvl="1">
      <w:start w:val="1"/>
      <w:numFmt w:val="bullet"/>
      <w:pStyle w:val="Bullet2"/>
      <w:lvlText w:val="–"/>
      <w:lvlJc w:val="left"/>
      <w:pPr>
        <w:ind w:left="852" w:hanging="284"/>
      </w:pPr>
      <w:rPr>
        <w:rFonts w:ascii="Calibri" w:hAnsi="Calibri" w:hint="default"/>
        <w:color w:val="auto"/>
      </w:rPr>
    </w:lvl>
    <w:lvl w:ilvl="2">
      <w:start w:val="1"/>
      <w:numFmt w:val="bullet"/>
      <w:pStyle w:val="Bullet3"/>
      <w:lvlText w:val="›"/>
      <w:lvlJc w:val="left"/>
      <w:pPr>
        <w:ind w:left="1136" w:hanging="284"/>
      </w:pPr>
      <w:rPr>
        <w:rFonts w:ascii="Calibri" w:hAnsi="Calibri" w:hint="default"/>
        <w:color w:val="auto"/>
      </w:rPr>
    </w:lvl>
    <w:lvl w:ilvl="3">
      <w:start w:val="1"/>
      <w:numFmt w:val="bullet"/>
      <w:lvlText w:val="▫"/>
      <w:lvlJc w:val="left"/>
      <w:pPr>
        <w:ind w:left="1420" w:hanging="284"/>
      </w:pPr>
      <w:rPr>
        <w:rFonts w:ascii="Calibri" w:hAnsi="Calibri" w:hint="default"/>
        <w:color w:val="auto"/>
      </w:rPr>
    </w:lvl>
    <w:lvl w:ilvl="4">
      <w:start w:val="1"/>
      <w:numFmt w:val="bullet"/>
      <w:lvlText w:val="—"/>
      <w:lvlJc w:val="left"/>
      <w:pPr>
        <w:ind w:left="1704" w:hanging="284"/>
      </w:pPr>
      <w:rPr>
        <w:rFonts w:ascii="Calibri" w:hAnsi="Calibri" w:hint="default"/>
        <w:color w:val="auto"/>
      </w:rPr>
    </w:lvl>
    <w:lvl w:ilvl="5">
      <w:start w:val="1"/>
      <w:numFmt w:val="bullet"/>
      <w:lvlText w:val="»"/>
      <w:lvlJc w:val="left"/>
      <w:pPr>
        <w:ind w:left="1988" w:hanging="284"/>
      </w:pPr>
      <w:rPr>
        <w:rFonts w:ascii="Calibri" w:hAnsi="Calibri" w:hint="default"/>
        <w:color w:val="auto"/>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E7485E"/>
    <w:multiLevelType w:val="multilevel"/>
    <w:tmpl w:val="A2F6690A"/>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6"/>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3"/>
  </w:num>
  <w:num w:numId="19">
    <w:abstractNumId w:val="15"/>
  </w:num>
  <w:num w:numId="20">
    <w:abstractNumId w:val="10"/>
  </w:num>
  <w:num w:numId="21">
    <w:abstractNumId w:val="14"/>
    <w:lvlOverride w:ilvl="0">
      <w:startOverride w:val="1"/>
    </w:lvlOverride>
  </w:num>
  <w:num w:numId="2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1705C"/>
    <w:rsid w:val="0003502E"/>
    <w:rsid w:val="000522EB"/>
    <w:rsid w:val="00072195"/>
    <w:rsid w:val="000740FB"/>
    <w:rsid w:val="00090E62"/>
    <w:rsid w:val="000B1E86"/>
    <w:rsid w:val="000C0244"/>
    <w:rsid w:val="000D4B3B"/>
    <w:rsid w:val="000D6FE4"/>
    <w:rsid w:val="000E29BE"/>
    <w:rsid w:val="00105DA4"/>
    <w:rsid w:val="00113A03"/>
    <w:rsid w:val="00133645"/>
    <w:rsid w:val="00133A45"/>
    <w:rsid w:val="00143894"/>
    <w:rsid w:val="00190A0C"/>
    <w:rsid w:val="001C52B2"/>
    <w:rsid w:val="001D583B"/>
    <w:rsid w:val="001E4471"/>
    <w:rsid w:val="001E7AC4"/>
    <w:rsid w:val="00204A64"/>
    <w:rsid w:val="00217C11"/>
    <w:rsid w:val="00236F1B"/>
    <w:rsid w:val="00261FFA"/>
    <w:rsid w:val="00272982"/>
    <w:rsid w:val="00287C7E"/>
    <w:rsid w:val="002A5AB5"/>
    <w:rsid w:val="002F1A23"/>
    <w:rsid w:val="00300077"/>
    <w:rsid w:val="00310148"/>
    <w:rsid w:val="00316B73"/>
    <w:rsid w:val="00323710"/>
    <w:rsid w:val="00324A2E"/>
    <w:rsid w:val="00342348"/>
    <w:rsid w:val="003508A8"/>
    <w:rsid w:val="00381BDA"/>
    <w:rsid w:val="003B4139"/>
    <w:rsid w:val="003B6D01"/>
    <w:rsid w:val="003C575A"/>
    <w:rsid w:val="003D71C5"/>
    <w:rsid w:val="003F3CB7"/>
    <w:rsid w:val="00416734"/>
    <w:rsid w:val="00436898"/>
    <w:rsid w:val="00445017"/>
    <w:rsid w:val="004729CA"/>
    <w:rsid w:val="00496F2D"/>
    <w:rsid w:val="004A3207"/>
    <w:rsid w:val="004B698F"/>
    <w:rsid w:val="004B6B6E"/>
    <w:rsid w:val="00521544"/>
    <w:rsid w:val="005413E7"/>
    <w:rsid w:val="005941FC"/>
    <w:rsid w:val="005A1881"/>
    <w:rsid w:val="005B52D6"/>
    <w:rsid w:val="005C0459"/>
    <w:rsid w:val="005C37D2"/>
    <w:rsid w:val="005D038B"/>
    <w:rsid w:val="005E55BD"/>
    <w:rsid w:val="005E7929"/>
    <w:rsid w:val="00610225"/>
    <w:rsid w:val="00630D43"/>
    <w:rsid w:val="006452B1"/>
    <w:rsid w:val="006542FA"/>
    <w:rsid w:val="00654F9E"/>
    <w:rsid w:val="00670726"/>
    <w:rsid w:val="00691FA2"/>
    <w:rsid w:val="006D43C7"/>
    <w:rsid w:val="006E139E"/>
    <w:rsid w:val="006E5952"/>
    <w:rsid w:val="00731351"/>
    <w:rsid w:val="007367BB"/>
    <w:rsid w:val="00744CD2"/>
    <w:rsid w:val="00772C27"/>
    <w:rsid w:val="00790F25"/>
    <w:rsid w:val="00793843"/>
    <w:rsid w:val="00796AB4"/>
    <w:rsid w:val="0079788A"/>
    <w:rsid w:val="007B68AB"/>
    <w:rsid w:val="00822DBF"/>
    <w:rsid w:val="008864AA"/>
    <w:rsid w:val="008A7B93"/>
    <w:rsid w:val="008B7158"/>
    <w:rsid w:val="008D4156"/>
    <w:rsid w:val="008E534F"/>
    <w:rsid w:val="008F24DE"/>
    <w:rsid w:val="00912D17"/>
    <w:rsid w:val="009276A3"/>
    <w:rsid w:val="009279AE"/>
    <w:rsid w:val="00935A30"/>
    <w:rsid w:val="00944067"/>
    <w:rsid w:val="00953CCD"/>
    <w:rsid w:val="00985DD5"/>
    <w:rsid w:val="009C1ECD"/>
    <w:rsid w:val="009E5B72"/>
    <w:rsid w:val="00A24200"/>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5995"/>
    <w:rsid w:val="00B76D03"/>
    <w:rsid w:val="00BB3D46"/>
    <w:rsid w:val="00BC0598"/>
    <w:rsid w:val="00BC3C6B"/>
    <w:rsid w:val="00BF5FA4"/>
    <w:rsid w:val="00C02452"/>
    <w:rsid w:val="00C32353"/>
    <w:rsid w:val="00C36E40"/>
    <w:rsid w:val="00C62177"/>
    <w:rsid w:val="00C76811"/>
    <w:rsid w:val="00C817A5"/>
    <w:rsid w:val="00CA5147"/>
    <w:rsid w:val="00CD0046"/>
    <w:rsid w:val="00D10954"/>
    <w:rsid w:val="00D36B96"/>
    <w:rsid w:val="00D47BFD"/>
    <w:rsid w:val="00D56936"/>
    <w:rsid w:val="00D64922"/>
    <w:rsid w:val="00D85DEB"/>
    <w:rsid w:val="00DC5DC8"/>
    <w:rsid w:val="00E644EC"/>
    <w:rsid w:val="00E7227D"/>
    <w:rsid w:val="00E76BC6"/>
    <w:rsid w:val="00E80E04"/>
    <w:rsid w:val="00EA415A"/>
    <w:rsid w:val="00ED761D"/>
    <w:rsid w:val="00EE6EE8"/>
    <w:rsid w:val="00EF5B98"/>
    <w:rsid w:val="00F41576"/>
    <w:rsid w:val="00F60041"/>
    <w:rsid w:val="00F61FA1"/>
    <w:rsid w:val="00F76F3D"/>
    <w:rsid w:val="00F814AD"/>
    <w:rsid w:val="00F841AF"/>
    <w:rsid w:val="00F859AC"/>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aliases w:val="ACMA Footnote Text,ABA Footnote Text"/>
    <w:basedOn w:val="Normal"/>
    <w:link w:val="FootnoteTextChar"/>
    <w:unhideWhenUsed/>
    <w:rsid w:val="00217C11"/>
    <w:pPr>
      <w:spacing w:after="0"/>
    </w:pPr>
    <w:rPr>
      <w:sz w:val="20"/>
      <w:szCs w:val="20"/>
    </w:rPr>
  </w:style>
  <w:style w:type="character" w:customStyle="1" w:styleId="FootnoteTextChar">
    <w:name w:val="Footnote Text Char"/>
    <w:aliases w:val="ACMA Footnote Text Char,ABA Footnote Text Char"/>
    <w:basedOn w:val="DefaultParagraphFont"/>
    <w:link w:val="FootnoteText"/>
    <w:rsid w:val="00217C11"/>
    <w:rPr>
      <w:rFonts w:ascii="Segoe UI" w:hAnsi="Segoe UI"/>
      <w:sz w:val="20"/>
      <w:szCs w:val="20"/>
    </w:rPr>
  </w:style>
  <w:style w:type="character" w:styleId="FootnoteReference">
    <w:name w:val="footnote reference"/>
    <w:basedOn w:val="DefaultParagraphFont"/>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E644EC"/>
    <w:pPr>
      <w:numPr>
        <w:numId w:val="18"/>
      </w:numPr>
      <w:suppressAutoHyphens/>
      <w:spacing w:before="60" w:after="60"/>
    </w:pPr>
    <w:rPr>
      <w:rFonts w:asciiTheme="minorHAnsi" w:hAnsiTheme="minorHAnsi"/>
      <w:color w:val="000000" w:themeColor="text1"/>
    </w:rPr>
  </w:style>
  <w:style w:type="paragraph" w:customStyle="1" w:styleId="Bullet2">
    <w:name w:val="Bullet 2"/>
    <w:basedOn w:val="Bullet1"/>
    <w:uiPriority w:val="3"/>
    <w:rsid w:val="00E644EC"/>
    <w:pPr>
      <w:numPr>
        <w:ilvl w:val="1"/>
      </w:numPr>
    </w:pPr>
  </w:style>
  <w:style w:type="paragraph" w:customStyle="1" w:styleId="Bullet3">
    <w:name w:val="Bullet 3"/>
    <w:basedOn w:val="Bullet2"/>
    <w:uiPriority w:val="3"/>
    <w:rsid w:val="00E644EC"/>
    <w:pPr>
      <w:numPr>
        <w:ilvl w:val="2"/>
      </w:numPr>
    </w:pPr>
  </w:style>
  <w:style w:type="paragraph" w:customStyle="1" w:styleId="Box1Bullet1">
    <w:name w:val="Box 1 Bullet 1"/>
    <w:basedOn w:val="Normal"/>
    <w:uiPriority w:val="24"/>
    <w:qFormat/>
    <w:rsid w:val="00E644EC"/>
    <w:pPr>
      <w:numPr>
        <w:numId w:val="19"/>
      </w:num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80" w:after="80"/>
      <w:ind w:right="284"/>
    </w:pPr>
    <w:rPr>
      <w:rFonts w:asciiTheme="minorHAnsi" w:hAnsiTheme="minorHAnsi"/>
      <w:color w:val="000000" w:themeColor="text1"/>
      <w:kern w:val="12"/>
      <w:sz w:val="20"/>
      <w:szCs w:val="20"/>
      <w:lang w:val="x-none"/>
    </w:rPr>
  </w:style>
  <w:style w:type="paragraph" w:customStyle="1" w:styleId="Box2Heading">
    <w:name w:val="Box 2 Heading"/>
    <w:basedOn w:val="Normal"/>
    <w:uiPriority w:val="24"/>
    <w:qFormat/>
    <w:rsid w:val="00E644EC"/>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4" w:right="284"/>
    </w:pPr>
    <w:rPr>
      <w:rFonts w:asciiTheme="minorHAnsi" w:hAnsiTheme="minorHAnsi"/>
      <w:b/>
      <w:color w:val="000000" w:themeColor="text1"/>
      <w:lang w:val="x-none"/>
    </w:rPr>
  </w:style>
  <w:style w:type="paragraph" w:customStyle="1" w:styleId="Box2Bullet1">
    <w:name w:val="Box 2 Bullet 1"/>
    <w:basedOn w:val="Normal"/>
    <w:uiPriority w:val="25"/>
    <w:qFormat/>
    <w:rsid w:val="008864AA"/>
    <w:pPr>
      <w:numPr>
        <w:ilvl w:val="1"/>
        <w:numId w:val="19"/>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60" w:after="60"/>
      <w:ind w:left="851" w:right="284" w:hanging="567"/>
    </w:pPr>
    <w:rPr>
      <w:rFonts w:asciiTheme="minorHAnsi" w:hAnsiTheme="minorHAnsi"/>
      <w:color w:val="000000" w:themeColor="text1"/>
      <w:kern w:val="12"/>
    </w:rPr>
  </w:style>
  <w:style w:type="numbering" w:customStyle="1" w:styleId="Bullets">
    <w:name w:val="Bullets"/>
    <w:uiPriority w:val="99"/>
    <w:rsid w:val="00E644EC"/>
    <w:pPr>
      <w:numPr>
        <w:numId w:val="18"/>
      </w:numPr>
    </w:pPr>
  </w:style>
  <w:style w:type="paragraph" w:customStyle="1" w:styleId="Box2Checklist">
    <w:name w:val="Box 2 Checklist"/>
    <w:basedOn w:val="Normal"/>
    <w:uiPriority w:val="26"/>
    <w:qFormat/>
    <w:rsid w:val="00E644EC"/>
    <w:pPr>
      <w:numPr>
        <w:ilvl w:val="2"/>
        <w:numId w:val="19"/>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right="284"/>
    </w:pPr>
    <w:rPr>
      <w:rFonts w:asciiTheme="minorHAnsi" w:hAnsiTheme="minorHAnsi"/>
      <w:color w:val="000000" w:themeColor="text1"/>
      <w:kern w:val="12"/>
      <w:sz w:val="20"/>
      <w:szCs w:val="20"/>
      <w:lang w:val="x-none"/>
    </w:rPr>
  </w:style>
  <w:style w:type="numbering" w:customStyle="1" w:styleId="BoxedBullets">
    <w:name w:val="Boxed Bullets"/>
    <w:uiPriority w:val="99"/>
    <w:rsid w:val="00E644E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 TargetMode="External"/><Relationship Id="rId18" Type="http://schemas.openxmlformats.org/officeDocument/2006/relationships/hyperlink" Target="https://www.infrastructure.gov.au/have-your-say/"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rts.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frastructure.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communitybroadcasting@infrastructure.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ublishing@communications.gov.au"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digitalinclusion.gov.au/sites/default/files/documents/first-nations-digital-inclusion-advisory-group-initial-report.pdf" TargetMode="External"/><Relationship Id="rId3" Type="http://schemas.openxmlformats.org/officeDocument/2006/relationships/hyperlink" Target="https://www.infrastructure.gov.au/media-communications-arts/news-map" TargetMode="External"/><Relationship Id="rId7" Type="http://schemas.openxmlformats.org/officeDocument/2006/relationships/hyperlink" Target="https://www.niaa.gov.au/sites/default/files/documents/publications/renewing-vital-indigenous-voice-community-asset.pdf" TargetMode="External"/><Relationship Id="rId2" Type="http://schemas.openxmlformats.org/officeDocument/2006/relationships/hyperlink" Target="https://www.infrastructure.gov.au/media-communications-arts/media-industry-programs/community-broadcasting-program" TargetMode="External"/><Relationship Id="rId1" Type="http://schemas.openxmlformats.org/officeDocument/2006/relationships/hyperlink" Target="https://minister.infrastructure.gov.au/rowland/media-release/albanese-government-backs-community-broadcasting" TargetMode="External"/><Relationship Id="rId6" Type="http://schemas.openxmlformats.org/officeDocument/2006/relationships/hyperlink" Target="https://www.roadmap2033.org.au/" TargetMode="External"/><Relationship Id="rId11" Type="http://schemas.openxmlformats.org/officeDocument/2006/relationships/hyperlink" Target="https://firstnationsmedia.org.au/sites/default/files/files/DigitalDreaming.pdf" TargetMode="External"/><Relationship Id="rId5" Type="http://schemas.openxmlformats.org/officeDocument/2006/relationships/hyperlink" Target="http://www8.austlii.edu.au/cgi-bin/viewdoc/au/legis/cth/consol_act/bsa1992214/s15.html" TargetMode="External"/><Relationship Id="rId10" Type="http://schemas.openxmlformats.org/officeDocument/2006/relationships/hyperlink" Target="https://firstnationsmedia.org.au/sites/default/files/files/Stevens-Review-2010-review-broadcasting-investment.pdf" TargetMode="External"/><Relationship Id="rId4" Type="http://schemas.openxmlformats.org/officeDocument/2006/relationships/hyperlink" Target="https://www.digitalinclusion.gov.au/" TargetMode="External"/><Relationship Id="rId9" Type="http://schemas.openxmlformats.org/officeDocument/2006/relationships/hyperlink" Target="https://firstnationsmedia.org.au/sites/default/files/files/2018%20Calls%20for%20Action/2.%20Operational%20Employment%20Funding-CFA-2018%20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2DD27-7DED-42D8-AE7A-6FA2B805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3384</Words>
  <Characters>19294</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Community broadcasting sector sustainability review—Discussion Paper—June 2024</vt:lpstr>
    </vt:vector>
  </TitlesOfParts>
  <Company>Department of Infrastructure, Transport, Regional Development, Communications and the Arts</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broadcasting sector sustainability review—Discussion Paper—June 2024</dc:title>
  <dc:subject/>
  <dc:creator>Department of Infrastructure, Transport, Regional Development, Communications and the Arts</dc:creator>
  <cp:keywords/>
  <dc:description>6 February 2024</dc:description>
  <cp:lastModifiedBy>Hall, Theresa</cp:lastModifiedBy>
  <cp:revision>2</cp:revision>
  <dcterms:created xsi:type="dcterms:W3CDTF">2024-06-20T06:52:00Z</dcterms:created>
  <dcterms:modified xsi:type="dcterms:W3CDTF">2024-06-20T06:52:00Z</dcterms:modified>
</cp:coreProperties>
</file>