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ED445" w14:textId="77777777" w:rsidR="00A527FF" w:rsidRDefault="00A527FF" w:rsidP="00753439">
      <w:pPr>
        <w:jc w:val="center"/>
      </w:pPr>
    </w:p>
    <w:p w14:paraId="05F01555" w14:textId="295A4AA8" w:rsidR="003765F8" w:rsidRPr="001D1F02" w:rsidRDefault="00256014" w:rsidP="00753439">
      <w:pPr>
        <w:jc w:val="center"/>
        <w:rPr>
          <w:b/>
          <w:bCs/>
        </w:rPr>
      </w:pPr>
      <w:r w:rsidRPr="001D1F02">
        <w:rPr>
          <w:b/>
          <w:bCs/>
        </w:rPr>
        <w:t xml:space="preserve">Submission in response to </w:t>
      </w:r>
      <w:r w:rsidR="00B572E8" w:rsidRPr="001D1F02">
        <w:rPr>
          <w:b/>
          <w:bCs/>
        </w:rPr>
        <w:t xml:space="preserve">Consultation Paper on </w:t>
      </w:r>
    </w:p>
    <w:p w14:paraId="72D83356" w14:textId="1F727B47" w:rsidR="007B2299" w:rsidRPr="001D1F02" w:rsidRDefault="001512E1" w:rsidP="00753439">
      <w:pPr>
        <w:jc w:val="center"/>
        <w:rPr>
          <w:b/>
          <w:bCs/>
        </w:rPr>
      </w:pPr>
      <w:r w:rsidRPr="001D1F02">
        <w:rPr>
          <w:b/>
          <w:bCs/>
          <w:i/>
          <w:iCs/>
        </w:rPr>
        <w:t xml:space="preserve">Cultural and </w:t>
      </w:r>
      <w:r w:rsidR="00B572E8" w:rsidRPr="001D1F02">
        <w:rPr>
          <w:b/>
          <w:bCs/>
          <w:i/>
          <w:iCs/>
        </w:rPr>
        <w:t xml:space="preserve">Creative </w:t>
      </w:r>
      <w:r w:rsidRPr="001D1F02">
        <w:rPr>
          <w:b/>
          <w:bCs/>
          <w:i/>
          <w:iCs/>
        </w:rPr>
        <w:t>Activity Satellite Acco</w:t>
      </w:r>
      <w:r w:rsidR="002E7860" w:rsidRPr="001D1F02">
        <w:rPr>
          <w:b/>
          <w:bCs/>
          <w:i/>
          <w:iCs/>
        </w:rPr>
        <w:t>unts Methodology Refresh</w:t>
      </w:r>
      <w:r w:rsidR="002E7860" w:rsidRPr="001D1F02">
        <w:rPr>
          <w:b/>
          <w:bCs/>
        </w:rPr>
        <w:t xml:space="preserve"> (BCARR, 2023)</w:t>
      </w:r>
    </w:p>
    <w:p w14:paraId="1554E7ED" w14:textId="77777777" w:rsidR="007F075E" w:rsidRPr="001D1F02" w:rsidRDefault="007F075E" w:rsidP="00753439">
      <w:pPr>
        <w:jc w:val="center"/>
        <w:rPr>
          <w:b/>
          <w:bCs/>
        </w:rPr>
      </w:pPr>
    </w:p>
    <w:p w14:paraId="6F2FA317" w14:textId="77777777" w:rsidR="007F075E" w:rsidRPr="001D1F02" w:rsidRDefault="007F075E" w:rsidP="00753439">
      <w:pPr>
        <w:jc w:val="center"/>
        <w:rPr>
          <w:b/>
          <w:bCs/>
        </w:rPr>
      </w:pPr>
    </w:p>
    <w:p w14:paraId="768EDBA4" w14:textId="188CD04A" w:rsidR="007F075E" w:rsidRPr="001D1F02" w:rsidRDefault="007F075E" w:rsidP="00753439">
      <w:pPr>
        <w:jc w:val="center"/>
        <w:rPr>
          <w:b/>
          <w:bCs/>
        </w:rPr>
      </w:pPr>
      <w:r w:rsidRPr="001D1F02">
        <w:rPr>
          <w:b/>
          <w:bCs/>
        </w:rPr>
        <w:t>David Throsby</w:t>
      </w:r>
    </w:p>
    <w:p w14:paraId="675307A9" w14:textId="42CF7252" w:rsidR="007F075E" w:rsidRPr="001D1F02" w:rsidRDefault="007F075E" w:rsidP="00753439">
      <w:pPr>
        <w:jc w:val="center"/>
        <w:rPr>
          <w:b/>
          <w:bCs/>
        </w:rPr>
      </w:pPr>
      <w:r w:rsidRPr="001D1F02">
        <w:rPr>
          <w:b/>
          <w:bCs/>
        </w:rPr>
        <w:t>Distinguished Professor of Economics</w:t>
      </w:r>
    </w:p>
    <w:p w14:paraId="59CDBC49" w14:textId="3F66D78B" w:rsidR="007F075E" w:rsidRPr="001D1F02" w:rsidRDefault="007F075E" w:rsidP="00753439">
      <w:pPr>
        <w:jc w:val="center"/>
        <w:rPr>
          <w:b/>
          <w:bCs/>
        </w:rPr>
      </w:pPr>
      <w:r w:rsidRPr="001D1F02">
        <w:rPr>
          <w:b/>
          <w:bCs/>
        </w:rPr>
        <w:t>Macquarie University, Sydney</w:t>
      </w:r>
    </w:p>
    <w:p w14:paraId="3DA6ADBE" w14:textId="77777777" w:rsidR="00C90ED3" w:rsidRPr="001D1F02" w:rsidRDefault="00C90ED3" w:rsidP="00753439">
      <w:pPr>
        <w:jc w:val="center"/>
        <w:rPr>
          <w:b/>
          <w:bCs/>
        </w:rPr>
      </w:pPr>
    </w:p>
    <w:p w14:paraId="25637E68" w14:textId="77777777" w:rsidR="00C90ED3" w:rsidRDefault="00C90ED3" w:rsidP="00753439">
      <w:pPr>
        <w:jc w:val="center"/>
      </w:pPr>
    </w:p>
    <w:p w14:paraId="79B5D8DE" w14:textId="77777777" w:rsidR="00C90ED3" w:rsidRDefault="00C90ED3" w:rsidP="00C90ED3"/>
    <w:p w14:paraId="2A328CA2" w14:textId="77777777" w:rsidR="00532B13" w:rsidRDefault="00532B13" w:rsidP="00753439">
      <w:pPr>
        <w:jc w:val="center"/>
      </w:pPr>
    </w:p>
    <w:p w14:paraId="5F537C49" w14:textId="2F354927" w:rsidR="00532B13" w:rsidRDefault="00970EB0">
      <w:r>
        <w:tab/>
        <w:t>The Cultural Satellite Accounts (CSA) published by the A</w:t>
      </w:r>
      <w:r w:rsidR="006B500A">
        <w:t xml:space="preserve">BS </w:t>
      </w:r>
      <w:r>
        <w:t>in 2014</w:t>
      </w:r>
      <w:r w:rsidR="00AF3E7F">
        <w:t xml:space="preserve"> have proved to be an invaluable source of data about the contribution of the cultural and creative industries</w:t>
      </w:r>
      <w:r w:rsidR="006B500A">
        <w:t xml:space="preserve"> to the Australian economy.</w:t>
      </w:r>
      <w:r w:rsidR="00FB7B4F">
        <w:t xml:space="preserve"> The accounts have allowed a more comprehensive picture</w:t>
      </w:r>
      <w:r w:rsidR="00550EA2">
        <w:t xml:space="preserve"> to be obtained of economic activity in the cultural sector than was previously available from the national accounts.</w:t>
      </w:r>
      <w:r w:rsidR="005F45CF">
        <w:t xml:space="preserve"> </w:t>
      </w:r>
      <w:r w:rsidR="00197159">
        <w:t>By providing an objective evidence base for statistical assessment, t</w:t>
      </w:r>
      <w:r w:rsidR="005F45CF">
        <w:t xml:space="preserve">hey have enabled </w:t>
      </w:r>
      <w:r w:rsidR="001E5BDD">
        <w:t xml:space="preserve">policy-makers, researchers, </w:t>
      </w:r>
      <w:r w:rsidR="00E17C7F">
        <w:t xml:space="preserve">academics, media </w:t>
      </w:r>
      <w:r w:rsidR="001E5BDD">
        <w:t>commentators</w:t>
      </w:r>
      <w:r w:rsidR="00E17C7F">
        <w:t xml:space="preserve"> and other users</w:t>
      </w:r>
      <w:r w:rsidR="008D4E86">
        <w:t xml:space="preserve"> to cut through the </w:t>
      </w:r>
      <w:proofErr w:type="gramStart"/>
      <w:r w:rsidR="008D4E86">
        <w:t>often misleading</w:t>
      </w:r>
      <w:proofErr w:type="gramEnd"/>
      <w:r w:rsidR="008D4E86">
        <w:t xml:space="preserve"> claims made </w:t>
      </w:r>
      <w:r w:rsidR="009807E1">
        <w:t>about</w:t>
      </w:r>
      <w:r w:rsidR="008D4E86">
        <w:t xml:space="preserve"> the size </w:t>
      </w:r>
      <w:r w:rsidR="00A11E92">
        <w:t xml:space="preserve">and composition </w:t>
      </w:r>
      <w:r w:rsidR="008D4E86">
        <w:t>of the</w:t>
      </w:r>
      <w:r w:rsidR="00D4637B">
        <w:t xml:space="preserve"> sector</w:t>
      </w:r>
      <w:r w:rsidR="00537AE9">
        <w:t>. The Bureau of Communication</w:t>
      </w:r>
      <w:r w:rsidR="00AB4A62">
        <w:t>s, Arts and Regional Research (BCARR)</w:t>
      </w:r>
      <w:r w:rsidR="00D4637B">
        <w:t xml:space="preserve"> </w:t>
      </w:r>
      <w:r w:rsidR="00AB4A62">
        <w:t xml:space="preserve">is to be commended for </w:t>
      </w:r>
      <w:r w:rsidR="00A643D0">
        <w:t xml:space="preserve">generating updated estimates of the accounts over the years. </w:t>
      </w:r>
      <w:r w:rsidR="0076659D">
        <w:t>However, it has been well understood that there have existed some shortcomings in the classification systems</w:t>
      </w:r>
      <w:r w:rsidR="00AD1C44">
        <w:t xml:space="preserve"> and methodologies used</w:t>
      </w:r>
      <w:r w:rsidR="001254BB">
        <w:t xml:space="preserve"> </w:t>
      </w:r>
      <w:r w:rsidR="00CD450C">
        <w:t xml:space="preserve">in the production of the CSAs </w:t>
      </w:r>
      <w:r w:rsidR="001254BB">
        <w:t xml:space="preserve">that </w:t>
      </w:r>
      <w:r w:rsidR="00CD450C">
        <w:t xml:space="preserve">have </w:t>
      </w:r>
      <w:r w:rsidR="001254BB">
        <w:t>affect</w:t>
      </w:r>
      <w:r w:rsidR="00CD450C">
        <w:t>ed</w:t>
      </w:r>
      <w:r w:rsidR="001254BB">
        <w:t xml:space="preserve"> the</w:t>
      </w:r>
      <w:r w:rsidR="00DD6780">
        <w:t xml:space="preserve"> data</w:t>
      </w:r>
      <w:r w:rsidR="00CD450C">
        <w:t xml:space="preserve"> in various ways</w:t>
      </w:r>
      <w:r w:rsidR="00D230D2">
        <w:t xml:space="preserve">. </w:t>
      </w:r>
      <w:r w:rsidR="00FD7475">
        <w:t xml:space="preserve">Moreover, </w:t>
      </w:r>
      <w:r w:rsidR="00DE1055">
        <w:t xml:space="preserve">changing </w:t>
      </w:r>
      <w:r w:rsidR="00ED40F6">
        <w:t xml:space="preserve">economic conditions over time necessitate a periodic re-think of whether </w:t>
      </w:r>
      <w:r w:rsidR="009A30F7">
        <w:t>existing</w:t>
      </w:r>
      <w:r w:rsidR="00ED40F6">
        <w:t xml:space="preserve"> systems remain fit for purpose. </w:t>
      </w:r>
      <w:r w:rsidR="009A30F7">
        <w:t>The present</w:t>
      </w:r>
      <w:r w:rsidR="00D230D2">
        <w:t xml:space="preserve"> </w:t>
      </w:r>
      <w:r w:rsidR="009A30F7">
        <w:t>“refresh” is therefore timely</w:t>
      </w:r>
      <w:r w:rsidR="004560EB">
        <w:t>, offering an ideal opportunity to address some of the outstanding issues and</w:t>
      </w:r>
      <w:r w:rsidR="00936CD7">
        <w:t xml:space="preserve"> hopefully</w:t>
      </w:r>
      <w:r w:rsidR="004560EB">
        <w:t xml:space="preserve"> </w:t>
      </w:r>
      <w:r w:rsidR="00936CD7">
        <w:t>leading towards an improved set of accounts for the future.</w:t>
      </w:r>
    </w:p>
    <w:p w14:paraId="488C742F" w14:textId="77777777" w:rsidR="00CD5C74" w:rsidRDefault="00CD5C74"/>
    <w:p w14:paraId="1AFE75BB" w14:textId="7570BA07" w:rsidR="00CD5C74" w:rsidRDefault="00CD5C74">
      <w:r>
        <w:tab/>
        <w:t xml:space="preserve">In this submission I offer some comments </w:t>
      </w:r>
      <w:r w:rsidR="008F1873">
        <w:t>on several aspects of the refresh process as discussed in the Consultation Paper.</w:t>
      </w:r>
      <w:r w:rsidR="008B044C">
        <w:t xml:space="preserve"> My comments are confined to broad issues of principle and method</w:t>
      </w:r>
      <w:r w:rsidR="00312E36">
        <w:t xml:space="preserve"> rather than empirical detail. Five aspects are highlighted</w:t>
      </w:r>
      <w:r w:rsidR="0057106A">
        <w:t>.</w:t>
      </w:r>
    </w:p>
    <w:p w14:paraId="3716F735" w14:textId="77777777" w:rsidR="0057106A" w:rsidRDefault="0057106A"/>
    <w:p w14:paraId="050C5067" w14:textId="0B4F498F" w:rsidR="0057106A" w:rsidRPr="001D1F02" w:rsidRDefault="0057106A" w:rsidP="0057106A">
      <w:pPr>
        <w:pStyle w:val="ListParagraph"/>
        <w:numPr>
          <w:ilvl w:val="0"/>
          <w:numId w:val="1"/>
        </w:numPr>
        <w:rPr>
          <w:b/>
          <w:bCs/>
        </w:rPr>
      </w:pPr>
      <w:r w:rsidRPr="001D1F02">
        <w:rPr>
          <w:b/>
          <w:bCs/>
        </w:rPr>
        <w:t>Overall approach of the refresh process</w:t>
      </w:r>
    </w:p>
    <w:p w14:paraId="3848ADEB" w14:textId="77777777" w:rsidR="0057106A" w:rsidRDefault="0057106A" w:rsidP="0057106A"/>
    <w:p w14:paraId="1150E614" w14:textId="7073B3A9" w:rsidR="0057106A" w:rsidRDefault="00732892" w:rsidP="0057106A">
      <w:r>
        <w:tab/>
      </w:r>
      <w:r w:rsidR="004C5D22">
        <w:t xml:space="preserve">The process </w:t>
      </w:r>
      <w:r w:rsidR="00C27219">
        <w:t xml:space="preserve">for the refresh exercise as </w:t>
      </w:r>
      <w:r w:rsidR="00585BFC">
        <w:t>set in place by BCARR staff makes a lot of sense, with a clear</w:t>
      </w:r>
      <w:r w:rsidR="002612BF">
        <w:t xml:space="preserve"> recognition of where the problems lie that need attention.</w:t>
      </w:r>
      <w:r w:rsidR="006D6ADF">
        <w:t xml:space="preserve"> The paper puts forward well-argued proposals for addressing these problems</w:t>
      </w:r>
      <w:r w:rsidR="004212BF">
        <w:t>. It is important to stress that the guiding principle</w:t>
      </w:r>
      <w:r w:rsidR="0052623C">
        <w:t xml:space="preserve"> in designing any set of statistical data</w:t>
      </w:r>
      <w:r w:rsidR="001317FA">
        <w:t xml:space="preserve"> for the cultural sector should be that the resulting outputs</w:t>
      </w:r>
      <w:r w:rsidR="00870C78">
        <w:t xml:space="preserve"> should provide what users need in a way that reflects their comprehension</w:t>
      </w:r>
      <w:r w:rsidR="00921C5C">
        <w:t xml:space="preserve"> of how the sector works</w:t>
      </w:r>
      <w:r w:rsidR="00351C90">
        <w:t xml:space="preserve">. At the same time industry and occupational classifications used must be consistent with the </w:t>
      </w:r>
      <w:r w:rsidR="00C16E7F">
        <w:t>data sources f</w:t>
      </w:r>
      <w:r w:rsidR="00EE20BC">
        <w:t>rom which</w:t>
      </w:r>
      <w:r w:rsidR="00C16E7F">
        <w:t xml:space="preserve"> the information</w:t>
      </w:r>
      <w:r w:rsidR="00EE20BC">
        <w:t xml:space="preserve"> is to be drawn. The proposed re-design of the CSA navigates t</w:t>
      </w:r>
      <w:r w:rsidR="0050053B">
        <w:t>he balance well.</w:t>
      </w:r>
    </w:p>
    <w:p w14:paraId="6B77704B" w14:textId="77777777" w:rsidR="0050053B" w:rsidRDefault="0050053B" w:rsidP="0057106A"/>
    <w:p w14:paraId="267A7441" w14:textId="580E2B52" w:rsidR="0050053B" w:rsidRDefault="0050053B" w:rsidP="0057106A">
      <w:r>
        <w:tab/>
      </w:r>
      <w:r w:rsidR="006B5FEA">
        <w:t>T</w:t>
      </w:r>
      <w:r>
        <w:t>he structural characteristics</w:t>
      </w:r>
      <w:r w:rsidR="00E11C39">
        <w:t xml:space="preserve"> of the sector have been articulated in various ways over the years by various agencies</w:t>
      </w:r>
      <w:r w:rsidR="00155D48">
        <w:t xml:space="preserve"> a</w:t>
      </w:r>
      <w:r w:rsidR="009E14B8">
        <w:t>nd institutions</w:t>
      </w:r>
      <w:r w:rsidR="0055338C">
        <w:t>, some of which are outlined in Table 1 of the paper.</w:t>
      </w:r>
      <w:r w:rsidR="007C2BAC">
        <w:t xml:space="preserve"> Among the various approaches, some have proved to be </w:t>
      </w:r>
      <w:r w:rsidR="00D5721A">
        <w:t>less useful than others</w:t>
      </w:r>
      <w:r w:rsidR="00771087">
        <w:t xml:space="preserve"> – for example, the World Intellectual Property Organisation (WIPO) </w:t>
      </w:r>
      <w:r w:rsidR="00207CE2">
        <w:t>m</w:t>
      </w:r>
      <w:r w:rsidR="00771087">
        <w:t>odel</w:t>
      </w:r>
      <w:r w:rsidR="00207CE2">
        <w:t xml:space="preserve"> of the “creative” (i.e. </w:t>
      </w:r>
      <w:r w:rsidR="00530B71">
        <w:lastRenderedPageBreak/>
        <w:t>copyright</w:t>
      </w:r>
      <w:r w:rsidR="00207CE2">
        <w:t>) industries</w:t>
      </w:r>
      <w:r w:rsidR="00530B71">
        <w:t xml:space="preserve"> is really o</w:t>
      </w:r>
      <w:r w:rsidR="00CA7BB6">
        <w:t xml:space="preserve">nly relevant if IP is a specific area of concern. </w:t>
      </w:r>
      <w:r w:rsidR="000E12AE">
        <w:t>By contrast, the UNESCO Institute of Statistics (UIS) framework</w:t>
      </w:r>
      <w:r w:rsidR="00481187">
        <w:t xml:space="preserve"> is very comprehensive and has proved to be </w:t>
      </w:r>
      <w:r w:rsidR="00F94CAC">
        <w:t>valid</w:t>
      </w:r>
      <w:r w:rsidR="002C3278">
        <w:t xml:space="preserve"> in principle</w:t>
      </w:r>
      <w:r w:rsidR="00F94CAC">
        <w:t xml:space="preserve">, although </w:t>
      </w:r>
      <w:r w:rsidR="00265AC5">
        <w:t xml:space="preserve">it has found less acceptance in practice as a structural model </w:t>
      </w:r>
      <w:r w:rsidR="00B329D5">
        <w:t>for national cultural statistics</w:t>
      </w:r>
      <w:r w:rsidR="00B43184">
        <w:t xml:space="preserve">, presumably because </w:t>
      </w:r>
      <w:r w:rsidR="009B0E7A">
        <w:t xml:space="preserve">some agencies find the integration of the framework with their </w:t>
      </w:r>
      <w:r w:rsidR="000F2658">
        <w:t xml:space="preserve">existing statistical </w:t>
      </w:r>
      <w:r w:rsidR="002F0790">
        <w:t>collections somewhat awkward.</w:t>
      </w:r>
    </w:p>
    <w:p w14:paraId="5AFCEC4D" w14:textId="77777777" w:rsidR="00394C49" w:rsidRDefault="00394C49" w:rsidP="0057106A"/>
    <w:p w14:paraId="50A7FEF1" w14:textId="3A8ED623" w:rsidR="00394C49" w:rsidRDefault="00394C49" w:rsidP="0057106A">
      <w:r>
        <w:tab/>
      </w:r>
      <w:r w:rsidR="00C17209">
        <w:t>T</w:t>
      </w:r>
      <w:r>
        <w:t>he proposals</w:t>
      </w:r>
      <w:r w:rsidR="00C17209">
        <w:t xml:space="preserve"> for revising the </w:t>
      </w:r>
      <w:r w:rsidR="007E469C">
        <w:t xml:space="preserve">CSA as discussed in the paper </w:t>
      </w:r>
      <w:r w:rsidR="003C103C">
        <w:t>do not encounter these difficulties – they appear to work extremely well.</w:t>
      </w:r>
      <w:r w:rsidR="001720AD">
        <w:t xml:space="preserve"> In my opinion the linking of the concentric circles model</w:t>
      </w:r>
      <w:r w:rsidR="007869F8">
        <w:t xml:space="preserve"> of the </w:t>
      </w:r>
      <w:r w:rsidR="000B04E1">
        <w:t xml:space="preserve">industrial </w:t>
      </w:r>
      <w:r w:rsidR="007869F8">
        <w:t>structure of the cultural sector with the trident model of occupationa</w:t>
      </w:r>
      <w:r w:rsidR="000B04E1">
        <w:t>l classification</w:t>
      </w:r>
      <w:r w:rsidR="00570571">
        <w:t xml:space="preserve"> provides a</w:t>
      </w:r>
      <w:r w:rsidR="00E20B76">
        <w:t xml:space="preserve"> sound basis</w:t>
      </w:r>
      <w:r w:rsidR="0013138D">
        <w:t xml:space="preserve"> for jointly specifying products, industries and labour use</w:t>
      </w:r>
      <w:r w:rsidR="00BB0BC3">
        <w:t xml:space="preserve"> which will accord with both the expectations of users</w:t>
      </w:r>
      <w:r w:rsidR="00F16F8C">
        <w:t xml:space="preserve"> and the capacities of the statistical sources to provide the data to quantify the accounts.</w:t>
      </w:r>
    </w:p>
    <w:p w14:paraId="17D23168" w14:textId="77777777" w:rsidR="001169A7" w:rsidRPr="001D1F02" w:rsidRDefault="001169A7" w:rsidP="0057106A">
      <w:pPr>
        <w:rPr>
          <w:b/>
          <w:bCs/>
        </w:rPr>
      </w:pPr>
    </w:p>
    <w:p w14:paraId="18B93008" w14:textId="57F1F002" w:rsidR="001169A7" w:rsidRPr="001D1F02" w:rsidRDefault="001169A7" w:rsidP="001169A7">
      <w:pPr>
        <w:pStyle w:val="ListParagraph"/>
        <w:numPr>
          <w:ilvl w:val="0"/>
          <w:numId w:val="1"/>
        </w:numPr>
        <w:rPr>
          <w:b/>
          <w:bCs/>
        </w:rPr>
      </w:pPr>
      <w:r w:rsidRPr="001D1F02">
        <w:rPr>
          <w:b/>
          <w:bCs/>
        </w:rPr>
        <w:t>Use of the concentric circles model</w:t>
      </w:r>
    </w:p>
    <w:p w14:paraId="1F1A1A2F" w14:textId="77777777" w:rsidR="001169A7" w:rsidRPr="001D1F02" w:rsidRDefault="001169A7" w:rsidP="001169A7">
      <w:pPr>
        <w:rPr>
          <w:b/>
          <w:bCs/>
        </w:rPr>
      </w:pPr>
    </w:p>
    <w:p w14:paraId="4CA2D2B3" w14:textId="4C8CF44D" w:rsidR="001169A7" w:rsidRDefault="003716C4" w:rsidP="001169A7">
      <w:r>
        <w:tab/>
        <w:t xml:space="preserve">Following its initial exposition in 2001 and subsequent elaboration in 2008, </w:t>
      </w:r>
      <w:r w:rsidR="005E4D53">
        <w:t>the concentric circles model has been found in a number of contexts</w:t>
      </w:r>
      <w:r w:rsidR="00B64F09">
        <w:t xml:space="preserve"> to provide a more appropriate representation of the workings of the cultural sector</w:t>
      </w:r>
      <w:r w:rsidR="00B0652F">
        <w:t xml:space="preserve"> than a simple assembly of industries according to a variable such as economic size.</w:t>
      </w:r>
      <w:r w:rsidR="00437668">
        <w:t xml:space="preserve"> As noted on p. 7 of the consultation paper, </w:t>
      </w:r>
      <w:r w:rsidR="007D48F1">
        <w:t>the classification of a “core” of the cultural and creative economy</w:t>
      </w:r>
      <w:r w:rsidR="00B92DF1">
        <w:t xml:space="preserve"> helps to separate out the key productive elements in the sector from </w:t>
      </w:r>
      <w:r w:rsidR="00B20445">
        <w:t>the</w:t>
      </w:r>
      <w:r w:rsidR="00B92DF1">
        <w:t xml:space="preserve"> wider </w:t>
      </w:r>
      <w:r w:rsidR="00B20445">
        <w:t>and related sectors</w:t>
      </w:r>
      <w:r w:rsidR="00520E4F">
        <w:t xml:space="preserve"> that support and expand on the core activity</w:t>
      </w:r>
      <w:r w:rsidR="00834B69">
        <w:t>.</w:t>
      </w:r>
    </w:p>
    <w:p w14:paraId="4AE52D13" w14:textId="77777777" w:rsidR="00834B69" w:rsidRDefault="00834B69" w:rsidP="001169A7"/>
    <w:p w14:paraId="59EAAD3E" w14:textId="6B4027D8" w:rsidR="00834B69" w:rsidRDefault="00834B69" w:rsidP="001169A7">
      <w:r>
        <w:tab/>
        <w:t xml:space="preserve">The specification of the circles or layers in the </w:t>
      </w:r>
      <w:r w:rsidR="0088031C">
        <w:t xml:space="preserve">model has both cultural and economic significance. The </w:t>
      </w:r>
      <w:r w:rsidR="0088031C" w:rsidRPr="00D04A98">
        <w:rPr>
          <w:i/>
          <w:iCs/>
        </w:rPr>
        <w:t xml:space="preserve">cultural </w:t>
      </w:r>
      <w:r w:rsidR="0088031C">
        <w:t xml:space="preserve">implications relate to a recognition </w:t>
      </w:r>
      <w:r w:rsidR="00013A3B">
        <w:t>of the importance of creativity and creative ideas</w:t>
      </w:r>
      <w:r w:rsidR="00A377BB">
        <w:t xml:space="preserve"> as the primary source of the distinctiveness of </w:t>
      </w:r>
      <w:r w:rsidR="0044380D">
        <w:t>creative and cultural products</w:t>
      </w:r>
      <w:r w:rsidR="00662215">
        <w:t xml:space="preserve"> that are generated not only in the cultural sector itself but also in the</w:t>
      </w:r>
      <w:r w:rsidR="008D6281">
        <w:t xml:space="preserve"> wider industrial system. The </w:t>
      </w:r>
      <w:r w:rsidR="008D6281" w:rsidRPr="00D04A98">
        <w:rPr>
          <w:i/>
          <w:iCs/>
        </w:rPr>
        <w:t>economic</w:t>
      </w:r>
      <w:r w:rsidR="008D6281">
        <w:t xml:space="preserve"> significance has to do with </w:t>
      </w:r>
      <w:r w:rsidR="003551CB">
        <w:t>processes of information and knowledge transfer</w:t>
      </w:r>
      <w:r w:rsidR="007B667B">
        <w:t>, whereby the core industries provide intellectual resources and creative talents</w:t>
      </w:r>
      <w:r w:rsidR="00B815B5">
        <w:t xml:space="preserve"> that yield economic benefit in the wider and related cultural industries</w:t>
      </w:r>
      <w:r w:rsidR="00B3766A">
        <w:t xml:space="preserve">, as well as </w:t>
      </w:r>
      <w:proofErr w:type="gramStart"/>
      <w:r w:rsidR="00B3766A">
        <w:t>in  the</w:t>
      </w:r>
      <w:proofErr w:type="gramEnd"/>
      <w:r w:rsidR="00B3766A">
        <w:t xml:space="preserve"> </w:t>
      </w:r>
      <w:r w:rsidR="00B2262E">
        <w:t>broader economy.</w:t>
      </w:r>
    </w:p>
    <w:p w14:paraId="5C789A33" w14:textId="77777777" w:rsidR="00083523" w:rsidRDefault="00083523" w:rsidP="001169A7"/>
    <w:p w14:paraId="07D729FC" w14:textId="14420D53" w:rsidR="00083523" w:rsidRDefault="00083523" w:rsidP="001169A7">
      <w:r>
        <w:tab/>
        <w:t>The initial categorisation of the layers</w:t>
      </w:r>
      <w:r w:rsidR="00753B13">
        <w:t xml:space="preserve"> was based on an identification of declining cultural content</w:t>
      </w:r>
      <w:r w:rsidR="00A31B2F">
        <w:t xml:space="preserve"> in the products yielded by the industries in successive layers</w:t>
      </w:r>
      <w:r w:rsidR="00F3612E">
        <w:t>. Given the lack of a direct metric for cultural content, a proxy measure is the proportion of creative labour</w:t>
      </w:r>
      <w:r w:rsidR="003421F3">
        <w:t xml:space="preserve"> in</w:t>
      </w:r>
      <w:r w:rsidR="00ED384E">
        <w:t xml:space="preserve"> </w:t>
      </w:r>
      <w:r w:rsidR="00F3612E">
        <w:t xml:space="preserve">total </w:t>
      </w:r>
      <w:r w:rsidR="00F96BE3">
        <w:t xml:space="preserve">industry </w:t>
      </w:r>
      <w:r w:rsidR="00F3612E">
        <w:t>employment</w:t>
      </w:r>
      <w:r w:rsidR="00ED384E">
        <w:t xml:space="preserve">, i.e. </w:t>
      </w:r>
      <w:r w:rsidR="00845B25">
        <w:t>the “creative intensity” in the NESTA/QUT model (see Table 1</w:t>
      </w:r>
      <w:r w:rsidR="00700B98">
        <w:t xml:space="preserve"> of the paper). It is to be hoped that at some point this statistic will be tabulated</w:t>
      </w:r>
      <w:r w:rsidR="001E5605">
        <w:t xml:space="preserve"> as part of the CSA </w:t>
      </w:r>
      <w:r w:rsidR="005002CF">
        <w:t>published output</w:t>
      </w:r>
      <w:r w:rsidR="001E5605">
        <w:t>.</w:t>
      </w:r>
    </w:p>
    <w:p w14:paraId="4491532D" w14:textId="77777777" w:rsidR="001E5605" w:rsidRDefault="001E5605" w:rsidP="001169A7"/>
    <w:p w14:paraId="675A03A6" w14:textId="294F447A" w:rsidR="001E5605" w:rsidRDefault="001E5605" w:rsidP="001169A7">
      <w:r>
        <w:tab/>
      </w:r>
      <w:r w:rsidR="00CD78AA">
        <w:t>As noted, t</w:t>
      </w:r>
      <w:r>
        <w:t>he characteristics of the concentric circles model</w:t>
      </w:r>
      <w:r w:rsidR="00067B7E">
        <w:t xml:space="preserve"> allow it to provide both a cultural rationale for the structure of the cultural sector</w:t>
      </w:r>
      <w:r w:rsidR="0006712B">
        <w:t xml:space="preserve"> in the CSA and an economic </w:t>
      </w:r>
      <w:r w:rsidR="00043CF7">
        <w:t>rationale for its specification of industry and product categories and their in</w:t>
      </w:r>
      <w:r w:rsidR="00A654F8">
        <w:t>terrelationships. In particular it should be remembered that the</w:t>
      </w:r>
      <w:r w:rsidR="00603532">
        <w:t xml:space="preserve"> </w:t>
      </w:r>
      <w:r w:rsidR="00A654F8">
        <w:t xml:space="preserve">processes </w:t>
      </w:r>
      <w:r w:rsidR="00603532">
        <w:t>depicted in the concentric circles model are not one-way</w:t>
      </w:r>
      <w:r w:rsidR="00392DE4">
        <w:t xml:space="preserve">, but all involve potentially reciprocal relationships between industries, </w:t>
      </w:r>
      <w:r w:rsidR="00AF3041">
        <w:t>making the model ideally suited to use with input</w:t>
      </w:r>
      <w:r w:rsidR="0035365D">
        <w:t>-output methods</w:t>
      </w:r>
      <w:r w:rsidR="00345B87">
        <w:t>,</w:t>
      </w:r>
      <w:r w:rsidR="0035365D">
        <w:t xml:space="preserve"> where industry interactio</w:t>
      </w:r>
      <w:r w:rsidR="00345B87">
        <w:t>n</w:t>
      </w:r>
      <w:r w:rsidR="0035365D">
        <w:t xml:space="preserve">s are </w:t>
      </w:r>
      <w:r w:rsidR="00345B87">
        <w:t xml:space="preserve">of course </w:t>
      </w:r>
      <w:r w:rsidR="0035365D">
        <w:t>an essential feature.</w:t>
      </w:r>
    </w:p>
    <w:p w14:paraId="2AD2428D" w14:textId="77777777" w:rsidR="0035365D" w:rsidRDefault="0035365D" w:rsidP="001169A7"/>
    <w:p w14:paraId="14887164" w14:textId="2CF303EE" w:rsidR="0035365D" w:rsidRPr="001D1F02" w:rsidRDefault="00636D2D" w:rsidP="00636D2D">
      <w:pPr>
        <w:pStyle w:val="ListParagraph"/>
        <w:numPr>
          <w:ilvl w:val="0"/>
          <w:numId w:val="1"/>
        </w:numPr>
        <w:rPr>
          <w:b/>
          <w:bCs/>
        </w:rPr>
      </w:pPr>
      <w:r w:rsidRPr="001D1F02">
        <w:rPr>
          <w:b/>
          <w:bCs/>
        </w:rPr>
        <w:lastRenderedPageBreak/>
        <w:t>Linking the trident and concentric circles models</w:t>
      </w:r>
    </w:p>
    <w:p w14:paraId="1B586411" w14:textId="77777777" w:rsidR="00636D2D" w:rsidRPr="001D1F02" w:rsidRDefault="00636D2D" w:rsidP="00636D2D">
      <w:pPr>
        <w:rPr>
          <w:b/>
          <w:bCs/>
        </w:rPr>
      </w:pPr>
    </w:p>
    <w:p w14:paraId="77E815E4" w14:textId="07D5B42C" w:rsidR="00636D2D" w:rsidRDefault="00BB43E1" w:rsidP="00636D2D">
      <w:r>
        <w:tab/>
        <w:t>The matrix in Figure 7 of the paper which links the trident and concentric circles models</w:t>
      </w:r>
      <w:r w:rsidR="00DB542D">
        <w:t xml:space="preserve"> provides an innovative and effective means</w:t>
      </w:r>
      <w:r w:rsidR="009701C8">
        <w:t xml:space="preserve"> for bringing the components of the CSA project together</w:t>
      </w:r>
      <w:r w:rsidR="00105D21">
        <w:t xml:space="preserve"> in a way that resolves some important shortcomings </w:t>
      </w:r>
      <w:r w:rsidR="00766818">
        <w:t>that have been identified in earlier approaches.</w:t>
      </w:r>
      <w:r w:rsidR="00410DD6">
        <w:t xml:space="preserve"> The </w:t>
      </w:r>
      <w:r w:rsidR="00FD396F">
        <w:t>elaboration of the matrix in terms of</w:t>
      </w:r>
      <w:r w:rsidR="0026626B">
        <w:t xml:space="preserve"> detailed product and industry </w:t>
      </w:r>
      <w:r w:rsidR="00B81EBB">
        <w:t xml:space="preserve">classifications in Appendices C and D demonstrates that the system should be readily transferrable to </w:t>
      </w:r>
      <w:r w:rsidR="005F3CFE">
        <w:t>empirical estimation of the CSAs.</w:t>
      </w:r>
    </w:p>
    <w:p w14:paraId="5DBA9046" w14:textId="77777777" w:rsidR="00E82942" w:rsidRDefault="00E82942" w:rsidP="00636D2D"/>
    <w:p w14:paraId="2FED3538" w14:textId="37FC21EC" w:rsidR="00E82942" w:rsidRDefault="00E82942" w:rsidP="00636D2D">
      <w:r>
        <w:tab/>
        <w:t xml:space="preserve">It seems likely that the new framework </w:t>
      </w:r>
      <w:r w:rsidR="00255097">
        <w:t xml:space="preserve">will allow updating of the CSAs on a continuing basis </w:t>
      </w:r>
      <w:r w:rsidR="0081747B">
        <w:t>along</w:t>
      </w:r>
      <w:r w:rsidR="00255097">
        <w:t xml:space="preserve"> the lines that BCARR </w:t>
      </w:r>
      <w:r w:rsidR="0081747B">
        <w:t>has been able to implement to date</w:t>
      </w:r>
      <w:r w:rsidR="0083253A">
        <w:t>. Users will welcome the timely provision</w:t>
      </w:r>
      <w:r w:rsidR="00F35323">
        <w:t xml:space="preserve"> of up-to-date statistics published in accordance with the revised CSA methodology.</w:t>
      </w:r>
    </w:p>
    <w:p w14:paraId="35CF03B1" w14:textId="77777777" w:rsidR="00046507" w:rsidRDefault="00046507" w:rsidP="00636D2D"/>
    <w:p w14:paraId="22C7ED19" w14:textId="3DD5045C" w:rsidR="00046507" w:rsidRPr="001D1F02" w:rsidRDefault="00046507" w:rsidP="00046507">
      <w:pPr>
        <w:pStyle w:val="ListParagraph"/>
        <w:numPr>
          <w:ilvl w:val="0"/>
          <w:numId w:val="1"/>
        </w:numPr>
        <w:rPr>
          <w:b/>
          <w:bCs/>
        </w:rPr>
      </w:pPr>
      <w:r w:rsidRPr="001D1F02">
        <w:rPr>
          <w:b/>
          <w:bCs/>
        </w:rPr>
        <w:t>Employment</w:t>
      </w:r>
    </w:p>
    <w:p w14:paraId="31DA11A7" w14:textId="77777777" w:rsidR="00046507" w:rsidRPr="001D1F02" w:rsidRDefault="00046507" w:rsidP="00046507">
      <w:pPr>
        <w:rPr>
          <w:b/>
          <w:bCs/>
        </w:rPr>
      </w:pPr>
    </w:p>
    <w:p w14:paraId="0F7BE328" w14:textId="037E3851" w:rsidR="00046507" w:rsidRDefault="00046507" w:rsidP="00046507">
      <w:r>
        <w:tab/>
        <w:t>The proposed occupational classification in Appendix E</w:t>
      </w:r>
      <w:r w:rsidR="00161084">
        <w:t xml:space="preserve"> conforms to the requirements of the CSA approach </w:t>
      </w:r>
      <w:r w:rsidR="002C2D3A">
        <w:t xml:space="preserve">as it is being </w:t>
      </w:r>
      <w:r w:rsidR="00161084">
        <w:t>developed</w:t>
      </w:r>
      <w:r w:rsidR="002C2D3A">
        <w:t>. It</w:t>
      </w:r>
      <w:r w:rsidR="00161084">
        <w:t xml:space="preserve"> will provide a well-</w:t>
      </w:r>
      <w:r w:rsidR="00796F14">
        <w:t>informed assessment of employment in the sector. There will no doubt be quibbles</w:t>
      </w:r>
      <w:r w:rsidR="007924D0">
        <w:t xml:space="preserve"> over the inclusion/omission of some occupations and </w:t>
      </w:r>
      <w:r w:rsidR="005A3174">
        <w:t>the designation of others as creative/cultural/both</w:t>
      </w:r>
      <w:r w:rsidR="001E2E13">
        <w:t>. In the end judgements about such classifications need to recognise</w:t>
      </w:r>
      <w:r w:rsidR="00A72434">
        <w:t xml:space="preserve"> the inside knowledge of industry practitioners who can </w:t>
      </w:r>
      <w:r w:rsidR="00327C8D">
        <w:t>observe labour relationships on the ground.</w:t>
      </w:r>
    </w:p>
    <w:p w14:paraId="7A90CE95" w14:textId="77777777" w:rsidR="00F52D27" w:rsidRDefault="00F52D27" w:rsidP="00046507"/>
    <w:p w14:paraId="0782DAD8" w14:textId="6E3A28AD" w:rsidR="00F52D27" w:rsidRDefault="00F52D27" w:rsidP="00046507">
      <w:r>
        <w:tab/>
        <w:t xml:space="preserve">It is to be hoped along the way that </w:t>
      </w:r>
      <w:r w:rsidR="00355C21">
        <w:t xml:space="preserve">efforts by the </w:t>
      </w:r>
      <w:r>
        <w:t>ABS</w:t>
      </w:r>
      <w:r w:rsidR="00355C21">
        <w:t xml:space="preserve"> to sharpen the collectio</w:t>
      </w:r>
      <w:r w:rsidR="00863833">
        <w:t xml:space="preserve">n of employment data </w:t>
      </w:r>
      <w:r w:rsidR="007577A9">
        <w:t>relating to creative artists will bear further fruit.</w:t>
      </w:r>
      <w:r w:rsidR="00FC381A">
        <w:t xml:space="preserve"> This applies not just to occupational specifications but also to Census </w:t>
      </w:r>
      <w:r w:rsidR="00F85E42">
        <w:t>d</w:t>
      </w:r>
      <w:r w:rsidR="00B70943">
        <w:t>a</w:t>
      </w:r>
      <w:r w:rsidR="00F85E42">
        <w:t>ta on main job</w:t>
      </w:r>
      <w:r w:rsidR="00B70943">
        <w:t xml:space="preserve"> and second job, a particularly important issue</w:t>
      </w:r>
      <w:r w:rsidR="008318A2">
        <w:t xml:space="preserve"> in identifying practising professional artists</w:t>
      </w:r>
      <w:r w:rsidR="004772D8">
        <w:t xml:space="preserve"> whose main job in the Census week may lie elsewhere. We have faced this problem over time in estimating</w:t>
      </w:r>
      <w:r w:rsidR="00FE6C2F">
        <w:t xml:space="preserve"> the artist population as a component of our periodic surveys of professional artists across all art forms</w:t>
      </w:r>
      <w:r w:rsidR="00536F91">
        <w:rPr>
          <w:rStyle w:val="FootnoteReference"/>
        </w:rPr>
        <w:footnoteReference w:id="1"/>
      </w:r>
      <w:r w:rsidR="00684AFF">
        <w:t>.</w:t>
      </w:r>
    </w:p>
    <w:p w14:paraId="1236499C" w14:textId="77777777" w:rsidR="00684AFF" w:rsidRDefault="00684AFF" w:rsidP="00046507"/>
    <w:p w14:paraId="2D281042" w14:textId="128F6139" w:rsidR="00684AFF" w:rsidRPr="001D1F02" w:rsidRDefault="00067B0E" w:rsidP="00684AFF">
      <w:pPr>
        <w:pStyle w:val="ListParagraph"/>
        <w:numPr>
          <w:ilvl w:val="0"/>
          <w:numId w:val="1"/>
        </w:numPr>
        <w:rPr>
          <w:b/>
          <w:bCs/>
        </w:rPr>
      </w:pPr>
      <w:r w:rsidRPr="001D1F02">
        <w:rPr>
          <w:b/>
          <w:bCs/>
        </w:rPr>
        <w:t>First Nations cultural production</w:t>
      </w:r>
    </w:p>
    <w:p w14:paraId="67F86BAC" w14:textId="77777777" w:rsidR="00067B0E" w:rsidRPr="001D1F02" w:rsidRDefault="00067B0E" w:rsidP="00067B0E">
      <w:pPr>
        <w:rPr>
          <w:b/>
          <w:bCs/>
        </w:rPr>
      </w:pPr>
    </w:p>
    <w:p w14:paraId="3AC65BF7" w14:textId="4AD047C7" w:rsidR="00636D2D" w:rsidRDefault="004D19AB" w:rsidP="00636D2D">
      <w:r>
        <w:tab/>
        <w:t>An aspect of Australian art and cultural production and employment</w:t>
      </w:r>
      <w:r w:rsidR="00ED1A3D">
        <w:t xml:space="preserve"> that is inadequately covered in formal</w:t>
      </w:r>
      <w:r w:rsidR="00DD23FB">
        <w:t xml:space="preserve"> </w:t>
      </w:r>
      <w:r w:rsidR="00ED1A3D">
        <w:t>statistical sources</w:t>
      </w:r>
      <w:r w:rsidR="00EA6544">
        <w:t xml:space="preserve"> </w:t>
      </w:r>
      <w:r w:rsidR="005439FB">
        <w:t xml:space="preserve">is the Indigenous art economy. </w:t>
      </w:r>
      <w:r w:rsidR="00742673">
        <w:t>This is hardly surprising, given the</w:t>
      </w:r>
      <w:r w:rsidR="00EA6544">
        <w:t xml:space="preserve"> extent and diversity of </w:t>
      </w:r>
      <w:r w:rsidR="007F2A65">
        <w:t>cultural production by Aboriginal and Torres Strait Islander people</w:t>
      </w:r>
      <w:r w:rsidR="00306A84">
        <w:t xml:space="preserve">. However, the recent Australian Government’s cultural policy statement </w:t>
      </w:r>
      <w:r w:rsidR="00306A84">
        <w:rPr>
          <w:i/>
          <w:iCs/>
        </w:rPr>
        <w:t>Revive</w:t>
      </w:r>
      <w:r w:rsidR="00C06C04">
        <w:rPr>
          <w:i/>
          <w:iCs/>
        </w:rPr>
        <w:t xml:space="preserve"> </w:t>
      </w:r>
      <w:r w:rsidR="002C2D3A">
        <w:t>p</w:t>
      </w:r>
      <w:r w:rsidR="00474FD8">
        <w:t>laces a renewed emph</w:t>
      </w:r>
      <w:r w:rsidR="00C240D6">
        <w:t>a</w:t>
      </w:r>
      <w:r w:rsidR="00474FD8">
        <w:t>sis</w:t>
      </w:r>
      <w:r w:rsidR="00C240D6">
        <w:t xml:space="preserve"> on th</w:t>
      </w:r>
      <w:r w:rsidR="002C5E67">
        <w:t>e</w:t>
      </w:r>
      <w:r w:rsidR="00C240D6">
        <w:t xml:space="preserve"> significance of First Nations art and culture.</w:t>
      </w:r>
      <w:r w:rsidR="002C5E67">
        <w:t xml:space="preserve"> The statement points to the need for a better understanding</w:t>
      </w:r>
      <w:r w:rsidR="00D44F68">
        <w:t xml:space="preserve"> of the qualitative and quantitative dimensions</w:t>
      </w:r>
      <w:r w:rsidR="001E1B0D">
        <w:t xml:space="preserve"> of the First Nations cultural economy,</w:t>
      </w:r>
    </w:p>
    <w:p w14:paraId="403F8F06" w14:textId="77777777" w:rsidR="001E1B0D" w:rsidRDefault="001E1B0D" w:rsidP="00636D2D"/>
    <w:p w14:paraId="77CE51C8" w14:textId="77777777" w:rsidR="00273079" w:rsidRDefault="001E1B0D" w:rsidP="00636D2D">
      <w:r>
        <w:tab/>
        <w:t>There are both cultural and economic reasons why</w:t>
      </w:r>
      <w:r w:rsidR="00EA38AB">
        <w:t xml:space="preserve"> better data are needed.</w:t>
      </w:r>
      <w:r w:rsidR="00C10968">
        <w:t xml:space="preserve"> The </w:t>
      </w:r>
      <w:r w:rsidR="00C10968" w:rsidRPr="002F727E">
        <w:rPr>
          <w:i/>
          <w:iCs/>
        </w:rPr>
        <w:t xml:space="preserve">cultural </w:t>
      </w:r>
      <w:r w:rsidR="00C10968">
        <w:t>rationale is</w:t>
      </w:r>
      <w:r w:rsidR="008D5B89">
        <w:t xml:space="preserve"> clearly</w:t>
      </w:r>
      <w:r w:rsidR="00C10968">
        <w:t xml:space="preserve"> spelt out</w:t>
      </w:r>
      <w:r w:rsidR="008D5B89">
        <w:t xml:space="preserve"> </w:t>
      </w:r>
      <w:r w:rsidR="008D3009">
        <w:t>in a range of policy</w:t>
      </w:r>
      <w:r w:rsidR="000F67C3">
        <w:t xml:space="preserve"> statements and publications on First Nations art produced by agencies at </w:t>
      </w:r>
      <w:r w:rsidR="00E74F05">
        <w:t xml:space="preserve">all levels of government. </w:t>
      </w:r>
      <w:r w:rsidR="002F727E">
        <w:t xml:space="preserve">Public support for Aboriginal </w:t>
      </w:r>
      <w:r w:rsidR="002F727E">
        <w:lastRenderedPageBreak/>
        <w:t xml:space="preserve">and Torres Strait Islander </w:t>
      </w:r>
      <w:r w:rsidR="00AC70A7">
        <w:t>art and culture provided</w:t>
      </w:r>
      <w:r w:rsidR="00456521">
        <w:t xml:space="preserve"> by arts and Indigenous affairs agencies </w:t>
      </w:r>
      <w:r w:rsidR="005D77E2">
        <w:t xml:space="preserve">is invariably based on cultural grounds. </w:t>
      </w:r>
      <w:r w:rsidR="00045438">
        <w:t>We need quantitative information on how cultural factors affect the generation of benefits</w:t>
      </w:r>
      <w:r w:rsidR="00884C22">
        <w:t xml:space="preserve"> yielded by such support – for example, </w:t>
      </w:r>
      <w:r w:rsidR="0067142B">
        <w:t>we need</w:t>
      </w:r>
      <w:r w:rsidR="00C87D0C">
        <w:t xml:space="preserve"> further data on First Nations art and culture as </w:t>
      </w:r>
      <w:r w:rsidR="004814E9">
        <w:t>a</w:t>
      </w:r>
      <w:r w:rsidR="00B54F31">
        <w:t xml:space="preserve"> </w:t>
      </w:r>
      <w:r w:rsidR="00C87D0C">
        <w:t>driver of tourism demand.</w:t>
      </w:r>
      <w:r w:rsidR="00273079">
        <w:t xml:space="preserve"> </w:t>
      </w:r>
      <w:r w:rsidR="00E74F05">
        <w:t xml:space="preserve">The </w:t>
      </w:r>
      <w:r w:rsidR="00E74F05" w:rsidRPr="00B54F31">
        <w:rPr>
          <w:i/>
          <w:iCs/>
        </w:rPr>
        <w:t>economic</w:t>
      </w:r>
      <w:r w:rsidR="005819B6">
        <w:t xml:space="preserve"> </w:t>
      </w:r>
      <w:r w:rsidR="00E74F05">
        <w:t xml:space="preserve">importance </w:t>
      </w:r>
      <w:r w:rsidR="00060E44">
        <w:t xml:space="preserve">of better data </w:t>
      </w:r>
      <w:r w:rsidR="00E74F05">
        <w:t xml:space="preserve">derives </w:t>
      </w:r>
      <w:r w:rsidR="00060E44">
        <w:t xml:space="preserve">particularly </w:t>
      </w:r>
      <w:r w:rsidR="00E74F05">
        <w:t>from the</w:t>
      </w:r>
      <w:r w:rsidR="005819B6">
        <w:t xml:space="preserve"> expanding domestic and international market for</w:t>
      </w:r>
      <w:r w:rsidR="00247D6B">
        <w:t xml:space="preserve"> goods and services produced by </w:t>
      </w:r>
      <w:r w:rsidR="00FE2732">
        <w:t>Australia’s</w:t>
      </w:r>
      <w:r w:rsidR="00247D6B">
        <w:t xml:space="preserve"> Indigenous artists</w:t>
      </w:r>
      <w:r w:rsidR="00362783">
        <w:t xml:space="preserve"> – revenue from art production </w:t>
      </w:r>
      <w:r w:rsidR="005E6648">
        <w:t xml:space="preserve">is an important contributor to </w:t>
      </w:r>
      <w:r w:rsidR="009B0152">
        <w:t xml:space="preserve">the </w:t>
      </w:r>
      <w:r w:rsidR="005E6648">
        <w:t xml:space="preserve">economic wellbeing </w:t>
      </w:r>
      <w:r w:rsidR="009B0152">
        <w:t xml:space="preserve">of </w:t>
      </w:r>
      <w:r w:rsidR="004B5499">
        <w:t>First Nations</w:t>
      </w:r>
      <w:r w:rsidR="006274B3">
        <w:t xml:space="preserve"> </w:t>
      </w:r>
      <w:r w:rsidR="009B0152">
        <w:t>people</w:t>
      </w:r>
      <w:r w:rsidR="006274B3">
        <w:t>, especially in remote communities.</w:t>
      </w:r>
      <w:r w:rsidR="009610B2">
        <w:t xml:space="preserve"> </w:t>
      </w:r>
    </w:p>
    <w:p w14:paraId="2D531003" w14:textId="77777777" w:rsidR="00273079" w:rsidRDefault="00273079" w:rsidP="00636D2D"/>
    <w:p w14:paraId="0976B373" w14:textId="02BF7671" w:rsidR="001E1B0D" w:rsidRDefault="00273079" w:rsidP="00636D2D">
      <w:r>
        <w:tab/>
      </w:r>
      <w:r w:rsidR="009610B2">
        <w:t xml:space="preserve">From the viewpoint of the CSAs, it is not immediately obvious how goods and services of Indigenous </w:t>
      </w:r>
      <w:r w:rsidR="00215548">
        <w:t xml:space="preserve">origin could be separated out in </w:t>
      </w:r>
      <w:r w:rsidR="008D0A50">
        <w:t>existing production data. It would seem that a special-purpose study would be needed to explore how</w:t>
      </w:r>
      <w:r w:rsidR="00804FF0">
        <w:t xml:space="preserve"> First Nations activity could be identified as a specific category for incorporation into the accounts</w:t>
      </w:r>
      <w:r w:rsidR="00A260FB">
        <w:t xml:space="preserve">. In this regard, some of the observations </w:t>
      </w:r>
      <w:r w:rsidR="00907BDC">
        <w:t>made in the recent Productivity Report</w:t>
      </w:r>
      <w:r w:rsidR="00695689">
        <w:rPr>
          <w:rStyle w:val="FootnoteReference"/>
        </w:rPr>
        <w:footnoteReference w:id="2"/>
      </w:r>
      <w:r w:rsidR="00907BDC">
        <w:t xml:space="preserve"> on the Indigenous art economy are relevant.</w:t>
      </w:r>
    </w:p>
    <w:p w14:paraId="6102EE58" w14:textId="77777777" w:rsidR="00907BDC" w:rsidRDefault="00907BDC" w:rsidP="00636D2D"/>
    <w:p w14:paraId="3889B368" w14:textId="120681AC" w:rsidR="00907BDC" w:rsidRDefault="00131D07" w:rsidP="00636D2D">
      <w:r>
        <w:tab/>
        <w:t>It needs to be understood that Indigenous cultural production is not homogeneous but derives from creati</w:t>
      </w:r>
      <w:r w:rsidR="00033411">
        <w:t>ve activity under a wide variety of circumstances.</w:t>
      </w:r>
      <w:r w:rsidR="005306CA">
        <w:t xml:space="preserve"> In particular</w:t>
      </w:r>
      <w:r w:rsidR="001D33A9">
        <w:t>,</w:t>
      </w:r>
      <w:r w:rsidR="005306CA">
        <w:t xml:space="preserve"> there are significant differences between production in </w:t>
      </w:r>
      <w:r w:rsidR="0081376F">
        <w:t>non-</w:t>
      </w:r>
      <w:r w:rsidR="0011063D">
        <w:t>r</w:t>
      </w:r>
      <w:r w:rsidR="005306CA">
        <w:t>emote</w:t>
      </w:r>
      <w:r w:rsidR="0011063D">
        <w:t xml:space="preserve"> and remote locations.</w:t>
      </w:r>
      <w:r w:rsidR="0081376F">
        <w:t xml:space="preserve"> </w:t>
      </w:r>
      <w:r w:rsidR="00267490">
        <w:t xml:space="preserve">For the former, Aboriginal and Torres Strait Islander artists working in the mainstream in urban and </w:t>
      </w:r>
      <w:r w:rsidR="00F168FF">
        <w:t>r</w:t>
      </w:r>
      <w:r w:rsidR="00267490">
        <w:t>egio</w:t>
      </w:r>
      <w:r w:rsidR="00F168FF">
        <w:t>na</w:t>
      </w:r>
      <w:r w:rsidR="00267490">
        <w:t xml:space="preserve">l/rural </w:t>
      </w:r>
      <w:r w:rsidR="00F168FF">
        <w:t>environments</w:t>
      </w:r>
      <w:r w:rsidR="00714936">
        <w:t xml:space="preserve"> produce work that enters the normal supply chains and may be </w:t>
      </w:r>
      <w:r w:rsidR="006A52D7">
        <w:t>difficult to isolate as an identifiable category</w:t>
      </w:r>
      <w:r w:rsidR="00BE70FC">
        <w:t>. In the case of artists working in remote communities</w:t>
      </w:r>
      <w:r w:rsidR="00BF461E">
        <w:t xml:space="preserve">, much of their work also </w:t>
      </w:r>
      <w:r w:rsidR="00FF3799">
        <w:t>reaches the market and is counted along with everything else</w:t>
      </w:r>
      <w:r w:rsidR="003044F4">
        <w:t>, b</w:t>
      </w:r>
      <w:r w:rsidR="00FF3799">
        <w:t>ut in this case the source is more readily identifiable</w:t>
      </w:r>
      <w:r w:rsidR="00E27C62">
        <w:t>. These remote and very remote communities</w:t>
      </w:r>
      <w:r w:rsidR="0092207A">
        <w:t xml:space="preserve"> are an important target for Indigenous policy, and understanding their economic circumstances is </w:t>
      </w:r>
      <w:r w:rsidR="008966F7">
        <w:t>essential to effective decision-making.</w:t>
      </w:r>
    </w:p>
    <w:p w14:paraId="2700DE5F" w14:textId="77777777" w:rsidR="00636D2D" w:rsidRDefault="00636D2D" w:rsidP="00636D2D"/>
    <w:p w14:paraId="3EC050AD" w14:textId="5A9B3F83" w:rsidR="0035365D" w:rsidRDefault="00971A8D" w:rsidP="001169A7">
      <w:r>
        <w:tab/>
        <w:t>It may be that</w:t>
      </w:r>
      <w:r w:rsidR="00FC0CAE">
        <w:t xml:space="preserve"> a separate data collection and interpretation process will be required to service the data needs </w:t>
      </w:r>
      <w:r w:rsidR="00EE309B">
        <w:t>relating to</w:t>
      </w:r>
      <w:r w:rsidR="00D14B06">
        <w:t xml:space="preserve"> </w:t>
      </w:r>
      <w:r w:rsidR="00BD3CFE">
        <w:t>remote communities</w:t>
      </w:r>
      <w:r w:rsidR="00EE309B">
        <w:t xml:space="preserve">. If so, such a process would need to be coordinated </w:t>
      </w:r>
      <w:r w:rsidR="00CB3D38">
        <w:t>with the CSA and with other formal data sources</w:t>
      </w:r>
      <w:r w:rsidR="00E642DD">
        <w:t>, including</w:t>
      </w:r>
      <w:r w:rsidR="00CB3D38">
        <w:t xml:space="preserve"> the National Aboriginal and Torres Strait Islander</w:t>
      </w:r>
      <w:r w:rsidR="00991076">
        <w:t xml:space="preserve"> Social Survey (NATSISS) implemented by the ABS.</w:t>
      </w:r>
      <w:r w:rsidR="00741E9C">
        <w:t xml:space="preserve"> In addition</w:t>
      </w:r>
      <w:r w:rsidR="00C40322">
        <w:t>,</w:t>
      </w:r>
      <w:r w:rsidR="00741E9C">
        <w:t xml:space="preserve"> there are other independent data-gathering sources</w:t>
      </w:r>
      <w:r w:rsidR="00C40322">
        <w:t xml:space="preserve"> – for example, </w:t>
      </w:r>
      <w:r w:rsidR="00741E9C">
        <w:t>the Nationa</w:t>
      </w:r>
      <w:r w:rsidR="00E725E3">
        <w:t>l Survey of Remote Indigenous Artists being carried out in the Department of Economics at Macquarie University</w:t>
      </w:r>
      <w:r w:rsidR="00831E62">
        <w:t>. This long-term study is collecting primary data</w:t>
      </w:r>
      <w:r w:rsidR="00B76EDE">
        <w:t xml:space="preserve"> on art and cultural production in </w:t>
      </w:r>
      <w:r w:rsidR="007F5B75">
        <w:t xml:space="preserve">six </w:t>
      </w:r>
      <w:r w:rsidR="00B76EDE">
        <w:t xml:space="preserve">remote and </w:t>
      </w:r>
      <w:r w:rsidR="007F5B75">
        <w:t>very</w:t>
      </w:r>
      <w:r w:rsidR="00B76EDE">
        <w:t xml:space="preserve"> remote regions</w:t>
      </w:r>
      <w:r w:rsidR="00B46FB3">
        <w:t>:</w:t>
      </w:r>
      <w:r w:rsidR="00B46FB3" w:rsidRPr="00B46FB3">
        <w:t xml:space="preserve"> Kimberley WA</w:t>
      </w:r>
      <w:r w:rsidR="005E1400">
        <w:t>;</w:t>
      </w:r>
      <w:r w:rsidR="00B46FB3" w:rsidRPr="00B46FB3">
        <w:t xml:space="preserve"> Central Desert NT/APY Lands SA; North-West NT/Tiwi Islands NT; Arnhem Land NT</w:t>
      </w:r>
      <w:r w:rsidR="005E1400">
        <w:t>;</w:t>
      </w:r>
      <w:r w:rsidR="00B46FB3" w:rsidRPr="00B46FB3">
        <w:t xml:space="preserve"> Pilbara and </w:t>
      </w:r>
      <w:proofErr w:type="spellStart"/>
      <w:r w:rsidR="00B46FB3" w:rsidRPr="00B46FB3">
        <w:t>Ngaanyatjarra</w:t>
      </w:r>
      <w:proofErr w:type="spellEnd"/>
      <w:r w:rsidR="00B46FB3" w:rsidRPr="00B46FB3">
        <w:t xml:space="preserve"> Lands, WA</w:t>
      </w:r>
      <w:r w:rsidR="00BB7490">
        <w:t>;</w:t>
      </w:r>
      <w:r w:rsidR="00B46FB3" w:rsidRPr="00B46FB3">
        <w:t xml:space="preserve"> and Far North Queensland/Torres Strait Islands</w:t>
      </w:r>
      <w:r w:rsidR="002951CD">
        <w:rPr>
          <w:rStyle w:val="FootnoteReference"/>
        </w:rPr>
        <w:footnoteReference w:id="3"/>
      </w:r>
      <w:r w:rsidR="002951CD">
        <w:t xml:space="preserve">. </w:t>
      </w:r>
      <w:r w:rsidR="008B3D07">
        <w:t xml:space="preserve">The survey is </w:t>
      </w:r>
      <w:r w:rsidR="00517989">
        <w:t>based</w:t>
      </w:r>
      <w:r w:rsidR="008B3D07">
        <w:t xml:space="preserve"> on sampling procedures that allow the results to be integrated with NATSISS data</w:t>
      </w:r>
      <w:r w:rsidR="006D0DA0">
        <w:t xml:space="preserve"> such that income estimates could be used </w:t>
      </w:r>
      <w:r w:rsidR="00E65B99">
        <w:t xml:space="preserve">in due course </w:t>
      </w:r>
      <w:r w:rsidR="006D0DA0">
        <w:t xml:space="preserve">as a basis for estimating aggregate regional income from </w:t>
      </w:r>
      <w:r w:rsidR="00F374D7">
        <w:t xml:space="preserve">remote </w:t>
      </w:r>
      <w:r w:rsidR="00E65B99">
        <w:t xml:space="preserve">Indigenous </w:t>
      </w:r>
      <w:r w:rsidR="006D0DA0">
        <w:t>art and cultural production</w:t>
      </w:r>
      <w:r w:rsidR="00517989">
        <w:t>.</w:t>
      </w:r>
    </w:p>
    <w:p w14:paraId="395A5DE7" w14:textId="77777777" w:rsidR="00517989" w:rsidRDefault="00517989" w:rsidP="001169A7"/>
    <w:p w14:paraId="5FAE7908" w14:textId="77777777" w:rsidR="00204A6E" w:rsidRDefault="00517989" w:rsidP="001169A7">
      <w:r>
        <w:lastRenderedPageBreak/>
        <w:tab/>
        <w:t xml:space="preserve">While these suggestions are somewhat </w:t>
      </w:r>
      <w:r w:rsidR="00454D20">
        <w:t>outside of scope for the immediate needs of the CSA process, they do draw attention once again to the economic and cultural importance</w:t>
      </w:r>
      <w:r w:rsidR="001F1BE2">
        <w:t xml:space="preserve"> of First Nations art and cultural production in the Australian cultural sector.</w:t>
      </w:r>
      <w:r w:rsidR="00F34BC6">
        <w:t xml:space="preserve"> They indicate that more work needs to be done to identify data sources</w:t>
      </w:r>
      <w:r w:rsidR="00D970F1">
        <w:t xml:space="preserve"> and to test whether data collection and use in this area is fit for purpose (p. 7</w:t>
      </w:r>
      <w:r w:rsidR="00106A9C">
        <w:t xml:space="preserve"> of the paper). Ultimately perhaps it will be possible to </w:t>
      </w:r>
      <w:r w:rsidR="003011EC">
        <w:t>bring about a more comprehensive</w:t>
      </w:r>
      <w:r w:rsidR="00056A2C">
        <w:t xml:space="preserve"> and specific treatment of First Nations statistics</w:t>
      </w:r>
      <w:r w:rsidR="00D41506">
        <w:t xml:space="preserve"> within the Australian satellite accounts for culture.</w:t>
      </w:r>
    </w:p>
    <w:p w14:paraId="3F6B7F5F" w14:textId="77777777" w:rsidR="00204A6E" w:rsidRDefault="00204A6E" w:rsidP="001169A7"/>
    <w:p w14:paraId="527C48EB" w14:textId="77777777" w:rsidR="009929D9" w:rsidRDefault="009929D9" w:rsidP="001169A7"/>
    <w:p w14:paraId="63929587" w14:textId="77777777" w:rsidR="00204A6E" w:rsidRDefault="00204A6E" w:rsidP="001169A7"/>
    <w:p w14:paraId="453E1808" w14:textId="77777777" w:rsidR="00204A6E" w:rsidRDefault="00204A6E" w:rsidP="001169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David Throsby</w:t>
      </w:r>
    </w:p>
    <w:p w14:paraId="26CB39E1" w14:textId="28844C7B" w:rsidR="00517989" w:rsidRDefault="00204A6E" w:rsidP="001169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2754">
        <w:t xml:space="preserve">18 </w:t>
      </w:r>
      <w:r>
        <w:t>May 2023</w:t>
      </w:r>
      <w:r w:rsidR="00D41506">
        <w:t xml:space="preserve"> </w:t>
      </w:r>
    </w:p>
    <w:p w14:paraId="67D0CAC4" w14:textId="77777777" w:rsidR="00A418A6" w:rsidRDefault="00A418A6" w:rsidP="001169A7"/>
    <w:p w14:paraId="17CCEBBB" w14:textId="7AAB430C" w:rsidR="009929D9" w:rsidRDefault="005B6884" w:rsidP="00EF1E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3DABD" wp14:editId="3A3C64A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143125" cy="15716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25BDA" id="Rectangle 1" o:spid="_x0000_s1026" style="position:absolute;margin-left:0;margin-top:1.05pt;width:168.75pt;height:12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" fillcolor="black [3200]" strokecolor="black [1600]" strokeweight="1pt">
                <w10:wrap anchorx="margin"/>
              </v:rect>
            </w:pict>
          </mc:Fallback>
        </mc:AlternateContent>
      </w:r>
    </w:p>
    <w:p w14:paraId="30764311" w14:textId="169203DF" w:rsidR="00A418A6" w:rsidRDefault="00A418A6" w:rsidP="001169A7">
      <w:bookmarkStart w:id="0" w:name="_GoBack"/>
      <w:bookmarkEnd w:id="0"/>
    </w:p>
    <w:sectPr w:rsidR="00A41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91283" w14:textId="77777777" w:rsidR="008F5DD5" w:rsidRDefault="008F5DD5" w:rsidP="00536F91">
      <w:r>
        <w:separator/>
      </w:r>
    </w:p>
  </w:endnote>
  <w:endnote w:type="continuationSeparator" w:id="0">
    <w:p w14:paraId="600E1103" w14:textId="77777777" w:rsidR="008F5DD5" w:rsidRDefault="008F5DD5" w:rsidP="0053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9397F" w14:textId="77777777" w:rsidR="008F5DD5" w:rsidRDefault="008F5DD5" w:rsidP="00536F91">
      <w:r>
        <w:separator/>
      </w:r>
    </w:p>
  </w:footnote>
  <w:footnote w:type="continuationSeparator" w:id="0">
    <w:p w14:paraId="796F338E" w14:textId="77777777" w:rsidR="008F5DD5" w:rsidRDefault="008F5DD5" w:rsidP="00536F91">
      <w:r>
        <w:continuationSeparator/>
      </w:r>
    </w:p>
  </w:footnote>
  <w:footnote w:id="1">
    <w:p w14:paraId="17AD3EA2" w14:textId="26F76620" w:rsidR="00536F91" w:rsidRPr="00561AB6" w:rsidRDefault="00536F9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most recent survey was in 2016, published as David Throsby and Katya </w:t>
      </w:r>
      <w:proofErr w:type="spellStart"/>
      <w:r>
        <w:rPr>
          <w:lang w:val="en-US"/>
        </w:rPr>
        <w:t>Petetskaya</w:t>
      </w:r>
      <w:proofErr w:type="spellEnd"/>
      <w:r w:rsidR="00561AB6">
        <w:rPr>
          <w:lang w:val="en-US"/>
        </w:rPr>
        <w:t xml:space="preserve">, </w:t>
      </w:r>
      <w:r w:rsidR="00561AB6">
        <w:rPr>
          <w:i/>
          <w:iCs/>
          <w:lang w:val="en-US"/>
        </w:rPr>
        <w:t xml:space="preserve">Making Art Work, </w:t>
      </w:r>
      <w:r w:rsidR="00561AB6">
        <w:rPr>
          <w:lang w:val="en-US"/>
        </w:rPr>
        <w:t>Sydney: Australia Council 2017. The next survey report in the series will be published early in 2024.</w:t>
      </w:r>
    </w:p>
  </w:footnote>
  <w:footnote w:id="2">
    <w:p w14:paraId="062F8B8B" w14:textId="04C76612" w:rsidR="00695689" w:rsidRDefault="0069568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</w:t>
      </w:r>
      <w:r w:rsidR="007A4519">
        <w:rPr>
          <w:lang w:val="en-US"/>
        </w:rPr>
        <w:t xml:space="preserve">roductivity Commission, </w:t>
      </w:r>
      <w:r w:rsidR="004B650E">
        <w:rPr>
          <w:i/>
          <w:iCs/>
          <w:lang w:val="en-US"/>
        </w:rPr>
        <w:t>Aboriginal and Torres Strait Islander</w:t>
      </w:r>
      <w:r w:rsidR="00950B29">
        <w:rPr>
          <w:i/>
          <w:iCs/>
          <w:lang w:val="en-US"/>
        </w:rPr>
        <w:t xml:space="preserve"> Visual Arts and Crafts – Study Report</w:t>
      </w:r>
      <w:r w:rsidR="00C249C8">
        <w:rPr>
          <w:i/>
          <w:iCs/>
          <w:lang w:val="en-US"/>
        </w:rPr>
        <w:t xml:space="preserve">, </w:t>
      </w:r>
      <w:r w:rsidR="00C249C8">
        <w:rPr>
          <w:lang w:val="en-US"/>
        </w:rPr>
        <w:t>Canberra: The Commission 2022.</w:t>
      </w:r>
    </w:p>
    <w:p w14:paraId="0CC2C607" w14:textId="77777777" w:rsidR="00C249C8" w:rsidRPr="00C249C8" w:rsidRDefault="00C249C8">
      <w:pPr>
        <w:pStyle w:val="FootnoteText"/>
        <w:rPr>
          <w:lang w:val="en-US"/>
        </w:rPr>
      </w:pPr>
    </w:p>
  </w:footnote>
  <w:footnote w:id="3">
    <w:p w14:paraId="60519344" w14:textId="5B77ABCC" w:rsidR="002951CD" w:rsidRPr="00924D77" w:rsidRDefault="002951C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2A6714">
        <w:rPr>
          <w:lang w:val="en-US"/>
        </w:rPr>
        <w:t xml:space="preserve">The most recent published report from the national survey is David Throsby and Katya </w:t>
      </w:r>
      <w:proofErr w:type="spellStart"/>
      <w:r w:rsidR="002A6714">
        <w:rPr>
          <w:lang w:val="en-US"/>
        </w:rPr>
        <w:t>Petetskaya</w:t>
      </w:r>
      <w:proofErr w:type="spellEnd"/>
      <w:r w:rsidR="00197B37">
        <w:rPr>
          <w:lang w:val="en-US"/>
        </w:rPr>
        <w:t xml:space="preserve">, </w:t>
      </w:r>
      <w:r w:rsidR="00197B37">
        <w:rPr>
          <w:i/>
          <w:iCs/>
          <w:lang w:val="en-US"/>
        </w:rPr>
        <w:t>Integrating Art Production and Economic Development in Arnhem Land, Northern Territory</w:t>
      </w:r>
      <w:r w:rsidR="00924D77">
        <w:rPr>
          <w:i/>
          <w:iCs/>
          <w:lang w:val="en-US"/>
        </w:rPr>
        <w:t xml:space="preserve">. </w:t>
      </w:r>
      <w:r w:rsidR="000D0DA6">
        <w:rPr>
          <w:lang w:val="en-US"/>
        </w:rPr>
        <w:t xml:space="preserve">Sydney: </w:t>
      </w:r>
      <w:r w:rsidR="00924D77">
        <w:rPr>
          <w:lang w:val="en-US"/>
        </w:rPr>
        <w:t xml:space="preserve">Macquarie University Economics Research Paper </w:t>
      </w:r>
      <w:r w:rsidR="000D0DA6">
        <w:rPr>
          <w:lang w:val="en-US"/>
        </w:rPr>
        <w:t>3/2019.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83099"/>
    <w:multiLevelType w:val="hybridMultilevel"/>
    <w:tmpl w:val="10DE74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4"/>
    <w:rsid w:val="000136C5"/>
    <w:rsid w:val="00013A3B"/>
    <w:rsid w:val="00033411"/>
    <w:rsid w:val="00043CF7"/>
    <w:rsid w:val="00045438"/>
    <w:rsid w:val="00046507"/>
    <w:rsid w:val="00056A2C"/>
    <w:rsid w:val="00060E44"/>
    <w:rsid w:val="0006712B"/>
    <w:rsid w:val="00067B0E"/>
    <w:rsid w:val="00067B7E"/>
    <w:rsid w:val="00083523"/>
    <w:rsid w:val="000B04E1"/>
    <w:rsid w:val="000D0DA6"/>
    <w:rsid w:val="000E12AE"/>
    <w:rsid w:val="000F2658"/>
    <w:rsid w:val="000F67C3"/>
    <w:rsid w:val="00105D21"/>
    <w:rsid w:val="00106A9C"/>
    <w:rsid w:val="0011063D"/>
    <w:rsid w:val="001169A7"/>
    <w:rsid w:val="001254BB"/>
    <w:rsid w:val="0013138D"/>
    <w:rsid w:val="001317FA"/>
    <w:rsid w:val="00131D07"/>
    <w:rsid w:val="001512E1"/>
    <w:rsid w:val="00155D48"/>
    <w:rsid w:val="00161084"/>
    <w:rsid w:val="001720AD"/>
    <w:rsid w:val="00175741"/>
    <w:rsid w:val="00197159"/>
    <w:rsid w:val="00197B37"/>
    <w:rsid w:val="001A05AE"/>
    <w:rsid w:val="001D1F02"/>
    <w:rsid w:val="001D33A9"/>
    <w:rsid w:val="001E1B0D"/>
    <w:rsid w:val="001E2E13"/>
    <w:rsid w:val="001E5605"/>
    <w:rsid w:val="001E5BDD"/>
    <w:rsid w:val="001F1BE2"/>
    <w:rsid w:val="00204A6E"/>
    <w:rsid w:val="00207CE2"/>
    <w:rsid w:val="00215548"/>
    <w:rsid w:val="00247D6B"/>
    <w:rsid w:val="00255097"/>
    <w:rsid w:val="00256014"/>
    <w:rsid w:val="002612BF"/>
    <w:rsid w:val="00265AC5"/>
    <w:rsid w:val="0026626B"/>
    <w:rsid w:val="00267490"/>
    <w:rsid w:val="00273079"/>
    <w:rsid w:val="002951CD"/>
    <w:rsid w:val="002A6714"/>
    <w:rsid w:val="002C2D3A"/>
    <w:rsid w:val="002C3278"/>
    <w:rsid w:val="002C5E67"/>
    <w:rsid w:val="002E7860"/>
    <w:rsid w:val="002F0790"/>
    <w:rsid w:val="002F727E"/>
    <w:rsid w:val="003011EC"/>
    <w:rsid w:val="003044F4"/>
    <w:rsid w:val="00306A84"/>
    <w:rsid w:val="00312E36"/>
    <w:rsid w:val="00327C8D"/>
    <w:rsid w:val="003421F3"/>
    <w:rsid w:val="00345B87"/>
    <w:rsid w:val="00351C90"/>
    <w:rsid w:val="0035365D"/>
    <w:rsid w:val="003551CB"/>
    <w:rsid w:val="00355C21"/>
    <w:rsid w:val="00362783"/>
    <w:rsid w:val="003716C4"/>
    <w:rsid w:val="00375346"/>
    <w:rsid w:val="003765F8"/>
    <w:rsid w:val="00392DE4"/>
    <w:rsid w:val="00394C49"/>
    <w:rsid w:val="003C103C"/>
    <w:rsid w:val="003C6BF4"/>
    <w:rsid w:val="00410DD6"/>
    <w:rsid w:val="004212BF"/>
    <w:rsid w:val="00437668"/>
    <w:rsid w:val="0044380D"/>
    <w:rsid w:val="00454D20"/>
    <w:rsid w:val="004560EB"/>
    <w:rsid w:val="00456521"/>
    <w:rsid w:val="00474FD8"/>
    <w:rsid w:val="004772D8"/>
    <w:rsid w:val="00481187"/>
    <w:rsid w:val="004814E9"/>
    <w:rsid w:val="004B5499"/>
    <w:rsid w:val="004B650E"/>
    <w:rsid w:val="004C5D22"/>
    <w:rsid w:val="004D19AB"/>
    <w:rsid w:val="005002CF"/>
    <w:rsid w:val="0050053B"/>
    <w:rsid w:val="00517989"/>
    <w:rsid w:val="00520E4F"/>
    <w:rsid w:val="0052623C"/>
    <w:rsid w:val="005306CA"/>
    <w:rsid w:val="00530B71"/>
    <w:rsid w:val="00532B13"/>
    <w:rsid w:val="00536F91"/>
    <w:rsid w:val="00537AE9"/>
    <w:rsid w:val="005439FB"/>
    <w:rsid w:val="00550EA2"/>
    <w:rsid w:val="0055338C"/>
    <w:rsid w:val="00561AB6"/>
    <w:rsid w:val="00570571"/>
    <w:rsid w:val="0057106A"/>
    <w:rsid w:val="005819B6"/>
    <w:rsid w:val="00585BFC"/>
    <w:rsid w:val="005A3174"/>
    <w:rsid w:val="005B6884"/>
    <w:rsid w:val="005D77E2"/>
    <w:rsid w:val="005E1400"/>
    <w:rsid w:val="005E4D53"/>
    <w:rsid w:val="005E6648"/>
    <w:rsid w:val="005F3CFE"/>
    <w:rsid w:val="005F45CF"/>
    <w:rsid w:val="00603532"/>
    <w:rsid w:val="006274B3"/>
    <w:rsid w:val="00636D2D"/>
    <w:rsid w:val="00662215"/>
    <w:rsid w:val="0067142B"/>
    <w:rsid w:val="00684AFF"/>
    <w:rsid w:val="00695689"/>
    <w:rsid w:val="006A52D7"/>
    <w:rsid w:val="006B500A"/>
    <w:rsid w:val="006B5FEA"/>
    <w:rsid w:val="006D0DA0"/>
    <w:rsid w:val="006D6ADF"/>
    <w:rsid w:val="00700B98"/>
    <w:rsid w:val="00714936"/>
    <w:rsid w:val="00732892"/>
    <w:rsid w:val="00741E9C"/>
    <w:rsid w:val="00742673"/>
    <w:rsid w:val="00753439"/>
    <w:rsid w:val="00753B13"/>
    <w:rsid w:val="007577A9"/>
    <w:rsid w:val="0076659D"/>
    <w:rsid w:val="00766818"/>
    <w:rsid w:val="00771087"/>
    <w:rsid w:val="007869F8"/>
    <w:rsid w:val="007924D0"/>
    <w:rsid w:val="00796F14"/>
    <w:rsid w:val="007A4519"/>
    <w:rsid w:val="007B1561"/>
    <w:rsid w:val="007B2299"/>
    <w:rsid w:val="007B667B"/>
    <w:rsid w:val="007C2BAC"/>
    <w:rsid w:val="007D48F1"/>
    <w:rsid w:val="007E469C"/>
    <w:rsid w:val="007F075E"/>
    <w:rsid w:val="007F2A65"/>
    <w:rsid w:val="007F5B75"/>
    <w:rsid w:val="00804FF0"/>
    <w:rsid w:val="0081376F"/>
    <w:rsid w:val="0081747B"/>
    <w:rsid w:val="008318A2"/>
    <w:rsid w:val="00831E62"/>
    <w:rsid w:val="0083253A"/>
    <w:rsid w:val="00834B69"/>
    <w:rsid w:val="00845B25"/>
    <w:rsid w:val="00863833"/>
    <w:rsid w:val="00870C78"/>
    <w:rsid w:val="0088031C"/>
    <w:rsid w:val="00884C22"/>
    <w:rsid w:val="008966F7"/>
    <w:rsid w:val="008B044C"/>
    <w:rsid w:val="008B3D07"/>
    <w:rsid w:val="008D0A50"/>
    <w:rsid w:val="008D3009"/>
    <w:rsid w:val="008D4E86"/>
    <w:rsid w:val="008D5B89"/>
    <w:rsid w:val="008D6281"/>
    <w:rsid w:val="008F1873"/>
    <w:rsid w:val="008F5DD5"/>
    <w:rsid w:val="00907BDC"/>
    <w:rsid w:val="009134DF"/>
    <w:rsid w:val="00920AF2"/>
    <w:rsid w:val="00921C5C"/>
    <w:rsid w:val="0092207A"/>
    <w:rsid w:val="00924D77"/>
    <w:rsid w:val="00936CD7"/>
    <w:rsid w:val="00950B29"/>
    <w:rsid w:val="009610B2"/>
    <w:rsid w:val="009701C8"/>
    <w:rsid w:val="00970EB0"/>
    <w:rsid w:val="00971A8D"/>
    <w:rsid w:val="009807E1"/>
    <w:rsid w:val="00991076"/>
    <w:rsid w:val="009929D9"/>
    <w:rsid w:val="009A30F7"/>
    <w:rsid w:val="009A4D46"/>
    <w:rsid w:val="009B0152"/>
    <w:rsid w:val="009B0E7A"/>
    <w:rsid w:val="009E14B8"/>
    <w:rsid w:val="00A11E92"/>
    <w:rsid w:val="00A260FB"/>
    <w:rsid w:val="00A31B2F"/>
    <w:rsid w:val="00A377BB"/>
    <w:rsid w:val="00A418A6"/>
    <w:rsid w:val="00A527FF"/>
    <w:rsid w:val="00A643D0"/>
    <w:rsid w:val="00A654F8"/>
    <w:rsid w:val="00A72434"/>
    <w:rsid w:val="00AA2233"/>
    <w:rsid w:val="00AB4A62"/>
    <w:rsid w:val="00AC70A7"/>
    <w:rsid w:val="00AD1C44"/>
    <w:rsid w:val="00AE1E78"/>
    <w:rsid w:val="00AE606B"/>
    <w:rsid w:val="00AF3041"/>
    <w:rsid w:val="00AF3E7F"/>
    <w:rsid w:val="00B0652F"/>
    <w:rsid w:val="00B1387A"/>
    <w:rsid w:val="00B20445"/>
    <w:rsid w:val="00B2262E"/>
    <w:rsid w:val="00B329D5"/>
    <w:rsid w:val="00B3766A"/>
    <w:rsid w:val="00B43184"/>
    <w:rsid w:val="00B46FB3"/>
    <w:rsid w:val="00B54F31"/>
    <w:rsid w:val="00B572E8"/>
    <w:rsid w:val="00B60F12"/>
    <w:rsid w:val="00B64F09"/>
    <w:rsid w:val="00B70943"/>
    <w:rsid w:val="00B76EDE"/>
    <w:rsid w:val="00B815B5"/>
    <w:rsid w:val="00B81EBB"/>
    <w:rsid w:val="00B82754"/>
    <w:rsid w:val="00B92DF1"/>
    <w:rsid w:val="00BB0BC3"/>
    <w:rsid w:val="00BB43E1"/>
    <w:rsid w:val="00BB7490"/>
    <w:rsid w:val="00BD3CFE"/>
    <w:rsid w:val="00BE70FC"/>
    <w:rsid w:val="00BF461E"/>
    <w:rsid w:val="00C06C04"/>
    <w:rsid w:val="00C10968"/>
    <w:rsid w:val="00C16E7F"/>
    <w:rsid w:val="00C17209"/>
    <w:rsid w:val="00C240D6"/>
    <w:rsid w:val="00C249C8"/>
    <w:rsid w:val="00C27219"/>
    <w:rsid w:val="00C40322"/>
    <w:rsid w:val="00C87D0C"/>
    <w:rsid w:val="00C90ED3"/>
    <w:rsid w:val="00C9439A"/>
    <w:rsid w:val="00CA7BB6"/>
    <w:rsid w:val="00CB3D38"/>
    <w:rsid w:val="00CD450C"/>
    <w:rsid w:val="00CD5C74"/>
    <w:rsid w:val="00CD78AA"/>
    <w:rsid w:val="00D04A98"/>
    <w:rsid w:val="00D14B06"/>
    <w:rsid w:val="00D230D2"/>
    <w:rsid w:val="00D41506"/>
    <w:rsid w:val="00D44F68"/>
    <w:rsid w:val="00D4637B"/>
    <w:rsid w:val="00D5721A"/>
    <w:rsid w:val="00D970F1"/>
    <w:rsid w:val="00DB542D"/>
    <w:rsid w:val="00DD23FB"/>
    <w:rsid w:val="00DD6780"/>
    <w:rsid w:val="00DE1055"/>
    <w:rsid w:val="00E11C39"/>
    <w:rsid w:val="00E17C7F"/>
    <w:rsid w:val="00E20B76"/>
    <w:rsid w:val="00E27C62"/>
    <w:rsid w:val="00E642DD"/>
    <w:rsid w:val="00E65B99"/>
    <w:rsid w:val="00E725E3"/>
    <w:rsid w:val="00E74F05"/>
    <w:rsid w:val="00E82942"/>
    <w:rsid w:val="00EA38AB"/>
    <w:rsid w:val="00EA6544"/>
    <w:rsid w:val="00ED1A3D"/>
    <w:rsid w:val="00ED384E"/>
    <w:rsid w:val="00ED40F6"/>
    <w:rsid w:val="00EE20BC"/>
    <w:rsid w:val="00EE309B"/>
    <w:rsid w:val="00EF1EE6"/>
    <w:rsid w:val="00F168FF"/>
    <w:rsid w:val="00F16F8C"/>
    <w:rsid w:val="00F34BC6"/>
    <w:rsid w:val="00F35323"/>
    <w:rsid w:val="00F3612E"/>
    <w:rsid w:val="00F374D7"/>
    <w:rsid w:val="00F52D27"/>
    <w:rsid w:val="00F85E42"/>
    <w:rsid w:val="00F94CAC"/>
    <w:rsid w:val="00F96BE3"/>
    <w:rsid w:val="00FB4120"/>
    <w:rsid w:val="00FB7B4F"/>
    <w:rsid w:val="00FC0CAE"/>
    <w:rsid w:val="00FC381A"/>
    <w:rsid w:val="00FD396F"/>
    <w:rsid w:val="00FD7475"/>
    <w:rsid w:val="00FE2732"/>
    <w:rsid w:val="00FE6C2F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ED0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06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6F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F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F9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43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39A"/>
  </w:style>
  <w:style w:type="paragraph" w:styleId="Footer">
    <w:name w:val="footer"/>
    <w:basedOn w:val="Normal"/>
    <w:link w:val="FooterChar"/>
    <w:uiPriority w:val="99"/>
    <w:unhideWhenUsed/>
    <w:rsid w:val="00C9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83EAB-43E3-44D1-A94B-4D1C7FC90C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1910</Words>
  <Characters>10890</Characters>
  <Application>Microsoft Office Word</Application>
  <DocSecurity>0</DocSecurity>
  <Lines>90</Lines>
  <Paragraphs>25</Paragraphs>
  <ScaleCrop>false</ScaleCrop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2023-12-14T23:14:00Z</dcterms:created>
  <dcterms:modified xsi:type="dcterms:W3CDTF">2023-12-14T23:14:00Z</dcterms:modified>
</cp:coreProperties>
</file>