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07F1D" w14:textId="77777777" w:rsidR="00203702" w:rsidRPr="009C60A5" w:rsidRDefault="00203702" w:rsidP="009F01CA">
      <w:pPr>
        <w:spacing w:before="0" w:after="1440"/>
      </w:pPr>
      <w:bookmarkStart w:id="0" w:name="_Hlk148428177"/>
      <w:bookmarkEnd w:id="0"/>
      <w:r w:rsidRPr="009C60A5">
        <w:rPr>
          <w:noProof/>
          <w:lang w:eastAsia="en-AU"/>
        </w:rPr>
        <w:drawing>
          <wp:anchor distT="0" distB="0" distL="114300" distR="114300" simplePos="0" relativeHeight="251658240" behindDoc="1" locked="1" layoutInCell="1" allowOverlap="1" wp14:anchorId="10411221" wp14:editId="455562CE">
            <wp:simplePos x="0" y="0"/>
            <wp:positionH relativeFrom="page">
              <wp:posOffset>-1346835</wp:posOffset>
            </wp:positionH>
            <wp:positionV relativeFrom="page">
              <wp:posOffset>6350</wp:posOffset>
            </wp:positionV>
            <wp:extent cx="10691495" cy="19431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0691495" cy="1943100"/>
                    </a:xfrm>
                    <a:prstGeom prst="rect">
                      <a:avLst/>
                    </a:prstGeom>
                  </pic:spPr>
                </pic:pic>
              </a:graphicData>
            </a:graphic>
            <wp14:sizeRelH relativeFrom="margin">
              <wp14:pctWidth>0</wp14:pctWidth>
            </wp14:sizeRelH>
            <wp14:sizeRelV relativeFrom="margin">
              <wp14:pctHeight>0</wp14:pctHeight>
            </wp14:sizeRelV>
          </wp:anchor>
        </w:drawing>
      </w:r>
      <w:r w:rsidRPr="009C60A5">
        <w:rPr>
          <w:noProof/>
          <w:lang w:eastAsia="en-AU"/>
        </w:rPr>
        <w:drawing>
          <wp:inline distT="0" distB="0" distL="0" distR="0" wp14:anchorId="4D777699" wp14:editId="7B0D9875">
            <wp:extent cx="3647611" cy="669240"/>
            <wp:effectExtent l="0" t="0" r="0" b="0"/>
            <wp:docPr id="8" name="Picture 8"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p>
    <w:p w14:paraId="4409360E" w14:textId="77777777" w:rsidR="005653A9" w:rsidRPr="009C60A5" w:rsidRDefault="005653A9" w:rsidP="009F01CA">
      <w:pPr>
        <w:pStyle w:val="AreaHeading"/>
        <w:spacing w:before="240" w:after="120"/>
      </w:pPr>
    </w:p>
    <w:p w14:paraId="306B8B9B" w14:textId="77777777" w:rsidR="00E77C37" w:rsidRPr="009C60A5" w:rsidRDefault="00E77C37" w:rsidP="009F01CA">
      <w:pPr>
        <w:pStyle w:val="AreaHeading"/>
        <w:spacing w:before="240" w:after="120"/>
      </w:pPr>
    </w:p>
    <w:sdt>
      <w:sdtPr>
        <w:rPr>
          <w:b/>
          <w:sz w:val="60"/>
          <w:szCs w:val="60"/>
        </w:rPr>
        <w:alias w:val="Title"/>
        <w:tag w:val=""/>
        <w:id w:val="963621615"/>
        <w:placeholder>
          <w:docPart w:val="8248ECE0A1D541EC860541F613676BC2"/>
        </w:placeholder>
        <w:dataBinding w:prefixMappings="xmlns:ns0='http://purl.org/dc/elements/1.1/' xmlns:ns1='http://schemas.openxmlformats.org/package/2006/metadata/core-properties' " w:xpath="/ns1:coreProperties[1]/ns0:title[1]" w:storeItemID="{6C3C8BC8-F283-45AE-878A-BAB7291924A1}"/>
        <w:text/>
      </w:sdtPr>
      <w:sdtEndPr/>
      <w:sdtContent>
        <w:p w14:paraId="6BFD1EA6" w14:textId="5E537A1B" w:rsidR="009D39F0" w:rsidRDefault="006E4D4C" w:rsidP="009F01CA">
          <w:pPr>
            <w:rPr>
              <w:b/>
              <w:sz w:val="60"/>
              <w:szCs w:val="60"/>
            </w:rPr>
          </w:pPr>
          <w:r>
            <w:rPr>
              <w:b/>
              <w:sz w:val="60"/>
              <w:szCs w:val="60"/>
            </w:rPr>
            <w:t>Better delivery of universal services</w:t>
          </w:r>
        </w:p>
      </w:sdtContent>
    </w:sdt>
    <w:p w14:paraId="7093F1B7" w14:textId="21478456" w:rsidR="00E77C37" w:rsidRPr="009C60A5" w:rsidRDefault="00E77C37" w:rsidP="009F01CA">
      <w:pPr>
        <w:pStyle w:val="Subtitle"/>
      </w:pPr>
      <w:r w:rsidRPr="009C60A5">
        <w:t>Discussion Paper</w:t>
      </w:r>
    </w:p>
    <w:sdt>
      <w:sdtPr>
        <w:rPr>
          <w:sz w:val="36"/>
          <w:szCs w:val="36"/>
        </w:rPr>
        <w:alias w:val="Publish Date"/>
        <w:tag w:val=""/>
        <w:id w:val="452527336"/>
        <w:placeholder>
          <w:docPart w:val="2EABE90ABB1C4FA787D4FDB347CCF116"/>
        </w:placeholder>
        <w:dataBinding w:prefixMappings="xmlns:ns0='http://schemas.microsoft.com/office/2006/coverPageProps' " w:xpath="/ns0:CoverPageProperties[1]/ns0:PublishDate[1]" w:storeItemID="{55AF091B-3C7A-41E3-B477-F2FDAA23CFDA}"/>
        <w:date w:fullDate="2023-10-27T00:00:00Z">
          <w:dateFormat w:val="MMMM yyyy"/>
          <w:lid w:val="en-AU"/>
          <w:storeMappedDataAs w:val="dateTime"/>
          <w:calendar w:val="gregorian"/>
        </w:date>
      </w:sdtPr>
      <w:sdtEndPr/>
      <w:sdtContent>
        <w:p w14:paraId="76ACF9D4" w14:textId="77777777" w:rsidR="00DE4FE2" w:rsidRPr="009C60A5" w:rsidRDefault="00027AA5" w:rsidP="009F01CA">
          <w:pPr>
            <w:pStyle w:val="CoverDate"/>
            <w:rPr>
              <w:sz w:val="36"/>
              <w:szCs w:val="36"/>
            </w:rPr>
          </w:pPr>
          <w:r w:rsidRPr="009C60A5">
            <w:rPr>
              <w:sz w:val="36"/>
              <w:szCs w:val="36"/>
            </w:rPr>
            <w:t>October 2023</w:t>
          </w:r>
        </w:p>
      </w:sdtContent>
    </w:sdt>
    <w:p w14:paraId="64F9400F" w14:textId="77777777" w:rsidR="007A0640" w:rsidRPr="009C60A5" w:rsidRDefault="007A0640" w:rsidP="009F01CA">
      <w:pPr>
        <w:pStyle w:val="CoverDate"/>
      </w:pPr>
    </w:p>
    <w:p w14:paraId="3EBDBE2F" w14:textId="77777777" w:rsidR="007A0640" w:rsidRPr="009C60A5" w:rsidRDefault="007A0640" w:rsidP="009F01CA">
      <w:pPr>
        <w:suppressAutoHyphens w:val="0"/>
        <w:rPr>
          <w:kern w:val="12"/>
        </w:rPr>
      </w:pPr>
      <w:r w:rsidRPr="009C60A5">
        <w:br w:type="page"/>
      </w:r>
    </w:p>
    <w:p w14:paraId="1035F867" w14:textId="77777777" w:rsidR="007A0640" w:rsidRPr="009C60A5" w:rsidRDefault="007A0640" w:rsidP="009F01CA">
      <w:r w:rsidRPr="009C60A5">
        <w:lastRenderedPageBreak/>
        <w:t>© Commonwealth of Australia 2023</w:t>
      </w:r>
    </w:p>
    <w:p w14:paraId="01874D68" w14:textId="77777777" w:rsidR="007A0640" w:rsidRPr="009C60A5" w:rsidRDefault="00E77C37" w:rsidP="009F01CA">
      <w:r w:rsidRPr="009C60A5">
        <w:t xml:space="preserve">OCTOBER </w:t>
      </w:r>
      <w:r w:rsidR="007A0640" w:rsidRPr="009C60A5">
        <w:t>2023 / INFRASTRUCTURE</w:t>
      </w:r>
    </w:p>
    <w:p w14:paraId="3EB134EC" w14:textId="77777777" w:rsidR="007A0640" w:rsidRPr="009C60A5" w:rsidRDefault="007A0640" w:rsidP="009F01CA">
      <w:pPr>
        <w:rPr>
          <w:b/>
          <w:sz w:val="24"/>
          <w:szCs w:val="24"/>
        </w:rPr>
      </w:pPr>
      <w:bookmarkStart w:id="1" w:name="_Toc142983191"/>
      <w:bookmarkStart w:id="2" w:name="_Toc143003328"/>
      <w:r w:rsidRPr="009C60A5">
        <w:rPr>
          <w:b/>
          <w:sz w:val="24"/>
          <w:szCs w:val="24"/>
        </w:rPr>
        <w:t>Ownership of intellectual property rights in this publication</w:t>
      </w:r>
      <w:bookmarkEnd w:id="1"/>
      <w:bookmarkEnd w:id="2"/>
    </w:p>
    <w:p w14:paraId="2F4806AC" w14:textId="77777777" w:rsidR="007A0640" w:rsidRPr="009C60A5" w:rsidRDefault="007A0640" w:rsidP="009F01CA">
      <w:r w:rsidRPr="009C60A5">
        <w:t>Unless otherwise noted, copyright (and any other intellectual property rights, if any) in this publication is owned by the Commonwealth of Australia (referred to below as the Commonwealth).</w:t>
      </w:r>
    </w:p>
    <w:p w14:paraId="7934B79E" w14:textId="77777777" w:rsidR="007A0640" w:rsidRPr="009C60A5" w:rsidRDefault="007A0640" w:rsidP="009F01CA">
      <w:pPr>
        <w:rPr>
          <w:b/>
        </w:rPr>
      </w:pPr>
      <w:bookmarkStart w:id="3" w:name="_Toc142983192"/>
      <w:bookmarkStart w:id="4" w:name="_Toc143003329"/>
      <w:r w:rsidRPr="009C60A5">
        <w:rPr>
          <w:b/>
        </w:rPr>
        <w:t>Disclaimer</w:t>
      </w:r>
      <w:bookmarkEnd w:id="3"/>
      <w:bookmarkEnd w:id="4"/>
    </w:p>
    <w:p w14:paraId="76751F02" w14:textId="77777777" w:rsidR="007A0640" w:rsidRPr="009C60A5" w:rsidRDefault="007A0640" w:rsidP="009F01CA">
      <w:r w:rsidRPr="009C60A5">
        <w:t>The material contained in this publication is made available on the understanding that the Commonwealth is not providing professional advice, and that users exercise their own skill and care with respect to its use, and seek independent advice if necessary.</w:t>
      </w:r>
    </w:p>
    <w:p w14:paraId="06337E40" w14:textId="77777777" w:rsidR="007A0640" w:rsidRPr="009C60A5" w:rsidRDefault="007A0640" w:rsidP="009F01CA">
      <w:r w:rsidRPr="009C60A5">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007F0DBC" w14:textId="77777777" w:rsidR="007A0640" w:rsidRPr="009C60A5" w:rsidRDefault="007A0640" w:rsidP="009F01CA">
      <w:pPr>
        <w:rPr>
          <w:b/>
        </w:rPr>
      </w:pPr>
      <w:bookmarkStart w:id="5" w:name="_Toc142983193"/>
      <w:bookmarkStart w:id="6" w:name="_Toc143003330"/>
      <w:r w:rsidRPr="009C60A5">
        <w:rPr>
          <w:b/>
        </w:rPr>
        <w:t>Creative Commons licence</w:t>
      </w:r>
      <w:bookmarkEnd w:id="5"/>
      <w:bookmarkEnd w:id="6"/>
    </w:p>
    <w:p w14:paraId="253E866B" w14:textId="77777777" w:rsidR="007A0640" w:rsidRPr="009C60A5" w:rsidRDefault="007A0640" w:rsidP="009F01CA">
      <w:r w:rsidRPr="009C60A5">
        <w:t>With the exception of (a) the Coat of Arms; (b) the Department of Infrastructure, Transport, Regional Development, Communications and the Arts photos and graphics, copyright in this publication is licensed under a Creative Commons Attribution 4.0 Australia Licence.</w:t>
      </w:r>
    </w:p>
    <w:p w14:paraId="6AB77549" w14:textId="77777777" w:rsidR="007A0640" w:rsidRPr="009C60A5" w:rsidRDefault="007A0640" w:rsidP="009F01CA">
      <w:r w:rsidRPr="009C60A5">
        <w:t>Creative Commons Attribution 4.0 Australia Licence is a standard form licence agreement that allows you to copy, communicate and adapt this publication provided that you attribute the work to the Commonwealth and abide by the other licence terms.</w:t>
      </w:r>
    </w:p>
    <w:p w14:paraId="1B1B62A0" w14:textId="77777777" w:rsidR="007A0640" w:rsidRPr="009C60A5" w:rsidRDefault="007A0640" w:rsidP="009F01CA">
      <w:r w:rsidRPr="009C60A5">
        <w:t xml:space="preserve">Further information on the licence terms is available from </w:t>
      </w:r>
      <w:hyperlink r:id="rId14" w:tooltip="Creative Commons website" w:history="1">
        <w:r w:rsidRPr="009C60A5">
          <w:rPr>
            <w:rStyle w:val="Hyperlink"/>
          </w:rPr>
          <w:t>https://creativecommons.org/licenses/by/4.0/</w:t>
        </w:r>
      </w:hyperlink>
      <w:r w:rsidRPr="009C60A5">
        <w:t>.</w:t>
      </w:r>
    </w:p>
    <w:p w14:paraId="04A361E8" w14:textId="77777777" w:rsidR="007A0640" w:rsidRPr="009C60A5" w:rsidRDefault="007A0640" w:rsidP="009F01CA">
      <w:r w:rsidRPr="009C60A5">
        <w:t>This publication should be attributed in the following way: © Commonwealth of Australia 2023.</w:t>
      </w:r>
    </w:p>
    <w:p w14:paraId="0AEFA33A" w14:textId="77777777" w:rsidR="007A0640" w:rsidRPr="009C60A5" w:rsidRDefault="007A0640" w:rsidP="009F01CA">
      <w:pPr>
        <w:rPr>
          <w:b/>
        </w:rPr>
      </w:pPr>
      <w:bookmarkStart w:id="7" w:name="_Toc142983194"/>
      <w:bookmarkStart w:id="8" w:name="_Toc143003331"/>
      <w:r w:rsidRPr="009C60A5">
        <w:rPr>
          <w:b/>
        </w:rPr>
        <w:t>Use of the Coat of Arms</w:t>
      </w:r>
      <w:bookmarkEnd w:id="7"/>
      <w:bookmarkEnd w:id="8"/>
    </w:p>
    <w:p w14:paraId="2655A66A" w14:textId="77777777" w:rsidR="007A0640" w:rsidRPr="009C60A5" w:rsidRDefault="007A0640" w:rsidP="009F01CA">
      <w:r w:rsidRPr="009C60A5">
        <w:t xml:space="preserve">The Department of the Prime Minister and Cabinet sets the terms under which the Coat of Arms is used. Please refer to the Commonwealth Coat of Arms - Information and Guidelines publication available at </w:t>
      </w:r>
      <w:hyperlink r:id="rId15" w:tooltip="Department of Prime Minister and Cabinet website" w:history="1">
        <w:r w:rsidRPr="009C60A5">
          <w:rPr>
            <w:rStyle w:val="Hyperlink"/>
          </w:rPr>
          <w:t>http://www.pmc.gov.au</w:t>
        </w:r>
      </w:hyperlink>
      <w:r w:rsidRPr="009C60A5">
        <w:t>.</w:t>
      </w:r>
    </w:p>
    <w:p w14:paraId="3EDDE8C8" w14:textId="77777777" w:rsidR="007A0640" w:rsidRPr="009C60A5" w:rsidRDefault="007A0640" w:rsidP="009F01CA">
      <w:pPr>
        <w:rPr>
          <w:b/>
        </w:rPr>
      </w:pPr>
      <w:bookmarkStart w:id="9" w:name="_Toc142983195"/>
      <w:bookmarkStart w:id="10" w:name="_Toc143003332"/>
      <w:r w:rsidRPr="009C60A5">
        <w:rPr>
          <w:b/>
        </w:rPr>
        <w:t>Contact us</w:t>
      </w:r>
      <w:bookmarkEnd w:id="9"/>
      <w:bookmarkEnd w:id="10"/>
    </w:p>
    <w:p w14:paraId="623803F1" w14:textId="77777777" w:rsidR="00B01E12" w:rsidRPr="009C60A5" w:rsidRDefault="007A0640" w:rsidP="009F01CA">
      <w:r w:rsidRPr="009C60A5">
        <w:t>This publication is available in hard copy or PDF format. All other rights are reserved, including in relation to any departmental logos or trademarks which may exist. For enquiries regarding the licence and any use of this publication, please contact:</w:t>
      </w:r>
    </w:p>
    <w:p w14:paraId="19FC12BD" w14:textId="77777777" w:rsidR="007A0640" w:rsidRPr="009C60A5" w:rsidRDefault="007A0640" w:rsidP="009F01CA">
      <w:pPr>
        <w:spacing w:before="0" w:after="0"/>
        <w:ind w:left="720"/>
      </w:pPr>
      <w:r w:rsidRPr="009C60A5">
        <w:t>Director—Creative Services</w:t>
      </w:r>
    </w:p>
    <w:p w14:paraId="76679C7F" w14:textId="77777777" w:rsidR="007A0640" w:rsidRPr="009C60A5" w:rsidRDefault="007A0640" w:rsidP="009F01CA">
      <w:pPr>
        <w:spacing w:before="0" w:after="0"/>
        <w:ind w:left="720"/>
      </w:pPr>
      <w:r w:rsidRPr="009C60A5">
        <w:t>Communication Branch</w:t>
      </w:r>
    </w:p>
    <w:p w14:paraId="7FEBAB0B" w14:textId="77777777" w:rsidR="007A0640" w:rsidRPr="009C60A5" w:rsidRDefault="007A0640" w:rsidP="009F01CA">
      <w:pPr>
        <w:spacing w:before="0" w:after="0"/>
        <w:ind w:left="720"/>
      </w:pPr>
      <w:r w:rsidRPr="009C60A5">
        <w:t>Department of Infrastructure, Transport, Regional Development, Communications and the Arts</w:t>
      </w:r>
    </w:p>
    <w:p w14:paraId="0F0DCF64" w14:textId="77777777" w:rsidR="007A0640" w:rsidRPr="009C60A5" w:rsidRDefault="007A0640" w:rsidP="009F01CA">
      <w:pPr>
        <w:spacing w:before="0" w:after="0"/>
        <w:ind w:left="720"/>
      </w:pPr>
      <w:r w:rsidRPr="009C60A5">
        <w:t>GPO Box 594</w:t>
      </w:r>
    </w:p>
    <w:p w14:paraId="1FD9F5B0" w14:textId="77777777" w:rsidR="007A0640" w:rsidRPr="009C60A5" w:rsidRDefault="007A0640" w:rsidP="009F01CA">
      <w:pPr>
        <w:spacing w:before="0" w:after="0"/>
        <w:ind w:left="720"/>
      </w:pPr>
      <w:r w:rsidRPr="009C60A5">
        <w:t>Canberra ACT 2601</w:t>
      </w:r>
    </w:p>
    <w:p w14:paraId="07B329EC" w14:textId="77777777" w:rsidR="00B01E12" w:rsidRPr="009C60A5" w:rsidRDefault="007A0640" w:rsidP="009F01CA">
      <w:pPr>
        <w:spacing w:before="0" w:after="0"/>
        <w:ind w:left="720"/>
      </w:pPr>
      <w:r w:rsidRPr="009C60A5">
        <w:t>Australia</w:t>
      </w:r>
    </w:p>
    <w:p w14:paraId="7F5BF30F" w14:textId="77777777" w:rsidR="001C7146" w:rsidRPr="009C60A5" w:rsidRDefault="001C7146" w:rsidP="009F01CA">
      <w:pPr>
        <w:spacing w:before="0" w:after="0"/>
        <w:ind w:left="720"/>
      </w:pPr>
    </w:p>
    <w:p w14:paraId="05888CB9" w14:textId="77777777" w:rsidR="007A0640" w:rsidRPr="009C60A5" w:rsidRDefault="007A0640" w:rsidP="009F01CA">
      <w:pPr>
        <w:spacing w:before="0" w:after="0"/>
        <w:ind w:left="720"/>
      </w:pPr>
      <w:r w:rsidRPr="009C60A5">
        <w:t xml:space="preserve">Email: </w:t>
      </w:r>
      <w:hyperlink r:id="rId16" w:tooltip="Email the Publishing team at the Department of Infrastructure, Transport, Regional Development and Communications" w:history="1">
        <w:r w:rsidRPr="009C60A5">
          <w:rPr>
            <w:rStyle w:val="Hyperlink"/>
          </w:rPr>
          <w:t>publishing@infrastructure.gov.au</w:t>
        </w:r>
      </w:hyperlink>
    </w:p>
    <w:p w14:paraId="628B5BDD" w14:textId="77777777" w:rsidR="00EB1904" w:rsidRPr="009C60A5" w:rsidRDefault="007A0640" w:rsidP="009F01CA">
      <w:pPr>
        <w:spacing w:before="0" w:after="0"/>
        <w:ind w:left="720"/>
        <w:rPr>
          <w:rStyle w:val="Hyperlink"/>
        </w:rPr>
      </w:pPr>
      <w:r w:rsidRPr="009C60A5">
        <w:t xml:space="preserve">Website: </w:t>
      </w:r>
      <w:hyperlink r:id="rId17" w:tooltip="Department of Infrastructure, Transport, Regional Development and Communications website" w:history="1">
        <w:r w:rsidRPr="009C60A5">
          <w:rPr>
            <w:rStyle w:val="Hyperlink"/>
          </w:rPr>
          <w:t>www.infrastructure.gov.au</w:t>
        </w:r>
      </w:hyperlink>
    </w:p>
    <w:p w14:paraId="17501224" w14:textId="77777777" w:rsidR="007A0640" w:rsidRPr="009C60A5" w:rsidRDefault="00EB1904" w:rsidP="009F01CA">
      <w:pPr>
        <w:suppressAutoHyphens w:val="0"/>
        <w:rPr>
          <w:color w:val="0046FF" w:themeColor="hyperlink"/>
          <w:u w:val="single"/>
        </w:rPr>
      </w:pPr>
      <w:r w:rsidRPr="009C60A5">
        <w:rPr>
          <w:rStyle w:val="Hyperlink"/>
        </w:rPr>
        <w:br w:type="page"/>
      </w:r>
    </w:p>
    <w:bookmarkStart w:id="11" w:name="_Toc143003333" w:displacedByCustomXml="next"/>
    <w:sdt>
      <w:sdtPr>
        <w:rPr>
          <w:b w:val="0"/>
          <w:noProof w:val="0"/>
          <w:sz w:val="22"/>
          <w:u w:val="none"/>
        </w:rPr>
        <w:id w:val="-23333846"/>
        <w:docPartObj>
          <w:docPartGallery w:val="Table of Contents"/>
          <w:docPartUnique/>
        </w:docPartObj>
      </w:sdtPr>
      <w:sdtEndPr>
        <w:rPr>
          <w:bCs/>
        </w:rPr>
      </w:sdtEndPr>
      <w:sdtContent>
        <w:p w14:paraId="595DB154" w14:textId="77777777" w:rsidR="0094185D" w:rsidRDefault="007D0012" w:rsidP="0094185D">
          <w:pPr>
            <w:pStyle w:val="TOC1"/>
            <w:rPr>
              <w:sz w:val="44"/>
              <w:szCs w:val="44"/>
            </w:rPr>
          </w:pPr>
          <w:r w:rsidRPr="00B322EF">
            <w:rPr>
              <w:sz w:val="44"/>
              <w:szCs w:val="44"/>
            </w:rPr>
            <w:t>Contents</w:t>
          </w:r>
          <w:bookmarkEnd w:id="11"/>
        </w:p>
        <w:p w14:paraId="079017FA" w14:textId="051F0E7B" w:rsidR="00C53D21" w:rsidRDefault="007D0012">
          <w:pPr>
            <w:pStyle w:val="TOC1"/>
            <w:rPr>
              <w:rFonts w:eastAsiaTheme="minorEastAsia"/>
              <w:b w:val="0"/>
              <w:color w:val="auto"/>
              <w:sz w:val="22"/>
              <w:u w:val="none"/>
              <w:lang w:eastAsia="en-AU"/>
            </w:rPr>
          </w:pPr>
          <w:r w:rsidRPr="00B322EF">
            <w:fldChar w:fldCharType="begin"/>
          </w:r>
          <w:r w:rsidRPr="00B322EF">
            <w:instrText xml:space="preserve"> TOC \o "1-3" \h \z \u </w:instrText>
          </w:r>
          <w:r w:rsidRPr="00B322EF">
            <w:fldChar w:fldCharType="separate"/>
          </w:r>
          <w:hyperlink w:anchor="_Toc149309860" w:history="1">
            <w:r w:rsidR="00C53D21" w:rsidRPr="00BB3279">
              <w:rPr>
                <w:rStyle w:val="Hyperlink"/>
              </w:rPr>
              <w:t>Introduction</w:t>
            </w:r>
            <w:r w:rsidR="00C53D21">
              <w:rPr>
                <w:webHidden/>
              </w:rPr>
              <w:tab/>
            </w:r>
            <w:r w:rsidR="00C53D21">
              <w:rPr>
                <w:webHidden/>
              </w:rPr>
              <w:fldChar w:fldCharType="begin"/>
            </w:r>
            <w:r w:rsidR="00C53D21">
              <w:rPr>
                <w:webHidden/>
              </w:rPr>
              <w:instrText xml:space="preserve"> PAGEREF _Toc149309860 \h </w:instrText>
            </w:r>
            <w:r w:rsidR="00C53D21">
              <w:rPr>
                <w:webHidden/>
              </w:rPr>
            </w:r>
            <w:r w:rsidR="00C53D21">
              <w:rPr>
                <w:webHidden/>
              </w:rPr>
              <w:fldChar w:fldCharType="separate"/>
            </w:r>
            <w:r w:rsidR="00C53D21">
              <w:rPr>
                <w:webHidden/>
              </w:rPr>
              <w:t>1</w:t>
            </w:r>
            <w:r w:rsidR="00C53D21">
              <w:rPr>
                <w:webHidden/>
              </w:rPr>
              <w:fldChar w:fldCharType="end"/>
            </w:r>
          </w:hyperlink>
        </w:p>
        <w:p w14:paraId="3DF48346" w14:textId="27FB9AC6" w:rsidR="00C53D21" w:rsidRDefault="00C53D21">
          <w:pPr>
            <w:pStyle w:val="TOC1"/>
            <w:rPr>
              <w:rFonts w:eastAsiaTheme="minorEastAsia"/>
              <w:b w:val="0"/>
              <w:color w:val="auto"/>
              <w:sz w:val="22"/>
              <w:u w:val="none"/>
              <w:lang w:eastAsia="en-AU"/>
            </w:rPr>
          </w:pPr>
          <w:hyperlink w:anchor="_Toc149309861" w:history="1">
            <w:r w:rsidRPr="00BB3279">
              <w:rPr>
                <w:rStyle w:val="Hyperlink"/>
              </w:rPr>
              <w:t>Background</w:t>
            </w:r>
            <w:r>
              <w:rPr>
                <w:webHidden/>
              </w:rPr>
              <w:tab/>
            </w:r>
            <w:r>
              <w:rPr>
                <w:webHidden/>
              </w:rPr>
              <w:fldChar w:fldCharType="begin"/>
            </w:r>
            <w:r>
              <w:rPr>
                <w:webHidden/>
              </w:rPr>
              <w:instrText xml:space="preserve"> PAGEREF _Toc149309861 \h </w:instrText>
            </w:r>
            <w:r>
              <w:rPr>
                <w:webHidden/>
              </w:rPr>
            </w:r>
            <w:r>
              <w:rPr>
                <w:webHidden/>
              </w:rPr>
              <w:fldChar w:fldCharType="separate"/>
            </w:r>
            <w:r>
              <w:rPr>
                <w:webHidden/>
              </w:rPr>
              <w:t>2</w:t>
            </w:r>
            <w:r>
              <w:rPr>
                <w:webHidden/>
              </w:rPr>
              <w:fldChar w:fldCharType="end"/>
            </w:r>
          </w:hyperlink>
        </w:p>
        <w:p w14:paraId="685CE9C5" w14:textId="4405E7B8" w:rsidR="00C53D21" w:rsidRDefault="00C53D21">
          <w:pPr>
            <w:pStyle w:val="TOC2"/>
            <w:rPr>
              <w:rFonts w:eastAsiaTheme="minorEastAsia"/>
              <w:noProof/>
              <w:color w:val="auto"/>
              <w:lang w:eastAsia="en-AU"/>
            </w:rPr>
          </w:pPr>
          <w:hyperlink w:anchor="_Toc149309862" w:history="1">
            <w:r w:rsidRPr="00BB3279">
              <w:rPr>
                <w:rStyle w:val="Hyperlink"/>
                <w:noProof/>
              </w:rPr>
              <w:t>Availability of telecommunications networks</w:t>
            </w:r>
            <w:r>
              <w:rPr>
                <w:noProof/>
                <w:webHidden/>
              </w:rPr>
              <w:tab/>
            </w:r>
            <w:r>
              <w:rPr>
                <w:noProof/>
                <w:webHidden/>
              </w:rPr>
              <w:fldChar w:fldCharType="begin"/>
            </w:r>
            <w:r>
              <w:rPr>
                <w:noProof/>
                <w:webHidden/>
              </w:rPr>
              <w:instrText xml:space="preserve"> PAGEREF _Toc149309862 \h </w:instrText>
            </w:r>
            <w:r>
              <w:rPr>
                <w:noProof/>
                <w:webHidden/>
              </w:rPr>
            </w:r>
            <w:r>
              <w:rPr>
                <w:noProof/>
                <w:webHidden/>
              </w:rPr>
              <w:fldChar w:fldCharType="separate"/>
            </w:r>
            <w:r>
              <w:rPr>
                <w:noProof/>
                <w:webHidden/>
              </w:rPr>
              <w:t>2</w:t>
            </w:r>
            <w:r>
              <w:rPr>
                <w:noProof/>
                <w:webHidden/>
              </w:rPr>
              <w:fldChar w:fldCharType="end"/>
            </w:r>
          </w:hyperlink>
        </w:p>
        <w:p w14:paraId="4F81267F" w14:textId="0DE3AA8E" w:rsidR="00C53D21" w:rsidRDefault="00C53D21">
          <w:pPr>
            <w:pStyle w:val="TOC2"/>
            <w:rPr>
              <w:rFonts w:eastAsiaTheme="minorEastAsia"/>
              <w:noProof/>
              <w:color w:val="auto"/>
              <w:lang w:eastAsia="en-AU"/>
            </w:rPr>
          </w:pPr>
          <w:hyperlink w:anchor="_Toc149309863" w:history="1">
            <w:r w:rsidRPr="00BB3279">
              <w:rPr>
                <w:rStyle w:val="Hyperlink"/>
                <w:noProof/>
              </w:rPr>
              <w:t>Current universal service framework</w:t>
            </w:r>
            <w:r>
              <w:rPr>
                <w:noProof/>
                <w:webHidden/>
              </w:rPr>
              <w:tab/>
            </w:r>
            <w:r>
              <w:rPr>
                <w:noProof/>
                <w:webHidden/>
              </w:rPr>
              <w:fldChar w:fldCharType="begin"/>
            </w:r>
            <w:r>
              <w:rPr>
                <w:noProof/>
                <w:webHidden/>
              </w:rPr>
              <w:instrText xml:space="preserve"> PAGEREF _Toc149309863 \h </w:instrText>
            </w:r>
            <w:r>
              <w:rPr>
                <w:noProof/>
                <w:webHidden/>
              </w:rPr>
            </w:r>
            <w:r>
              <w:rPr>
                <w:noProof/>
                <w:webHidden/>
              </w:rPr>
              <w:fldChar w:fldCharType="separate"/>
            </w:r>
            <w:r>
              <w:rPr>
                <w:noProof/>
                <w:webHidden/>
              </w:rPr>
              <w:t>3</w:t>
            </w:r>
            <w:r>
              <w:rPr>
                <w:noProof/>
                <w:webHidden/>
              </w:rPr>
              <w:fldChar w:fldCharType="end"/>
            </w:r>
          </w:hyperlink>
        </w:p>
        <w:p w14:paraId="28AEC09D" w14:textId="2FBA727F" w:rsidR="00C53D21" w:rsidRDefault="00C53D21">
          <w:pPr>
            <w:pStyle w:val="TOC2"/>
            <w:rPr>
              <w:rFonts w:eastAsiaTheme="minorEastAsia"/>
              <w:noProof/>
              <w:color w:val="auto"/>
              <w:lang w:eastAsia="en-AU"/>
            </w:rPr>
          </w:pPr>
          <w:hyperlink w:anchor="_Toc149309864" w:history="1">
            <w:r w:rsidRPr="00BB3279">
              <w:rPr>
                <w:rStyle w:val="Hyperlink"/>
                <w:noProof/>
              </w:rPr>
              <w:t>How many fixed voice services are supplied under the USO?</w:t>
            </w:r>
            <w:r>
              <w:rPr>
                <w:noProof/>
                <w:webHidden/>
              </w:rPr>
              <w:tab/>
            </w:r>
            <w:r>
              <w:rPr>
                <w:noProof/>
                <w:webHidden/>
              </w:rPr>
              <w:fldChar w:fldCharType="begin"/>
            </w:r>
            <w:r>
              <w:rPr>
                <w:noProof/>
                <w:webHidden/>
              </w:rPr>
              <w:instrText xml:space="preserve"> PAGEREF _Toc149309864 \h </w:instrText>
            </w:r>
            <w:r>
              <w:rPr>
                <w:noProof/>
                <w:webHidden/>
              </w:rPr>
            </w:r>
            <w:r>
              <w:rPr>
                <w:noProof/>
                <w:webHidden/>
              </w:rPr>
              <w:fldChar w:fldCharType="separate"/>
            </w:r>
            <w:r>
              <w:rPr>
                <w:noProof/>
                <w:webHidden/>
              </w:rPr>
              <w:t>6</w:t>
            </w:r>
            <w:r>
              <w:rPr>
                <w:noProof/>
                <w:webHidden/>
              </w:rPr>
              <w:fldChar w:fldCharType="end"/>
            </w:r>
          </w:hyperlink>
        </w:p>
        <w:p w14:paraId="531FFEC8" w14:textId="090CD661" w:rsidR="00C53D21" w:rsidRDefault="00C53D21">
          <w:pPr>
            <w:pStyle w:val="TOC1"/>
            <w:rPr>
              <w:rFonts w:eastAsiaTheme="minorEastAsia"/>
              <w:b w:val="0"/>
              <w:color w:val="auto"/>
              <w:sz w:val="22"/>
              <w:u w:val="none"/>
              <w:lang w:eastAsia="en-AU"/>
            </w:rPr>
          </w:pPr>
          <w:hyperlink w:anchor="_Toc149309865" w:history="1">
            <w:r w:rsidRPr="00BB3279">
              <w:rPr>
                <w:rStyle w:val="Hyperlink"/>
              </w:rPr>
              <w:t>Pressures and opportunities for change</w:t>
            </w:r>
            <w:r>
              <w:rPr>
                <w:webHidden/>
              </w:rPr>
              <w:tab/>
            </w:r>
            <w:r>
              <w:rPr>
                <w:webHidden/>
              </w:rPr>
              <w:fldChar w:fldCharType="begin"/>
            </w:r>
            <w:r>
              <w:rPr>
                <w:webHidden/>
              </w:rPr>
              <w:instrText xml:space="preserve"> PAGEREF _Toc149309865 \h </w:instrText>
            </w:r>
            <w:r>
              <w:rPr>
                <w:webHidden/>
              </w:rPr>
            </w:r>
            <w:r>
              <w:rPr>
                <w:webHidden/>
              </w:rPr>
              <w:fldChar w:fldCharType="separate"/>
            </w:r>
            <w:r>
              <w:rPr>
                <w:webHidden/>
              </w:rPr>
              <w:t>7</w:t>
            </w:r>
            <w:r>
              <w:rPr>
                <w:webHidden/>
              </w:rPr>
              <w:fldChar w:fldCharType="end"/>
            </w:r>
          </w:hyperlink>
        </w:p>
        <w:p w14:paraId="0D7E1DE5" w14:textId="4FCDD334" w:rsidR="00C53D21" w:rsidRDefault="00C53D21">
          <w:pPr>
            <w:pStyle w:val="TOC2"/>
            <w:rPr>
              <w:rFonts w:eastAsiaTheme="minorEastAsia"/>
              <w:noProof/>
              <w:color w:val="auto"/>
              <w:lang w:eastAsia="en-AU"/>
            </w:rPr>
          </w:pPr>
          <w:hyperlink w:anchor="_Toc149309866" w:history="1">
            <w:r w:rsidRPr="00BB3279">
              <w:rPr>
                <w:rStyle w:val="Hyperlink"/>
                <w:noProof/>
              </w:rPr>
              <w:t>A range of reviews have identified shortcomings of the current voice USO framework</w:t>
            </w:r>
            <w:r>
              <w:rPr>
                <w:noProof/>
                <w:webHidden/>
              </w:rPr>
              <w:tab/>
            </w:r>
            <w:r>
              <w:rPr>
                <w:noProof/>
                <w:webHidden/>
              </w:rPr>
              <w:fldChar w:fldCharType="begin"/>
            </w:r>
            <w:r>
              <w:rPr>
                <w:noProof/>
                <w:webHidden/>
              </w:rPr>
              <w:instrText xml:space="preserve"> PAGEREF _Toc149309866 \h </w:instrText>
            </w:r>
            <w:r>
              <w:rPr>
                <w:noProof/>
                <w:webHidden/>
              </w:rPr>
            </w:r>
            <w:r>
              <w:rPr>
                <w:noProof/>
                <w:webHidden/>
              </w:rPr>
              <w:fldChar w:fldCharType="separate"/>
            </w:r>
            <w:r>
              <w:rPr>
                <w:noProof/>
                <w:webHidden/>
              </w:rPr>
              <w:t>7</w:t>
            </w:r>
            <w:r>
              <w:rPr>
                <w:noProof/>
                <w:webHidden/>
              </w:rPr>
              <w:fldChar w:fldCharType="end"/>
            </w:r>
          </w:hyperlink>
        </w:p>
        <w:p w14:paraId="3A4D887F" w14:textId="29FF708F" w:rsidR="00C53D21" w:rsidRDefault="00C53D21">
          <w:pPr>
            <w:pStyle w:val="TOC2"/>
            <w:rPr>
              <w:rFonts w:eastAsiaTheme="minorEastAsia"/>
              <w:noProof/>
              <w:color w:val="auto"/>
              <w:lang w:eastAsia="en-AU"/>
            </w:rPr>
          </w:pPr>
          <w:hyperlink w:anchor="_Toc149309867" w:history="1">
            <w:r w:rsidRPr="00BB3279">
              <w:rPr>
                <w:rStyle w:val="Hyperlink"/>
                <w:noProof/>
              </w:rPr>
              <w:t>Supporting First Nations communities</w:t>
            </w:r>
            <w:r>
              <w:rPr>
                <w:noProof/>
                <w:webHidden/>
              </w:rPr>
              <w:tab/>
            </w:r>
            <w:r>
              <w:rPr>
                <w:noProof/>
                <w:webHidden/>
              </w:rPr>
              <w:fldChar w:fldCharType="begin"/>
            </w:r>
            <w:r>
              <w:rPr>
                <w:noProof/>
                <w:webHidden/>
              </w:rPr>
              <w:instrText xml:space="preserve"> PAGEREF _Toc149309867 \h </w:instrText>
            </w:r>
            <w:r>
              <w:rPr>
                <w:noProof/>
                <w:webHidden/>
              </w:rPr>
            </w:r>
            <w:r>
              <w:rPr>
                <w:noProof/>
                <w:webHidden/>
              </w:rPr>
              <w:fldChar w:fldCharType="separate"/>
            </w:r>
            <w:r>
              <w:rPr>
                <w:noProof/>
                <w:webHidden/>
              </w:rPr>
              <w:t>8</w:t>
            </w:r>
            <w:r>
              <w:rPr>
                <w:noProof/>
                <w:webHidden/>
              </w:rPr>
              <w:fldChar w:fldCharType="end"/>
            </w:r>
          </w:hyperlink>
        </w:p>
        <w:p w14:paraId="4B7A53B7" w14:textId="5674EB58" w:rsidR="00C53D21" w:rsidRDefault="00C53D21">
          <w:pPr>
            <w:pStyle w:val="TOC2"/>
            <w:rPr>
              <w:rFonts w:eastAsiaTheme="minorEastAsia"/>
              <w:noProof/>
              <w:color w:val="auto"/>
              <w:lang w:eastAsia="en-AU"/>
            </w:rPr>
          </w:pPr>
          <w:hyperlink w:anchor="_Toc149309868" w:history="1">
            <w:r w:rsidRPr="00BB3279">
              <w:rPr>
                <w:rStyle w:val="Hyperlink"/>
                <w:noProof/>
              </w:rPr>
              <w:t>New opportunities</w:t>
            </w:r>
            <w:r>
              <w:rPr>
                <w:noProof/>
                <w:webHidden/>
              </w:rPr>
              <w:tab/>
            </w:r>
            <w:r>
              <w:rPr>
                <w:noProof/>
                <w:webHidden/>
              </w:rPr>
              <w:fldChar w:fldCharType="begin"/>
            </w:r>
            <w:r>
              <w:rPr>
                <w:noProof/>
                <w:webHidden/>
              </w:rPr>
              <w:instrText xml:space="preserve"> PAGEREF _Toc149309868 \h </w:instrText>
            </w:r>
            <w:r>
              <w:rPr>
                <w:noProof/>
                <w:webHidden/>
              </w:rPr>
            </w:r>
            <w:r>
              <w:rPr>
                <w:noProof/>
                <w:webHidden/>
              </w:rPr>
              <w:fldChar w:fldCharType="separate"/>
            </w:r>
            <w:r>
              <w:rPr>
                <w:noProof/>
                <w:webHidden/>
              </w:rPr>
              <w:t>8</w:t>
            </w:r>
            <w:r>
              <w:rPr>
                <w:noProof/>
                <w:webHidden/>
              </w:rPr>
              <w:fldChar w:fldCharType="end"/>
            </w:r>
          </w:hyperlink>
        </w:p>
        <w:p w14:paraId="2EEA7CAE" w14:textId="45592175" w:rsidR="00C53D21" w:rsidRDefault="00C53D21">
          <w:pPr>
            <w:pStyle w:val="TOC1"/>
            <w:rPr>
              <w:rFonts w:eastAsiaTheme="minorEastAsia"/>
              <w:b w:val="0"/>
              <w:color w:val="auto"/>
              <w:sz w:val="22"/>
              <w:u w:val="none"/>
              <w:lang w:eastAsia="en-AU"/>
            </w:rPr>
          </w:pPr>
          <w:hyperlink w:anchor="_Toc149309869" w:history="1">
            <w:r w:rsidRPr="00BB3279">
              <w:rPr>
                <w:rStyle w:val="Hyperlink"/>
              </w:rPr>
              <w:t>What should a modern universal service framework be able to deliver?</w:t>
            </w:r>
            <w:r>
              <w:rPr>
                <w:webHidden/>
              </w:rPr>
              <w:tab/>
            </w:r>
            <w:r>
              <w:rPr>
                <w:webHidden/>
              </w:rPr>
              <w:fldChar w:fldCharType="begin"/>
            </w:r>
            <w:r>
              <w:rPr>
                <w:webHidden/>
              </w:rPr>
              <w:instrText xml:space="preserve"> PAGEREF _Toc149309869 \h </w:instrText>
            </w:r>
            <w:r>
              <w:rPr>
                <w:webHidden/>
              </w:rPr>
            </w:r>
            <w:r>
              <w:rPr>
                <w:webHidden/>
              </w:rPr>
              <w:fldChar w:fldCharType="separate"/>
            </w:r>
            <w:r>
              <w:rPr>
                <w:webHidden/>
              </w:rPr>
              <w:t>9</w:t>
            </w:r>
            <w:r>
              <w:rPr>
                <w:webHidden/>
              </w:rPr>
              <w:fldChar w:fldCharType="end"/>
            </w:r>
          </w:hyperlink>
        </w:p>
        <w:p w14:paraId="74BDF9F2" w14:textId="0FFA6869" w:rsidR="00C53D21" w:rsidRDefault="00C53D21">
          <w:pPr>
            <w:pStyle w:val="TOC1"/>
            <w:rPr>
              <w:rFonts w:eastAsiaTheme="minorEastAsia"/>
              <w:b w:val="0"/>
              <w:color w:val="auto"/>
              <w:sz w:val="22"/>
              <w:u w:val="none"/>
              <w:lang w:eastAsia="en-AU"/>
            </w:rPr>
          </w:pPr>
          <w:hyperlink w:anchor="_Toc149309870" w:history="1">
            <w:r w:rsidRPr="00BB3279">
              <w:rPr>
                <w:rStyle w:val="Hyperlink"/>
              </w:rPr>
              <w:t>Key questions for stakeholders</w:t>
            </w:r>
            <w:r>
              <w:rPr>
                <w:webHidden/>
              </w:rPr>
              <w:tab/>
            </w:r>
            <w:r>
              <w:rPr>
                <w:webHidden/>
              </w:rPr>
              <w:fldChar w:fldCharType="begin"/>
            </w:r>
            <w:r>
              <w:rPr>
                <w:webHidden/>
              </w:rPr>
              <w:instrText xml:space="preserve"> PAGEREF _Toc149309870 \h </w:instrText>
            </w:r>
            <w:r>
              <w:rPr>
                <w:webHidden/>
              </w:rPr>
            </w:r>
            <w:r>
              <w:rPr>
                <w:webHidden/>
              </w:rPr>
              <w:fldChar w:fldCharType="separate"/>
            </w:r>
            <w:r>
              <w:rPr>
                <w:webHidden/>
              </w:rPr>
              <w:t>10</w:t>
            </w:r>
            <w:r>
              <w:rPr>
                <w:webHidden/>
              </w:rPr>
              <w:fldChar w:fldCharType="end"/>
            </w:r>
          </w:hyperlink>
        </w:p>
        <w:p w14:paraId="372AB7D8" w14:textId="025F1E31" w:rsidR="00C53D21" w:rsidRDefault="00C53D21">
          <w:pPr>
            <w:pStyle w:val="TOC1"/>
            <w:rPr>
              <w:rFonts w:eastAsiaTheme="minorEastAsia"/>
              <w:b w:val="0"/>
              <w:color w:val="auto"/>
              <w:sz w:val="22"/>
              <w:u w:val="none"/>
              <w:lang w:eastAsia="en-AU"/>
            </w:rPr>
          </w:pPr>
          <w:hyperlink w:anchor="_Toc149309871" w:history="1">
            <w:r w:rsidRPr="00BB3279">
              <w:rPr>
                <w:rStyle w:val="Hyperlink"/>
              </w:rPr>
              <w:t>Background to assist responses to key questions</w:t>
            </w:r>
            <w:r>
              <w:rPr>
                <w:webHidden/>
              </w:rPr>
              <w:tab/>
            </w:r>
            <w:r>
              <w:rPr>
                <w:webHidden/>
              </w:rPr>
              <w:fldChar w:fldCharType="begin"/>
            </w:r>
            <w:r>
              <w:rPr>
                <w:webHidden/>
              </w:rPr>
              <w:instrText xml:space="preserve"> PAGEREF _Toc149309871 \h </w:instrText>
            </w:r>
            <w:r>
              <w:rPr>
                <w:webHidden/>
              </w:rPr>
            </w:r>
            <w:r>
              <w:rPr>
                <w:webHidden/>
              </w:rPr>
              <w:fldChar w:fldCharType="separate"/>
            </w:r>
            <w:r>
              <w:rPr>
                <w:webHidden/>
              </w:rPr>
              <w:t>10</w:t>
            </w:r>
            <w:r>
              <w:rPr>
                <w:webHidden/>
              </w:rPr>
              <w:fldChar w:fldCharType="end"/>
            </w:r>
          </w:hyperlink>
        </w:p>
        <w:p w14:paraId="7CDBA7EA" w14:textId="317FB18B" w:rsidR="00C53D21" w:rsidRDefault="00C53D21">
          <w:pPr>
            <w:pStyle w:val="TOC2"/>
            <w:rPr>
              <w:rFonts w:eastAsiaTheme="minorEastAsia"/>
              <w:noProof/>
              <w:color w:val="auto"/>
              <w:lang w:eastAsia="en-AU"/>
            </w:rPr>
          </w:pPr>
          <w:hyperlink w:anchor="_Toc149309872" w:history="1">
            <w:r w:rsidRPr="00BB3279">
              <w:rPr>
                <w:rStyle w:val="Hyperlink"/>
                <w:noProof/>
              </w:rPr>
              <w:t>Connection, repair and appointment-keeping</w:t>
            </w:r>
            <w:r>
              <w:rPr>
                <w:noProof/>
                <w:webHidden/>
              </w:rPr>
              <w:tab/>
            </w:r>
            <w:r>
              <w:rPr>
                <w:noProof/>
                <w:webHidden/>
              </w:rPr>
              <w:fldChar w:fldCharType="begin"/>
            </w:r>
            <w:r>
              <w:rPr>
                <w:noProof/>
                <w:webHidden/>
              </w:rPr>
              <w:instrText xml:space="preserve"> PAGEREF _Toc149309872 \h </w:instrText>
            </w:r>
            <w:r>
              <w:rPr>
                <w:noProof/>
                <w:webHidden/>
              </w:rPr>
            </w:r>
            <w:r>
              <w:rPr>
                <w:noProof/>
                <w:webHidden/>
              </w:rPr>
              <w:fldChar w:fldCharType="separate"/>
            </w:r>
            <w:r>
              <w:rPr>
                <w:noProof/>
                <w:webHidden/>
              </w:rPr>
              <w:t>10</w:t>
            </w:r>
            <w:r>
              <w:rPr>
                <w:noProof/>
                <w:webHidden/>
              </w:rPr>
              <w:fldChar w:fldCharType="end"/>
            </w:r>
          </w:hyperlink>
        </w:p>
        <w:p w14:paraId="11C5C308" w14:textId="1AC54649" w:rsidR="00C53D21" w:rsidRDefault="00C53D21">
          <w:pPr>
            <w:pStyle w:val="TOC2"/>
            <w:rPr>
              <w:rFonts w:eastAsiaTheme="minorEastAsia"/>
              <w:noProof/>
              <w:color w:val="auto"/>
              <w:lang w:eastAsia="en-AU"/>
            </w:rPr>
          </w:pPr>
          <w:hyperlink w:anchor="_Toc149309873" w:history="1">
            <w:r w:rsidRPr="00BB3279">
              <w:rPr>
                <w:rStyle w:val="Hyperlink"/>
                <w:noProof/>
              </w:rPr>
              <w:t>Service quality</w:t>
            </w:r>
            <w:r>
              <w:rPr>
                <w:noProof/>
                <w:webHidden/>
              </w:rPr>
              <w:tab/>
            </w:r>
            <w:r>
              <w:rPr>
                <w:noProof/>
                <w:webHidden/>
              </w:rPr>
              <w:fldChar w:fldCharType="begin"/>
            </w:r>
            <w:r>
              <w:rPr>
                <w:noProof/>
                <w:webHidden/>
              </w:rPr>
              <w:instrText xml:space="preserve"> PAGEREF _Toc149309873 \h </w:instrText>
            </w:r>
            <w:r>
              <w:rPr>
                <w:noProof/>
                <w:webHidden/>
              </w:rPr>
            </w:r>
            <w:r>
              <w:rPr>
                <w:noProof/>
                <w:webHidden/>
              </w:rPr>
              <w:fldChar w:fldCharType="separate"/>
            </w:r>
            <w:r>
              <w:rPr>
                <w:noProof/>
                <w:webHidden/>
              </w:rPr>
              <w:t>10</w:t>
            </w:r>
            <w:r>
              <w:rPr>
                <w:noProof/>
                <w:webHidden/>
              </w:rPr>
              <w:fldChar w:fldCharType="end"/>
            </w:r>
          </w:hyperlink>
        </w:p>
        <w:p w14:paraId="6AD7C9AB" w14:textId="4B64D235" w:rsidR="00C53D21" w:rsidRDefault="00C53D21">
          <w:pPr>
            <w:pStyle w:val="TOC2"/>
            <w:rPr>
              <w:rFonts w:eastAsiaTheme="minorEastAsia"/>
              <w:noProof/>
              <w:color w:val="auto"/>
              <w:lang w:eastAsia="en-AU"/>
            </w:rPr>
          </w:pPr>
          <w:hyperlink w:anchor="_Toc149309874" w:history="1">
            <w:r w:rsidRPr="00BB3279">
              <w:rPr>
                <w:rStyle w:val="Hyperlink"/>
                <w:noProof/>
              </w:rPr>
              <w:t>Service availability</w:t>
            </w:r>
            <w:r>
              <w:rPr>
                <w:noProof/>
                <w:webHidden/>
              </w:rPr>
              <w:tab/>
            </w:r>
            <w:r>
              <w:rPr>
                <w:noProof/>
                <w:webHidden/>
              </w:rPr>
              <w:fldChar w:fldCharType="begin"/>
            </w:r>
            <w:r>
              <w:rPr>
                <w:noProof/>
                <w:webHidden/>
              </w:rPr>
              <w:instrText xml:space="preserve"> PAGEREF _Toc149309874 \h </w:instrText>
            </w:r>
            <w:r>
              <w:rPr>
                <w:noProof/>
                <w:webHidden/>
              </w:rPr>
            </w:r>
            <w:r>
              <w:rPr>
                <w:noProof/>
                <w:webHidden/>
              </w:rPr>
              <w:fldChar w:fldCharType="separate"/>
            </w:r>
            <w:r>
              <w:rPr>
                <w:noProof/>
                <w:webHidden/>
              </w:rPr>
              <w:t>11</w:t>
            </w:r>
            <w:r>
              <w:rPr>
                <w:noProof/>
                <w:webHidden/>
              </w:rPr>
              <w:fldChar w:fldCharType="end"/>
            </w:r>
          </w:hyperlink>
        </w:p>
        <w:p w14:paraId="73609510" w14:textId="2F096553" w:rsidR="00C53D21" w:rsidRDefault="00C53D21">
          <w:pPr>
            <w:pStyle w:val="TOC2"/>
            <w:rPr>
              <w:rFonts w:eastAsiaTheme="minorEastAsia"/>
              <w:noProof/>
              <w:color w:val="auto"/>
              <w:lang w:eastAsia="en-AU"/>
            </w:rPr>
          </w:pPr>
          <w:hyperlink w:anchor="_Toc149309875" w:history="1">
            <w:r w:rsidRPr="00BB3279">
              <w:rPr>
                <w:rStyle w:val="Hyperlink"/>
                <w:noProof/>
              </w:rPr>
              <w:t>Network resilience</w:t>
            </w:r>
            <w:r>
              <w:rPr>
                <w:noProof/>
                <w:webHidden/>
              </w:rPr>
              <w:tab/>
            </w:r>
            <w:r>
              <w:rPr>
                <w:noProof/>
                <w:webHidden/>
              </w:rPr>
              <w:fldChar w:fldCharType="begin"/>
            </w:r>
            <w:r>
              <w:rPr>
                <w:noProof/>
                <w:webHidden/>
              </w:rPr>
              <w:instrText xml:space="preserve"> PAGEREF _Toc149309875 \h </w:instrText>
            </w:r>
            <w:r>
              <w:rPr>
                <w:noProof/>
                <w:webHidden/>
              </w:rPr>
            </w:r>
            <w:r>
              <w:rPr>
                <w:noProof/>
                <w:webHidden/>
              </w:rPr>
              <w:fldChar w:fldCharType="separate"/>
            </w:r>
            <w:r>
              <w:rPr>
                <w:noProof/>
                <w:webHidden/>
              </w:rPr>
              <w:t>12</w:t>
            </w:r>
            <w:r>
              <w:rPr>
                <w:noProof/>
                <w:webHidden/>
              </w:rPr>
              <w:fldChar w:fldCharType="end"/>
            </w:r>
          </w:hyperlink>
        </w:p>
        <w:p w14:paraId="5B436F09" w14:textId="57B5D7BE" w:rsidR="00C53D21" w:rsidRDefault="00C53D21">
          <w:pPr>
            <w:pStyle w:val="TOC2"/>
            <w:rPr>
              <w:rFonts w:eastAsiaTheme="minorEastAsia"/>
              <w:noProof/>
              <w:color w:val="auto"/>
              <w:lang w:eastAsia="en-AU"/>
            </w:rPr>
          </w:pPr>
          <w:hyperlink w:anchor="_Toc149309876" w:history="1">
            <w:r w:rsidRPr="00BB3279">
              <w:rPr>
                <w:rStyle w:val="Hyperlink"/>
                <w:noProof/>
              </w:rPr>
              <w:t>Customer support</w:t>
            </w:r>
            <w:r>
              <w:rPr>
                <w:noProof/>
                <w:webHidden/>
              </w:rPr>
              <w:tab/>
            </w:r>
            <w:r>
              <w:rPr>
                <w:noProof/>
                <w:webHidden/>
              </w:rPr>
              <w:fldChar w:fldCharType="begin"/>
            </w:r>
            <w:r>
              <w:rPr>
                <w:noProof/>
                <w:webHidden/>
              </w:rPr>
              <w:instrText xml:space="preserve"> PAGEREF _Toc149309876 \h </w:instrText>
            </w:r>
            <w:r>
              <w:rPr>
                <w:noProof/>
                <w:webHidden/>
              </w:rPr>
            </w:r>
            <w:r>
              <w:rPr>
                <w:noProof/>
                <w:webHidden/>
              </w:rPr>
              <w:fldChar w:fldCharType="separate"/>
            </w:r>
            <w:r>
              <w:rPr>
                <w:noProof/>
                <w:webHidden/>
              </w:rPr>
              <w:t>12</w:t>
            </w:r>
            <w:r>
              <w:rPr>
                <w:noProof/>
                <w:webHidden/>
              </w:rPr>
              <w:fldChar w:fldCharType="end"/>
            </w:r>
          </w:hyperlink>
        </w:p>
        <w:p w14:paraId="45079F96" w14:textId="12CF826C" w:rsidR="00C53D21" w:rsidRDefault="00C53D21">
          <w:pPr>
            <w:pStyle w:val="TOC2"/>
            <w:rPr>
              <w:rFonts w:eastAsiaTheme="minorEastAsia"/>
              <w:noProof/>
              <w:color w:val="auto"/>
              <w:lang w:eastAsia="en-AU"/>
            </w:rPr>
          </w:pPr>
          <w:hyperlink w:anchor="_Toc149309877" w:history="1">
            <w:r w:rsidRPr="00BB3279">
              <w:rPr>
                <w:rStyle w:val="Hyperlink"/>
                <w:noProof/>
              </w:rPr>
              <w:t>Affordability</w:t>
            </w:r>
            <w:r>
              <w:rPr>
                <w:noProof/>
                <w:webHidden/>
              </w:rPr>
              <w:tab/>
            </w:r>
            <w:r>
              <w:rPr>
                <w:noProof/>
                <w:webHidden/>
              </w:rPr>
              <w:fldChar w:fldCharType="begin"/>
            </w:r>
            <w:r>
              <w:rPr>
                <w:noProof/>
                <w:webHidden/>
              </w:rPr>
              <w:instrText xml:space="preserve"> PAGEREF _Toc149309877 \h </w:instrText>
            </w:r>
            <w:r>
              <w:rPr>
                <w:noProof/>
                <w:webHidden/>
              </w:rPr>
            </w:r>
            <w:r>
              <w:rPr>
                <w:noProof/>
                <w:webHidden/>
              </w:rPr>
              <w:fldChar w:fldCharType="separate"/>
            </w:r>
            <w:r>
              <w:rPr>
                <w:noProof/>
                <w:webHidden/>
              </w:rPr>
              <w:t>12</w:t>
            </w:r>
            <w:r>
              <w:rPr>
                <w:noProof/>
                <w:webHidden/>
              </w:rPr>
              <w:fldChar w:fldCharType="end"/>
            </w:r>
          </w:hyperlink>
        </w:p>
        <w:p w14:paraId="508205DF" w14:textId="072F7CB7" w:rsidR="00C53D21" w:rsidRDefault="00C53D21">
          <w:pPr>
            <w:pStyle w:val="TOC1"/>
            <w:rPr>
              <w:rFonts w:eastAsiaTheme="minorEastAsia"/>
              <w:b w:val="0"/>
              <w:color w:val="auto"/>
              <w:sz w:val="22"/>
              <w:u w:val="none"/>
              <w:lang w:eastAsia="en-AU"/>
            </w:rPr>
          </w:pPr>
          <w:hyperlink w:anchor="_Toc149309878" w:history="1">
            <w:r w:rsidRPr="00BB3279">
              <w:rPr>
                <w:rStyle w:val="Hyperlink"/>
                <w:lang w:val="en-US"/>
              </w:rPr>
              <w:t>Future consultation and related processes</w:t>
            </w:r>
            <w:r>
              <w:rPr>
                <w:webHidden/>
              </w:rPr>
              <w:tab/>
            </w:r>
            <w:r>
              <w:rPr>
                <w:webHidden/>
              </w:rPr>
              <w:fldChar w:fldCharType="begin"/>
            </w:r>
            <w:r>
              <w:rPr>
                <w:webHidden/>
              </w:rPr>
              <w:instrText xml:space="preserve"> PAGEREF _Toc149309878 \h </w:instrText>
            </w:r>
            <w:r>
              <w:rPr>
                <w:webHidden/>
              </w:rPr>
            </w:r>
            <w:r>
              <w:rPr>
                <w:webHidden/>
              </w:rPr>
              <w:fldChar w:fldCharType="separate"/>
            </w:r>
            <w:r>
              <w:rPr>
                <w:webHidden/>
              </w:rPr>
              <w:t>13</w:t>
            </w:r>
            <w:r>
              <w:rPr>
                <w:webHidden/>
              </w:rPr>
              <w:fldChar w:fldCharType="end"/>
            </w:r>
          </w:hyperlink>
        </w:p>
        <w:p w14:paraId="272827AF" w14:textId="3A67D8BD" w:rsidR="00C53D21" w:rsidRDefault="00C53D21">
          <w:pPr>
            <w:pStyle w:val="TOC2"/>
            <w:rPr>
              <w:rFonts w:eastAsiaTheme="minorEastAsia"/>
              <w:noProof/>
              <w:color w:val="auto"/>
              <w:lang w:eastAsia="en-AU"/>
            </w:rPr>
          </w:pPr>
          <w:hyperlink w:anchor="_Toc149309879" w:history="1">
            <w:r w:rsidRPr="00BB3279">
              <w:rPr>
                <w:rStyle w:val="Hyperlink"/>
                <w:noProof/>
                <w:lang w:val="en-US"/>
              </w:rPr>
              <w:t>Investigating performance and reliability of new technologies</w:t>
            </w:r>
            <w:r>
              <w:rPr>
                <w:noProof/>
                <w:webHidden/>
              </w:rPr>
              <w:tab/>
            </w:r>
            <w:r>
              <w:rPr>
                <w:noProof/>
                <w:webHidden/>
              </w:rPr>
              <w:fldChar w:fldCharType="begin"/>
            </w:r>
            <w:r>
              <w:rPr>
                <w:noProof/>
                <w:webHidden/>
              </w:rPr>
              <w:instrText xml:space="preserve"> PAGEREF _Toc149309879 \h </w:instrText>
            </w:r>
            <w:r>
              <w:rPr>
                <w:noProof/>
                <w:webHidden/>
              </w:rPr>
            </w:r>
            <w:r>
              <w:rPr>
                <w:noProof/>
                <w:webHidden/>
              </w:rPr>
              <w:fldChar w:fldCharType="separate"/>
            </w:r>
            <w:r>
              <w:rPr>
                <w:noProof/>
                <w:webHidden/>
              </w:rPr>
              <w:t>13</w:t>
            </w:r>
            <w:r>
              <w:rPr>
                <w:noProof/>
                <w:webHidden/>
              </w:rPr>
              <w:fldChar w:fldCharType="end"/>
            </w:r>
          </w:hyperlink>
        </w:p>
        <w:p w14:paraId="4A873F16" w14:textId="46F9A50C" w:rsidR="00C53D21" w:rsidRDefault="00C53D21">
          <w:pPr>
            <w:pStyle w:val="TOC2"/>
            <w:rPr>
              <w:rFonts w:eastAsiaTheme="minorEastAsia"/>
              <w:noProof/>
              <w:color w:val="auto"/>
              <w:lang w:eastAsia="en-AU"/>
            </w:rPr>
          </w:pPr>
          <w:hyperlink w:anchor="_Toc149309880" w:history="1">
            <w:r w:rsidRPr="00BB3279">
              <w:rPr>
                <w:rStyle w:val="Hyperlink"/>
                <w:noProof/>
                <w:lang w:val="en-US"/>
              </w:rPr>
              <w:t>Considering sustainable funding arrangements</w:t>
            </w:r>
            <w:r>
              <w:rPr>
                <w:noProof/>
                <w:webHidden/>
              </w:rPr>
              <w:tab/>
            </w:r>
            <w:r>
              <w:rPr>
                <w:noProof/>
                <w:webHidden/>
              </w:rPr>
              <w:fldChar w:fldCharType="begin"/>
            </w:r>
            <w:r>
              <w:rPr>
                <w:noProof/>
                <w:webHidden/>
              </w:rPr>
              <w:instrText xml:space="preserve"> PAGEREF _Toc149309880 \h </w:instrText>
            </w:r>
            <w:r>
              <w:rPr>
                <w:noProof/>
                <w:webHidden/>
              </w:rPr>
            </w:r>
            <w:r>
              <w:rPr>
                <w:noProof/>
                <w:webHidden/>
              </w:rPr>
              <w:fldChar w:fldCharType="separate"/>
            </w:r>
            <w:r>
              <w:rPr>
                <w:noProof/>
                <w:webHidden/>
              </w:rPr>
              <w:t>14</w:t>
            </w:r>
            <w:r>
              <w:rPr>
                <w:noProof/>
                <w:webHidden/>
              </w:rPr>
              <w:fldChar w:fldCharType="end"/>
            </w:r>
          </w:hyperlink>
        </w:p>
        <w:p w14:paraId="418C1904" w14:textId="3F7D6166" w:rsidR="00C53D21" w:rsidRDefault="00C53D21">
          <w:pPr>
            <w:pStyle w:val="TOC2"/>
            <w:rPr>
              <w:rFonts w:eastAsiaTheme="minorEastAsia"/>
              <w:noProof/>
              <w:color w:val="auto"/>
              <w:lang w:eastAsia="en-AU"/>
            </w:rPr>
          </w:pPr>
          <w:hyperlink w:anchor="_Toc149309881" w:history="1">
            <w:r w:rsidRPr="00BB3279">
              <w:rPr>
                <w:rStyle w:val="Hyperlink"/>
                <w:noProof/>
                <w:lang w:val="en-US"/>
              </w:rPr>
              <w:t>Considering appropriate regulatory safeguards</w:t>
            </w:r>
            <w:r>
              <w:rPr>
                <w:noProof/>
                <w:webHidden/>
              </w:rPr>
              <w:tab/>
            </w:r>
            <w:r>
              <w:rPr>
                <w:noProof/>
                <w:webHidden/>
              </w:rPr>
              <w:fldChar w:fldCharType="begin"/>
            </w:r>
            <w:r>
              <w:rPr>
                <w:noProof/>
                <w:webHidden/>
              </w:rPr>
              <w:instrText xml:space="preserve"> PAGEREF _Toc149309881 \h </w:instrText>
            </w:r>
            <w:r>
              <w:rPr>
                <w:noProof/>
                <w:webHidden/>
              </w:rPr>
            </w:r>
            <w:r>
              <w:rPr>
                <w:noProof/>
                <w:webHidden/>
              </w:rPr>
              <w:fldChar w:fldCharType="separate"/>
            </w:r>
            <w:r>
              <w:rPr>
                <w:noProof/>
                <w:webHidden/>
              </w:rPr>
              <w:t>14</w:t>
            </w:r>
            <w:r>
              <w:rPr>
                <w:noProof/>
                <w:webHidden/>
              </w:rPr>
              <w:fldChar w:fldCharType="end"/>
            </w:r>
          </w:hyperlink>
        </w:p>
        <w:p w14:paraId="00898E55" w14:textId="0AF32793" w:rsidR="00EA72A4" w:rsidRPr="009C60A5" w:rsidRDefault="007D0012" w:rsidP="009F01CA">
          <w:pPr>
            <w:rPr>
              <w:b/>
              <w:bCs/>
              <w:noProof/>
            </w:rPr>
          </w:pPr>
          <w:r w:rsidRPr="00B322EF">
            <w:rPr>
              <w:b/>
              <w:bCs/>
              <w:noProof/>
            </w:rPr>
            <w:fldChar w:fldCharType="end"/>
          </w:r>
        </w:p>
      </w:sdtContent>
    </w:sdt>
    <w:p w14:paraId="3825F259" w14:textId="77777777" w:rsidR="00E3303A" w:rsidRPr="009C60A5" w:rsidRDefault="00E3303A" w:rsidP="009F01CA">
      <w:pPr>
        <w:suppressAutoHyphens w:val="0"/>
        <w:rPr>
          <w:b/>
        </w:rPr>
        <w:sectPr w:rsidR="00E3303A" w:rsidRPr="009C60A5" w:rsidSect="00E62FE6">
          <w:headerReference w:type="even" r:id="rId18"/>
          <w:headerReference w:type="default" r:id="rId19"/>
          <w:footerReference w:type="even" r:id="rId20"/>
          <w:footerReference w:type="default" r:id="rId21"/>
          <w:footerReference w:type="first" r:id="rId22"/>
          <w:type w:val="continuous"/>
          <w:pgSz w:w="11906" w:h="16838" w:code="9"/>
          <w:pgMar w:top="1021" w:right="1021" w:bottom="1021" w:left="1021" w:header="510" w:footer="567" w:gutter="0"/>
          <w:pgNumType w:fmt="lowerRoman" w:start="1"/>
          <w:cols w:space="708"/>
          <w:titlePg/>
          <w:docGrid w:linePitch="360"/>
        </w:sectPr>
      </w:pPr>
    </w:p>
    <w:p w14:paraId="22CF2544" w14:textId="77777777" w:rsidR="005F794B" w:rsidRPr="009C60A5" w:rsidRDefault="007A0640" w:rsidP="009C60A5">
      <w:pPr>
        <w:pStyle w:val="Heading1"/>
      </w:pPr>
      <w:bookmarkStart w:id="12" w:name="_Toc149309860"/>
      <w:r w:rsidRPr="009C60A5">
        <w:t>Introduction</w:t>
      </w:r>
      <w:bookmarkEnd w:id="12"/>
    </w:p>
    <w:p w14:paraId="7FD553FA" w14:textId="23095E09" w:rsidR="00E11658" w:rsidRPr="009C60A5" w:rsidRDefault="00E11658" w:rsidP="009F01CA">
      <w:pPr>
        <w:pStyle w:val="Introduction"/>
        <w:spacing w:before="160" w:after="160"/>
        <w:rPr>
          <w:szCs w:val="26"/>
          <w:lang w:val="en-US"/>
        </w:rPr>
      </w:pPr>
      <w:r w:rsidRPr="009C60A5">
        <w:rPr>
          <w:szCs w:val="26"/>
          <w:lang w:val="en-US"/>
        </w:rPr>
        <w:t xml:space="preserve">The </w:t>
      </w:r>
      <w:r w:rsidR="00201D25" w:rsidRPr="009C60A5">
        <w:rPr>
          <w:szCs w:val="26"/>
          <w:lang w:val="en-US"/>
        </w:rPr>
        <w:t>Government</w:t>
      </w:r>
      <w:r w:rsidRPr="009C60A5">
        <w:rPr>
          <w:szCs w:val="26"/>
          <w:lang w:val="en-US"/>
        </w:rPr>
        <w:t xml:space="preserve"> is seeking </w:t>
      </w:r>
      <w:r w:rsidR="002C028B">
        <w:rPr>
          <w:szCs w:val="26"/>
          <w:lang w:val="en-US"/>
        </w:rPr>
        <w:t xml:space="preserve">stakeholder input </w:t>
      </w:r>
      <w:r w:rsidR="00B219DC">
        <w:rPr>
          <w:szCs w:val="26"/>
          <w:lang w:val="en-US"/>
        </w:rPr>
        <w:t>on ways to be</w:t>
      </w:r>
      <w:r w:rsidR="002C028B">
        <w:rPr>
          <w:szCs w:val="26"/>
          <w:lang w:val="en-US"/>
        </w:rPr>
        <w:t>tt</w:t>
      </w:r>
      <w:r w:rsidR="00B219DC">
        <w:rPr>
          <w:szCs w:val="26"/>
          <w:lang w:val="en-US"/>
        </w:rPr>
        <w:t>e</w:t>
      </w:r>
      <w:r w:rsidR="002C028B">
        <w:rPr>
          <w:szCs w:val="26"/>
          <w:lang w:val="en-US"/>
        </w:rPr>
        <w:t xml:space="preserve">r </w:t>
      </w:r>
      <w:r w:rsidR="00B219DC">
        <w:rPr>
          <w:szCs w:val="26"/>
          <w:lang w:val="en-US"/>
        </w:rPr>
        <w:t xml:space="preserve">deliver </w:t>
      </w:r>
      <w:r w:rsidR="0094185D">
        <w:rPr>
          <w:szCs w:val="26"/>
          <w:lang w:val="en-US"/>
        </w:rPr>
        <w:t xml:space="preserve">baseline </w:t>
      </w:r>
      <w:r w:rsidR="009D39F0">
        <w:rPr>
          <w:szCs w:val="26"/>
          <w:lang w:val="en-US"/>
        </w:rPr>
        <w:t xml:space="preserve">universal </w:t>
      </w:r>
      <w:r w:rsidR="0094185D">
        <w:rPr>
          <w:szCs w:val="26"/>
          <w:lang w:val="en-US"/>
        </w:rPr>
        <w:t xml:space="preserve">telecommunication </w:t>
      </w:r>
      <w:r w:rsidR="009D39F0">
        <w:rPr>
          <w:szCs w:val="26"/>
          <w:lang w:val="en-US"/>
        </w:rPr>
        <w:t>services</w:t>
      </w:r>
      <w:r w:rsidR="00BD2D8E">
        <w:rPr>
          <w:szCs w:val="26"/>
          <w:lang w:val="en-US"/>
        </w:rPr>
        <w:t>.</w:t>
      </w:r>
    </w:p>
    <w:p w14:paraId="36039974" w14:textId="70641F87" w:rsidR="00D7745B" w:rsidRDefault="00E11658" w:rsidP="009F01CA">
      <w:pPr>
        <w:rPr>
          <w:color w:val="auto"/>
          <w:lang w:val="en-US"/>
        </w:rPr>
      </w:pPr>
      <w:r w:rsidRPr="00A9158A">
        <w:rPr>
          <w:color w:val="auto"/>
          <w:lang w:val="en-US"/>
        </w:rPr>
        <w:t>On 27 October 2023, the Minister for Communications, the Hon Michelle Rowland MP</w:t>
      </w:r>
      <w:r w:rsidR="00D34670">
        <w:rPr>
          <w:color w:val="auto"/>
          <w:lang w:val="en-US"/>
        </w:rPr>
        <w:t>,</w:t>
      </w:r>
      <w:r w:rsidR="002C028B" w:rsidRPr="00A9158A">
        <w:rPr>
          <w:color w:val="auto"/>
          <w:lang w:val="en-US"/>
        </w:rPr>
        <w:t xml:space="preserve"> announced a consultation process to consider</w:t>
      </w:r>
      <w:r w:rsidR="007C79AA" w:rsidRPr="00A9158A">
        <w:rPr>
          <w:color w:val="auto"/>
          <w:lang w:val="en-US"/>
        </w:rPr>
        <w:t xml:space="preserve"> </w:t>
      </w:r>
      <w:r w:rsidR="00DB03BF" w:rsidRPr="00A9158A">
        <w:rPr>
          <w:color w:val="auto"/>
          <w:lang w:val="en-US"/>
        </w:rPr>
        <w:t xml:space="preserve">options for better delivery of </w:t>
      </w:r>
      <w:r w:rsidR="009D39F0">
        <w:rPr>
          <w:color w:val="auto"/>
          <w:lang w:val="en-US"/>
        </w:rPr>
        <w:t xml:space="preserve">telecommunications universal </w:t>
      </w:r>
      <w:r w:rsidR="009007A1">
        <w:rPr>
          <w:color w:val="auto"/>
          <w:lang w:val="en-US"/>
        </w:rPr>
        <w:t xml:space="preserve">voice </w:t>
      </w:r>
      <w:r w:rsidR="009D39F0">
        <w:rPr>
          <w:color w:val="auto"/>
          <w:lang w:val="en-US"/>
        </w:rPr>
        <w:t>services.</w:t>
      </w:r>
    </w:p>
    <w:p w14:paraId="6917E3FA" w14:textId="601FE72B" w:rsidR="009D39F0" w:rsidRDefault="009D39F0" w:rsidP="009D39F0">
      <w:pPr>
        <w:spacing w:before="80"/>
      </w:pPr>
      <w:r w:rsidRPr="009C60A5">
        <w:t xml:space="preserve">The </w:t>
      </w:r>
      <w:r w:rsidR="00BD166D">
        <w:t xml:space="preserve">Australian </w:t>
      </w:r>
      <w:r w:rsidRPr="009C60A5">
        <w:t xml:space="preserve">Government has </w:t>
      </w:r>
      <w:r w:rsidR="00E41DB0">
        <w:t xml:space="preserve">an </w:t>
      </w:r>
      <w:r w:rsidRPr="009C60A5">
        <w:t xml:space="preserve">existing </w:t>
      </w:r>
      <w:r w:rsidR="00E41DB0">
        <w:t>framework</w:t>
      </w:r>
      <w:r w:rsidR="00E41DB0" w:rsidRPr="009C60A5">
        <w:t xml:space="preserve"> </w:t>
      </w:r>
      <w:r w:rsidRPr="009C60A5">
        <w:t xml:space="preserve">in place to provide people across Australia with access to </w:t>
      </w:r>
      <w:r w:rsidR="0094185D">
        <w:t xml:space="preserve">baseline </w:t>
      </w:r>
      <w:r w:rsidRPr="009C60A5">
        <w:t>fixed voice and broadband</w:t>
      </w:r>
      <w:r w:rsidR="009007A1">
        <w:t xml:space="preserve"> </w:t>
      </w:r>
      <w:r w:rsidRPr="009C60A5">
        <w:t xml:space="preserve">services. </w:t>
      </w:r>
    </w:p>
    <w:p w14:paraId="3DBCFE62" w14:textId="69F0E10A" w:rsidR="009007A1" w:rsidRPr="008C3753" w:rsidRDefault="009D39F0" w:rsidP="004D2802">
      <w:pPr>
        <w:pStyle w:val="ListParagraph"/>
        <w:numPr>
          <w:ilvl w:val="0"/>
          <w:numId w:val="45"/>
        </w:numPr>
        <w:spacing w:before="80" w:after="40"/>
        <w:ind w:left="714" w:hanging="357"/>
        <w:contextualSpacing w:val="0"/>
        <w:rPr>
          <w:color w:val="000000" w:themeColor="text1"/>
          <w:lang w:val="en-AU"/>
        </w:rPr>
      </w:pPr>
      <w:r w:rsidRPr="0006250D">
        <w:t xml:space="preserve">The </w:t>
      </w:r>
      <w:r w:rsidR="00BD166D">
        <w:t>Universal Service Obligation (</w:t>
      </w:r>
      <w:r w:rsidRPr="0006250D">
        <w:t>USO</w:t>
      </w:r>
      <w:r w:rsidR="00BD166D">
        <w:t>)</w:t>
      </w:r>
      <w:r w:rsidRPr="0006250D">
        <w:t xml:space="preserve"> is a long-standing regulatory requirement on Telstra, as the statutory primary universal service provider, to supply fixed voice services and payphones to people nationally on reasonable request. </w:t>
      </w:r>
      <w:r w:rsidRPr="00437BD1">
        <w:t>Telstra provides the majority of USO services over the National Broadband Network (NBN) using NBN Co’s fixed</w:t>
      </w:r>
      <w:r w:rsidR="00D16FAB">
        <w:t xml:space="preserve"> </w:t>
      </w:r>
      <w:r w:rsidRPr="00437BD1">
        <w:t xml:space="preserve">line technology, however it continues to deliver USO voice services over copper and other legacy networks in regional and remote areas. </w:t>
      </w:r>
    </w:p>
    <w:p w14:paraId="0779C56C" w14:textId="6F42701E" w:rsidR="009D39F0" w:rsidRPr="009007A1" w:rsidRDefault="009D39F0" w:rsidP="001D0EAA">
      <w:pPr>
        <w:pStyle w:val="ListParagraph"/>
        <w:numPr>
          <w:ilvl w:val="0"/>
          <w:numId w:val="45"/>
        </w:numPr>
        <w:spacing w:before="80"/>
        <w:rPr>
          <w:color w:val="000000" w:themeColor="text1"/>
          <w:lang w:val="en-AU"/>
        </w:rPr>
      </w:pPr>
      <w:r w:rsidRPr="00437BD1">
        <w:rPr>
          <w:color w:val="000000" w:themeColor="text1"/>
          <w:lang w:val="en-AU"/>
        </w:rPr>
        <w:t>Access to fixed broadband is supported by the Statutory Infrastructure Provider</w:t>
      </w:r>
      <w:r>
        <w:rPr>
          <w:color w:val="000000" w:themeColor="text1"/>
          <w:lang w:val="en-AU"/>
        </w:rPr>
        <w:t xml:space="preserve"> (SIP)</w:t>
      </w:r>
      <w:r w:rsidRPr="00437BD1">
        <w:rPr>
          <w:color w:val="000000" w:themeColor="text1"/>
          <w:lang w:val="en-AU"/>
        </w:rPr>
        <w:t xml:space="preserve"> regime, which provides that NBN Co and other similar providers connect premises to their networks and supply wholesale services that allow retail providers to provide broadband services with peak download and upload speeds of at least 25/5 megabits per second (Mbps). </w:t>
      </w:r>
    </w:p>
    <w:p w14:paraId="4322C5E4" w14:textId="48F0D306" w:rsidR="00C04A37" w:rsidRPr="00A9158A" w:rsidRDefault="00D7745B" w:rsidP="009F01CA">
      <w:pPr>
        <w:rPr>
          <w:color w:val="auto"/>
          <w:lang w:val="en-US"/>
        </w:rPr>
      </w:pPr>
      <w:r>
        <w:rPr>
          <w:color w:val="auto"/>
          <w:lang w:val="en-US"/>
        </w:rPr>
        <w:t>I</w:t>
      </w:r>
      <w:r w:rsidR="00C04A37" w:rsidRPr="00A9158A">
        <w:rPr>
          <w:color w:val="auto"/>
          <w:lang w:val="en-US"/>
        </w:rPr>
        <w:t xml:space="preserve">t is essential that </w:t>
      </w:r>
      <w:r w:rsidR="009D39F0">
        <w:rPr>
          <w:color w:val="auto"/>
          <w:lang w:val="en-US"/>
        </w:rPr>
        <w:t xml:space="preserve">a modern universal service </w:t>
      </w:r>
      <w:r w:rsidR="00E41DB0">
        <w:rPr>
          <w:color w:val="auto"/>
          <w:lang w:val="en-US"/>
        </w:rPr>
        <w:t>framework</w:t>
      </w:r>
      <w:r w:rsidR="00C04A37" w:rsidRPr="00A9158A">
        <w:rPr>
          <w:color w:val="auto"/>
          <w:lang w:val="en-US"/>
        </w:rPr>
        <w:t xml:space="preserve"> delivers telecommunications services that are reliable, robust and able to meet the needs and expectations of consumers, particularly for those in regional and remote areas. Accordingly, the Government is commencing a process to seek views on what service</w:t>
      </w:r>
      <w:r w:rsidR="009D39F0">
        <w:rPr>
          <w:color w:val="auto"/>
          <w:lang w:val="en-US"/>
        </w:rPr>
        <w:t xml:space="preserve">s a modern universal service </w:t>
      </w:r>
      <w:r w:rsidR="00E41DB0">
        <w:rPr>
          <w:color w:val="auto"/>
          <w:lang w:val="en-US"/>
        </w:rPr>
        <w:t>framework</w:t>
      </w:r>
      <w:r w:rsidR="009D39F0" w:rsidRPr="00A9158A">
        <w:rPr>
          <w:color w:val="auto"/>
          <w:lang w:val="en-US"/>
        </w:rPr>
        <w:t xml:space="preserve"> </w:t>
      </w:r>
      <w:r w:rsidR="00C04A37" w:rsidRPr="00A9158A">
        <w:rPr>
          <w:color w:val="auto"/>
          <w:lang w:val="en-US"/>
        </w:rPr>
        <w:t xml:space="preserve">should cover and the best way to deliver those services.  </w:t>
      </w:r>
      <w:r w:rsidR="0094185D" w:rsidRPr="00C1681C">
        <w:rPr>
          <w:color w:val="auto"/>
          <w:lang w:val="en-US"/>
        </w:rPr>
        <w:t>A key principle for Government is that any change to existing arrangements will only be considered if there are tested and proven alternatives to existing technologies and services.</w:t>
      </w:r>
    </w:p>
    <w:p w14:paraId="008B134D" w14:textId="11F645C9" w:rsidR="00B21870" w:rsidRPr="00437BD1" w:rsidRDefault="006C73E1" w:rsidP="00437BD1">
      <w:pPr>
        <w:rPr>
          <w:color w:val="auto"/>
          <w:lang w:val="en-US"/>
        </w:rPr>
      </w:pPr>
      <w:r w:rsidRPr="00437BD1">
        <w:rPr>
          <w:color w:val="auto"/>
          <w:lang w:val="en-US"/>
        </w:rPr>
        <w:t xml:space="preserve">While </w:t>
      </w:r>
      <w:r w:rsidR="00A05509" w:rsidRPr="00437BD1">
        <w:rPr>
          <w:color w:val="auto"/>
          <w:lang w:val="en-US"/>
        </w:rPr>
        <w:t>in recent years there ha</w:t>
      </w:r>
      <w:r w:rsidR="00D84107" w:rsidRPr="00437BD1">
        <w:rPr>
          <w:color w:val="auto"/>
          <w:lang w:val="en-US"/>
        </w:rPr>
        <w:t>ve been reviews and</w:t>
      </w:r>
      <w:r w:rsidR="00A05509" w:rsidRPr="00437BD1">
        <w:rPr>
          <w:color w:val="auto"/>
          <w:lang w:val="en-US"/>
        </w:rPr>
        <w:t xml:space="preserve"> </w:t>
      </w:r>
      <w:r w:rsidR="00FE6E61" w:rsidRPr="00437BD1">
        <w:rPr>
          <w:color w:val="auto"/>
          <w:lang w:val="en-US"/>
        </w:rPr>
        <w:t xml:space="preserve">other </w:t>
      </w:r>
      <w:r w:rsidR="00A05509" w:rsidRPr="00437BD1">
        <w:rPr>
          <w:color w:val="auto"/>
          <w:lang w:val="en-US"/>
        </w:rPr>
        <w:t>work</w:t>
      </w:r>
      <w:r w:rsidR="00BD166D">
        <w:rPr>
          <w:color w:val="auto"/>
          <w:lang w:val="en-US"/>
        </w:rPr>
        <w:t xml:space="preserve"> undertaken</w:t>
      </w:r>
      <w:r w:rsidR="00A05509" w:rsidRPr="00437BD1">
        <w:rPr>
          <w:color w:val="auto"/>
          <w:lang w:val="en-US"/>
        </w:rPr>
        <w:t xml:space="preserve"> to</w:t>
      </w:r>
      <w:r w:rsidR="00B21870" w:rsidRPr="00437BD1">
        <w:rPr>
          <w:color w:val="auto"/>
          <w:lang w:val="en-US"/>
        </w:rPr>
        <w:t xml:space="preserve"> </w:t>
      </w:r>
      <w:r w:rsidR="00A05509" w:rsidRPr="00437BD1">
        <w:rPr>
          <w:color w:val="auto"/>
          <w:lang w:val="en-US"/>
        </w:rPr>
        <w:t xml:space="preserve">examine </w:t>
      </w:r>
      <w:r w:rsidR="00FE6E61" w:rsidRPr="00437BD1">
        <w:rPr>
          <w:color w:val="auto"/>
          <w:lang w:val="en-US"/>
        </w:rPr>
        <w:t xml:space="preserve">potential </w:t>
      </w:r>
      <w:r w:rsidR="00A05509" w:rsidRPr="00437BD1">
        <w:rPr>
          <w:color w:val="auto"/>
          <w:lang w:val="en-US"/>
        </w:rPr>
        <w:t xml:space="preserve">ways to </w:t>
      </w:r>
      <w:r w:rsidR="003C5634" w:rsidRPr="00437BD1">
        <w:rPr>
          <w:color w:val="auto"/>
          <w:lang w:val="en-US"/>
        </w:rPr>
        <w:t xml:space="preserve">deliver </w:t>
      </w:r>
      <w:r w:rsidR="009D39F0">
        <w:rPr>
          <w:color w:val="auto"/>
          <w:lang w:val="en-US"/>
        </w:rPr>
        <w:t xml:space="preserve">voice </w:t>
      </w:r>
      <w:r w:rsidR="003C5634" w:rsidRPr="00437BD1">
        <w:rPr>
          <w:color w:val="auto"/>
          <w:lang w:val="en-US"/>
        </w:rPr>
        <w:t xml:space="preserve">services over </w:t>
      </w:r>
      <w:r w:rsidR="008A7EC6" w:rsidRPr="00437BD1">
        <w:rPr>
          <w:color w:val="auto"/>
          <w:lang w:val="en-US"/>
        </w:rPr>
        <w:t>exi</w:t>
      </w:r>
      <w:r w:rsidR="00FE6E61" w:rsidRPr="00437BD1">
        <w:rPr>
          <w:color w:val="auto"/>
          <w:lang w:val="en-US"/>
        </w:rPr>
        <w:t>s</w:t>
      </w:r>
      <w:r w:rsidR="008A7EC6" w:rsidRPr="00437BD1">
        <w:rPr>
          <w:color w:val="auto"/>
          <w:lang w:val="en-US"/>
        </w:rPr>
        <w:t xml:space="preserve">ting or </w:t>
      </w:r>
      <w:r w:rsidR="003C5634" w:rsidRPr="00437BD1">
        <w:rPr>
          <w:color w:val="auto"/>
          <w:lang w:val="en-US"/>
        </w:rPr>
        <w:t>new</w:t>
      </w:r>
      <w:r w:rsidR="00B21870" w:rsidRPr="00437BD1">
        <w:rPr>
          <w:color w:val="auto"/>
          <w:lang w:val="en-US"/>
        </w:rPr>
        <w:t>er</w:t>
      </w:r>
      <w:r w:rsidR="003C5634" w:rsidRPr="00437BD1">
        <w:rPr>
          <w:color w:val="auto"/>
          <w:lang w:val="en-US"/>
        </w:rPr>
        <w:t xml:space="preserve"> and forward-looking technologies</w:t>
      </w:r>
      <w:bookmarkStart w:id="13" w:name="_GoBack"/>
      <w:r w:rsidR="00035BD1">
        <w:rPr>
          <w:rStyle w:val="FootnoteReference"/>
          <w:color w:val="auto"/>
          <w:lang w:val="en-US"/>
        </w:rPr>
        <w:footnoteReference w:id="2"/>
      </w:r>
      <w:bookmarkEnd w:id="13"/>
      <w:r w:rsidRPr="00437BD1">
        <w:rPr>
          <w:color w:val="auto"/>
          <w:lang w:val="en-US"/>
        </w:rPr>
        <w:t xml:space="preserve">, </w:t>
      </w:r>
      <w:r w:rsidR="00A05509" w:rsidRPr="00437BD1">
        <w:rPr>
          <w:color w:val="auto"/>
          <w:lang w:val="en-US"/>
        </w:rPr>
        <w:t xml:space="preserve">there have </w:t>
      </w:r>
      <w:r w:rsidR="00D84107" w:rsidRPr="00437BD1">
        <w:rPr>
          <w:color w:val="auto"/>
          <w:lang w:val="en-US"/>
        </w:rPr>
        <w:t xml:space="preserve">also </w:t>
      </w:r>
      <w:r w:rsidR="00A05509" w:rsidRPr="00437BD1">
        <w:rPr>
          <w:color w:val="auto"/>
          <w:lang w:val="en-US"/>
        </w:rPr>
        <w:t>been some stakeholder concerns</w:t>
      </w:r>
      <w:r w:rsidR="00D84107" w:rsidRPr="00437BD1">
        <w:rPr>
          <w:color w:val="auto"/>
          <w:lang w:val="en-US"/>
        </w:rPr>
        <w:t xml:space="preserve"> about the quality, reliability, redundancy and likely cost of alternative solutions, </w:t>
      </w:r>
      <w:r w:rsidR="00470707">
        <w:rPr>
          <w:color w:val="auto"/>
          <w:lang w:val="en-US"/>
        </w:rPr>
        <w:t>as well as</w:t>
      </w:r>
      <w:r w:rsidR="00035BD1">
        <w:rPr>
          <w:color w:val="auto"/>
          <w:lang w:val="en-US"/>
        </w:rPr>
        <w:t xml:space="preserve"> the ongoing expense of maintaining the copper network in regional and remote areas.</w:t>
      </w:r>
    </w:p>
    <w:p w14:paraId="727029C4" w14:textId="58F63C4F" w:rsidR="00C04A37" w:rsidRDefault="00D7745B" w:rsidP="009F01CA">
      <w:pPr>
        <w:rPr>
          <w:color w:val="auto"/>
          <w:lang w:val="en-US"/>
        </w:rPr>
      </w:pPr>
      <w:r>
        <w:rPr>
          <w:color w:val="auto"/>
          <w:lang w:val="en-US"/>
        </w:rPr>
        <w:t>The Government is aware that t</w:t>
      </w:r>
      <w:r w:rsidR="00663EAE">
        <w:rPr>
          <w:color w:val="auto"/>
          <w:lang w:val="en-US"/>
        </w:rPr>
        <w:t xml:space="preserve">he market, technology and consumer expectations </w:t>
      </w:r>
      <w:r w:rsidR="0006250D">
        <w:rPr>
          <w:color w:val="auto"/>
          <w:lang w:val="en-US"/>
        </w:rPr>
        <w:t xml:space="preserve">have evolved since </w:t>
      </w:r>
      <w:r w:rsidR="00BA4E7D">
        <w:rPr>
          <w:color w:val="auto"/>
          <w:lang w:val="en-US"/>
        </w:rPr>
        <w:t>voice service</w:t>
      </w:r>
      <w:r w:rsidR="0001388F">
        <w:rPr>
          <w:color w:val="auto"/>
          <w:lang w:val="en-US"/>
        </w:rPr>
        <w:t>s</w:t>
      </w:r>
      <w:r w:rsidR="00712B02">
        <w:rPr>
          <w:color w:val="auto"/>
          <w:lang w:val="en-US"/>
        </w:rPr>
        <w:t xml:space="preserve"> </w:t>
      </w:r>
      <w:r w:rsidR="00BA4E7D">
        <w:rPr>
          <w:color w:val="auto"/>
          <w:lang w:val="en-US"/>
        </w:rPr>
        <w:t>were</w:t>
      </w:r>
      <w:r w:rsidR="0006250D">
        <w:rPr>
          <w:color w:val="auto"/>
          <w:lang w:val="en-US"/>
        </w:rPr>
        <w:t xml:space="preserve"> </w:t>
      </w:r>
      <w:r w:rsidR="00CD3A49">
        <w:rPr>
          <w:color w:val="auto"/>
          <w:lang w:val="en-US"/>
        </w:rPr>
        <w:t xml:space="preserve">last </w:t>
      </w:r>
      <w:r w:rsidR="0006250D">
        <w:rPr>
          <w:color w:val="auto"/>
          <w:lang w:val="en-US"/>
        </w:rPr>
        <w:t>considered in detail</w:t>
      </w:r>
      <w:r w:rsidR="00663EAE">
        <w:rPr>
          <w:color w:val="auto"/>
          <w:lang w:val="en-US"/>
        </w:rPr>
        <w:t>. In particular, t</w:t>
      </w:r>
      <w:r w:rsidR="00C04A37" w:rsidRPr="00A9158A">
        <w:rPr>
          <w:color w:val="auto"/>
          <w:lang w:val="en-US"/>
        </w:rPr>
        <w:t>he Government’s recent $480</w:t>
      </w:r>
      <w:r w:rsidR="00CE6796">
        <w:rPr>
          <w:color w:val="auto"/>
          <w:lang w:val="en-US"/>
        </w:rPr>
        <w:t xml:space="preserve"> </w:t>
      </w:r>
      <w:r w:rsidR="00C04A37" w:rsidRPr="00A9158A">
        <w:rPr>
          <w:color w:val="auto"/>
          <w:lang w:val="en-US"/>
        </w:rPr>
        <w:t>m</w:t>
      </w:r>
      <w:r w:rsidR="00CE6796">
        <w:rPr>
          <w:color w:val="auto"/>
          <w:lang w:val="en-US"/>
        </w:rPr>
        <w:t>illion</w:t>
      </w:r>
      <w:r w:rsidR="00C04A37" w:rsidRPr="00A9158A">
        <w:rPr>
          <w:color w:val="auto"/>
          <w:lang w:val="en-US"/>
        </w:rPr>
        <w:t xml:space="preserve"> investment to extend and improve NBN Co</w:t>
      </w:r>
      <w:r w:rsidR="006422DC">
        <w:rPr>
          <w:color w:val="auto"/>
          <w:lang w:val="en-US"/>
        </w:rPr>
        <w:t>’s</w:t>
      </w:r>
      <w:r w:rsidR="00C04A37" w:rsidRPr="00A9158A">
        <w:rPr>
          <w:color w:val="auto"/>
          <w:lang w:val="en-US"/>
        </w:rPr>
        <w:t xml:space="preserve"> fixed wireless network offers a pathway to </w:t>
      </w:r>
      <w:r w:rsidR="00955D77">
        <w:rPr>
          <w:color w:val="auto"/>
          <w:lang w:val="en-US"/>
        </w:rPr>
        <w:t xml:space="preserve">provide </w:t>
      </w:r>
      <w:r w:rsidR="00C04A37" w:rsidRPr="00A9158A">
        <w:rPr>
          <w:color w:val="auto"/>
          <w:lang w:val="en-US"/>
        </w:rPr>
        <w:t>better services to tens of thousands of consumers</w:t>
      </w:r>
      <w:r w:rsidR="0006250D">
        <w:rPr>
          <w:color w:val="auto"/>
          <w:lang w:val="en-US"/>
        </w:rPr>
        <w:t xml:space="preserve">, while </w:t>
      </w:r>
      <w:r w:rsidR="00BA0BFA">
        <w:rPr>
          <w:color w:val="auto"/>
          <w:lang w:val="en-US"/>
        </w:rPr>
        <w:t xml:space="preserve">expansion of existing </w:t>
      </w:r>
      <w:r w:rsidR="00141B09">
        <w:rPr>
          <w:color w:val="auto"/>
          <w:lang w:val="en-US"/>
        </w:rPr>
        <w:t xml:space="preserve">terrestrial </w:t>
      </w:r>
      <w:r w:rsidR="0006250D">
        <w:rPr>
          <w:color w:val="auto"/>
          <w:lang w:val="en-US"/>
        </w:rPr>
        <w:t xml:space="preserve">mobile coverage continues to </w:t>
      </w:r>
      <w:r w:rsidR="00BA0BFA">
        <w:rPr>
          <w:color w:val="auto"/>
          <w:lang w:val="en-US"/>
        </w:rPr>
        <w:t xml:space="preserve">be supported through </w:t>
      </w:r>
      <w:r w:rsidR="0006250D">
        <w:rPr>
          <w:color w:val="auto"/>
          <w:lang w:val="en-US"/>
        </w:rPr>
        <w:t>significant co-investment between Government and industry</w:t>
      </w:r>
      <w:r w:rsidR="00C04A37" w:rsidRPr="00A9158A">
        <w:rPr>
          <w:color w:val="auto"/>
          <w:lang w:val="en-US"/>
        </w:rPr>
        <w:t>. </w:t>
      </w:r>
      <w:r w:rsidR="00663EAE">
        <w:rPr>
          <w:color w:val="auto"/>
          <w:lang w:val="en-US"/>
        </w:rPr>
        <w:t>Further, e</w:t>
      </w:r>
      <w:r w:rsidR="00C04A37" w:rsidRPr="00A9158A">
        <w:rPr>
          <w:color w:val="auto"/>
          <w:lang w:val="en-US"/>
        </w:rPr>
        <w:t xml:space="preserve">merging technologies such as Low Earth Orbit satellite (LEOSat) networks are already providing new opportunities, with further developments expected in coming years. At the same time, consumer preferences are evolving, with </w:t>
      </w:r>
      <w:r w:rsidR="00470707">
        <w:rPr>
          <w:color w:val="auto"/>
          <w:lang w:val="en-US"/>
        </w:rPr>
        <w:t>many</w:t>
      </w:r>
      <w:r w:rsidR="00C04A37" w:rsidRPr="00A9158A">
        <w:rPr>
          <w:color w:val="auto"/>
          <w:lang w:val="en-US"/>
        </w:rPr>
        <w:t xml:space="preserve"> Australians increasingly relying on mobile and high-speed broadband services as their primary telecommunications services (with voice services often provided over broadband</w:t>
      </w:r>
      <w:r w:rsidR="00955D77">
        <w:rPr>
          <w:color w:val="auto"/>
          <w:lang w:val="en-US"/>
        </w:rPr>
        <w:t xml:space="preserve"> networks</w:t>
      </w:r>
      <w:r w:rsidR="00C04A37" w:rsidRPr="00A9158A">
        <w:rPr>
          <w:color w:val="auto"/>
          <w:lang w:val="en-US"/>
        </w:rPr>
        <w:t>).</w:t>
      </w:r>
    </w:p>
    <w:p w14:paraId="09889433" w14:textId="504F821A" w:rsidR="00C04A37" w:rsidRDefault="00C04A37" w:rsidP="00FF228F">
      <w:pPr>
        <w:spacing w:after="160"/>
        <w:rPr>
          <w:color w:val="auto"/>
          <w:lang w:val="en-US"/>
        </w:rPr>
      </w:pPr>
      <w:r w:rsidRPr="00A9158A">
        <w:rPr>
          <w:color w:val="auto"/>
          <w:lang w:val="en-US"/>
        </w:rPr>
        <w:t>To provide time for all stakeholders to have their say, there will be a number of stages of consultation</w:t>
      </w:r>
      <w:r w:rsidR="00864C16">
        <w:rPr>
          <w:color w:val="auto"/>
          <w:lang w:val="en-US"/>
        </w:rPr>
        <w:t xml:space="preserve">. In parallel, technical trials </w:t>
      </w:r>
      <w:r w:rsidR="00F40104">
        <w:rPr>
          <w:color w:val="auto"/>
          <w:lang w:val="en-US"/>
        </w:rPr>
        <w:t xml:space="preserve">will be undertaken </w:t>
      </w:r>
      <w:r w:rsidRPr="00A9158A">
        <w:rPr>
          <w:color w:val="auto"/>
          <w:lang w:val="en-US"/>
        </w:rPr>
        <w:t xml:space="preserve">to obtain data about </w:t>
      </w:r>
      <w:r w:rsidR="00864C16">
        <w:rPr>
          <w:color w:val="auto"/>
          <w:lang w:val="en-US"/>
        </w:rPr>
        <w:t xml:space="preserve">the </w:t>
      </w:r>
      <w:r w:rsidR="00F40104">
        <w:rPr>
          <w:color w:val="auto"/>
          <w:lang w:val="en-US"/>
        </w:rPr>
        <w:t>real-world</w:t>
      </w:r>
      <w:r w:rsidR="00864C16">
        <w:rPr>
          <w:color w:val="auto"/>
          <w:lang w:val="en-US"/>
        </w:rPr>
        <w:t xml:space="preserve"> performance of potential </w:t>
      </w:r>
      <w:r w:rsidRPr="00A9158A">
        <w:rPr>
          <w:color w:val="auto"/>
          <w:lang w:val="en-US"/>
        </w:rPr>
        <w:t>alternative services.</w:t>
      </w:r>
      <w:r w:rsidR="0006250D">
        <w:rPr>
          <w:color w:val="auto"/>
          <w:lang w:val="en-US"/>
        </w:rPr>
        <w:t xml:space="preserve"> Further consultation would be expected on issues such as regulatory safeguards, in the event that potential changes are identified through the initial consultation phase.</w:t>
      </w:r>
    </w:p>
    <w:p w14:paraId="42DB1BA1" w14:textId="2EBB2247" w:rsidR="0064754D" w:rsidRPr="00A90889" w:rsidRDefault="0095670F" w:rsidP="004D2802">
      <w:pPr>
        <w:spacing w:after="160"/>
        <w:rPr>
          <w:b/>
        </w:rPr>
      </w:pPr>
      <w:r>
        <w:rPr>
          <w:b/>
        </w:rPr>
        <w:t xml:space="preserve">Table 1: Key steps </w:t>
      </w:r>
    </w:p>
    <w:tbl>
      <w:tblPr>
        <w:tblStyle w:val="DefaultTable1"/>
        <w:tblW w:w="9980" w:type="dxa"/>
        <w:tblLook w:val="04A0" w:firstRow="1" w:lastRow="0" w:firstColumn="1" w:lastColumn="0" w:noHBand="0" w:noVBand="1"/>
      </w:tblPr>
      <w:tblGrid>
        <w:gridCol w:w="3935"/>
        <w:gridCol w:w="2368"/>
        <w:gridCol w:w="3677"/>
      </w:tblGrid>
      <w:tr w:rsidR="00BC3B7B" w14:paraId="1E00EB90" w14:textId="77777777" w:rsidTr="001F2C01">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dxa"/>
            <w:tcBorders>
              <w:left w:val="nil"/>
              <w:right w:val="nil"/>
            </w:tcBorders>
            <w:noWrap/>
            <w:hideMark/>
          </w:tcPr>
          <w:p w14:paraId="435D2E29" w14:textId="77777777" w:rsidR="00FD2151" w:rsidRPr="00955D77" w:rsidRDefault="00FD2151">
            <w:pPr>
              <w:suppressAutoHyphens w:val="0"/>
              <w:spacing w:before="0" w:after="0"/>
              <w:rPr>
                <w:rFonts w:ascii="Calibri" w:eastAsia="Times New Roman" w:hAnsi="Calibri" w:cs="Calibri"/>
                <w:b w:val="0"/>
                <w:bCs/>
                <w:lang w:eastAsia="en-AU"/>
              </w:rPr>
            </w:pPr>
            <w:bookmarkStart w:id="14" w:name="_Hlk147909863"/>
            <w:r w:rsidRPr="00955D77">
              <w:rPr>
                <w:rFonts w:ascii="Calibri" w:eastAsia="Times New Roman" w:hAnsi="Calibri" w:cs="Calibri"/>
                <w:bCs/>
                <w:lang w:eastAsia="en-AU"/>
              </w:rPr>
              <w:t xml:space="preserve">Key </w:t>
            </w:r>
            <w:r w:rsidR="008A7EC6">
              <w:rPr>
                <w:rFonts w:ascii="Calibri" w:eastAsia="Times New Roman" w:hAnsi="Calibri" w:cs="Calibri"/>
                <w:bCs/>
                <w:lang w:eastAsia="en-AU"/>
              </w:rPr>
              <w:t>s</w:t>
            </w:r>
            <w:r w:rsidRPr="00955D77">
              <w:rPr>
                <w:rFonts w:ascii="Calibri" w:eastAsia="Times New Roman" w:hAnsi="Calibri" w:cs="Calibri"/>
                <w:bCs/>
                <w:lang w:eastAsia="en-AU"/>
              </w:rPr>
              <w:t>tep</w:t>
            </w:r>
          </w:p>
        </w:tc>
        <w:tc>
          <w:tcPr>
            <w:tcW w:w="0" w:type="dxa"/>
            <w:tcBorders>
              <w:left w:val="nil"/>
              <w:right w:val="nil"/>
            </w:tcBorders>
            <w:noWrap/>
            <w:hideMark/>
          </w:tcPr>
          <w:p w14:paraId="68C0AE83" w14:textId="77777777" w:rsidR="00FD2151" w:rsidRPr="00955D77" w:rsidRDefault="00FD2151">
            <w:pPr>
              <w:suppressAutoHyphens w:val="0"/>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lang w:eastAsia="en-AU"/>
              </w:rPr>
            </w:pPr>
            <w:r w:rsidRPr="00955D77">
              <w:rPr>
                <w:rFonts w:ascii="Calibri" w:eastAsia="Times New Roman" w:hAnsi="Calibri" w:cs="Calibri"/>
                <w:lang w:eastAsia="en-AU"/>
              </w:rPr>
              <w:t>Timeframe</w:t>
            </w:r>
          </w:p>
        </w:tc>
        <w:tc>
          <w:tcPr>
            <w:tcW w:w="0" w:type="dxa"/>
            <w:tcBorders>
              <w:left w:val="nil"/>
              <w:right w:val="nil"/>
            </w:tcBorders>
            <w:hideMark/>
          </w:tcPr>
          <w:p w14:paraId="42F3CCB4" w14:textId="77777777" w:rsidR="00FD2151" w:rsidRPr="00955D77" w:rsidRDefault="00FD2151">
            <w:pPr>
              <w:suppressAutoHyphens w:val="0"/>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lang w:eastAsia="en-AU"/>
              </w:rPr>
            </w:pPr>
            <w:r w:rsidRPr="00955D77">
              <w:rPr>
                <w:rFonts w:ascii="Calibri" w:eastAsia="Times New Roman" w:hAnsi="Calibri" w:cs="Calibri"/>
                <w:lang w:eastAsia="en-AU"/>
              </w:rPr>
              <w:t xml:space="preserve">Lead/responsibility </w:t>
            </w:r>
          </w:p>
        </w:tc>
      </w:tr>
      <w:tr w:rsidR="00BC3B7B" w14:paraId="476F21C9" w14:textId="77777777" w:rsidTr="001F2C01">
        <w:trPr>
          <w:trHeight w:val="795"/>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8089" w:themeColor="accent2"/>
              <w:left w:val="nil"/>
              <w:bottom w:val="single" w:sz="4" w:space="0" w:color="008089" w:themeColor="accent2"/>
              <w:right w:val="nil"/>
            </w:tcBorders>
            <w:noWrap/>
            <w:hideMark/>
          </w:tcPr>
          <w:p w14:paraId="2459A272" w14:textId="79749051" w:rsidR="00FD2151" w:rsidRDefault="00FD2151" w:rsidP="007E51C8">
            <w:pPr>
              <w:suppressAutoHyphens w:val="0"/>
              <w:spacing w:before="40" w:after="40"/>
              <w:rPr>
                <w:rFonts w:ascii="Calibri" w:eastAsia="Times New Roman" w:hAnsi="Calibri" w:cs="Calibri"/>
                <w:color w:val="000000"/>
                <w:lang w:eastAsia="en-AU"/>
              </w:rPr>
            </w:pPr>
            <w:r>
              <w:rPr>
                <w:rFonts w:ascii="Calibri" w:eastAsia="Times New Roman" w:hAnsi="Calibri" w:cs="Calibri"/>
                <w:color w:val="000000"/>
                <w:lang w:eastAsia="en-AU"/>
              </w:rPr>
              <w:t xml:space="preserve">Initial consultation on </w:t>
            </w:r>
            <w:r w:rsidR="00224E12">
              <w:rPr>
                <w:rFonts w:ascii="Calibri" w:eastAsia="Times New Roman" w:hAnsi="Calibri" w:cs="Calibri"/>
                <w:color w:val="000000"/>
                <w:lang w:eastAsia="en-AU"/>
              </w:rPr>
              <w:t xml:space="preserve">key </w:t>
            </w:r>
            <w:r>
              <w:rPr>
                <w:rFonts w:ascii="Calibri" w:eastAsia="Times New Roman" w:hAnsi="Calibri" w:cs="Calibri"/>
                <w:color w:val="000000"/>
                <w:lang w:eastAsia="en-AU"/>
              </w:rPr>
              <w:t>elements of a modern</w:t>
            </w:r>
            <w:r w:rsidR="00BA4E7D">
              <w:rPr>
                <w:rFonts w:ascii="Calibri" w:eastAsia="Times New Roman" w:hAnsi="Calibri" w:cs="Calibri"/>
                <w:color w:val="000000"/>
                <w:lang w:eastAsia="en-AU"/>
              </w:rPr>
              <w:t xml:space="preserve"> universal service</w:t>
            </w:r>
            <w:r w:rsidR="00E41DB0">
              <w:rPr>
                <w:rFonts w:ascii="Calibri" w:eastAsia="Times New Roman" w:hAnsi="Calibri" w:cs="Calibri"/>
                <w:color w:val="000000"/>
                <w:lang w:eastAsia="en-AU"/>
              </w:rPr>
              <w:t xml:space="preserve"> framework</w:t>
            </w:r>
          </w:p>
        </w:tc>
        <w:tc>
          <w:tcPr>
            <w:tcW w:w="0" w:type="dxa"/>
            <w:tcBorders>
              <w:top w:val="single" w:sz="4" w:space="0" w:color="008089" w:themeColor="accent2"/>
              <w:left w:val="nil"/>
              <w:bottom w:val="single" w:sz="4" w:space="0" w:color="008089" w:themeColor="accent2"/>
              <w:right w:val="nil"/>
            </w:tcBorders>
            <w:noWrap/>
            <w:hideMark/>
          </w:tcPr>
          <w:p w14:paraId="1DB9AC8F" w14:textId="77777777" w:rsidR="00FD2151" w:rsidRDefault="00FD2151">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October 2023</w:t>
            </w:r>
            <w:r w:rsidR="002006BA">
              <w:rPr>
                <w:rFonts w:ascii="Calibri" w:eastAsia="Times New Roman" w:hAnsi="Calibri" w:cs="Calibri"/>
                <w:color w:val="000000"/>
                <w:lang w:eastAsia="en-AU"/>
              </w:rPr>
              <w:t xml:space="preserve"> </w:t>
            </w:r>
            <w:r>
              <w:rPr>
                <w:rFonts w:ascii="Calibri" w:eastAsia="Times New Roman" w:hAnsi="Calibri" w:cs="Calibri"/>
                <w:color w:val="000000"/>
                <w:lang w:eastAsia="en-AU"/>
              </w:rPr>
              <w:t>-</w:t>
            </w:r>
            <w:r w:rsidR="002006BA">
              <w:rPr>
                <w:rFonts w:ascii="Calibri" w:eastAsia="Times New Roman" w:hAnsi="Calibri" w:cs="Calibri"/>
                <w:color w:val="000000"/>
                <w:lang w:eastAsia="en-AU"/>
              </w:rPr>
              <w:t xml:space="preserve"> </w:t>
            </w:r>
            <w:r>
              <w:rPr>
                <w:rFonts w:ascii="Calibri" w:eastAsia="Times New Roman" w:hAnsi="Calibri" w:cs="Calibri"/>
                <w:color w:val="000000"/>
                <w:lang w:eastAsia="en-AU"/>
              </w:rPr>
              <w:t>March 2024</w:t>
            </w:r>
          </w:p>
        </w:tc>
        <w:tc>
          <w:tcPr>
            <w:tcW w:w="0" w:type="dxa"/>
            <w:tcBorders>
              <w:top w:val="single" w:sz="4" w:space="0" w:color="008089" w:themeColor="accent2"/>
              <w:left w:val="nil"/>
              <w:bottom w:val="single" w:sz="4" w:space="0" w:color="008089" w:themeColor="accent2"/>
              <w:right w:val="nil"/>
            </w:tcBorders>
            <w:hideMark/>
          </w:tcPr>
          <w:p w14:paraId="771DA5D0" w14:textId="2AF2BB81" w:rsidR="00FD2151" w:rsidRDefault="00ED2759">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Department of Infrastructure, Transport, Regional Development, Communications and the Arts (</w:t>
            </w:r>
            <w:r w:rsidR="00FD2151">
              <w:rPr>
                <w:rFonts w:ascii="Calibri" w:eastAsia="Times New Roman" w:hAnsi="Calibri" w:cs="Calibri"/>
                <w:color w:val="000000"/>
                <w:lang w:eastAsia="en-AU"/>
              </w:rPr>
              <w:t>DITRDCA</w:t>
            </w:r>
            <w:r>
              <w:rPr>
                <w:rFonts w:ascii="Calibri" w:eastAsia="Times New Roman" w:hAnsi="Calibri" w:cs="Calibri"/>
                <w:color w:val="000000"/>
                <w:lang w:eastAsia="en-AU"/>
              </w:rPr>
              <w:t>)</w:t>
            </w:r>
          </w:p>
        </w:tc>
      </w:tr>
      <w:tr w:rsidR="00BC3B7B" w14:paraId="43CEA4D7" w14:textId="77777777" w:rsidTr="001F2C01">
        <w:trPr>
          <w:cnfStyle w:val="000000010000" w:firstRow="0" w:lastRow="0" w:firstColumn="0" w:lastColumn="0" w:oddVBand="0" w:evenVBand="0" w:oddHBand="0" w:evenHBand="1" w:firstRowFirstColumn="0" w:firstRowLastColumn="0" w:lastRowFirstColumn="0" w:lastRowLastColumn="0"/>
          <w:trHeight w:val="982"/>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8089" w:themeColor="accent2"/>
              <w:left w:val="nil"/>
              <w:bottom w:val="single" w:sz="4" w:space="0" w:color="008089" w:themeColor="accent2"/>
              <w:right w:val="nil"/>
            </w:tcBorders>
            <w:noWrap/>
          </w:tcPr>
          <w:p w14:paraId="0D6FF45D" w14:textId="45952F2A" w:rsidR="00FD2151" w:rsidRPr="007E51C8" w:rsidRDefault="00FD2151" w:rsidP="007E51C8">
            <w:pPr>
              <w:suppressAutoHyphens w:val="0"/>
              <w:spacing w:before="40" w:after="40"/>
              <w:rPr>
                <w:rFonts w:ascii="Calibri" w:eastAsia="Times New Roman" w:hAnsi="Calibri" w:cs="Calibri"/>
                <w:b w:val="0"/>
                <w:color w:val="000000"/>
                <w:lang w:eastAsia="en-AU"/>
              </w:rPr>
            </w:pPr>
            <w:r>
              <w:rPr>
                <w:rFonts w:ascii="Calibri" w:eastAsia="Times New Roman" w:hAnsi="Calibri" w:cs="Calibri"/>
                <w:color w:val="000000"/>
                <w:lang w:eastAsia="en-AU"/>
              </w:rPr>
              <w:t>Regional Telecommunications Review (RTR)</w:t>
            </w:r>
            <w:r w:rsidR="007E51C8">
              <w:rPr>
                <w:rFonts w:ascii="Calibri" w:eastAsia="Times New Roman" w:hAnsi="Calibri" w:cs="Calibri"/>
                <w:color w:val="000000"/>
                <w:lang w:eastAsia="en-AU"/>
              </w:rPr>
              <w:t xml:space="preserve"> – p</w:t>
            </w:r>
            <w:r>
              <w:rPr>
                <w:rFonts w:ascii="Calibri" w:eastAsia="Times New Roman" w:hAnsi="Calibri" w:cs="Calibri"/>
                <w:color w:val="000000"/>
                <w:lang w:eastAsia="en-AU"/>
              </w:rPr>
              <w:t>rovide advice and input to support Government consideration</w:t>
            </w:r>
            <w:r w:rsidR="00BA4E7D">
              <w:rPr>
                <w:rFonts w:ascii="Calibri" w:eastAsia="Times New Roman" w:hAnsi="Calibri" w:cs="Calibri"/>
                <w:color w:val="000000"/>
                <w:lang w:eastAsia="en-AU"/>
              </w:rPr>
              <w:t xml:space="preserve"> of universal services</w:t>
            </w:r>
          </w:p>
        </w:tc>
        <w:tc>
          <w:tcPr>
            <w:tcW w:w="0" w:type="dxa"/>
            <w:tcBorders>
              <w:top w:val="single" w:sz="4" w:space="0" w:color="008089" w:themeColor="accent2"/>
              <w:left w:val="nil"/>
              <w:bottom w:val="single" w:sz="4" w:space="0" w:color="008089" w:themeColor="accent2"/>
              <w:right w:val="nil"/>
            </w:tcBorders>
            <w:noWrap/>
            <w:hideMark/>
          </w:tcPr>
          <w:p w14:paraId="1AFE4D2F" w14:textId="77777777" w:rsidR="00FD2151" w:rsidRDefault="00FD2151">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Throughout 2024</w:t>
            </w:r>
          </w:p>
        </w:tc>
        <w:tc>
          <w:tcPr>
            <w:tcW w:w="0" w:type="dxa"/>
            <w:tcBorders>
              <w:top w:val="single" w:sz="4" w:space="0" w:color="008089" w:themeColor="accent2"/>
              <w:left w:val="nil"/>
              <w:bottom w:val="single" w:sz="4" w:space="0" w:color="008089" w:themeColor="accent2"/>
              <w:right w:val="nil"/>
            </w:tcBorders>
            <w:hideMark/>
          </w:tcPr>
          <w:p w14:paraId="28E3BCCC" w14:textId="77777777" w:rsidR="00FD2151" w:rsidRDefault="00FD2151">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Independent Committee established by the Government</w:t>
            </w:r>
          </w:p>
        </w:tc>
      </w:tr>
      <w:tr w:rsidR="00BC3B7B" w14:paraId="4DC4B9FD" w14:textId="77777777" w:rsidTr="001F2C01">
        <w:trPr>
          <w:trHeight w:val="529"/>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8089" w:themeColor="accent2"/>
              <w:left w:val="nil"/>
              <w:bottom w:val="single" w:sz="4" w:space="0" w:color="008089" w:themeColor="accent2"/>
              <w:right w:val="nil"/>
            </w:tcBorders>
            <w:hideMark/>
          </w:tcPr>
          <w:p w14:paraId="6996B7ED" w14:textId="073F2658" w:rsidR="00FD2151" w:rsidRDefault="00FD2151" w:rsidP="007E51C8">
            <w:pPr>
              <w:suppressAutoHyphens w:val="0"/>
              <w:spacing w:before="40" w:after="40"/>
              <w:rPr>
                <w:rFonts w:ascii="Calibri" w:eastAsia="Times New Roman" w:hAnsi="Calibri" w:cs="Calibri"/>
                <w:color w:val="000000"/>
                <w:lang w:eastAsia="en-AU"/>
              </w:rPr>
            </w:pPr>
            <w:r>
              <w:rPr>
                <w:rFonts w:ascii="Calibri" w:eastAsia="Times New Roman" w:hAnsi="Calibri" w:cs="Calibri"/>
                <w:color w:val="000000"/>
                <w:lang w:eastAsia="en-AU"/>
              </w:rPr>
              <w:t xml:space="preserve">Consultation on funding arrangements that underpin </w:t>
            </w:r>
            <w:r w:rsidR="00E41DB0">
              <w:rPr>
                <w:rFonts w:ascii="Calibri" w:eastAsia="Times New Roman" w:hAnsi="Calibri" w:cs="Calibri"/>
                <w:color w:val="000000"/>
                <w:lang w:eastAsia="en-AU"/>
              </w:rPr>
              <w:t xml:space="preserve">delivery of </w:t>
            </w:r>
            <w:r>
              <w:rPr>
                <w:rFonts w:ascii="Calibri" w:eastAsia="Times New Roman" w:hAnsi="Calibri" w:cs="Calibri"/>
                <w:color w:val="000000"/>
                <w:lang w:eastAsia="en-AU"/>
              </w:rPr>
              <w:t>universal service</w:t>
            </w:r>
            <w:r w:rsidR="00E41DB0">
              <w:rPr>
                <w:rFonts w:ascii="Calibri" w:eastAsia="Times New Roman" w:hAnsi="Calibri" w:cs="Calibri"/>
                <w:color w:val="000000"/>
                <w:lang w:eastAsia="en-AU"/>
              </w:rPr>
              <w:t>s</w:t>
            </w:r>
            <w:r>
              <w:rPr>
                <w:rFonts w:ascii="Calibri" w:eastAsia="Times New Roman" w:hAnsi="Calibri" w:cs="Calibri"/>
                <w:color w:val="000000"/>
                <w:lang w:eastAsia="en-AU"/>
              </w:rPr>
              <w:t xml:space="preserve">, </w:t>
            </w:r>
            <w:r w:rsidR="00663EAE">
              <w:rPr>
                <w:rFonts w:ascii="Calibri" w:eastAsia="Times New Roman" w:hAnsi="Calibri" w:cs="Calibri"/>
                <w:color w:val="000000"/>
                <w:lang w:eastAsia="en-AU"/>
              </w:rPr>
              <w:t xml:space="preserve">incorporating </w:t>
            </w:r>
            <w:r>
              <w:rPr>
                <w:rFonts w:ascii="Calibri" w:eastAsia="Times New Roman" w:hAnsi="Calibri" w:cs="Calibri"/>
                <w:color w:val="000000"/>
                <w:lang w:eastAsia="en-AU"/>
              </w:rPr>
              <w:t>the statutory review of the Regional Broadband Scheme</w:t>
            </w:r>
          </w:p>
        </w:tc>
        <w:tc>
          <w:tcPr>
            <w:tcW w:w="0" w:type="dxa"/>
            <w:tcBorders>
              <w:top w:val="single" w:sz="4" w:space="0" w:color="008089" w:themeColor="accent2"/>
              <w:left w:val="nil"/>
              <w:bottom w:val="single" w:sz="4" w:space="0" w:color="008089" w:themeColor="accent2"/>
              <w:right w:val="nil"/>
            </w:tcBorders>
            <w:hideMark/>
          </w:tcPr>
          <w:p w14:paraId="561AE78C" w14:textId="77777777" w:rsidR="00FD2151" w:rsidRDefault="00FD2151">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February - April 2024</w:t>
            </w:r>
          </w:p>
        </w:tc>
        <w:tc>
          <w:tcPr>
            <w:tcW w:w="0" w:type="dxa"/>
            <w:tcBorders>
              <w:top w:val="single" w:sz="4" w:space="0" w:color="008089" w:themeColor="accent2"/>
              <w:left w:val="nil"/>
              <w:bottom w:val="single" w:sz="4" w:space="0" w:color="008089" w:themeColor="accent2"/>
              <w:right w:val="nil"/>
            </w:tcBorders>
            <w:hideMark/>
          </w:tcPr>
          <w:p w14:paraId="6131C7A4" w14:textId="77777777" w:rsidR="00FD2151" w:rsidRDefault="00FD2151">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DITRDCA</w:t>
            </w:r>
          </w:p>
        </w:tc>
      </w:tr>
      <w:tr w:rsidR="00BC3B7B" w14:paraId="1A3395CE" w14:textId="77777777" w:rsidTr="001F2C01">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8089" w:themeColor="accent2"/>
              <w:left w:val="nil"/>
              <w:bottom w:val="single" w:sz="4" w:space="0" w:color="008089" w:themeColor="accent2"/>
              <w:right w:val="nil"/>
            </w:tcBorders>
            <w:noWrap/>
            <w:hideMark/>
          </w:tcPr>
          <w:p w14:paraId="0F200FD5" w14:textId="77777777" w:rsidR="00FD2151" w:rsidRDefault="00FD2151" w:rsidP="007E51C8">
            <w:pPr>
              <w:suppressAutoHyphens w:val="0"/>
              <w:spacing w:before="40" w:after="40"/>
              <w:rPr>
                <w:rFonts w:ascii="Calibri" w:eastAsia="Times New Roman" w:hAnsi="Calibri" w:cs="Calibri"/>
                <w:color w:val="000000"/>
                <w:lang w:eastAsia="en-AU"/>
              </w:rPr>
            </w:pPr>
            <w:r>
              <w:rPr>
                <w:rFonts w:ascii="Calibri" w:eastAsia="Times New Roman" w:hAnsi="Calibri" w:cs="Calibri"/>
                <w:color w:val="000000"/>
                <w:lang w:eastAsia="en-AU"/>
              </w:rPr>
              <w:t>Technical trials of alternative technologies</w:t>
            </w:r>
          </w:p>
        </w:tc>
        <w:tc>
          <w:tcPr>
            <w:tcW w:w="0" w:type="dxa"/>
            <w:tcBorders>
              <w:top w:val="single" w:sz="4" w:space="0" w:color="008089" w:themeColor="accent2"/>
              <w:left w:val="nil"/>
              <w:bottom w:val="single" w:sz="4" w:space="0" w:color="008089" w:themeColor="accent2"/>
              <w:right w:val="nil"/>
            </w:tcBorders>
            <w:noWrap/>
            <w:hideMark/>
          </w:tcPr>
          <w:p w14:paraId="5C0C0797" w14:textId="77777777" w:rsidR="00FD2151" w:rsidRDefault="002C67B3">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From early </w:t>
            </w:r>
            <w:r w:rsidR="00FD2151">
              <w:rPr>
                <w:rFonts w:ascii="Calibri" w:eastAsia="Times New Roman" w:hAnsi="Calibri" w:cs="Calibri"/>
                <w:color w:val="000000"/>
                <w:lang w:eastAsia="en-AU"/>
              </w:rPr>
              <w:t>2024</w:t>
            </w:r>
          </w:p>
        </w:tc>
        <w:tc>
          <w:tcPr>
            <w:tcW w:w="0" w:type="dxa"/>
            <w:tcBorders>
              <w:top w:val="single" w:sz="4" w:space="0" w:color="008089" w:themeColor="accent2"/>
              <w:left w:val="nil"/>
              <w:bottom w:val="single" w:sz="4" w:space="0" w:color="008089" w:themeColor="accent2"/>
              <w:right w:val="nil"/>
            </w:tcBorders>
            <w:hideMark/>
          </w:tcPr>
          <w:p w14:paraId="548C01F2" w14:textId="77777777" w:rsidR="00FD2151" w:rsidRDefault="00FD2151">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DITRDCA</w:t>
            </w:r>
          </w:p>
        </w:tc>
      </w:tr>
      <w:tr w:rsidR="00BC3B7B" w14:paraId="642EE178" w14:textId="77777777" w:rsidTr="001F2C01">
        <w:trPr>
          <w:trHeight w:val="7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8089" w:themeColor="accent2"/>
              <w:left w:val="nil"/>
              <w:bottom w:val="single" w:sz="4" w:space="0" w:color="008089" w:themeColor="accent2"/>
              <w:right w:val="nil"/>
            </w:tcBorders>
            <w:noWrap/>
            <w:hideMark/>
          </w:tcPr>
          <w:p w14:paraId="4806C119" w14:textId="77777777" w:rsidR="00FD2151" w:rsidRDefault="00FD2151" w:rsidP="007E51C8">
            <w:pPr>
              <w:suppressAutoHyphens w:val="0"/>
              <w:spacing w:before="40" w:after="40"/>
              <w:rPr>
                <w:rFonts w:ascii="Calibri" w:eastAsia="Times New Roman" w:hAnsi="Calibri" w:cs="Calibri"/>
                <w:color w:val="000000"/>
                <w:lang w:eastAsia="en-AU"/>
              </w:rPr>
            </w:pPr>
            <w:r>
              <w:rPr>
                <w:rFonts w:ascii="Calibri" w:eastAsia="Times New Roman" w:hAnsi="Calibri" w:cs="Calibri"/>
                <w:color w:val="000000"/>
                <w:lang w:eastAsia="en-AU"/>
              </w:rPr>
              <w:t xml:space="preserve">Summary report on </w:t>
            </w:r>
            <w:r w:rsidR="002006BA">
              <w:rPr>
                <w:rFonts w:ascii="Calibri" w:eastAsia="Times New Roman" w:hAnsi="Calibri" w:cs="Calibri"/>
                <w:color w:val="000000"/>
                <w:lang w:eastAsia="en-AU"/>
              </w:rPr>
              <w:t xml:space="preserve">stakeholder feedback </w:t>
            </w:r>
          </w:p>
        </w:tc>
        <w:tc>
          <w:tcPr>
            <w:tcW w:w="0" w:type="dxa"/>
            <w:tcBorders>
              <w:top w:val="single" w:sz="4" w:space="0" w:color="008089" w:themeColor="accent2"/>
              <w:left w:val="nil"/>
              <w:bottom w:val="single" w:sz="4" w:space="0" w:color="008089" w:themeColor="accent2"/>
              <w:right w:val="nil"/>
            </w:tcBorders>
            <w:noWrap/>
            <w:hideMark/>
          </w:tcPr>
          <w:p w14:paraId="462ABDF0" w14:textId="77777777" w:rsidR="00FD2151" w:rsidRDefault="00FD2151">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July 2024</w:t>
            </w:r>
          </w:p>
        </w:tc>
        <w:tc>
          <w:tcPr>
            <w:tcW w:w="0" w:type="dxa"/>
            <w:tcBorders>
              <w:top w:val="single" w:sz="4" w:space="0" w:color="008089" w:themeColor="accent2"/>
              <w:left w:val="nil"/>
              <w:bottom w:val="single" w:sz="4" w:space="0" w:color="008089" w:themeColor="accent2"/>
              <w:right w:val="nil"/>
            </w:tcBorders>
            <w:hideMark/>
          </w:tcPr>
          <w:p w14:paraId="70C58291" w14:textId="77777777" w:rsidR="00FD2151" w:rsidRDefault="00FD2151">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DITRDCA</w:t>
            </w:r>
          </w:p>
        </w:tc>
      </w:tr>
    </w:tbl>
    <w:bookmarkEnd w:id="14"/>
    <w:p w14:paraId="758CAEE7" w14:textId="39682F95" w:rsidR="00B74107" w:rsidRDefault="0064705C" w:rsidP="009F01CA">
      <w:pPr>
        <w:rPr>
          <w:rStyle w:val="Hyperlink"/>
          <w:color w:val="auto"/>
          <w:u w:val="none"/>
          <w:lang w:val="en-US"/>
        </w:rPr>
      </w:pPr>
      <w:r>
        <w:rPr>
          <w:lang w:val="en-US"/>
        </w:rPr>
        <w:t>S</w:t>
      </w:r>
      <w:r w:rsidR="008A1E60">
        <w:rPr>
          <w:lang w:val="en-US"/>
        </w:rPr>
        <w:t xml:space="preserve">pecific input </w:t>
      </w:r>
      <w:r w:rsidR="009732A0">
        <w:rPr>
          <w:lang w:val="en-US"/>
        </w:rPr>
        <w:t xml:space="preserve">on the issues raised in this </w:t>
      </w:r>
      <w:r w:rsidR="009732A0" w:rsidRPr="000478E4">
        <w:rPr>
          <w:lang w:val="en-US"/>
        </w:rPr>
        <w:t xml:space="preserve">paper </w:t>
      </w:r>
      <w:r w:rsidR="00FD2151" w:rsidRPr="000478E4">
        <w:rPr>
          <w:lang w:val="en-US"/>
        </w:rPr>
        <w:t xml:space="preserve">is </w:t>
      </w:r>
      <w:r w:rsidR="00E11658" w:rsidRPr="000478E4">
        <w:rPr>
          <w:lang w:val="en-US"/>
        </w:rPr>
        <w:t xml:space="preserve">sought by </w:t>
      </w:r>
      <w:r w:rsidR="00CD3A49">
        <w:rPr>
          <w:lang w:val="en-US"/>
        </w:rPr>
        <w:t>5pm,</w:t>
      </w:r>
      <w:r w:rsidR="00864C16">
        <w:rPr>
          <w:lang w:val="en-US"/>
        </w:rPr>
        <w:t xml:space="preserve"> </w:t>
      </w:r>
      <w:r w:rsidR="00864C16">
        <w:rPr>
          <w:b/>
          <w:lang w:val="en-US"/>
        </w:rPr>
        <w:t xml:space="preserve">Friday </w:t>
      </w:r>
      <w:r w:rsidR="00D7745B" w:rsidRPr="004F467C">
        <w:rPr>
          <w:b/>
          <w:lang w:val="en-US"/>
        </w:rPr>
        <w:t>1</w:t>
      </w:r>
      <w:r w:rsidR="00E11658" w:rsidRPr="000478E4">
        <w:rPr>
          <w:b/>
          <w:lang w:val="en-US"/>
        </w:rPr>
        <w:t xml:space="preserve"> </w:t>
      </w:r>
      <w:r w:rsidR="001155C2" w:rsidRPr="004F467C">
        <w:rPr>
          <w:b/>
          <w:lang w:val="en-US"/>
        </w:rPr>
        <w:t>March</w:t>
      </w:r>
      <w:r w:rsidR="00976714" w:rsidRPr="000478E4">
        <w:rPr>
          <w:b/>
          <w:lang w:val="en-US"/>
        </w:rPr>
        <w:t xml:space="preserve"> </w:t>
      </w:r>
      <w:r w:rsidR="00E11658" w:rsidRPr="000478E4">
        <w:rPr>
          <w:b/>
          <w:lang w:val="en-US"/>
        </w:rPr>
        <w:t>202</w:t>
      </w:r>
      <w:r w:rsidR="00720BCF" w:rsidRPr="000478E4">
        <w:rPr>
          <w:b/>
          <w:lang w:val="en-US"/>
        </w:rPr>
        <w:t>4</w:t>
      </w:r>
      <w:r w:rsidR="00B219DC" w:rsidRPr="000478E4">
        <w:rPr>
          <w:lang w:val="en-US"/>
        </w:rPr>
        <w:t xml:space="preserve">. </w:t>
      </w:r>
      <w:r w:rsidR="006422DC" w:rsidRPr="000478E4">
        <w:rPr>
          <w:lang w:val="en-US"/>
        </w:rPr>
        <w:t>T</w:t>
      </w:r>
      <w:r w:rsidR="008A1E60" w:rsidRPr="000478E4">
        <w:rPr>
          <w:lang w:val="en-US"/>
        </w:rPr>
        <w:t>he</w:t>
      </w:r>
      <w:r w:rsidR="008A1E60">
        <w:rPr>
          <w:lang w:val="en-US"/>
        </w:rPr>
        <w:t xml:space="preserve"> </w:t>
      </w:r>
      <w:r w:rsidR="00B219DC">
        <w:rPr>
          <w:lang w:val="en-US"/>
        </w:rPr>
        <w:t xml:space="preserve">Department </w:t>
      </w:r>
      <w:r w:rsidR="000E09B4">
        <w:rPr>
          <w:lang w:val="en-US"/>
        </w:rPr>
        <w:t>is also interested in</w:t>
      </w:r>
      <w:r w:rsidR="00B219DC">
        <w:rPr>
          <w:lang w:val="en-US"/>
        </w:rPr>
        <w:t xml:space="preserve"> meet</w:t>
      </w:r>
      <w:r w:rsidR="000E09B4">
        <w:rPr>
          <w:lang w:val="en-US"/>
        </w:rPr>
        <w:t>ing</w:t>
      </w:r>
      <w:r w:rsidR="00B219DC">
        <w:rPr>
          <w:lang w:val="en-US"/>
        </w:rPr>
        <w:t xml:space="preserve"> stakeholders throughout the process to better understand</w:t>
      </w:r>
      <w:r w:rsidR="000E09B4">
        <w:rPr>
          <w:lang w:val="en-US"/>
        </w:rPr>
        <w:t xml:space="preserve"> their </w:t>
      </w:r>
      <w:r w:rsidR="00B219DC">
        <w:rPr>
          <w:lang w:val="en-US"/>
        </w:rPr>
        <w:t>views.</w:t>
      </w:r>
      <w:r w:rsidR="004A479C">
        <w:rPr>
          <w:lang w:val="en-US"/>
        </w:rPr>
        <w:t xml:space="preserve"> Please reach out if you would like to </w:t>
      </w:r>
      <w:r w:rsidR="00BD166D">
        <w:rPr>
          <w:lang w:val="en-US"/>
        </w:rPr>
        <w:t xml:space="preserve">arrange </w:t>
      </w:r>
      <w:r w:rsidR="004A479C">
        <w:rPr>
          <w:lang w:val="en-US"/>
        </w:rPr>
        <w:t>a time to talk to the Department about the process, or provide your views.</w:t>
      </w:r>
      <w:r w:rsidR="009732A0">
        <w:rPr>
          <w:lang w:val="en-US"/>
        </w:rPr>
        <w:t xml:space="preserve"> Submissions or requests to meet with the department</w:t>
      </w:r>
      <w:r w:rsidR="009732A0" w:rsidRPr="009C60A5">
        <w:rPr>
          <w:lang w:val="en-US"/>
        </w:rPr>
        <w:t xml:space="preserve"> can be emailed to </w:t>
      </w:r>
      <w:hyperlink r:id="rId23" w:history="1">
        <w:r w:rsidR="009732A0" w:rsidRPr="009C60A5">
          <w:rPr>
            <w:rStyle w:val="Hyperlink"/>
            <w:lang w:val="en-US"/>
          </w:rPr>
          <w:t>usb@infrastructure.gov.au</w:t>
        </w:r>
      </w:hyperlink>
      <w:r w:rsidR="009732A0" w:rsidRPr="00D47C98">
        <w:rPr>
          <w:rStyle w:val="Hyperlink"/>
          <w:color w:val="auto"/>
          <w:u w:val="none"/>
          <w:lang w:val="en-US"/>
        </w:rPr>
        <w:t>.</w:t>
      </w:r>
      <w:r w:rsidR="00B74107">
        <w:rPr>
          <w:rStyle w:val="Hyperlink"/>
          <w:color w:val="auto"/>
          <w:u w:val="none"/>
          <w:lang w:val="en-US"/>
        </w:rPr>
        <w:t xml:space="preserve"> </w:t>
      </w:r>
    </w:p>
    <w:p w14:paraId="311ECCDA" w14:textId="6CF62F6F" w:rsidR="00694444" w:rsidRPr="00D47C98" w:rsidRDefault="00694444" w:rsidP="009F01CA">
      <w:pPr>
        <w:rPr>
          <w:rStyle w:val="Hyperlink"/>
          <w:color w:val="auto"/>
          <w:u w:val="none"/>
          <w:lang w:val="en-US"/>
        </w:rPr>
      </w:pPr>
      <w:r w:rsidRPr="00D47C98">
        <w:rPr>
          <w:rStyle w:val="Hyperlink"/>
          <w:color w:val="auto"/>
          <w:u w:val="none"/>
          <w:lang w:val="en-US"/>
        </w:rPr>
        <w:t xml:space="preserve">The Department would also appreciate </w:t>
      </w:r>
      <w:r w:rsidR="008A7EC6">
        <w:rPr>
          <w:rStyle w:val="Hyperlink"/>
          <w:color w:val="auto"/>
          <w:u w:val="none"/>
          <w:lang w:val="en-US"/>
        </w:rPr>
        <w:t xml:space="preserve">early </w:t>
      </w:r>
      <w:r w:rsidRPr="00D47C98">
        <w:rPr>
          <w:rStyle w:val="Hyperlink"/>
          <w:color w:val="auto"/>
          <w:u w:val="none"/>
          <w:lang w:val="en-US"/>
        </w:rPr>
        <w:t>feedback or discussion with interested stakeholders before the end of 2023 if they have views on service characteristics that should be assessed, or other issues that should be considered as part of setting up technical trials of alternative technologies</w:t>
      </w:r>
      <w:r w:rsidR="008A7EC6">
        <w:rPr>
          <w:rStyle w:val="Hyperlink"/>
          <w:color w:val="auto"/>
          <w:u w:val="none"/>
          <w:lang w:val="en-US"/>
        </w:rPr>
        <w:t xml:space="preserve"> referenced in the table above</w:t>
      </w:r>
      <w:r w:rsidRPr="00D47C98">
        <w:rPr>
          <w:rStyle w:val="Hyperlink"/>
          <w:color w:val="auto"/>
          <w:u w:val="none"/>
          <w:lang w:val="en-US"/>
        </w:rPr>
        <w:t>.</w:t>
      </w:r>
    </w:p>
    <w:p w14:paraId="05A5A7A2" w14:textId="77777777" w:rsidR="0094177D" w:rsidRPr="009C60A5" w:rsidRDefault="0094177D" w:rsidP="004D2802">
      <w:pPr>
        <w:pStyle w:val="Heading1"/>
        <w:spacing w:before="160"/>
        <w:contextualSpacing w:val="0"/>
      </w:pPr>
      <w:bookmarkStart w:id="15" w:name="_Toc149309861"/>
      <w:r w:rsidRPr="009C60A5">
        <w:t>Background</w:t>
      </w:r>
      <w:bookmarkEnd w:id="15"/>
    </w:p>
    <w:p w14:paraId="3F1C9C90" w14:textId="77777777" w:rsidR="00BA1530" w:rsidRPr="00BA1530" w:rsidRDefault="006C1FAE" w:rsidP="004D2802">
      <w:pPr>
        <w:pStyle w:val="Heading2"/>
        <w:spacing w:before="80" w:after="80"/>
      </w:pPr>
      <w:bookmarkStart w:id="16" w:name="_Hlk146011068"/>
      <w:bookmarkStart w:id="17" w:name="_Toc143754960"/>
      <w:bookmarkStart w:id="18" w:name="_Toc149309862"/>
      <w:r>
        <w:t xml:space="preserve">Availability of telecommunications </w:t>
      </w:r>
      <w:r w:rsidR="0076606E">
        <w:t>networks</w:t>
      </w:r>
      <w:bookmarkEnd w:id="18"/>
    </w:p>
    <w:p w14:paraId="40418A27" w14:textId="0823127F" w:rsidR="00BA4E7D" w:rsidRDefault="00BA1530" w:rsidP="005B1688">
      <w:pPr>
        <w:spacing w:before="80"/>
        <w:rPr>
          <w:lang w:val="x-none"/>
        </w:rPr>
      </w:pPr>
      <w:r>
        <w:rPr>
          <w:lang w:val="en-US"/>
        </w:rPr>
        <w:t>Telecommunications services in Australia are delivered over a number of different networks. The majority of fixed services are delivered over the NBN</w:t>
      </w:r>
      <w:r>
        <w:t xml:space="preserve">. </w:t>
      </w:r>
      <w:r w:rsidR="00185965">
        <w:t>NBN</w:t>
      </w:r>
      <w:r w:rsidR="00F43AE8">
        <w:t xml:space="preserve"> Co’s</w:t>
      </w:r>
      <w:r w:rsidR="00185965">
        <w:t xml:space="preserve"> </w:t>
      </w:r>
      <w:r>
        <w:t>fixed</w:t>
      </w:r>
      <w:r w:rsidR="00D16FAB">
        <w:t xml:space="preserve"> </w:t>
      </w:r>
      <w:r>
        <w:t xml:space="preserve">line network, which </w:t>
      </w:r>
      <w:r w:rsidR="008A1E60">
        <w:t xml:space="preserve">can service </w:t>
      </w:r>
      <w:r w:rsidR="006422DC">
        <w:t>a</w:t>
      </w:r>
      <w:r w:rsidR="005C0425">
        <w:t>round</w:t>
      </w:r>
      <w:r w:rsidR="008A1E60">
        <w:t xml:space="preserve"> 11.5 million</w:t>
      </w:r>
      <w:r>
        <w:t xml:space="preserve"> premises</w:t>
      </w:r>
      <w:r w:rsidR="008A1E60">
        <w:t xml:space="preserve"> nationally </w:t>
      </w:r>
      <w:r>
        <w:t xml:space="preserve">(around </w:t>
      </w:r>
      <w:r w:rsidRPr="00A9158A">
        <w:t>92</w:t>
      </w:r>
      <w:r>
        <w:t xml:space="preserve">% of NBN Co’s </w:t>
      </w:r>
      <w:r w:rsidR="006422DC">
        <w:t xml:space="preserve">total </w:t>
      </w:r>
      <w:r>
        <w:t>network)</w:t>
      </w:r>
      <w:r w:rsidR="00BD166D">
        <w:t>,</w:t>
      </w:r>
      <w:r>
        <w:t xml:space="preserve"> support</w:t>
      </w:r>
      <w:r w:rsidR="00CD3A49">
        <w:t>s</w:t>
      </w:r>
      <w:r>
        <w:t xml:space="preserve"> quality voice calls</w:t>
      </w:r>
      <w:r w:rsidR="00F43AE8">
        <w:t xml:space="preserve">. In these areas, </w:t>
      </w:r>
      <w:r>
        <w:t>Telstra uses the</w:t>
      </w:r>
      <w:r w:rsidR="008A1E60">
        <w:t xml:space="preserve"> NBN</w:t>
      </w:r>
      <w:r>
        <w:t xml:space="preserve"> fixed</w:t>
      </w:r>
      <w:r w:rsidR="00D16FAB">
        <w:t xml:space="preserve"> </w:t>
      </w:r>
      <w:r>
        <w:t xml:space="preserve">line broadband network to deliver the majority of USO voice services. </w:t>
      </w:r>
      <w:r w:rsidR="00B34679">
        <w:t>Outside the fixed</w:t>
      </w:r>
      <w:r w:rsidR="00D16FAB">
        <w:t xml:space="preserve"> </w:t>
      </w:r>
      <w:r w:rsidR="00B34679">
        <w:t xml:space="preserve">line network, </w:t>
      </w:r>
      <w:r>
        <w:t>NBN Co</w:t>
      </w:r>
      <w:r w:rsidR="008A1E60">
        <w:t xml:space="preserve">’s </w:t>
      </w:r>
      <w:r>
        <w:t xml:space="preserve">fixed wireless </w:t>
      </w:r>
      <w:r w:rsidR="008A1E60">
        <w:t xml:space="preserve">and satellite </w:t>
      </w:r>
      <w:r w:rsidR="00B34679">
        <w:t>networks</w:t>
      </w:r>
      <w:r w:rsidR="008A1E60">
        <w:t xml:space="preserve"> </w:t>
      </w:r>
      <w:r w:rsidR="00C90505">
        <w:t xml:space="preserve">are available to </w:t>
      </w:r>
      <w:r w:rsidR="008A1E60" w:rsidRPr="0018523B">
        <w:t xml:space="preserve">around </w:t>
      </w:r>
      <w:r w:rsidR="00A105CD" w:rsidRPr="0018523B">
        <w:t>1.1</w:t>
      </w:r>
      <w:r w:rsidR="008A1E60" w:rsidRPr="0018523B">
        <w:t xml:space="preserve"> million </w:t>
      </w:r>
      <w:r w:rsidR="008A1E60">
        <w:t>premises</w:t>
      </w:r>
      <w:r w:rsidR="00BD166D">
        <w:t>,</w:t>
      </w:r>
      <w:r w:rsidR="00C90505">
        <w:t xml:space="preserve"> typically in regional and remote areas. </w:t>
      </w:r>
      <w:r w:rsidR="00471ED2">
        <w:t xml:space="preserve">NBN fixed wireless and satellite </w:t>
      </w:r>
      <w:r w:rsidR="00C90505">
        <w:t xml:space="preserve">are not currently </w:t>
      </w:r>
      <w:r w:rsidR="00B34679">
        <w:t>used to deliver USO voice services</w:t>
      </w:r>
      <w:r>
        <w:t xml:space="preserve">. </w:t>
      </w:r>
      <w:r w:rsidR="00B34679">
        <w:t xml:space="preserve">Instead, </w:t>
      </w:r>
      <w:r>
        <w:t>Telstra</w:t>
      </w:r>
      <w:r w:rsidR="00B34679">
        <w:t xml:space="preserve"> continues to </w:t>
      </w:r>
      <w:r>
        <w:t xml:space="preserve">use its own legacy networks to provide </w:t>
      </w:r>
      <w:r w:rsidR="00585062">
        <w:t xml:space="preserve">around </w:t>
      </w:r>
      <w:r w:rsidR="00B34679" w:rsidRPr="0018523B">
        <w:t xml:space="preserve">300,000 </w:t>
      </w:r>
      <w:r>
        <w:t>USO voice services</w:t>
      </w:r>
      <w:r w:rsidR="0018523B">
        <w:t xml:space="preserve"> as of September 2023</w:t>
      </w:r>
      <w:r w:rsidR="00BD166D">
        <w:t>,</w:t>
      </w:r>
      <w:r w:rsidR="00B34679">
        <w:t xml:space="preserve"> </w:t>
      </w:r>
      <w:r>
        <w:t>mostly over its copper network</w:t>
      </w:r>
      <w:r w:rsidR="00471ED2">
        <w:t xml:space="preserve"> (reflecting contractual arrangements to continue to maintain that network to supply voice service)</w:t>
      </w:r>
      <w:r w:rsidR="00470707">
        <w:t>. Telstra also supplies a proportion of voice services</w:t>
      </w:r>
      <w:r w:rsidR="00471ED2">
        <w:t xml:space="preserve"> using</w:t>
      </w:r>
      <w:r>
        <w:t xml:space="preserve"> radio, mobile and satellite technologies. Telstra’s </w:t>
      </w:r>
      <w:r w:rsidR="00B34679">
        <w:t xml:space="preserve">legacy </w:t>
      </w:r>
      <w:r>
        <w:t>networks can generally only support voice calls, although lower</w:t>
      </w:r>
      <w:r w:rsidR="00B85081">
        <w:t>-</w:t>
      </w:r>
      <w:r>
        <w:t xml:space="preserve">speed </w:t>
      </w:r>
      <w:r w:rsidR="009B7DF9">
        <w:t xml:space="preserve">ADSL </w:t>
      </w:r>
      <w:r>
        <w:t xml:space="preserve">broadband services </w:t>
      </w:r>
      <w:r w:rsidR="00B34679">
        <w:t>are</w:t>
      </w:r>
      <w:r>
        <w:t xml:space="preserve"> available to some </w:t>
      </w:r>
      <w:r w:rsidR="002006BA">
        <w:t xml:space="preserve">regional and remote </w:t>
      </w:r>
      <w:r>
        <w:t xml:space="preserve">premises on a commercial basis. </w:t>
      </w:r>
    </w:p>
    <w:p w14:paraId="5EAC393F" w14:textId="68770EC0" w:rsidR="00BA4E7D" w:rsidRDefault="00BA4E7D" w:rsidP="005B1688">
      <w:pPr>
        <w:spacing w:before="80"/>
      </w:pPr>
    </w:p>
    <w:p w14:paraId="3740ACB0" w14:textId="1E6FD76C" w:rsidR="00F43AE8" w:rsidRDefault="00F43AE8" w:rsidP="00E4639D">
      <w:pPr>
        <w:pStyle w:val="ListNumbered1"/>
        <w:numPr>
          <w:ilvl w:val="0"/>
          <w:numId w:val="0"/>
        </w:numPr>
      </w:pPr>
    </w:p>
    <w:p w14:paraId="1AED4DCA" w14:textId="20E34DF2" w:rsidR="00471ED2" w:rsidRPr="00317746" w:rsidRDefault="00F43AE8" w:rsidP="005B1688">
      <w:pPr>
        <w:spacing w:before="80"/>
        <w:rPr>
          <w:b/>
        </w:rPr>
      </w:pPr>
      <w:r w:rsidRPr="00317746">
        <w:rPr>
          <w:b/>
        </w:rPr>
        <w:t xml:space="preserve">Figure 1: </w:t>
      </w:r>
      <w:r w:rsidR="00471ED2" w:rsidRPr="00317746">
        <w:rPr>
          <w:b/>
        </w:rPr>
        <w:t>Indicative network availability outside the NBN fixed line footprint</w:t>
      </w:r>
      <w:r w:rsidRPr="00317746">
        <w:rPr>
          <w:b/>
        </w:rPr>
        <w:t xml:space="preserve"> (end 2024)</w:t>
      </w:r>
    </w:p>
    <w:p w14:paraId="25416E85" w14:textId="65BC753F" w:rsidR="001E4B01" w:rsidRPr="00545256" w:rsidRDefault="004253AD" w:rsidP="00E4639D">
      <w:bookmarkStart w:id="19" w:name="_Hlk149132811"/>
      <w:r>
        <w:rPr>
          <w:noProof/>
        </w:rPr>
        <w:drawing>
          <wp:inline distT="0" distB="0" distL="0" distR="0" wp14:anchorId="228F462A" wp14:editId="755AD0E2">
            <wp:extent cx="6263640" cy="320040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t="3651" b="2021"/>
                    <a:stretch/>
                  </pic:blipFill>
                  <pic:spPr bwMode="auto">
                    <a:xfrm>
                      <a:off x="0" y="0"/>
                      <a:ext cx="6263640" cy="3200400"/>
                    </a:xfrm>
                    <a:prstGeom prst="rect">
                      <a:avLst/>
                    </a:prstGeom>
                    <a:ln>
                      <a:noFill/>
                    </a:ln>
                    <a:extLst>
                      <a:ext uri="{53640926-AAD7-44D8-BBD7-CCE9431645EC}">
                        <a14:shadowObscured xmlns:a14="http://schemas.microsoft.com/office/drawing/2010/main"/>
                      </a:ext>
                    </a:extLst>
                  </pic:spPr>
                </pic:pic>
              </a:graphicData>
            </a:graphic>
          </wp:inline>
        </w:drawing>
      </w:r>
    </w:p>
    <w:p w14:paraId="3380492A" w14:textId="090EF26F" w:rsidR="00C22652" w:rsidRDefault="00366015" w:rsidP="00F43AE8">
      <w:pPr>
        <w:pStyle w:val="ListNumbered1"/>
        <w:numPr>
          <w:ilvl w:val="0"/>
          <w:numId w:val="0"/>
        </w:numPr>
        <w:rPr>
          <w:rFonts w:cstheme="minorHAnsi"/>
          <w:i/>
          <w:sz w:val="20"/>
          <w:szCs w:val="20"/>
        </w:rPr>
      </w:pPr>
      <w:bookmarkStart w:id="20" w:name="_Hlk149132799"/>
      <w:r>
        <w:rPr>
          <w:noProof/>
        </w:rPr>
        <w:drawing>
          <wp:inline distT="0" distB="0" distL="0" distR="0" wp14:anchorId="1D7732FD" wp14:editId="540B0F93">
            <wp:extent cx="6263640" cy="70485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263640" cy="704850"/>
                    </a:xfrm>
                    <a:prstGeom prst="rect">
                      <a:avLst/>
                    </a:prstGeom>
                  </pic:spPr>
                </pic:pic>
              </a:graphicData>
            </a:graphic>
          </wp:inline>
        </w:drawing>
      </w:r>
    </w:p>
    <w:p w14:paraId="14B8A8DC" w14:textId="4D231AC5" w:rsidR="00F43AE8" w:rsidRPr="002D7363" w:rsidRDefault="00F43AE8" w:rsidP="004D2802">
      <w:pPr>
        <w:pStyle w:val="ListNumbered1"/>
        <w:numPr>
          <w:ilvl w:val="0"/>
          <w:numId w:val="0"/>
        </w:numPr>
        <w:spacing w:before="160"/>
        <w:rPr>
          <w:lang w:val="en-US"/>
        </w:rPr>
      </w:pPr>
      <w:r>
        <w:t xml:space="preserve">As </w:t>
      </w:r>
      <w:r w:rsidR="00ED2759">
        <w:rPr>
          <w:lang w:val="en-US"/>
        </w:rPr>
        <w:t>Figure 1</w:t>
      </w:r>
      <w:r>
        <w:rPr>
          <w:lang w:val="en-US"/>
        </w:rPr>
        <w:t xml:space="preserve"> </w:t>
      </w:r>
      <w:r w:rsidR="00ED2759">
        <w:rPr>
          <w:lang w:val="en-US"/>
        </w:rPr>
        <w:t xml:space="preserve">above </w:t>
      </w:r>
      <w:r w:rsidRPr="00FA33A3">
        <w:t>shows</w:t>
      </w:r>
      <w:r>
        <w:t xml:space="preserve">, by the end of 2024 </w:t>
      </w:r>
      <w:r w:rsidR="009E6839">
        <w:rPr>
          <w:lang w:val="en-US"/>
        </w:rPr>
        <w:t xml:space="preserve">many </w:t>
      </w:r>
      <w:r>
        <w:t xml:space="preserve">regional and remote premises will have access to </w:t>
      </w:r>
      <w:r>
        <w:rPr>
          <w:lang w:val="en-US"/>
        </w:rPr>
        <w:t>the</w:t>
      </w:r>
      <w:r>
        <w:t xml:space="preserve"> expanded NBN fixed wireless network that will provide </w:t>
      </w:r>
      <w:r>
        <w:rPr>
          <w:lang w:val="en-US"/>
        </w:rPr>
        <w:t xml:space="preserve">access to faster broadband (including </w:t>
      </w:r>
      <w:r w:rsidR="00962E42">
        <w:rPr>
          <w:lang w:val="en-US"/>
        </w:rPr>
        <w:t xml:space="preserve">the </w:t>
      </w:r>
      <w:r w:rsidR="009E6839">
        <w:rPr>
          <w:lang w:val="en-US"/>
        </w:rPr>
        <w:t>option</w:t>
      </w:r>
      <w:r w:rsidR="00962E42">
        <w:rPr>
          <w:lang w:val="en-US"/>
        </w:rPr>
        <w:t xml:space="preserve"> of </w:t>
      </w:r>
      <w:r>
        <w:rPr>
          <w:lang w:val="en-US"/>
        </w:rPr>
        <w:t xml:space="preserve">supporting quality voice services). While </w:t>
      </w:r>
      <w:r w:rsidR="009E6839">
        <w:rPr>
          <w:lang w:val="en-US"/>
        </w:rPr>
        <w:t xml:space="preserve">mobile </w:t>
      </w:r>
      <w:r>
        <w:rPr>
          <w:lang w:val="en-US"/>
        </w:rPr>
        <w:t xml:space="preserve">coverage is not uniform, </w:t>
      </w:r>
      <w:r w:rsidR="0090714B">
        <w:rPr>
          <w:lang w:val="en-US"/>
        </w:rPr>
        <w:t xml:space="preserve">alongside fixed networks, </w:t>
      </w:r>
      <w:r>
        <w:rPr>
          <w:lang w:val="en-US"/>
        </w:rPr>
        <w:t xml:space="preserve">many regional and remote premises </w:t>
      </w:r>
      <w:r w:rsidR="00E41DB0">
        <w:rPr>
          <w:lang w:val="en-US"/>
        </w:rPr>
        <w:t>have the option of accessing</w:t>
      </w:r>
      <w:r>
        <w:rPr>
          <w:lang w:val="en-US"/>
        </w:rPr>
        <w:t xml:space="preserve"> mobile </w:t>
      </w:r>
      <w:r w:rsidR="00962E42">
        <w:rPr>
          <w:lang w:val="en-US"/>
        </w:rPr>
        <w:t xml:space="preserve">voice </w:t>
      </w:r>
      <w:r w:rsidR="009E6839">
        <w:rPr>
          <w:lang w:val="en-US"/>
        </w:rPr>
        <w:t xml:space="preserve">(and data) </w:t>
      </w:r>
      <w:r>
        <w:rPr>
          <w:lang w:val="en-US"/>
        </w:rPr>
        <w:t>services</w:t>
      </w:r>
      <w:r w:rsidR="00962E42">
        <w:rPr>
          <w:lang w:val="en-US"/>
        </w:rPr>
        <w:t xml:space="preserve"> from one </w:t>
      </w:r>
      <w:r w:rsidR="00470707">
        <w:rPr>
          <w:lang w:val="en-US"/>
        </w:rPr>
        <w:t xml:space="preserve">or more </w:t>
      </w:r>
      <w:r w:rsidR="00962E42">
        <w:rPr>
          <w:lang w:val="en-US"/>
        </w:rPr>
        <w:t>o</w:t>
      </w:r>
      <w:r w:rsidR="009E6839">
        <w:rPr>
          <w:lang w:val="en-US"/>
        </w:rPr>
        <w:t>f the three competing terrestrial networks</w:t>
      </w:r>
      <w:r>
        <w:rPr>
          <w:lang w:val="en-US"/>
        </w:rPr>
        <w:t xml:space="preserve">. LEOSats </w:t>
      </w:r>
      <w:r w:rsidR="009E6839">
        <w:rPr>
          <w:lang w:val="en-US"/>
        </w:rPr>
        <w:t xml:space="preserve">are </w:t>
      </w:r>
      <w:r w:rsidR="00470707">
        <w:rPr>
          <w:lang w:val="en-US"/>
        </w:rPr>
        <w:t xml:space="preserve">currently </w:t>
      </w:r>
      <w:r w:rsidR="009E6839">
        <w:rPr>
          <w:lang w:val="en-US"/>
        </w:rPr>
        <w:t>commercially available to close to 100% of premises</w:t>
      </w:r>
      <w:r w:rsidR="00E41DB0">
        <w:rPr>
          <w:lang w:val="en-US"/>
        </w:rPr>
        <w:t xml:space="preserve"> in Australia</w:t>
      </w:r>
      <w:r w:rsidR="009E6839">
        <w:rPr>
          <w:lang w:val="en-US"/>
        </w:rPr>
        <w:t xml:space="preserve">, and subject to validation </w:t>
      </w:r>
      <w:r w:rsidR="00470707">
        <w:rPr>
          <w:lang w:val="en-US"/>
        </w:rPr>
        <w:t xml:space="preserve">and testing </w:t>
      </w:r>
      <w:r w:rsidR="009E6839">
        <w:rPr>
          <w:lang w:val="en-US"/>
        </w:rPr>
        <w:t xml:space="preserve">through technical trials, may be a viable </w:t>
      </w:r>
      <w:r w:rsidR="0090714B">
        <w:rPr>
          <w:lang w:val="en-US"/>
        </w:rPr>
        <w:t xml:space="preserve">future </w:t>
      </w:r>
      <w:r w:rsidR="009E6839">
        <w:rPr>
          <w:lang w:val="en-US"/>
        </w:rPr>
        <w:t>solution to support voice services</w:t>
      </w:r>
      <w:r w:rsidR="005225B6">
        <w:rPr>
          <w:lang w:val="en-US"/>
        </w:rPr>
        <w:t xml:space="preserve"> for those outside the current fixed</w:t>
      </w:r>
      <w:r w:rsidR="00D16FAB">
        <w:rPr>
          <w:lang w:val="en-US"/>
        </w:rPr>
        <w:t xml:space="preserve"> </w:t>
      </w:r>
      <w:r w:rsidR="005225B6">
        <w:rPr>
          <w:lang w:val="en-US"/>
        </w:rPr>
        <w:t>line</w:t>
      </w:r>
      <w:r w:rsidR="00E41DB0">
        <w:rPr>
          <w:lang w:val="en-US"/>
        </w:rPr>
        <w:t xml:space="preserve"> footprint</w:t>
      </w:r>
      <w:r w:rsidR="009E6839">
        <w:rPr>
          <w:lang w:val="en-US"/>
        </w:rPr>
        <w:t>.</w:t>
      </w:r>
    </w:p>
    <w:p w14:paraId="2E24A14B" w14:textId="16DF8892" w:rsidR="00E11658" w:rsidRPr="009C60A5" w:rsidRDefault="00E11658" w:rsidP="009F01CA">
      <w:pPr>
        <w:pStyle w:val="Heading2"/>
        <w:spacing w:before="80" w:after="80"/>
      </w:pPr>
      <w:bookmarkStart w:id="21" w:name="_Hlk147243918"/>
      <w:bookmarkStart w:id="22" w:name="_Toc149309863"/>
      <w:bookmarkEnd w:id="16"/>
      <w:bookmarkEnd w:id="19"/>
      <w:bookmarkEnd w:id="20"/>
      <w:r w:rsidRPr="009C60A5">
        <w:t xml:space="preserve">Current universal service </w:t>
      </w:r>
      <w:bookmarkEnd w:id="17"/>
      <w:r w:rsidR="00DB18BB">
        <w:t>framework</w:t>
      </w:r>
      <w:bookmarkEnd w:id="22"/>
    </w:p>
    <w:p w14:paraId="4E4C97E8" w14:textId="77777777" w:rsidR="00E11658" w:rsidRPr="009C60A5" w:rsidRDefault="004B0D95" w:rsidP="009F01CA">
      <w:pPr>
        <w:spacing w:before="80"/>
        <w:rPr>
          <w:b/>
          <w:sz w:val="24"/>
          <w:szCs w:val="24"/>
        </w:rPr>
      </w:pPr>
      <w:r w:rsidRPr="009C60A5">
        <w:rPr>
          <w:b/>
          <w:sz w:val="24"/>
          <w:szCs w:val="24"/>
        </w:rPr>
        <w:t>Policy context</w:t>
      </w:r>
    </w:p>
    <w:p w14:paraId="6B6C7B11" w14:textId="23458100" w:rsidR="00E11658" w:rsidRPr="009C60A5" w:rsidRDefault="00E11658" w:rsidP="009F01CA">
      <w:pPr>
        <w:spacing w:before="80"/>
      </w:pPr>
      <w:bookmarkStart w:id="23" w:name="_Hlk143762018"/>
      <w:bookmarkEnd w:id="21"/>
      <w:r w:rsidRPr="009C60A5">
        <w:t xml:space="preserve">In Australia, </w:t>
      </w:r>
      <w:r w:rsidR="002006BA">
        <w:t>most</w:t>
      </w:r>
      <w:r w:rsidRPr="009C60A5">
        <w:t xml:space="preserve"> telecommunications services are supplied on a commercial basis in a competitive market. However, it has long been recognised that </w:t>
      </w:r>
      <w:r w:rsidR="00EA74D3">
        <w:t xml:space="preserve">industry </w:t>
      </w:r>
      <w:r w:rsidRPr="009C60A5">
        <w:t xml:space="preserve">may lack sufficient incentives to service </w:t>
      </w:r>
      <w:r w:rsidR="001720E3" w:rsidRPr="009C60A5">
        <w:t>non</w:t>
      </w:r>
      <w:r w:rsidR="001720E3" w:rsidRPr="009C60A5">
        <w:noBreakHyphen/>
        <w:t>commercial</w:t>
      </w:r>
      <w:r w:rsidRPr="009C60A5">
        <w:t xml:space="preserve"> areas, </w:t>
      </w:r>
      <w:r w:rsidR="007179E1">
        <w:t>particularly in more remote and less</w:t>
      </w:r>
      <w:r w:rsidR="0051098E">
        <w:t>-</w:t>
      </w:r>
      <w:r w:rsidR="007179E1">
        <w:t xml:space="preserve">populated areas, </w:t>
      </w:r>
      <w:r w:rsidRPr="009C60A5">
        <w:t xml:space="preserve">given the </w:t>
      </w:r>
      <w:r w:rsidR="007179E1">
        <w:t xml:space="preserve">relatively </w:t>
      </w:r>
      <w:r w:rsidRPr="009C60A5">
        <w:t>high costs of providing</w:t>
      </w:r>
      <w:r w:rsidR="00EA74D3">
        <w:t xml:space="preserve"> and</w:t>
      </w:r>
      <w:r w:rsidRPr="009C60A5">
        <w:t xml:space="preserve"> </w:t>
      </w:r>
      <w:r w:rsidR="00EA74D3">
        <w:t xml:space="preserve">supporting those </w:t>
      </w:r>
      <w:r w:rsidRPr="009C60A5">
        <w:t xml:space="preserve">services and the limited revenue available. As a result, safeguards such as the USO for voice and </w:t>
      </w:r>
      <w:r w:rsidR="004F1B0C" w:rsidRPr="009C60A5">
        <w:t>SIP laws for</w:t>
      </w:r>
      <w:r w:rsidR="001720E3" w:rsidRPr="009C60A5">
        <w:t xml:space="preserve"> broadband </w:t>
      </w:r>
      <w:r w:rsidR="008A7EC6">
        <w:t>are in place</w:t>
      </w:r>
      <w:r w:rsidRPr="009C60A5">
        <w:t xml:space="preserve"> </w:t>
      </w:r>
      <w:r w:rsidR="008A7EC6">
        <w:t xml:space="preserve">so </w:t>
      </w:r>
      <w:r w:rsidR="00E84E04">
        <w:t xml:space="preserve">that </w:t>
      </w:r>
      <w:r w:rsidRPr="009C60A5">
        <w:t xml:space="preserve">people </w:t>
      </w:r>
      <w:r w:rsidR="00831FA8">
        <w:t xml:space="preserve">across Australia, including </w:t>
      </w:r>
      <w:r w:rsidRPr="009C60A5">
        <w:t>in non-commercial areas</w:t>
      </w:r>
      <w:r w:rsidR="00831FA8">
        <w:t>,</w:t>
      </w:r>
      <w:r w:rsidRPr="009C60A5">
        <w:t xml:space="preserve"> can </w:t>
      </w:r>
      <w:r w:rsidR="002006BA">
        <w:t xml:space="preserve">choose to </w:t>
      </w:r>
      <w:r w:rsidRPr="009C60A5">
        <w:t xml:space="preserve">access </w:t>
      </w:r>
      <w:r w:rsidR="001720E3" w:rsidRPr="009C60A5">
        <w:t xml:space="preserve">baseline fixed services </w:t>
      </w:r>
      <w:r w:rsidRPr="009C60A5">
        <w:t xml:space="preserve">at their premises. </w:t>
      </w:r>
    </w:p>
    <w:p w14:paraId="3BBA2892" w14:textId="3C72A023" w:rsidR="008A7EC6" w:rsidRDefault="007B21A1" w:rsidP="008435D6">
      <w:pPr>
        <w:spacing w:before="80"/>
      </w:pPr>
      <w:r>
        <w:t xml:space="preserve">The Government has supplemented </w:t>
      </w:r>
      <w:r w:rsidR="008435D6">
        <w:t xml:space="preserve">investment in universal service delivery </w:t>
      </w:r>
      <w:r>
        <w:t>through</w:t>
      </w:r>
      <w:r w:rsidR="008435D6">
        <w:t xml:space="preserve"> tailored investments in regional connectivity</w:t>
      </w:r>
      <w:r>
        <w:t>,</w:t>
      </w:r>
      <w:r w:rsidR="008435D6">
        <w:t xml:space="preserve"> </w:t>
      </w:r>
      <w:r w:rsidR="008435D6" w:rsidRPr="007B21A1">
        <w:t>totalling $2.2 billion over five years.</w:t>
      </w:r>
      <w:r w:rsidR="008435D6">
        <w:t xml:space="preserve"> The </w:t>
      </w:r>
      <w:hyperlink r:id="rId26" w:history="1">
        <w:r w:rsidR="008435D6" w:rsidRPr="00E84E04">
          <w:rPr>
            <w:rStyle w:val="Hyperlink"/>
          </w:rPr>
          <w:t>Better Connectivity Plan for Regional and Rural Australia</w:t>
        </w:r>
        <w:r w:rsidR="00CD3A49" w:rsidRPr="00E84E04">
          <w:rPr>
            <w:rStyle w:val="Hyperlink"/>
          </w:rPr>
          <w:t xml:space="preserve"> (Better Connectivity Plan)</w:t>
        </w:r>
      </w:hyperlink>
      <w:r w:rsidR="008435D6">
        <w:t xml:space="preserve"> </w:t>
      </w:r>
      <w:r>
        <w:t>–</w:t>
      </w:r>
      <w:r w:rsidR="008435D6">
        <w:t xml:space="preserve"> a key part of this investment </w:t>
      </w:r>
      <w:r>
        <w:t>–</w:t>
      </w:r>
      <w:r w:rsidR="008435D6">
        <w:t xml:space="preserve"> is providing $1.1 billion to regional and rural communities. This includes $480 million towards NBN Co’s Fixed Wireless and Satellite Upgrade Program, which is rolling out the latest 4G and 5G wireless technology to expand coverage of the </w:t>
      </w:r>
      <w:r w:rsidR="002006BA">
        <w:t xml:space="preserve">NBN </w:t>
      </w:r>
      <w:r w:rsidR="00075F85">
        <w:t xml:space="preserve">fixed wireless </w:t>
      </w:r>
      <w:r w:rsidR="008435D6">
        <w:t>network from existing towers</w:t>
      </w:r>
      <w:r w:rsidR="008A7EC6">
        <w:t xml:space="preserve">. By the end of 2024, this upgrade will see </w:t>
      </w:r>
      <w:r w:rsidR="008435D6">
        <w:t xml:space="preserve">120,000 additional premises </w:t>
      </w:r>
      <w:r w:rsidR="008A7EC6">
        <w:t xml:space="preserve">able to </w:t>
      </w:r>
      <w:r w:rsidR="008435D6">
        <w:t xml:space="preserve">access </w:t>
      </w:r>
      <w:r w:rsidR="004B55B9">
        <w:t xml:space="preserve">NBN </w:t>
      </w:r>
      <w:r w:rsidR="008435D6">
        <w:t>fixed wireless services instead of NBN Sky Muster satellite services. This will improve service quality</w:t>
      </w:r>
      <w:r w:rsidR="00831FA8">
        <w:t xml:space="preserve"> and speed</w:t>
      </w:r>
      <w:r w:rsidR="00C84FAE">
        <w:t>s</w:t>
      </w:r>
      <w:r w:rsidR="008435D6">
        <w:t xml:space="preserve"> in the expanded </w:t>
      </w:r>
      <w:r w:rsidR="004B55B9">
        <w:t xml:space="preserve">NBN </w:t>
      </w:r>
      <w:r w:rsidR="008435D6">
        <w:t>fixed wireless footprint</w:t>
      </w:r>
      <w:r w:rsidR="00075F85">
        <w:t>,</w:t>
      </w:r>
      <w:r w:rsidR="008435D6">
        <w:t xml:space="preserve"> </w:t>
      </w:r>
      <w:r w:rsidR="004B55B9">
        <w:t>but</w:t>
      </w:r>
      <w:r w:rsidR="008435D6">
        <w:t xml:space="preserve"> also service quality and products available on the </w:t>
      </w:r>
      <w:r w:rsidR="004B55B9">
        <w:t xml:space="preserve">NBN </w:t>
      </w:r>
      <w:r w:rsidR="008435D6">
        <w:t xml:space="preserve">satellite network by reducing congestion. </w:t>
      </w:r>
    </w:p>
    <w:p w14:paraId="6FB34A5E" w14:textId="14762EF7" w:rsidR="00DD3447" w:rsidRPr="009C60A5" w:rsidRDefault="00CD3A49" w:rsidP="008435D6">
      <w:pPr>
        <w:spacing w:before="80"/>
      </w:pPr>
      <w:r>
        <w:t xml:space="preserve">Under the Better Connectivity Plan, the </w:t>
      </w:r>
      <w:r w:rsidR="00BC38BE" w:rsidRPr="009C60A5">
        <w:t xml:space="preserve">Government has also invested in the expansion of mobile coverage and regional connectivity through targeted funding initiatives, such as the </w:t>
      </w:r>
      <w:hyperlink r:id="rId27" w:history="1">
        <w:r w:rsidR="00BC38BE" w:rsidRPr="009C60A5">
          <w:rPr>
            <w:rStyle w:val="Hyperlink"/>
          </w:rPr>
          <w:t>Mobile Black Spot Program</w:t>
        </w:r>
      </w:hyperlink>
      <w:r w:rsidR="00BC38BE" w:rsidRPr="009C60A5">
        <w:t xml:space="preserve"> and </w:t>
      </w:r>
      <w:hyperlink r:id="rId28" w:history="1">
        <w:r w:rsidR="00BC38BE" w:rsidRPr="009C60A5">
          <w:rPr>
            <w:rStyle w:val="Hyperlink"/>
          </w:rPr>
          <w:t>Regional Connectivity Program</w:t>
        </w:r>
      </w:hyperlink>
      <w:r w:rsidR="00BC38BE" w:rsidRPr="009C60A5">
        <w:rPr>
          <w:rStyle w:val="Hyperlink"/>
          <w:lang w:val="en-US"/>
        </w:rPr>
        <w:t>.</w:t>
      </w:r>
      <w:r w:rsidR="00BC38BE" w:rsidRPr="009C60A5">
        <w:t xml:space="preserve"> </w:t>
      </w:r>
      <w:r w:rsidR="00B175C6">
        <w:t xml:space="preserve">These investments are </w:t>
      </w:r>
      <w:r w:rsidR="0070716F">
        <w:t xml:space="preserve">supporting the supply of </w:t>
      </w:r>
      <w:r w:rsidR="00114E85">
        <w:t xml:space="preserve">alternative services in areas where Telstra is </w:t>
      </w:r>
      <w:r w:rsidR="0070716F">
        <w:t xml:space="preserve">also still required to </w:t>
      </w:r>
      <w:r w:rsidR="00114E85">
        <w:t>maintai</w:t>
      </w:r>
      <w:r w:rsidR="0070716F">
        <w:t>n</w:t>
      </w:r>
      <w:r w:rsidR="00114E85">
        <w:t xml:space="preserve"> copper to support </w:t>
      </w:r>
      <w:r w:rsidR="008A7EC6">
        <w:t xml:space="preserve">USO </w:t>
      </w:r>
      <w:r w:rsidR="00114E85">
        <w:t xml:space="preserve">voice services. </w:t>
      </w:r>
      <w:r w:rsidR="008435D6">
        <w:t>At the same time</w:t>
      </w:r>
      <w:r w:rsidR="00C65151">
        <w:t>,</w:t>
      </w:r>
      <w:r w:rsidR="008435D6">
        <w:t xml:space="preserve"> the Government is continuing to invest in upgrades to NBN Co’s fixed line network which will deliver high</w:t>
      </w:r>
      <w:r w:rsidR="00C65151">
        <w:t>-</w:t>
      </w:r>
      <w:r w:rsidR="008435D6">
        <w:t>speed NBN broadband</w:t>
      </w:r>
      <w:r w:rsidR="002006BA">
        <w:t xml:space="preserve">, including </w:t>
      </w:r>
      <w:r w:rsidR="008435D6">
        <w:t xml:space="preserve">to </w:t>
      </w:r>
      <w:r>
        <w:t xml:space="preserve">up to </w:t>
      </w:r>
      <w:r w:rsidR="008435D6">
        <w:t>660,000 regional homes and businesses.</w:t>
      </w:r>
    </w:p>
    <w:bookmarkEnd w:id="23"/>
    <w:p w14:paraId="4C38F67A" w14:textId="77777777" w:rsidR="00E11658" w:rsidRPr="009C60A5" w:rsidRDefault="00E11658" w:rsidP="001F2C01">
      <w:pPr>
        <w:keepNext/>
        <w:rPr>
          <w:b/>
          <w:sz w:val="24"/>
          <w:szCs w:val="24"/>
        </w:rPr>
      </w:pPr>
      <w:r w:rsidRPr="009C60A5">
        <w:rPr>
          <w:b/>
          <w:sz w:val="24"/>
          <w:szCs w:val="24"/>
        </w:rPr>
        <w:t>Fixed voice services</w:t>
      </w:r>
    </w:p>
    <w:p w14:paraId="405489C0" w14:textId="1D9B10A9" w:rsidR="001C27AE" w:rsidRPr="009C60A5" w:rsidRDefault="00A01BF1" w:rsidP="001F2C01">
      <w:pPr>
        <w:keepNext/>
      </w:pPr>
      <w:r>
        <w:t>The USO</w:t>
      </w:r>
      <w:r w:rsidR="00E11658" w:rsidRPr="009C60A5">
        <w:t xml:space="preserve"> ensures that </w:t>
      </w:r>
      <w:r w:rsidR="00C84FAE">
        <w:t xml:space="preserve">fixed </w:t>
      </w:r>
      <w:r w:rsidR="00E11658" w:rsidRPr="009C60A5">
        <w:t xml:space="preserve">standard telephone services (STS) and payphones are accessible to all people in Australia regardless of where they reside or carry on business. </w:t>
      </w:r>
      <w:r w:rsidR="004B55B9">
        <w:t>T</w:t>
      </w:r>
      <w:r w:rsidR="00EA74D3">
        <w:t xml:space="preserve">he </w:t>
      </w:r>
      <w:r w:rsidR="004B55B9">
        <w:t>fundamental U</w:t>
      </w:r>
      <w:r w:rsidR="00CA468B">
        <w:t>S</w:t>
      </w:r>
      <w:r w:rsidR="004B55B9">
        <w:t xml:space="preserve">O </w:t>
      </w:r>
      <w:r w:rsidR="00EA74D3">
        <w:t xml:space="preserve">requirement </w:t>
      </w:r>
      <w:r w:rsidR="00E11658" w:rsidRPr="009C60A5">
        <w:t xml:space="preserve">is set out in the </w:t>
      </w:r>
      <w:r w:rsidR="00E11658" w:rsidRPr="009C60A5">
        <w:rPr>
          <w:i/>
        </w:rPr>
        <w:t xml:space="preserve">Telecommunications (Consumer Protection and Service Standards) Act 1999 </w:t>
      </w:r>
      <w:r w:rsidR="00E11658" w:rsidRPr="009C60A5">
        <w:t>(the TCPSS Act).</w:t>
      </w:r>
      <w:r w:rsidR="00E11658" w:rsidRPr="007B21A1">
        <w:t xml:space="preserve"> </w:t>
      </w:r>
      <w:r w:rsidR="00E11658" w:rsidRPr="009C60A5">
        <w:t>Telstra is the designated universal service provider and has a statutory obligation to provide access to STS and payphones on reasonable request nationally</w:t>
      </w:r>
      <w:r w:rsidR="00DC69D1">
        <w:t xml:space="preserve"> on an equitable basis</w:t>
      </w:r>
      <w:r w:rsidR="00E11658" w:rsidRPr="009C60A5">
        <w:t>. Th</w:t>
      </w:r>
      <w:r w:rsidR="00E41DB0">
        <w:t>ese regulated retail obligations are</w:t>
      </w:r>
      <w:r w:rsidR="00E11658" w:rsidRPr="009C60A5">
        <w:t xml:space="preserve"> supported by a contract between Telstra and the Commonwealth, the Telstra Universal Service Obligation Performance Agreement (TUSOPA), that commenced on 1 July 2012</w:t>
      </w:r>
      <w:r w:rsidR="008A7EC6">
        <w:rPr>
          <w:rStyle w:val="FootnoteReference"/>
        </w:rPr>
        <w:footnoteReference w:id="3"/>
      </w:r>
      <w:r w:rsidR="00E11658" w:rsidRPr="009C60A5">
        <w:t xml:space="preserve"> and expires on 30 June 2032. Under the TUSOPA, Telstra is paid $230 million per annum for the supply of STS and $40 million per annum for the supply of payphone services. The contract also contains the copper continuity obligation, which requires Telstra to maintain copper services</w:t>
      </w:r>
      <w:r w:rsidR="008A7EC6">
        <w:t xml:space="preserve"> to supply voice services </w:t>
      </w:r>
      <w:r w:rsidR="00EB6DC8" w:rsidRPr="009C60A5">
        <w:t>outside the fixed</w:t>
      </w:r>
      <w:r w:rsidR="00D16FAB">
        <w:t xml:space="preserve"> </w:t>
      </w:r>
      <w:r w:rsidR="00EB6DC8" w:rsidRPr="009C60A5">
        <w:t>line footprint of the</w:t>
      </w:r>
      <w:r w:rsidR="00C65151">
        <w:t xml:space="preserve"> NBN</w:t>
      </w:r>
      <w:r w:rsidR="00EB6DC8" w:rsidRPr="009C60A5">
        <w:t xml:space="preserve"> </w:t>
      </w:r>
      <w:r w:rsidR="00E11658" w:rsidRPr="009C60A5">
        <w:t>that were in operation on 1 July 2012.</w:t>
      </w:r>
      <w:r w:rsidR="0058645B" w:rsidRPr="009C60A5">
        <w:t xml:space="preserve"> </w:t>
      </w:r>
    </w:p>
    <w:p w14:paraId="06356604" w14:textId="7A7BF111" w:rsidR="00385803" w:rsidRPr="009C60A5" w:rsidRDefault="00661281" w:rsidP="009F01CA">
      <w:bookmarkStart w:id="24" w:name="_Hlk144132851"/>
      <w:r w:rsidRPr="009C60A5">
        <w:t xml:space="preserve">Payments to Telstra under </w:t>
      </w:r>
      <w:r w:rsidR="00C65151">
        <w:t xml:space="preserve">the </w:t>
      </w:r>
      <w:r w:rsidRPr="009C60A5">
        <w:t xml:space="preserve">TUSOPA are funded in part through the </w:t>
      </w:r>
      <w:hyperlink r:id="rId29" w:history="1">
        <w:r w:rsidR="00E11658" w:rsidRPr="009C60A5">
          <w:rPr>
            <w:rStyle w:val="Hyperlink"/>
          </w:rPr>
          <w:t>Telecommunications Industry Levy</w:t>
        </w:r>
      </w:hyperlink>
      <w:r w:rsidR="00E11658" w:rsidRPr="009C60A5">
        <w:t xml:space="preserve"> (TIL)</w:t>
      </w:r>
      <w:r w:rsidR="004940FE" w:rsidRPr="009C60A5">
        <w:t xml:space="preserve">. This requires </w:t>
      </w:r>
      <w:r w:rsidR="00E41DB0">
        <w:t>eligible</w:t>
      </w:r>
      <w:r w:rsidR="004940FE" w:rsidRPr="009C60A5">
        <w:t xml:space="preserve"> carriers to contribute toward</w:t>
      </w:r>
      <w:r w:rsidR="00C65151">
        <w:t>s</w:t>
      </w:r>
      <w:r w:rsidR="004940FE" w:rsidRPr="009C60A5">
        <w:t xml:space="preserve"> the cost of the USO and other contracts and grants</w:t>
      </w:r>
      <w:r w:rsidR="002006BA">
        <w:rPr>
          <w:rStyle w:val="FootnoteReference"/>
        </w:rPr>
        <w:footnoteReference w:id="4"/>
      </w:r>
      <w:r w:rsidR="004940FE" w:rsidRPr="009C60A5">
        <w:t xml:space="preserve"> entered into under the TCPSS Act. </w:t>
      </w:r>
      <w:r w:rsidR="00385803" w:rsidRPr="009C60A5">
        <w:t xml:space="preserve">Each year, the </w:t>
      </w:r>
      <w:r w:rsidR="003E12E9" w:rsidRPr="009C60A5">
        <w:t>Department</w:t>
      </w:r>
      <w:r w:rsidR="00385803" w:rsidRPr="009C60A5">
        <w:t xml:space="preserve"> determines the </w:t>
      </w:r>
      <w:r w:rsidR="001261BF" w:rsidRPr="009C60A5">
        <w:t xml:space="preserve">Overall Levy Target Amount (OLTA) that needs to be collected from eligible carriers (those with </w:t>
      </w:r>
      <w:r w:rsidR="00502F5C">
        <w:t xml:space="preserve">eligible </w:t>
      </w:r>
      <w:r w:rsidR="001261BF" w:rsidRPr="009C60A5">
        <w:t>revenue of at least $25 million)</w:t>
      </w:r>
      <w:r w:rsidRPr="009C60A5">
        <w:t xml:space="preserve">. This is </w:t>
      </w:r>
      <w:r w:rsidR="00385803" w:rsidRPr="009C60A5">
        <w:t xml:space="preserve">based on the expenditure on public interest telecommunications services delivered by contracts and grants </w:t>
      </w:r>
      <w:r w:rsidR="0008038E">
        <w:t>in</w:t>
      </w:r>
      <w:r w:rsidR="0008038E" w:rsidRPr="009C60A5">
        <w:t xml:space="preserve"> </w:t>
      </w:r>
      <w:r w:rsidR="00385803" w:rsidRPr="009C60A5">
        <w:t>the previous financial year, plus associated administrative costs, less an annual Government appropriation of $100</w:t>
      </w:r>
      <w:r w:rsidR="00505453" w:rsidRPr="009C60A5">
        <w:t xml:space="preserve"> </w:t>
      </w:r>
      <w:r w:rsidR="00385803" w:rsidRPr="009C60A5">
        <w:t xml:space="preserve">million. </w:t>
      </w:r>
      <w:r w:rsidR="000D4289">
        <w:t>Contributions</w:t>
      </w:r>
      <w:r w:rsidR="002006BA">
        <w:t xml:space="preserve"> of </w:t>
      </w:r>
      <w:r w:rsidR="00385803" w:rsidRPr="009C60A5">
        <w:t xml:space="preserve">individual </w:t>
      </w:r>
      <w:r w:rsidR="00E41DB0">
        <w:t>eligible</w:t>
      </w:r>
      <w:r w:rsidR="00385803" w:rsidRPr="009C60A5">
        <w:t xml:space="preserve"> carrier</w:t>
      </w:r>
      <w:r w:rsidR="002006BA">
        <w:t>s</w:t>
      </w:r>
      <w:r w:rsidR="00385803" w:rsidRPr="009C60A5">
        <w:t xml:space="preserve"> are then determined by the </w:t>
      </w:r>
      <w:r w:rsidR="00C65151">
        <w:t>Australian Communications and Media Authority (</w:t>
      </w:r>
      <w:r w:rsidR="00385803" w:rsidRPr="009C60A5">
        <w:t>ACMA</w:t>
      </w:r>
      <w:r w:rsidR="00C65151">
        <w:t>)</w:t>
      </w:r>
      <w:r w:rsidR="00385803" w:rsidRPr="009C60A5">
        <w:t xml:space="preserve">, based on an assessment of their relative contributions to overall industry </w:t>
      </w:r>
      <w:r w:rsidR="0008038E">
        <w:t xml:space="preserve">eligible </w:t>
      </w:r>
      <w:r w:rsidR="00385803" w:rsidRPr="009C60A5">
        <w:t xml:space="preserve">revenue for the previous financial year. </w:t>
      </w:r>
      <w:r w:rsidR="00EE0FD2" w:rsidRPr="009C60A5">
        <w:t xml:space="preserve">Telstra </w:t>
      </w:r>
      <w:r w:rsidR="00E41DB0">
        <w:t>currently</w:t>
      </w:r>
      <w:r w:rsidR="00EE0FD2" w:rsidRPr="009C60A5">
        <w:t xml:space="preserve"> </w:t>
      </w:r>
      <w:r w:rsidR="00BC07D2" w:rsidRPr="009C60A5">
        <w:t xml:space="preserve">contributes </w:t>
      </w:r>
      <w:r w:rsidR="00114E85">
        <w:t xml:space="preserve">around </w:t>
      </w:r>
      <w:r w:rsidR="003F41AB" w:rsidRPr="009C60A5">
        <w:t>50%</w:t>
      </w:r>
      <w:r w:rsidR="00BC07D2" w:rsidRPr="009C60A5">
        <w:t xml:space="preserve"> of TIL funds. </w:t>
      </w:r>
    </w:p>
    <w:bookmarkEnd w:id="24"/>
    <w:p w14:paraId="49976412" w14:textId="2D3F5CCC" w:rsidR="00E11658" w:rsidRPr="0076606E" w:rsidRDefault="00E11658" w:rsidP="00D7745B">
      <w:r w:rsidRPr="009C60A5">
        <w:t xml:space="preserve">Access to </w:t>
      </w:r>
      <w:r w:rsidR="00C84FAE">
        <w:t xml:space="preserve">fixed </w:t>
      </w:r>
      <w:r w:rsidRPr="009C60A5">
        <w:t xml:space="preserve">STS under the USO is also supplemented by a number of additional safeguards. The </w:t>
      </w:r>
      <w:hyperlink r:id="rId30" w:history="1">
        <w:r w:rsidRPr="009C60A5">
          <w:rPr>
            <w:rStyle w:val="Hyperlink"/>
          </w:rPr>
          <w:t>Customer Service Guarantee</w:t>
        </w:r>
      </w:hyperlink>
      <w:r w:rsidRPr="009C60A5">
        <w:t xml:space="preserve"> (CSG) sets timeframes and associated benchmarks for connection, repair and appointment-keeping for </w:t>
      </w:r>
      <w:r w:rsidR="00C84FAE">
        <w:t xml:space="preserve">fixed </w:t>
      </w:r>
      <w:r w:rsidRPr="009C60A5">
        <w:t xml:space="preserve">STS. Where Telstra or another retail provider supplies CSG services, it must meet specified maximum timeframes or otherwise pay compensation to customers, unless an interim or alternative service is offered. Telstra is required to offer CSG services given its USO requirements, but other providers typically require new voice customers to waive their CSG rights. </w:t>
      </w:r>
      <w:r w:rsidR="00FE6E61">
        <w:t>P</w:t>
      </w:r>
      <w:r w:rsidRPr="009C60A5">
        <w:t>roviders that provide more than 100,000 CSG-eligible services (</w:t>
      </w:r>
      <w:r w:rsidR="002006BA">
        <w:t xml:space="preserve">currently </w:t>
      </w:r>
      <w:r w:rsidRPr="009C60A5">
        <w:t xml:space="preserve">Telstra and Optus) are also required to meet 90% performance benchmarks in relation to the CSG timeframes and submit annual compliance reports to the ACMA. </w:t>
      </w:r>
      <w:r w:rsidR="00240E75">
        <w:t xml:space="preserve">Telstra’s </w:t>
      </w:r>
      <w:r w:rsidR="0076606E">
        <w:t xml:space="preserve">level of </w:t>
      </w:r>
      <w:r w:rsidR="00240E75">
        <w:t xml:space="preserve">compliance with CSG standards and benchmarks (and with payphone safeguards detailed below) </w:t>
      </w:r>
      <w:r w:rsidR="0076606E">
        <w:t>is an important part</w:t>
      </w:r>
      <w:r w:rsidR="00240E75">
        <w:t xml:space="preserve"> o</w:t>
      </w:r>
      <w:r w:rsidR="0076606E">
        <w:t>f</w:t>
      </w:r>
      <w:r w:rsidR="00240E75">
        <w:t xml:space="preserve"> the Government’s assessment of Telstra’s performance </w:t>
      </w:r>
      <w:r w:rsidR="00C65151">
        <w:t xml:space="preserve">in providing USO services under the </w:t>
      </w:r>
      <w:r w:rsidR="00240E75">
        <w:t xml:space="preserve">TUSOPA. </w:t>
      </w:r>
      <w:r w:rsidRPr="009C60A5">
        <w:t xml:space="preserve">The Government recently reviewed sunsetting CSG </w:t>
      </w:r>
      <w:r w:rsidR="00D84107">
        <w:t>instruments</w:t>
      </w:r>
      <w:r w:rsidR="00D84107" w:rsidRPr="009C60A5">
        <w:t xml:space="preserve"> </w:t>
      </w:r>
      <w:r w:rsidRPr="009C60A5">
        <w:t xml:space="preserve">and decided to roll over the existing arrangements with minimal changes for a further three </w:t>
      </w:r>
      <w:r w:rsidR="00D7745B">
        <w:t>years</w:t>
      </w:r>
      <w:r w:rsidR="00B34E78" w:rsidRPr="0001388F">
        <w:t xml:space="preserve">. </w:t>
      </w:r>
      <w:r w:rsidR="0001388F">
        <w:t>I</w:t>
      </w:r>
      <w:r w:rsidR="00D7745B" w:rsidRPr="0001388F">
        <w:t xml:space="preserve">f there are significant changes to universal service arrangements following this consultation process, </w:t>
      </w:r>
      <w:r w:rsidR="0001388F">
        <w:t xml:space="preserve">it is </w:t>
      </w:r>
      <w:r w:rsidR="00D16FAB">
        <w:t>expected</w:t>
      </w:r>
      <w:r w:rsidR="0001388F">
        <w:t xml:space="preserve"> that </w:t>
      </w:r>
      <w:r w:rsidR="00D7745B" w:rsidRPr="0001388F">
        <w:t>the ongoing suitability of the CSG will need to be further considered.</w:t>
      </w:r>
    </w:p>
    <w:p w14:paraId="4FE6DE5B" w14:textId="77777777" w:rsidR="0082217F" w:rsidRPr="009C60A5" w:rsidRDefault="0082217F" w:rsidP="009F01CA">
      <w:r w:rsidRPr="009C60A5">
        <w:t xml:space="preserve">Telstra is also required to offer </w:t>
      </w:r>
      <w:hyperlink r:id="rId31" w:history="1">
        <w:r w:rsidRPr="009C60A5">
          <w:rPr>
            <w:rStyle w:val="Hyperlink"/>
          </w:rPr>
          <w:t>Priority Assistance</w:t>
        </w:r>
      </w:hyperlink>
      <w:r w:rsidRPr="009C60A5">
        <w:rPr>
          <w:rStyle w:val="Hyperlink"/>
        </w:rPr>
        <w:t xml:space="preserve"> </w:t>
      </w:r>
      <w:r w:rsidRPr="009C60A5">
        <w:t xml:space="preserve">to </w:t>
      </w:r>
      <w:r w:rsidR="00C84FAE">
        <w:t xml:space="preserve">households with </w:t>
      </w:r>
      <w:r w:rsidRPr="009C60A5">
        <w:t xml:space="preserve">people diagnosed with a life-threatening medical condition. Telstra must endeavour to connect and repair </w:t>
      </w:r>
      <w:r w:rsidR="002006BA">
        <w:t xml:space="preserve">voice services for </w:t>
      </w:r>
      <w:r w:rsidRPr="009C60A5">
        <w:t xml:space="preserve">Priority Assistance services in shorter timeframes than required by the CSG, and test services </w:t>
      </w:r>
      <w:r w:rsidR="00114E85">
        <w:t>of P</w:t>
      </w:r>
      <w:r w:rsidR="0076606E">
        <w:t>riority Assistance</w:t>
      </w:r>
      <w:r w:rsidR="00114E85">
        <w:t xml:space="preserve"> customers </w:t>
      </w:r>
      <w:r w:rsidRPr="009C60A5">
        <w:t xml:space="preserve">that have experienced repeated faults. These arrangements are only in place to support the connection and repair </w:t>
      </w:r>
      <w:r w:rsidR="00C65151">
        <w:t xml:space="preserve">of </w:t>
      </w:r>
      <w:r w:rsidR="00C84FAE">
        <w:t xml:space="preserve">fixed </w:t>
      </w:r>
      <w:r w:rsidRPr="009C60A5">
        <w:t xml:space="preserve">STS (not mobile or broadband services).  </w:t>
      </w:r>
    </w:p>
    <w:p w14:paraId="74D0040A" w14:textId="3578F3C1" w:rsidR="00CD3A49" w:rsidRDefault="00502F5C" w:rsidP="00765F9E">
      <w:pPr>
        <w:rPr>
          <w:b/>
        </w:rPr>
      </w:pPr>
      <w:r>
        <w:t xml:space="preserve">Specific </w:t>
      </w:r>
      <w:r w:rsidR="00E11658" w:rsidRPr="009C60A5">
        <w:t xml:space="preserve">carrier licence conditions </w:t>
      </w:r>
      <w:r>
        <w:t xml:space="preserve">imposed on Telstra </w:t>
      </w:r>
      <w:r w:rsidR="00E11658" w:rsidRPr="009C60A5">
        <w:t>require it to monitor service availability and faults</w:t>
      </w:r>
      <w:r w:rsidR="00034344">
        <w:t>,</w:t>
      </w:r>
      <w:r w:rsidR="00E11658" w:rsidRPr="009C60A5">
        <w:t xml:space="preserve"> and remediate poorly performing </w:t>
      </w:r>
      <w:r w:rsidR="002006BA">
        <w:t xml:space="preserve">voice </w:t>
      </w:r>
      <w:r w:rsidR="00E11658" w:rsidRPr="009C60A5">
        <w:t xml:space="preserve">services, under the Network Reliability Framework. Under further carrier licence conditions made in 2021, Telstra is also required to report </w:t>
      </w:r>
      <w:r w:rsidR="00114E85">
        <w:t xml:space="preserve">on key metrics relating to </w:t>
      </w:r>
      <w:r w:rsidR="00AA5BC0">
        <w:t xml:space="preserve">the </w:t>
      </w:r>
      <w:r w:rsidR="00114E85">
        <w:t xml:space="preserve">supply of voice services, primarily in </w:t>
      </w:r>
      <w:r w:rsidR="00E11658" w:rsidRPr="009C60A5">
        <w:t>regional and remote areas outside the NBN fixed</w:t>
      </w:r>
      <w:r w:rsidR="00D16FAB">
        <w:t xml:space="preserve"> </w:t>
      </w:r>
      <w:r w:rsidR="00E11658" w:rsidRPr="009C60A5">
        <w:t xml:space="preserve">line footprint. Telstra’s public reports are available on its </w:t>
      </w:r>
      <w:hyperlink r:id="rId32" w:history="1">
        <w:r w:rsidR="00E11658" w:rsidRPr="009C60A5">
          <w:rPr>
            <w:rStyle w:val="Hyperlink"/>
          </w:rPr>
          <w:t>website</w:t>
        </w:r>
      </w:hyperlink>
      <w:r w:rsidR="00E11658" w:rsidRPr="009C60A5">
        <w:t xml:space="preserve">. </w:t>
      </w:r>
    </w:p>
    <w:p w14:paraId="31B42AFD" w14:textId="0DC90BA2" w:rsidR="00765F9E" w:rsidRDefault="00765F9E" w:rsidP="00317746">
      <w:pPr>
        <w:spacing w:after="160"/>
        <w:rPr>
          <w:b/>
        </w:rPr>
      </w:pPr>
      <w:r>
        <w:rPr>
          <w:b/>
        </w:rPr>
        <w:t>USO p</w:t>
      </w:r>
      <w:r w:rsidRPr="00951E88">
        <w:rPr>
          <w:b/>
        </w:rPr>
        <w:t>ayphones</w:t>
      </w:r>
    </w:p>
    <w:p w14:paraId="67E1F005" w14:textId="0B3E89F2" w:rsidR="00765F9E" w:rsidRDefault="00765F9E" w:rsidP="00765F9E">
      <w:pPr>
        <w:spacing w:before="80"/>
        <w:rPr>
          <w:lang w:val="en-US"/>
        </w:rPr>
      </w:pPr>
      <w:r w:rsidRPr="009732A0">
        <w:t>Beyond providing fixed connections to individual premises</w:t>
      </w:r>
      <w:r>
        <w:t xml:space="preserve"> on reasonable request</w:t>
      </w:r>
      <w:r w:rsidRPr="009732A0">
        <w:t xml:space="preserve">, USO arrangements also require Telstra to </w:t>
      </w:r>
      <w:r>
        <w:t xml:space="preserve">supply, install and </w:t>
      </w:r>
      <w:r w:rsidRPr="009732A0">
        <w:t>maintain USO payphones</w:t>
      </w:r>
      <w:r>
        <w:t xml:space="preserve"> nationally</w:t>
      </w:r>
      <w:r w:rsidRPr="009732A0">
        <w:t xml:space="preserve">. </w:t>
      </w:r>
      <w:r>
        <w:t xml:space="preserve">Payphones have historically provided alternative and publicly accessible communications options, including to areas outside mobile coverage, recognising not all consumers may be able to access or afford a fixed service at their home or business. </w:t>
      </w:r>
      <w:r w:rsidR="006A4270">
        <w:t xml:space="preserve">They remain of particular importance to more vulnerable members of the community. </w:t>
      </w:r>
      <w:r>
        <w:rPr>
          <w:lang w:val="en-US"/>
        </w:rPr>
        <w:t xml:space="preserve">Telstra currently </w:t>
      </w:r>
      <w:r w:rsidRPr="00842BBB">
        <w:rPr>
          <w:lang w:val="en-US"/>
        </w:rPr>
        <w:t>maintains around 14,500 USO payphones</w:t>
      </w:r>
      <w:r>
        <w:rPr>
          <w:lang w:val="en-US"/>
        </w:rPr>
        <w:t xml:space="preserve"> nationally</w:t>
      </w:r>
      <w:r w:rsidRPr="005C0425">
        <w:rPr>
          <w:lang w:val="en-US"/>
        </w:rPr>
        <w:t xml:space="preserve">. </w:t>
      </w:r>
      <w:r>
        <w:rPr>
          <w:lang w:val="en-US"/>
        </w:rPr>
        <w:t xml:space="preserve">Broadly, the number and usage of payphones had been in decline for a number of years, but usage has now increased following </w:t>
      </w:r>
      <w:r w:rsidRPr="005C0425">
        <w:rPr>
          <w:lang w:val="en-US"/>
        </w:rPr>
        <w:t>Telstra</w:t>
      </w:r>
      <w:r w:rsidR="00AA5BC0">
        <w:rPr>
          <w:lang w:val="en-US"/>
        </w:rPr>
        <w:t xml:space="preserve">’s </w:t>
      </w:r>
      <w:r w:rsidRPr="005C0425">
        <w:rPr>
          <w:lang w:val="en-US"/>
        </w:rPr>
        <w:t>commercial decision to make all local and national calls from USO payphones free of charge from 3</w:t>
      </w:r>
      <w:r>
        <w:rPr>
          <w:lang w:val="en-US"/>
        </w:rPr>
        <w:t> </w:t>
      </w:r>
      <w:r w:rsidRPr="005C0425">
        <w:rPr>
          <w:lang w:val="en-US"/>
        </w:rPr>
        <w:t xml:space="preserve">August 2021. This has </w:t>
      </w:r>
      <w:r>
        <w:rPr>
          <w:lang w:val="en-US"/>
        </w:rPr>
        <w:t xml:space="preserve">seen </w:t>
      </w:r>
      <w:r w:rsidRPr="005C0425">
        <w:rPr>
          <w:lang w:val="en-US"/>
        </w:rPr>
        <w:t xml:space="preserve">average </w:t>
      </w:r>
      <w:r>
        <w:rPr>
          <w:lang w:val="en-US"/>
        </w:rPr>
        <w:t xml:space="preserve">calls </w:t>
      </w:r>
      <w:r w:rsidRPr="005C0425">
        <w:rPr>
          <w:lang w:val="en-US"/>
        </w:rPr>
        <w:t xml:space="preserve">from payphones increasing from approximately </w:t>
      </w:r>
      <w:r w:rsidRPr="00A9158A">
        <w:rPr>
          <w:lang w:val="en-US"/>
        </w:rPr>
        <w:t xml:space="preserve">7 million </w:t>
      </w:r>
      <w:r>
        <w:rPr>
          <w:lang w:val="en-US"/>
        </w:rPr>
        <w:t xml:space="preserve">calls </w:t>
      </w:r>
      <w:r w:rsidRPr="00A9158A">
        <w:rPr>
          <w:lang w:val="en-US"/>
        </w:rPr>
        <w:t>in FY2020-21</w:t>
      </w:r>
      <w:r w:rsidRPr="005C0425">
        <w:rPr>
          <w:lang w:val="en-US"/>
        </w:rPr>
        <w:t xml:space="preserve"> to </w:t>
      </w:r>
      <w:r w:rsidR="00984FDD">
        <w:rPr>
          <w:lang w:val="en-US"/>
        </w:rPr>
        <w:t xml:space="preserve">around </w:t>
      </w:r>
      <w:r w:rsidRPr="00A9158A">
        <w:rPr>
          <w:lang w:val="en-US"/>
        </w:rPr>
        <w:t xml:space="preserve">23 million </w:t>
      </w:r>
      <w:r>
        <w:rPr>
          <w:lang w:val="en-US"/>
        </w:rPr>
        <w:t>calls</w:t>
      </w:r>
      <w:r w:rsidR="00984FDD">
        <w:rPr>
          <w:rStyle w:val="FootnoteReference"/>
          <w:lang w:val="en-US"/>
        </w:rPr>
        <w:footnoteReference w:id="5"/>
      </w:r>
      <w:r>
        <w:rPr>
          <w:lang w:val="en-US"/>
        </w:rPr>
        <w:t xml:space="preserve"> </w:t>
      </w:r>
      <w:r w:rsidRPr="00A9158A">
        <w:rPr>
          <w:lang w:val="en-US"/>
        </w:rPr>
        <w:t>in FY2022-23</w:t>
      </w:r>
      <w:r>
        <w:rPr>
          <w:lang w:val="en-US"/>
        </w:rPr>
        <w:t>. Despite the net overall increase in calls from payphones, u</w:t>
      </w:r>
      <w:r w:rsidRPr="00A9158A">
        <w:rPr>
          <w:lang w:val="en-US"/>
        </w:rPr>
        <w:t xml:space="preserve">sage </w:t>
      </w:r>
      <w:r>
        <w:rPr>
          <w:lang w:val="en-US"/>
        </w:rPr>
        <w:t xml:space="preserve">of individual payphones is variable, </w:t>
      </w:r>
      <w:r w:rsidRPr="00A9158A">
        <w:rPr>
          <w:lang w:val="en-US"/>
        </w:rPr>
        <w:t>depending on where payphones are located</w:t>
      </w:r>
      <w:r>
        <w:rPr>
          <w:lang w:val="en-US"/>
        </w:rPr>
        <w:t xml:space="preserve"> and </w:t>
      </w:r>
      <w:r w:rsidR="00ED2759">
        <w:rPr>
          <w:lang w:val="en-US"/>
        </w:rPr>
        <w:t xml:space="preserve">the </w:t>
      </w:r>
      <w:r>
        <w:rPr>
          <w:lang w:val="en-US"/>
        </w:rPr>
        <w:t>community</w:t>
      </w:r>
      <w:r w:rsidR="00ED2759">
        <w:rPr>
          <w:lang w:val="en-US"/>
        </w:rPr>
        <w:t>’s</w:t>
      </w:r>
      <w:r>
        <w:rPr>
          <w:lang w:val="en-US"/>
        </w:rPr>
        <w:t xml:space="preserve"> demand</w:t>
      </w:r>
      <w:r w:rsidRPr="00A9158A">
        <w:rPr>
          <w:lang w:val="en-US"/>
        </w:rPr>
        <w:t>.</w:t>
      </w:r>
    </w:p>
    <w:p w14:paraId="61C1CDED" w14:textId="4874483B" w:rsidR="00765F9E" w:rsidRDefault="00765F9E" w:rsidP="00765F9E">
      <w:pPr>
        <w:rPr>
          <w:rFonts w:eastAsia="Times New Roman"/>
          <w:color w:val="000000"/>
        </w:rPr>
      </w:pPr>
      <w:r>
        <w:t xml:space="preserve">Telstra’s provision of USO </w:t>
      </w:r>
      <w:r w:rsidRPr="00A11467">
        <w:t xml:space="preserve">payphones </w:t>
      </w:r>
      <w:r>
        <w:t>is</w:t>
      </w:r>
      <w:r w:rsidRPr="00A11467">
        <w:t xml:space="preserve"> subject to </w:t>
      </w:r>
      <w:r>
        <w:t>regulatory</w:t>
      </w:r>
      <w:r w:rsidRPr="00A11467">
        <w:t xml:space="preserve"> safeguards to help ensure </w:t>
      </w:r>
      <w:r w:rsidR="00AA5BC0">
        <w:t xml:space="preserve">that </w:t>
      </w:r>
      <w:r>
        <w:t xml:space="preserve">it provides an </w:t>
      </w:r>
      <w:r w:rsidRPr="00A11467">
        <w:t xml:space="preserve">appropriate quality of service and </w:t>
      </w:r>
      <w:r>
        <w:t xml:space="preserve">meets </w:t>
      </w:r>
      <w:r w:rsidRPr="00A11467">
        <w:t>accessibility requirements</w:t>
      </w:r>
      <w:r>
        <w:t xml:space="preserve">. </w:t>
      </w:r>
      <w:r w:rsidRPr="00A11467">
        <w:t xml:space="preserve">The </w:t>
      </w:r>
      <w:hyperlink r:id="rId33" w:history="1">
        <w:r w:rsidRPr="000A6884">
          <w:rPr>
            <w:rStyle w:val="Hyperlink"/>
            <w:i/>
            <w:spacing w:val="-2"/>
          </w:rPr>
          <w:t>Telecommunications (Payphones) Determination 2022</w:t>
        </w:r>
      </w:hyperlink>
      <w:r>
        <w:rPr>
          <w:spacing w:val="-2"/>
        </w:rPr>
        <w:t xml:space="preserve"> sets out</w:t>
      </w:r>
      <w:r w:rsidRPr="00EB75F8">
        <w:rPr>
          <w:spacing w:val="-2"/>
        </w:rPr>
        <w:t xml:space="preserve"> </w:t>
      </w:r>
      <w:r>
        <w:rPr>
          <w:spacing w:val="-2"/>
        </w:rPr>
        <w:t xml:space="preserve">the </w:t>
      </w:r>
      <w:r w:rsidRPr="00EB75F8">
        <w:rPr>
          <w:spacing w:val="-2"/>
        </w:rPr>
        <w:t>service characteristics and supply requirements</w:t>
      </w:r>
      <w:r>
        <w:rPr>
          <w:spacing w:val="-2"/>
        </w:rPr>
        <w:t xml:space="preserve"> that Telstra must follow,</w:t>
      </w:r>
      <w:r w:rsidRPr="00EB75F8">
        <w:rPr>
          <w:spacing w:val="-2"/>
        </w:rPr>
        <w:t xml:space="preserve"> </w:t>
      </w:r>
      <w:r>
        <w:rPr>
          <w:spacing w:val="-2"/>
        </w:rPr>
        <w:t xml:space="preserve">including providing access to local, national and international calls, </w:t>
      </w:r>
      <w:r w:rsidRPr="00EB75F8">
        <w:rPr>
          <w:spacing w:val="-2"/>
        </w:rPr>
        <w:t>24 hour/day availability</w:t>
      </w:r>
      <w:r>
        <w:rPr>
          <w:spacing w:val="-2"/>
        </w:rPr>
        <w:t xml:space="preserve">, </w:t>
      </w:r>
      <w:r w:rsidRPr="00EB75F8">
        <w:rPr>
          <w:spacing w:val="-2"/>
        </w:rPr>
        <w:t>free access to the ‘000’ Emergency Call Service</w:t>
      </w:r>
      <w:r>
        <w:rPr>
          <w:spacing w:val="-2"/>
        </w:rPr>
        <w:t xml:space="preserve"> and </w:t>
      </w:r>
      <w:r w:rsidRPr="00EB75F8">
        <w:rPr>
          <w:spacing w:val="-2"/>
        </w:rPr>
        <w:t>provision for operator assistance</w:t>
      </w:r>
      <w:r>
        <w:rPr>
          <w:spacing w:val="-2"/>
        </w:rPr>
        <w:t xml:space="preserve">. There are also </w:t>
      </w:r>
      <w:r w:rsidRPr="001E73E2">
        <w:rPr>
          <w:rFonts w:eastAsia="Times New Roman"/>
          <w:color w:val="000000"/>
        </w:rPr>
        <w:t>rules for the location of payphones, mandatory processes for consultation and complaint-handling</w:t>
      </w:r>
      <w:r>
        <w:rPr>
          <w:rFonts w:eastAsia="Times New Roman"/>
          <w:color w:val="000000"/>
        </w:rPr>
        <w:t>, and performance</w:t>
      </w:r>
      <w:r w:rsidRPr="001E73E2">
        <w:rPr>
          <w:rFonts w:eastAsia="Times New Roman"/>
          <w:color w:val="000000"/>
        </w:rPr>
        <w:t xml:space="preserve"> standards</w:t>
      </w:r>
      <w:r>
        <w:rPr>
          <w:rFonts w:eastAsia="Times New Roman"/>
          <w:color w:val="000000"/>
        </w:rPr>
        <w:t xml:space="preserve"> (maximum timeframes)</w:t>
      </w:r>
      <w:r w:rsidRPr="001E73E2">
        <w:rPr>
          <w:rFonts w:eastAsia="Times New Roman"/>
          <w:color w:val="000000"/>
        </w:rPr>
        <w:t xml:space="preserve"> and </w:t>
      </w:r>
      <w:r>
        <w:rPr>
          <w:rFonts w:eastAsia="Times New Roman"/>
          <w:color w:val="000000"/>
        </w:rPr>
        <w:t xml:space="preserve">related </w:t>
      </w:r>
      <w:r w:rsidRPr="001E73E2">
        <w:rPr>
          <w:rFonts w:eastAsia="Times New Roman"/>
          <w:color w:val="000000"/>
        </w:rPr>
        <w:t>benchmarks</w:t>
      </w:r>
      <w:r>
        <w:rPr>
          <w:rFonts w:eastAsia="Times New Roman"/>
          <w:color w:val="000000"/>
        </w:rPr>
        <w:t xml:space="preserve"> for the installation and repair of payphones in specific geographic areas.</w:t>
      </w:r>
      <w:r w:rsidR="005F7C6C">
        <w:rPr>
          <w:rFonts w:eastAsia="Times New Roman"/>
          <w:color w:val="000000"/>
        </w:rPr>
        <w:t xml:space="preserve"> </w:t>
      </w:r>
    </w:p>
    <w:p w14:paraId="0F98963A" w14:textId="79B0D8C3" w:rsidR="0077272F" w:rsidRDefault="00765F9E" w:rsidP="00765F9E">
      <w:pPr>
        <w:spacing w:before="80"/>
        <w:rPr>
          <w:lang w:val="en-US"/>
        </w:rPr>
      </w:pPr>
      <w:r>
        <w:rPr>
          <w:lang w:val="en-US"/>
        </w:rPr>
        <w:t xml:space="preserve">Telstra has also made commercial decisions to enhance the functionality of some USO payphones. Although not required or directly funded under USO arrangements, </w:t>
      </w:r>
      <w:r w:rsidR="00C03171">
        <w:rPr>
          <w:lang w:val="en-US"/>
        </w:rPr>
        <w:t xml:space="preserve">since </w:t>
      </w:r>
      <w:r>
        <w:rPr>
          <w:lang w:val="en-US"/>
        </w:rPr>
        <w:t xml:space="preserve">August 2022 Telstra </w:t>
      </w:r>
      <w:r w:rsidR="00C03171">
        <w:rPr>
          <w:lang w:val="en-US"/>
        </w:rPr>
        <w:t xml:space="preserve">has </w:t>
      </w:r>
      <w:r>
        <w:rPr>
          <w:lang w:val="en-US"/>
        </w:rPr>
        <w:t xml:space="preserve">made data from </w:t>
      </w:r>
      <w:r w:rsidR="00C03171">
        <w:rPr>
          <w:lang w:val="en-US"/>
        </w:rPr>
        <w:t xml:space="preserve">around </w:t>
      </w:r>
      <w:r w:rsidRPr="00D95527">
        <w:rPr>
          <w:lang w:val="en-US"/>
        </w:rPr>
        <w:t>3,</w:t>
      </w:r>
      <w:r w:rsidR="00C03171">
        <w:rPr>
          <w:lang w:val="en-US"/>
        </w:rPr>
        <w:t>3</w:t>
      </w:r>
      <w:r w:rsidRPr="00D95527">
        <w:rPr>
          <w:lang w:val="en-US"/>
        </w:rPr>
        <w:t xml:space="preserve">00 of </w:t>
      </w:r>
      <w:r>
        <w:rPr>
          <w:lang w:val="en-US"/>
        </w:rPr>
        <w:t>its</w:t>
      </w:r>
      <w:r w:rsidRPr="00D95527">
        <w:rPr>
          <w:lang w:val="en-US"/>
        </w:rPr>
        <w:t xml:space="preserve"> Wi-Fi enabled payphones across Australia</w:t>
      </w:r>
      <w:r>
        <w:rPr>
          <w:lang w:val="en-US"/>
        </w:rPr>
        <w:t xml:space="preserve"> free of charge</w:t>
      </w:r>
      <w:r w:rsidR="00C03171">
        <w:rPr>
          <w:rStyle w:val="FootnoteReference"/>
          <w:lang w:val="en-US"/>
        </w:rPr>
        <w:footnoteReference w:id="6"/>
      </w:r>
      <w:r>
        <w:rPr>
          <w:lang w:val="en-US"/>
        </w:rPr>
        <w:t xml:space="preserve">. Telstra is also making targeted investments to </w:t>
      </w:r>
      <w:r w:rsidRPr="00D95527">
        <w:rPr>
          <w:lang w:val="en-US"/>
        </w:rPr>
        <w:t xml:space="preserve">bolster the power resilience of around 1,000 payphones in disaster-prone areas, </w:t>
      </w:r>
      <w:r>
        <w:rPr>
          <w:lang w:val="en-US"/>
        </w:rPr>
        <w:t>and</w:t>
      </w:r>
      <w:r w:rsidRPr="00D95527">
        <w:rPr>
          <w:lang w:val="en-US"/>
        </w:rPr>
        <w:t xml:space="preserve"> to add Wi-Fi</w:t>
      </w:r>
      <w:r>
        <w:rPr>
          <w:lang w:val="en-US"/>
        </w:rPr>
        <w:t xml:space="preserve"> if not already available at those payphones.</w:t>
      </w:r>
      <w:r w:rsidRPr="00D95527">
        <w:rPr>
          <w:lang w:val="en-US"/>
        </w:rPr>
        <w:t xml:space="preserve"> </w:t>
      </w:r>
    </w:p>
    <w:p w14:paraId="03D8EC73" w14:textId="77777777" w:rsidR="0077272F" w:rsidRDefault="0077272F" w:rsidP="00765F9E">
      <w:pPr>
        <w:spacing w:before="80"/>
        <w:rPr>
          <w:lang w:val="en-US"/>
        </w:rPr>
      </w:pPr>
    </w:p>
    <w:p w14:paraId="69BCE6B7" w14:textId="77777777" w:rsidR="00317746" w:rsidRDefault="00317746" w:rsidP="00765F9E">
      <w:pPr>
        <w:spacing w:before="80"/>
        <w:rPr>
          <w:lang w:val="en-US"/>
        </w:rPr>
      </w:pPr>
    </w:p>
    <w:p w14:paraId="72E27D8C" w14:textId="77777777" w:rsidR="00E11658" w:rsidRPr="009D6075" w:rsidRDefault="00E11658" w:rsidP="009F01CA">
      <w:pPr>
        <w:rPr>
          <w:b/>
          <w:sz w:val="24"/>
          <w:szCs w:val="24"/>
        </w:rPr>
      </w:pPr>
      <w:r w:rsidRPr="009D6075">
        <w:rPr>
          <w:b/>
          <w:sz w:val="24"/>
          <w:szCs w:val="24"/>
        </w:rPr>
        <w:t>Fixed broadband services</w:t>
      </w:r>
    </w:p>
    <w:p w14:paraId="56A5D4BE" w14:textId="3EFDB2C8" w:rsidR="00E41DB0" w:rsidRDefault="00E11658" w:rsidP="009F01CA">
      <w:pPr>
        <w:spacing w:before="80"/>
      </w:pPr>
      <w:r w:rsidRPr="00995C2C">
        <w:t>Access to fixed broadband is</w:t>
      </w:r>
      <w:r w:rsidRPr="009C60A5">
        <w:t xml:space="preserve"> supported by the </w:t>
      </w:r>
      <w:hyperlink r:id="rId34" w:history="1">
        <w:r w:rsidRPr="009C60A5">
          <w:rPr>
            <w:rStyle w:val="Hyperlink"/>
          </w:rPr>
          <w:t>SIP regime</w:t>
        </w:r>
      </w:hyperlink>
      <w:r w:rsidRPr="009C60A5">
        <w:t xml:space="preserve"> set out in the </w:t>
      </w:r>
      <w:r w:rsidRPr="009C60A5">
        <w:rPr>
          <w:i/>
        </w:rPr>
        <w:t xml:space="preserve">Telecommunications Act 1997. </w:t>
      </w:r>
      <w:r w:rsidR="00E41DB0">
        <w:t xml:space="preserve">This is a wholesale obligation to provide connectivity. </w:t>
      </w:r>
      <w:r w:rsidR="00505453" w:rsidRPr="009C60A5">
        <w:t xml:space="preserve">NBN Co </w:t>
      </w:r>
      <w:r w:rsidRPr="009C60A5">
        <w:t xml:space="preserve">is the default SIP nationally and provides broadband infrastructure to premises across Australia </w:t>
      </w:r>
      <w:r w:rsidRPr="00437BD1">
        <w:t>using a combination of fixed line, fixed wireless and satellite technology.</w:t>
      </w:r>
      <w:r w:rsidRPr="009C60A5">
        <w:t xml:space="preserve"> Other carriers become SIPs </w:t>
      </w:r>
      <w:r w:rsidR="00502F5C">
        <w:t xml:space="preserve">generally </w:t>
      </w:r>
      <w:r w:rsidR="002A76C8">
        <w:t>where they are contracted</w:t>
      </w:r>
      <w:r w:rsidR="00502F5C" w:rsidRPr="009C60A5">
        <w:t xml:space="preserve"> </w:t>
      </w:r>
      <w:r w:rsidRPr="009C60A5">
        <w:t>to service an area such as a new development</w:t>
      </w:r>
      <w:r w:rsidR="00502F5C">
        <w:t>, or through Ministerial designation</w:t>
      </w:r>
      <w:r w:rsidRPr="009C60A5">
        <w:t xml:space="preserve">. </w:t>
      </w:r>
    </w:p>
    <w:p w14:paraId="75F74770" w14:textId="648904E7" w:rsidR="00560CD9" w:rsidRPr="009C60A5" w:rsidRDefault="00E11658" w:rsidP="009F01CA">
      <w:pPr>
        <w:spacing w:before="80"/>
      </w:pPr>
      <w:r w:rsidRPr="009C60A5">
        <w:t xml:space="preserve">All SIPs have obligations to connect premises to their networks and supply wholesale services that allow retail providers to provide </w:t>
      </w:r>
      <w:r w:rsidR="00505453" w:rsidRPr="009C60A5">
        <w:t xml:space="preserve">broadband </w:t>
      </w:r>
      <w:r w:rsidRPr="009C60A5">
        <w:t xml:space="preserve">services with peak </w:t>
      </w:r>
      <w:r w:rsidR="009D6075">
        <w:t xml:space="preserve">download and upload </w:t>
      </w:r>
      <w:r w:rsidRPr="009C60A5">
        <w:t xml:space="preserve">speeds of at least 25/5 Mbps. </w:t>
      </w:r>
    </w:p>
    <w:p w14:paraId="2A7C7CF7" w14:textId="1BF61381" w:rsidR="00284BE5" w:rsidRPr="009C60A5" w:rsidRDefault="00E11658" w:rsidP="0016398D">
      <w:pPr>
        <w:spacing w:before="80"/>
      </w:pPr>
      <w:r w:rsidRPr="009D6075">
        <w:t>On fixed line and fixed wireless</w:t>
      </w:r>
      <w:r w:rsidRPr="009C60A5">
        <w:t xml:space="preserve"> networks, wholesale services supplied by SIPs must be able to support retail voice services. </w:t>
      </w:r>
      <w:r w:rsidR="00560CD9" w:rsidRPr="009C60A5">
        <w:t xml:space="preserve">This reflects that these technologies are able to support </w:t>
      </w:r>
      <w:r w:rsidR="00284BE5" w:rsidRPr="009C60A5">
        <w:t xml:space="preserve">baseline voice services </w:t>
      </w:r>
      <w:r w:rsidR="00BA2A4D" w:rsidRPr="009C60A5">
        <w:t xml:space="preserve">such as those delivered </w:t>
      </w:r>
      <w:r w:rsidR="00284BE5" w:rsidRPr="009C60A5">
        <w:t xml:space="preserve">under the USO. </w:t>
      </w:r>
      <w:r w:rsidR="0082791F" w:rsidRPr="009C60A5">
        <w:t>The</w:t>
      </w:r>
      <w:r w:rsidR="00284BE5" w:rsidRPr="009C60A5">
        <w:t xml:space="preserve"> requirement does not apply to satellite </w:t>
      </w:r>
      <w:r w:rsidR="006C298B">
        <w:t xml:space="preserve">broadband </w:t>
      </w:r>
      <w:r w:rsidR="00284BE5" w:rsidRPr="009C60A5">
        <w:t>services</w:t>
      </w:r>
      <w:r w:rsidR="0016398D">
        <w:t xml:space="preserve"> supplied by SIPs</w:t>
      </w:r>
      <w:r w:rsidR="00CE6796">
        <w:t>.</w:t>
      </w:r>
      <w:r w:rsidR="0016398D">
        <w:t xml:space="preserve"> While it is the case that NBN Co’s Sky Muster satellites, and other geostationary satellites available in Australia, can support voice calling, and may </w:t>
      </w:r>
      <w:r w:rsidR="00502F5C">
        <w:t xml:space="preserve">be </w:t>
      </w:r>
      <w:r w:rsidR="0016398D">
        <w:t>used for this purpose by some customers, they have</w:t>
      </w:r>
      <w:r w:rsidR="00DB0E61">
        <w:t xml:space="preserve"> broadly</w:t>
      </w:r>
      <w:r w:rsidR="0016398D">
        <w:t xml:space="preserve"> not </w:t>
      </w:r>
      <w:r w:rsidR="00EA74D3">
        <w:t xml:space="preserve">been seen as </w:t>
      </w:r>
      <w:r w:rsidR="0016398D">
        <w:t xml:space="preserve">a </w:t>
      </w:r>
      <w:r w:rsidR="00DB0E61">
        <w:t xml:space="preserve">suitable </w:t>
      </w:r>
      <w:r w:rsidR="0016398D">
        <w:t>primary platform for USO voice services</w:t>
      </w:r>
      <w:r w:rsidR="00EA74D3">
        <w:t xml:space="preserve">. This has reflected </w:t>
      </w:r>
      <w:r w:rsidR="00DB0E61">
        <w:t xml:space="preserve">that there are </w:t>
      </w:r>
      <w:r w:rsidR="00EA74D3">
        <w:t>inherent technical limitations</w:t>
      </w:r>
      <w:r w:rsidR="00DB0E61">
        <w:t>,</w:t>
      </w:r>
      <w:r w:rsidR="00EA74D3">
        <w:t xml:space="preserve"> such as </w:t>
      </w:r>
      <w:r w:rsidR="0016398D">
        <w:t>higher latency (delay)</w:t>
      </w:r>
      <w:r w:rsidR="00DB0E61">
        <w:t>,</w:t>
      </w:r>
      <w:r w:rsidR="00EA74D3">
        <w:t xml:space="preserve"> for services supported over geostationary satellites</w:t>
      </w:r>
      <w:r w:rsidR="0016398D">
        <w:t xml:space="preserve">, which can impact the quality and customer experience of </w:t>
      </w:r>
      <w:r w:rsidR="00EA74D3">
        <w:t xml:space="preserve">voice </w:t>
      </w:r>
      <w:r w:rsidR="0016398D">
        <w:t>calls.</w:t>
      </w:r>
    </w:p>
    <w:p w14:paraId="04D2CB27" w14:textId="6E990B9E" w:rsidR="00505453" w:rsidRPr="009C60A5" w:rsidRDefault="00505453" w:rsidP="009F01CA">
      <w:pPr>
        <w:spacing w:before="80"/>
      </w:pPr>
      <w:r w:rsidRPr="009C60A5">
        <w:t xml:space="preserve">NBN Co’s provision of fixed wireless and satellite services, which are non-commercial overall, </w:t>
      </w:r>
      <w:r w:rsidR="0008038E">
        <w:t>is</w:t>
      </w:r>
      <w:r w:rsidRPr="009C60A5">
        <w:t xml:space="preserve"> subsidised by the Regional Broadband Scheme (RBS). Under the RBS, carriers </w:t>
      </w:r>
      <w:r w:rsidR="00BA0BFA">
        <w:t xml:space="preserve">(including NBN Co) </w:t>
      </w:r>
      <w:r w:rsidR="00470707">
        <w:t xml:space="preserve">that have </w:t>
      </w:r>
      <w:r w:rsidR="00470707" w:rsidRPr="009C60A5">
        <w:t xml:space="preserve">active </w:t>
      </w:r>
      <w:r w:rsidR="00470707">
        <w:t xml:space="preserve">local access links that provide a </w:t>
      </w:r>
      <w:r w:rsidR="00470707" w:rsidRPr="009C60A5">
        <w:t>high</w:t>
      </w:r>
      <w:r w:rsidR="00470707">
        <w:t>-</w:t>
      </w:r>
      <w:r w:rsidR="00470707" w:rsidRPr="009C60A5">
        <w:t xml:space="preserve">speed superfast broadband service </w:t>
      </w:r>
      <w:r w:rsidRPr="009C60A5">
        <w:t xml:space="preserve">are required to pay a monthly charge for each premises </w:t>
      </w:r>
      <w:r w:rsidR="00D47E0F">
        <w:t>connected to</w:t>
      </w:r>
      <w:r w:rsidR="00D47E0F" w:rsidRPr="009C60A5">
        <w:t xml:space="preserve"> </w:t>
      </w:r>
      <w:r w:rsidRPr="009C60A5">
        <w:t xml:space="preserve">their </w:t>
      </w:r>
      <w:r w:rsidR="00D47E0F">
        <w:t xml:space="preserve">telecommunications </w:t>
      </w:r>
      <w:r w:rsidRPr="009C60A5">
        <w:t xml:space="preserve">network. </w:t>
      </w:r>
      <w:r w:rsidR="00470707" w:rsidRPr="009C60A5">
        <w:t>There are some transitional concessions under the scheme during the first five years</w:t>
      </w:r>
      <w:r w:rsidR="002A76C8">
        <w:t xml:space="preserve"> of the scheme</w:t>
      </w:r>
      <w:r w:rsidR="00470707" w:rsidRPr="009C60A5">
        <w:t>, as well as exemptions for small networks.</w:t>
      </w:r>
      <w:r w:rsidR="00470707">
        <w:t xml:space="preserve"> </w:t>
      </w:r>
      <w:r w:rsidR="00BA0BFA">
        <w:t xml:space="preserve">There is </w:t>
      </w:r>
      <w:r w:rsidR="00470707">
        <w:t>also</w:t>
      </w:r>
      <w:r w:rsidR="00BA0BFA">
        <w:t xml:space="preserve"> an offset arrangement for NBN Co’s charge liability. In effect, t</w:t>
      </w:r>
      <w:r w:rsidRPr="009C60A5">
        <w:t>h</w:t>
      </w:r>
      <w:r w:rsidR="004228BC">
        <w:t>is</w:t>
      </w:r>
      <w:r w:rsidRPr="009C60A5">
        <w:t xml:space="preserve"> means NBN Co’s fixed</w:t>
      </w:r>
      <w:r w:rsidR="00DB0E61">
        <w:t xml:space="preserve"> </w:t>
      </w:r>
      <w:r w:rsidRPr="009C60A5">
        <w:t xml:space="preserve">line network and other </w:t>
      </w:r>
      <w:r w:rsidR="00BA0BFA">
        <w:t xml:space="preserve">relevant </w:t>
      </w:r>
      <w:r w:rsidR="00DB0E61">
        <w:t xml:space="preserve">high-speed </w:t>
      </w:r>
      <w:r w:rsidRPr="009C60A5">
        <w:t>fixed</w:t>
      </w:r>
      <w:r w:rsidR="00DB0E61">
        <w:t xml:space="preserve"> </w:t>
      </w:r>
      <w:r w:rsidRPr="009C60A5">
        <w:t>line broadband services provided by other carriers</w:t>
      </w:r>
      <w:r w:rsidR="00BA0BFA">
        <w:t>,</w:t>
      </w:r>
      <w:r w:rsidRPr="009C60A5">
        <w:t xml:space="preserve"> contribute </w:t>
      </w:r>
      <w:r w:rsidR="00BA0BFA">
        <w:t xml:space="preserve">financially </w:t>
      </w:r>
      <w:r w:rsidRPr="009C60A5">
        <w:t xml:space="preserve">towards </w:t>
      </w:r>
      <w:r w:rsidR="00237371">
        <w:t>meeting</w:t>
      </w:r>
      <w:r w:rsidRPr="009C60A5">
        <w:t xml:space="preserve"> the </w:t>
      </w:r>
      <w:r w:rsidR="00237371">
        <w:t xml:space="preserve">costs of providing </w:t>
      </w:r>
      <w:r w:rsidRPr="009C60A5">
        <w:t xml:space="preserve">NBN Co’s fixed wireless and satellite services. </w:t>
      </w:r>
    </w:p>
    <w:p w14:paraId="25C84C38" w14:textId="77777777" w:rsidR="005F794B" w:rsidRPr="009C60A5" w:rsidRDefault="000E09B4" w:rsidP="009F01CA">
      <w:pPr>
        <w:pStyle w:val="Heading2"/>
        <w:spacing w:before="160"/>
      </w:pPr>
      <w:bookmarkStart w:id="25" w:name="_Hlk149131901"/>
      <w:bookmarkStart w:id="26" w:name="_Hlk146011115"/>
      <w:bookmarkStart w:id="27" w:name="_Toc149309864"/>
      <w:r>
        <w:t>How many</w:t>
      </w:r>
      <w:r w:rsidR="0074215C" w:rsidRPr="009C60A5">
        <w:t xml:space="preserve"> </w:t>
      </w:r>
      <w:r w:rsidR="00D95527">
        <w:t xml:space="preserve">fixed </w:t>
      </w:r>
      <w:r w:rsidR="00765F9E">
        <w:t xml:space="preserve">voice </w:t>
      </w:r>
      <w:r w:rsidR="0074215C" w:rsidRPr="009C60A5">
        <w:t>services are supplied under the USO?</w:t>
      </w:r>
      <w:bookmarkEnd w:id="27"/>
    </w:p>
    <w:p w14:paraId="1020CAE7" w14:textId="77777777" w:rsidR="00406EC0" w:rsidRDefault="00E11658" w:rsidP="00317746">
      <w:pPr>
        <w:pStyle w:val="ListNumbered1"/>
        <w:numPr>
          <w:ilvl w:val="0"/>
          <w:numId w:val="0"/>
        </w:numPr>
        <w:rPr>
          <w:lang w:val="en-US"/>
        </w:rPr>
      </w:pPr>
      <w:r w:rsidRPr="009A5DF3">
        <w:rPr>
          <w:lang w:val="en-US"/>
        </w:rPr>
        <w:t>As the</w:t>
      </w:r>
      <w:r w:rsidRPr="009A5DF3">
        <w:t xml:space="preserve"> USO is a national obligation</w:t>
      </w:r>
      <w:r w:rsidRPr="009A5DF3">
        <w:rPr>
          <w:lang w:val="en-US"/>
        </w:rPr>
        <w:t xml:space="preserve">, Telstra supplies USO services throughout Australia in </w:t>
      </w:r>
      <w:r w:rsidR="00EE0FD2" w:rsidRPr="009A5DF3">
        <w:rPr>
          <w:lang w:val="en-US"/>
        </w:rPr>
        <w:t>urban</w:t>
      </w:r>
      <w:r w:rsidRPr="009A5DF3">
        <w:rPr>
          <w:lang w:val="en-US"/>
        </w:rPr>
        <w:t xml:space="preserve">, rural and remote areas. Telstra supplies around </w:t>
      </w:r>
      <w:r w:rsidRPr="00A9158A">
        <w:rPr>
          <w:lang w:val="en-US"/>
        </w:rPr>
        <w:t>3</w:t>
      </w:r>
      <w:r w:rsidR="005C0425" w:rsidRPr="00A9158A">
        <w:rPr>
          <w:lang w:val="en-US"/>
        </w:rPr>
        <w:t>.5</w:t>
      </w:r>
      <w:r w:rsidRPr="009A5DF3">
        <w:rPr>
          <w:lang w:val="en-US"/>
        </w:rPr>
        <w:t xml:space="preserve"> million STS </w:t>
      </w:r>
      <w:r w:rsidR="00125FE8">
        <w:rPr>
          <w:lang w:val="en-US"/>
        </w:rPr>
        <w:t>to which</w:t>
      </w:r>
      <w:r w:rsidRPr="009A5DF3">
        <w:rPr>
          <w:lang w:val="en-US"/>
        </w:rPr>
        <w:t xml:space="preserve"> the CSG</w:t>
      </w:r>
      <w:r w:rsidR="00125FE8">
        <w:rPr>
          <w:lang w:val="en-US"/>
        </w:rPr>
        <w:t xml:space="preserve"> is applicable</w:t>
      </w:r>
      <w:r w:rsidRPr="009A5DF3">
        <w:rPr>
          <w:lang w:val="en-US"/>
        </w:rPr>
        <w:t>, which is commonly used as a proxy for USO services</w:t>
      </w:r>
      <w:r w:rsidR="000E09B4" w:rsidRPr="009A5DF3">
        <w:rPr>
          <w:lang w:val="en-US"/>
        </w:rPr>
        <w:t>.</w:t>
      </w:r>
    </w:p>
    <w:p w14:paraId="14A92D15" w14:textId="3756DC05" w:rsidR="00406EC0" w:rsidRDefault="00E11658" w:rsidP="00317746">
      <w:pPr>
        <w:pStyle w:val="ListNumbered1"/>
        <w:numPr>
          <w:ilvl w:val="0"/>
          <w:numId w:val="0"/>
        </w:numPr>
        <w:rPr>
          <w:lang w:val="en-US"/>
        </w:rPr>
      </w:pPr>
      <w:r w:rsidRPr="009A5DF3">
        <w:rPr>
          <w:lang w:val="en-US"/>
        </w:rPr>
        <w:t>The majority of USO services are provided over the NBN fixed</w:t>
      </w:r>
      <w:r w:rsidR="00DB0E61">
        <w:rPr>
          <w:lang w:val="en-US"/>
        </w:rPr>
        <w:t xml:space="preserve"> </w:t>
      </w:r>
      <w:r w:rsidRPr="009A5DF3">
        <w:rPr>
          <w:lang w:val="en-US"/>
        </w:rPr>
        <w:t>line network, mostly in urban areas of Australia. Telstra is required under the TUSOPA to use the NBN fixed</w:t>
      </w:r>
      <w:r w:rsidR="00DB0E61">
        <w:rPr>
          <w:lang w:val="en-US"/>
        </w:rPr>
        <w:t xml:space="preserve"> </w:t>
      </w:r>
      <w:r w:rsidRPr="009A5DF3">
        <w:rPr>
          <w:lang w:val="en-US"/>
        </w:rPr>
        <w:t>line network to deliver STS within the fixed</w:t>
      </w:r>
      <w:r w:rsidR="00DB0E61">
        <w:rPr>
          <w:lang w:val="en-US"/>
        </w:rPr>
        <w:t xml:space="preserve"> </w:t>
      </w:r>
      <w:r w:rsidRPr="009A5DF3">
        <w:rPr>
          <w:lang w:val="en-US"/>
        </w:rPr>
        <w:t xml:space="preserve">line footprint, where there </w:t>
      </w:r>
      <w:r w:rsidR="00987FF3" w:rsidRPr="009A5DF3">
        <w:rPr>
          <w:lang w:val="en-US"/>
        </w:rPr>
        <w:t>are</w:t>
      </w:r>
      <w:r w:rsidRPr="009A5DF3">
        <w:rPr>
          <w:lang w:val="en-US"/>
        </w:rPr>
        <w:t xml:space="preserve"> active NBN service</w:t>
      </w:r>
      <w:r w:rsidR="00987FF3" w:rsidRPr="009A5DF3">
        <w:rPr>
          <w:lang w:val="en-US"/>
        </w:rPr>
        <w:t>s</w:t>
      </w:r>
      <w:r w:rsidRPr="009A5DF3">
        <w:rPr>
          <w:lang w:val="en-US"/>
        </w:rPr>
        <w:t xml:space="preserve"> at </w:t>
      </w:r>
      <w:r w:rsidR="0099093C">
        <w:rPr>
          <w:lang w:val="en-US"/>
        </w:rPr>
        <w:t xml:space="preserve">a </w:t>
      </w:r>
      <w:r w:rsidR="002D0F2A" w:rsidRPr="009A5DF3">
        <w:rPr>
          <w:lang w:val="en-US"/>
        </w:rPr>
        <w:t>premise</w:t>
      </w:r>
      <w:bookmarkStart w:id="28" w:name="_Hlk147326555"/>
      <w:r w:rsidRPr="009A5DF3">
        <w:rPr>
          <w:lang w:val="en-US"/>
        </w:rPr>
        <w:t xml:space="preserve">. </w:t>
      </w:r>
      <w:r w:rsidRPr="009A5DF3">
        <w:t>Outside NBN Co’s fixed</w:t>
      </w:r>
      <w:r w:rsidR="00DB0E61">
        <w:rPr>
          <w:lang w:val="en-US"/>
        </w:rPr>
        <w:t xml:space="preserve"> </w:t>
      </w:r>
      <w:r w:rsidRPr="009A5DF3">
        <w:t>line footprint,</w:t>
      </w:r>
      <w:r w:rsidRPr="009A5DF3">
        <w:rPr>
          <w:lang w:val="en-US"/>
        </w:rPr>
        <w:t xml:space="preserve"> in rural and remote areas,</w:t>
      </w:r>
      <w:r w:rsidRPr="009A5DF3">
        <w:t xml:space="preserve"> Telstra </w:t>
      </w:r>
      <w:r w:rsidRPr="009A5DF3">
        <w:rPr>
          <w:lang w:val="en-US"/>
        </w:rPr>
        <w:t>uses its</w:t>
      </w:r>
      <w:r w:rsidRPr="009A5DF3">
        <w:t xml:space="preserve"> own networks</w:t>
      </w:r>
      <w:r w:rsidRPr="009A5DF3">
        <w:rPr>
          <w:lang w:val="en-US"/>
        </w:rPr>
        <w:t xml:space="preserve"> to supply</w:t>
      </w:r>
      <w:r w:rsidR="00FA33A3">
        <w:rPr>
          <w:lang w:val="en-US"/>
        </w:rPr>
        <w:t xml:space="preserve"> around </w:t>
      </w:r>
      <w:r w:rsidR="00FA33A3" w:rsidRPr="00630F2E">
        <w:rPr>
          <w:lang w:val="en-US"/>
        </w:rPr>
        <w:t>300,000</w:t>
      </w:r>
      <w:r w:rsidRPr="009A5DF3">
        <w:rPr>
          <w:lang w:val="en-US"/>
        </w:rPr>
        <w:t xml:space="preserve"> USO</w:t>
      </w:r>
      <w:r w:rsidR="00FA33A3">
        <w:rPr>
          <w:lang w:val="en-US"/>
        </w:rPr>
        <w:t xml:space="preserve"> voice</w:t>
      </w:r>
      <w:r w:rsidRPr="009A5DF3">
        <w:rPr>
          <w:lang w:val="en-US"/>
        </w:rPr>
        <w:t xml:space="preserve"> services</w:t>
      </w:r>
      <w:r w:rsidR="00630F2E">
        <w:rPr>
          <w:lang w:val="en-US"/>
        </w:rPr>
        <w:t xml:space="preserve"> as </w:t>
      </w:r>
      <w:r w:rsidR="00406EC0">
        <w:rPr>
          <w:lang w:val="en-US"/>
        </w:rPr>
        <w:t xml:space="preserve">at </w:t>
      </w:r>
      <w:r w:rsidR="00630F2E">
        <w:rPr>
          <w:lang w:val="en-US"/>
        </w:rPr>
        <w:t>September 2023</w:t>
      </w:r>
      <w:bookmarkEnd w:id="28"/>
      <w:r w:rsidR="00C473AF">
        <w:rPr>
          <w:lang w:val="en-US"/>
        </w:rPr>
        <w:t xml:space="preserve">. </w:t>
      </w:r>
    </w:p>
    <w:p w14:paraId="2D5AA8D8" w14:textId="309358B2" w:rsidR="00317746" w:rsidRDefault="00C473AF" w:rsidP="00E4639D">
      <w:pPr>
        <w:pStyle w:val="ListNumbered1"/>
        <w:numPr>
          <w:ilvl w:val="0"/>
          <w:numId w:val="0"/>
        </w:numPr>
        <w:rPr>
          <w:lang w:val="en-US"/>
        </w:rPr>
      </w:pPr>
      <w:r>
        <w:rPr>
          <w:lang w:val="en-US"/>
        </w:rPr>
        <w:t xml:space="preserve">As shown </w:t>
      </w:r>
      <w:r w:rsidR="00A07C06">
        <w:rPr>
          <w:lang w:val="en-US"/>
        </w:rPr>
        <w:t xml:space="preserve">in Figure 2 </w:t>
      </w:r>
      <w:r>
        <w:rPr>
          <w:lang w:val="en-US"/>
        </w:rPr>
        <w:t xml:space="preserve">below, most </w:t>
      </w:r>
      <w:r w:rsidR="00406EC0">
        <w:rPr>
          <w:lang w:val="en-US"/>
        </w:rPr>
        <w:t xml:space="preserve">of these </w:t>
      </w:r>
      <w:r w:rsidR="009B7DF9">
        <w:rPr>
          <w:lang w:val="en-US"/>
        </w:rPr>
        <w:t xml:space="preserve">services are primarily supported by </w:t>
      </w:r>
      <w:r w:rsidR="009B7DF9" w:rsidRPr="009A5DF3">
        <w:rPr>
          <w:lang w:val="en-US"/>
        </w:rPr>
        <w:t>Telstra</w:t>
      </w:r>
      <w:r w:rsidR="009B7DF9">
        <w:rPr>
          <w:lang w:val="en-US"/>
        </w:rPr>
        <w:t>’s</w:t>
      </w:r>
      <w:r w:rsidR="009B7DF9" w:rsidRPr="009A5DF3">
        <w:rPr>
          <w:lang w:val="en-US"/>
        </w:rPr>
        <w:t xml:space="preserve"> copper network</w:t>
      </w:r>
      <w:r w:rsidR="00470707">
        <w:rPr>
          <w:lang w:val="en-US"/>
        </w:rPr>
        <w:t xml:space="preserve"> as required by contract</w:t>
      </w:r>
      <w:r w:rsidR="00DB0E61">
        <w:rPr>
          <w:lang w:val="en-US"/>
        </w:rPr>
        <w:t>ual arrangements</w:t>
      </w:r>
      <w:r w:rsidR="009B7DF9" w:rsidRPr="009A5DF3">
        <w:rPr>
          <w:lang w:val="en-US"/>
        </w:rPr>
        <w:t xml:space="preserve">, but </w:t>
      </w:r>
      <w:r w:rsidR="009B7DF9">
        <w:rPr>
          <w:lang w:val="en-US"/>
        </w:rPr>
        <w:t>there are currently around</w:t>
      </w:r>
      <w:r w:rsidR="009B7DF9" w:rsidRPr="00630F2E">
        <w:rPr>
          <w:lang w:val="en-US"/>
        </w:rPr>
        <w:t xml:space="preserve"> 1</w:t>
      </w:r>
      <w:r w:rsidR="009B7DF9">
        <w:rPr>
          <w:lang w:val="en-US"/>
        </w:rPr>
        <w:t>5</w:t>
      </w:r>
      <w:r w:rsidR="009B7DF9" w:rsidRPr="00630F2E">
        <w:rPr>
          <w:lang w:val="en-US"/>
        </w:rPr>
        <w:t>,000</w:t>
      </w:r>
      <w:r w:rsidR="009B7DF9" w:rsidRPr="009A5DF3">
        <w:rPr>
          <w:lang w:val="en-US"/>
        </w:rPr>
        <w:t xml:space="preserve"> </w:t>
      </w:r>
      <w:r w:rsidR="00406EC0">
        <w:rPr>
          <w:lang w:val="en-US"/>
        </w:rPr>
        <w:t xml:space="preserve">voice </w:t>
      </w:r>
      <w:r w:rsidR="009B7DF9" w:rsidRPr="009A5DF3">
        <w:rPr>
          <w:lang w:val="en-US"/>
        </w:rPr>
        <w:t xml:space="preserve">services supplied over </w:t>
      </w:r>
      <w:r w:rsidR="00406EC0">
        <w:rPr>
          <w:lang w:val="en-US"/>
        </w:rPr>
        <w:t>non-copper networks</w:t>
      </w:r>
      <w:r w:rsidR="007A065F">
        <w:rPr>
          <w:lang w:val="en-US"/>
        </w:rPr>
        <w:t xml:space="preserve"> – </w:t>
      </w:r>
      <w:r w:rsidR="00406EC0">
        <w:rPr>
          <w:lang w:val="en-US"/>
        </w:rPr>
        <w:t xml:space="preserve">either </w:t>
      </w:r>
      <w:r w:rsidR="009B7DF9" w:rsidRPr="009A5DF3">
        <w:rPr>
          <w:lang w:val="en-US"/>
        </w:rPr>
        <w:t>high</w:t>
      </w:r>
      <w:r w:rsidR="009B7DF9">
        <w:rPr>
          <w:lang w:val="en-US"/>
        </w:rPr>
        <w:t>-</w:t>
      </w:r>
      <w:r w:rsidR="009B7DF9" w:rsidRPr="009A5DF3">
        <w:rPr>
          <w:lang w:val="en-US"/>
        </w:rPr>
        <w:t xml:space="preserve">capacity radio concentrator (HCRC), </w:t>
      </w:r>
      <w:r w:rsidR="009B7DF9">
        <w:rPr>
          <w:lang w:val="en-US"/>
        </w:rPr>
        <w:t xml:space="preserve">3G </w:t>
      </w:r>
      <w:r w:rsidR="009B7DF9" w:rsidRPr="009A5DF3">
        <w:rPr>
          <w:lang w:val="en-US"/>
        </w:rPr>
        <w:t>wireless local loop</w:t>
      </w:r>
      <w:r w:rsidR="00864C16">
        <w:rPr>
          <w:rStyle w:val="FootnoteReference"/>
          <w:lang w:val="en-US"/>
        </w:rPr>
        <w:footnoteReference w:id="7"/>
      </w:r>
      <w:r w:rsidR="009B7DF9" w:rsidRPr="009A5DF3">
        <w:rPr>
          <w:lang w:val="en-US"/>
        </w:rPr>
        <w:t xml:space="preserve"> (</w:t>
      </w:r>
      <w:r w:rsidR="009B7DF9">
        <w:rPr>
          <w:lang w:val="en-US"/>
        </w:rPr>
        <w:t>NG</w:t>
      </w:r>
      <w:r w:rsidR="009B7DF9" w:rsidRPr="009A5DF3">
        <w:rPr>
          <w:lang w:val="en-US"/>
        </w:rPr>
        <w:t>WLL) or satellite (USO Sat)</w:t>
      </w:r>
      <w:r w:rsidR="007A065F">
        <w:rPr>
          <w:lang w:val="en-US"/>
        </w:rPr>
        <w:t>.</w:t>
      </w:r>
      <w:r w:rsidR="00406EC0">
        <w:rPr>
          <w:lang w:val="en-US"/>
        </w:rPr>
        <w:t xml:space="preserve"> Around a third of regional and remote voice services are currently bundled with </w:t>
      </w:r>
      <w:r w:rsidR="00406EC0" w:rsidRPr="009A5DF3">
        <w:rPr>
          <w:lang w:val="en-US"/>
        </w:rPr>
        <w:t>ADSL services</w:t>
      </w:r>
      <w:r w:rsidR="00406EC0">
        <w:rPr>
          <w:lang w:val="en-US"/>
        </w:rPr>
        <w:t xml:space="preserve">, </w:t>
      </w:r>
      <w:r w:rsidR="00470707">
        <w:rPr>
          <w:lang w:val="en-US"/>
        </w:rPr>
        <w:t>noting that</w:t>
      </w:r>
      <w:r w:rsidR="00406EC0">
        <w:rPr>
          <w:lang w:val="en-US"/>
        </w:rPr>
        <w:t xml:space="preserve"> ADSL services are supplied on a </w:t>
      </w:r>
      <w:r w:rsidR="00406EC0" w:rsidRPr="005C0425">
        <w:rPr>
          <w:lang w:val="en-US"/>
        </w:rPr>
        <w:t xml:space="preserve">commercial basis and are not required under the USO or any other regulatory arrangements. </w:t>
      </w:r>
    </w:p>
    <w:p w14:paraId="6AB1BA2D" w14:textId="77777777" w:rsidR="00317746" w:rsidRDefault="00317746" w:rsidP="00E4639D">
      <w:pPr>
        <w:pStyle w:val="ListNumbered1"/>
        <w:numPr>
          <w:ilvl w:val="0"/>
          <w:numId w:val="0"/>
        </w:numPr>
        <w:rPr>
          <w:lang w:val="en-US"/>
        </w:rPr>
      </w:pPr>
    </w:p>
    <w:p w14:paraId="5579E1F8" w14:textId="59E8D8F5" w:rsidR="002A76C8" w:rsidRPr="00E4639D" w:rsidRDefault="002A76C8" w:rsidP="002A76C8">
      <w:pPr>
        <w:spacing w:before="80"/>
        <w:rPr>
          <w:b/>
        </w:rPr>
      </w:pPr>
      <w:r>
        <w:rPr>
          <w:b/>
        </w:rPr>
        <w:t>Figure 2: Technology mix of Telstra’s legacy regional and remote USO services – September 2023</w:t>
      </w:r>
    </w:p>
    <w:p w14:paraId="0B280797" w14:textId="395D6E5B" w:rsidR="002A76C8" w:rsidRDefault="002A76C8" w:rsidP="00A07C06">
      <w:pPr>
        <w:pStyle w:val="ListNumbered1"/>
        <w:numPr>
          <w:ilvl w:val="0"/>
          <w:numId w:val="0"/>
        </w:numPr>
        <w:jc w:val="center"/>
        <w:rPr>
          <w:lang w:val="en-US"/>
        </w:rPr>
      </w:pPr>
      <w:r>
        <w:rPr>
          <w:noProof/>
          <w:lang w:val="en-US"/>
        </w:rPr>
        <w:drawing>
          <wp:inline distT="0" distB="0" distL="0" distR="0" wp14:anchorId="4EF0567D" wp14:editId="127C694E">
            <wp:extent cx="5088255" cy="3828415"/>
            <wp:effectExtent l="0" t="0" r="0" b="63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E464C43" w14:textId="49E5BC6F" w:rsidR="00D120BF" w:rsidRDefault="00416993" w:rsidP="009F01CA">
      <w:pPr>
        <w:pStyle w:val="Heading1"/>
        <w:spacing w:before="160" w:after="80"/>
        <w:contextualSpacing w:val="0"/>
      </w:pPr>
      <w:bookmarkStart w:id="29" w:name="_Toc149309865"/>
      <w:bookmarkEnd w:id="25"/>
      <w:bookmarkEnd w:id="26"/>
      <w:r w:rsidRPr="009C60A5">
        <w:t>Pressures</w:t>
      </w:r>
      <w:r w:rsidR="000E09B4">
        <w:t xml:space="preserve"> and </w:t>
      </w:r>
      <w:r w:rsidR="00DE0951">
        <w:t>o</w:t>
      </w:r>
      <w:r w:rsidR="000E09B4">
        <w:t xml:space="preserve">pportunities </w:t>
      </w:r>
      <w:r w:rsidR="00245FD7">
        <w:t xml:space="preserve">for </w:t>
      </w:r>
      <w:r w:rsidR="006E74E9" w:rsidRPr="009C60A5">
        <w:t>change</w:t>
      </w:r>
      <w:bookmarkEnd w:id="29"/>
    </w:p>
    <w:p w14:paraId="19E8A98B" w14:textId="1171F9B7" w:rsidR="007D66EC" w:rsidRPr="00F5578D" w:rsidRDefault="000E09B4" w:rsidP="009732A0">
      <w:pPr>
        <w:pStyle w:val="Heading2"/>
        <w:spacing w:before="160"/>
      </w:pPr>
      <w:bookmarkStart w:id="30" w:name="_Toc149309866"/>
      <w:r>
        <w:t>A range of reviews have identified shortcomings of the</w:t>
      </w:r>
      <w:r w:rsidR="005C7B06">
        <w:t xml:space="preserve"> current </w:t>
      </w:r>
      <w:r w:rsidR="0094185D">
        <w:t xml:space="preserve">voice </w:t>
      </w:r>
      <w:r w:rsidR="005C0425">
        <w:t xml:space="preserve">USO </w:t>
      </w:r>
      <w:r w:rsidR="005C7B06">
        <w:t>framework</w:t>
      </w:r>
      <w:bookmarkEnd w:id="30"/>
    </w:p>
    <w:p w14:paraId="0DBCEF13" w14:textId="77777777" w:rsidR="00F90262" w:rsidRDefault="00F90262" w:rsidP="009F01CA">
      <w:pPr>
        <w:spacing w:before="80"/>
      </w:pPr>
      <w:r>
        <w:t xml:space="preserve">A range of </w:t>
      </w:r>
      <w:r w:rsidR="000D4289">
        <w:t xml:space="preserve">prior </w:t>
      </w:r>
      <w:r>
        <w:t>reviews and stakeholder</w:t>
      </w:r>
      <w:r w:rsidR="000D4289">
        <w:t xml:space="preserve"> consultations</w:t>
      </w:r>
      <w:r>
        <w:t xml:space="preserve"> have questioned whether</w:t>
      </w:r>
      <w:r w:rsidR="00620504" w:rsidRPr="009C60A5">
        <w:t xml:space="preserve"> existing </w:t>
      </w:r>
      <w:r w:rsidR="00AF30EE">
        <w:t xml:space="preserve">USO </w:t>
      </w:r>
      <w:r w:rsidR="00620504" w:rsidRPr="009C60A5">
        <w:t xml:space="preserve">arrangements are </w:t>
      </w:r>
      <w:r>
        <w:t xml:space="preserve">sustainable </w:t>
      </w:r>
      <w:r w:rsidR="00620504" w:rsidRPr="009C60A5">
        <w:t xml:space="preserve">for the long-term delivery of voice services in regional and remote areas. </w:t>
      </w:r>
      <w:r w:rsidR="00454F9F" w:rsidRPr="009C60A5">
        <w:t xml:space="preserve">In particular, </w:t>
      </w:r>
      <w:r>
        <w:t>concerns have been raised that</w:t>
      </w:r>
      <w:r w:rsidR="00454F9F" w:rsidRPr="009C60A5">
        <w:t xml:space="preserve"> Telstra’s legacy networks are not able to provide the type and quality of services that consumers increasingly expect.</w:t>
      </w:r>
    </w:p>
    <w:p w14:paraId="242C5A83" w14:textId="6EC34370" w:rsidR="00454F9F" w:rsidRPr="009C60A5" w:rsidRDefault="00C30112" w:rsidP="009F01CA">
      <w:pPr>
        <w:spacing w:before="80"/>
      </w:pPr>
      <w:r w:rsidRPr="009C60A5">
        <w:t xml:space="preserve">With Telstra </w:t>
      </w:r>
      <w:r w:rsidR="001A4AC8" w:rsidRPr="009C60A5">
        <w:t xml:space="preserve">subject to the copper continuity obligation, significant costs are involved in maintaining copper infrastructure to deliver basic voice services in regional and remote areas. </w:t>
      </w:r>
      <w:r w:rsidR="005C7B06">
        <w:t xml:space="preserve">While </w:t>
      </w:r>
      <w:r w:rsidR="00A81F3E" w:rsidRPr="009C60A5">
        <w:t>copper</w:t>
      </w:r>
      <w:r w:rsidR="004F3006">
        <w:t xml:space="preserve"> is a known and well</w:t>
      </w:r>
      <w:r w:rsidR="00AD605C">
        <w:t>-</w:t>
      </w:r>
      <w:r w:rsidR="004F3006">
        <w:t xml:space="preserve">established technology, it is </w:t>
      </w:r>
      <w:r w:rsidR="00A22E8E">
        <w:t xml:space="preserve">also </w:t>
      </w:r>
      <w:r w:rsidR="004F3006">
        <w:t>prone to deterioration, particular</w:t>
      </w:r>
      <w:r w:rsidR="00761B91">
        <w:t>ly</w:t>
      </w:r>
      <w:r w:rsidR="004F3006">
        <w:t xml:space="preserve"> in harsh climatic conditions</w:t>
      </w:r>
      <w:r w:rsidR="00A81F3E" w:rsidRPr="009C60A5">
        <w:t xml:space="preserve">. </w:t>
      </w:r>
      <w:r w:rsidR="001A4AC8" w:rsidRPr="009C60A5">
        <w:t xml:space="preserve">There are also </w:t>
      </w:r>
      <w:r w:rsidR="00C45113" w:rsidRPr="009C60A5">
        <w:t>questions</w:t>
      </w:r>
      <w:r w:rsidR="001A4AC8" w:rsidRPr="009C60A5">
        <w:t xml:space="preserve"> about the practical ability to maintain and service Telstra’s copper network in the long term</w:t>
      </w:r>
      <w:r w:rsidR="001261BF" w:rsidRPr="009C60A5">
        <w:t>, including if equipment is available to continue to maintain and repair the network</w:t>
      </w:r>
      <w:r w:rsidR="005C7B06">
        <w:t xml:space="preserve">. </w:t>
      </w:r>
    </w:p>
    <w:p w14:paraId="54990651" w14:textId="5CBE45AA" w:rsidR="00F90262" w:rsidRDefault="00344EB9" w:rsidP="009F01CA">
      <w:pPr>
        <w:pStyle w:val="ListNumbered1"/>
        <w:numPr>
          <w:ilvl w:val="0"/>
          <w:numId w:val="0"/>
        </w:numPr>
        <w:rPr>
          <w:rFonts w:cs="Times New Roman"/>
          <w:lang w:val="en-US"/>
        </w:rPr>
      </w:pPr>
      <w:r w:rsidRPr="009C60A5">
        <w:rPr>
          <w:rFonts w:cs="Times New Roman"/>
          <w:lang w:val="en-US"/>
        </w:rPr>
        <w:t>The 2015 Regional Telecommunications Review noted that the expansion of the NBN and mobile coverage provided new ways to provide USO services and potentially achieve savings</w:t>
      </w:r>
      <w:r w:rsidR="00AF30EE">
        <w:rPr>
          <w:rFonts w:cs="Times New Roman"/>
          <w:lang w:val="en-US"/>
        </w:rPr>
        <w:t>.</w:t>
      </w:r>
      <w:r w:rsidR="00BE6281">
        <w:rPr>
          <w:rFonts w:cs="Times New Roman"/>
          <w:lang w:val="en-US"/>
        </w:rPr>
        <w:t xml:space="preserve"> </w:t>
      </w:r>
      <w:r w:rsidR="00761B91">
        <w:rPr>
          <w:rFonts w:cs="Times New Roman"/>
          <w:lang w:val="en-US"/>
        </w:rPr>
        <w:t>T</w:t>
      </w:r>
      <w:r w:rsidRPr="009C60A5">
        <w:rPr>
          <w:rFonts w:cs="Times New Roman"/>
          <w:lang w:val="en-US"/>
        </w:rPr>
        <w:t>he Productivity Commission</w:t>
      </w:r>
      <w:r w:rsidR="005C7B06">
        <w:rPr>
          <w:rFonts w:cs="Times New Roman"/>
          <w:lang w:val="en-US"/>
        </w:rPr>
        <w:t xml:space="preserve"> published a report in</w:t>
      </w:r>
      <w:r w:rsidRPr="009C60A5">
        <w:rPr>
          <w:rFonts w:cs="Times New Roman"/>
          <w:lang w:val="en-US"/>
        </w:rPr>
        <w:t xml:space="preserve"> 2017</w:t>
      </w:r>
      <w:r w:rsidR="005C7B06">
        <w:rPr>
          <w:rFonts w:cs="Times New Roman"/>
          <w:lang w:val="en-US"/>
        </w:rPr>
        <w:t xml:space="preserve"> that</w:t>
      </w:r>
      <w:r w:rsidRPr="009C60A5">
        <w:rPr>
          <w:rFonts w:cs="Times New Roman"/>
          <w:lang w:val="en-US"/>
        </w:rPr>
        <w:t xml:space="preserve"> recommended abolishing the TUSOPA, migrating most customers to the NBN and mobile networks, and running a tender to provide services to the remaining people who could not receive acceptable voice over these networks</w:t>
      </w:r>
      <w:r w:rsidR="00B71781">
        <w:rPr>
          <w:rFonts w:cs="Times New Roman"/>
          <w:lang w:val="en-US"/>
        </w:rPr>
        <w:t xml:space="preserve">. </w:t>
      </w:r>
      <w:r w:rsidRPr="009C60A5">
        <w:rPr>
          <w:rFonts w:cs="Times New Roman"/>
          <w:lang w:val="en-US"/>
        </w:rPr>
        <w:t xml:space="preserve">The </w:t>
      </w:r>
      <w:hyperlink r:id="rId36" w:history="1">
        <w:r w:rsidR="00690F49">
          <w:rPr>
            <w:rStyle w:val="Hyperlink"/>
            <w:rFonts w:cs="Times New Roman"/>
            <w:lang w:val="en-US"/>
          </w:rPr>
          <w:t>2021 Regional Telecommunications Review</w:t>
        </w:r>
      </w:hyperlink>
      <w:r w:rsidR="00C54AF5" w:rsidRPr="009C60A5">
        <w:rPr>
          <w:rFonts w:cs="Times New Roman"/>
          <w:lang w:val="en-US"/>
        </w:rPr>
        <w:t xml:space="preserve"> </w:t>
      </w:r>
      <w:r w:rsidR="00047FF9" w:rsidRPr="009C60A5">
        <w:rPr>
          <w:rFonts w:cs="Times New Roman"/>
          <w:lang w:val="en-US"/>
        </w:rPr>
        <w:t xml:space="preserve">also </w:t>
      </w:r>
      <w:r w:rsidR="00C54AF5" w:rsidRPr="009C60A5">
        <w:rPr>
          <w:rFonts w:cs="Times New Roman"/>
          <w:lang w:val="en-US"/>
        </w:rPr>
        <w:t xml:space="preserve">proposed that, due to </w:t>
      </w:r>
      <w:r w:rsidR="00796200">
        <w:rPr>
          <w:rFonts w:cs="Times New Roman"/>
          <w:lang w:val="en-US"/>
        </w:rPr>
        <w:t>ongoing stress on Telstra’s infrastructure due to ageing technology</w:t>
      </w:r>
      <w:r w:rsidR="00A81F3E" w:rsidRPr="009C60A5">
        <w:rPr>
          <w:rFonts w:cs="Times New Roman"/>
          <w:lang w:val="en-US"/>
        </w:rPr>
        <w:t xml:space="preserve">, </w:t>
      </w:r>
      <w:r w:rsidR="00C54AF5" w:rsidRPr="009C60A5">
        <w:rPr>
          <w:rFonts w:cs="Times New Roman"/>
          <w:lang w:val="en-US"/>
        </w:rPr>
        <w:t>the Government and Telstra needed to consider the long-term performance and delivery of voice</w:t>
      </w:r>
      <w:r w:rsidR="00A81F3E" w:rsidRPr="009C60A5">
        <w:rPr>
          <w:rFonts w:cs="Times New Roman"/>
          <w:lang w:val="en-US"/>
        </w:rPr>
        <w:t xml:space="preserve"> services</w:t>
      </w:r>
      <w:r w:rsidR="00845805">
        <w:rPr>
          <w:rFonts w:cs="Times New Roman"/>
          <w:lang w:val="en-US"/>
        </w:rPr>
        <w:t>. The review suggested</w:t>
      </w:r>
      <w:r w:rsidR="00A81F3E" w:rsidRPr="009C60A5">
        <w:rPr>
          <w:rFonts w:cs="Times New Roman"/>
          <w:lang w:val="en-US"/>
        </w:rPr>
        <w:t xml:space="preserve"> </w:t>
      </w:r>
      <w:r w:rsidR="007A065F">
        <w:rPr>
          <w:rFonts w:cs="Times New Roman"/>
          <w:lang w:val="en-US"/>
        </w:rPr>
        <w:t xml:space="preserve">that </w:t>
      </w:r>
      <w:r w:rsidR="00A81F3E" w:rsidRPr="009C60A5">
        <w:rPr>
          <w:rFonts w:cs="Times New Roman"/>
          <w:lang w:val="en-US"/>
        </w:rPr>
        <w:t>a technology agnostic approach</w:t>
      </w:r>
      <w:r w:rsidR="00845805">
        <w:rPr>
          <w:rFonts w:cs="Times New Roman"/>
          <w:lang w:val="en-US"/>
        </w:rPr>
        <w:t xml:space="preserve"> for the future delivery of USO services</w:t>
      </w:r>
      <w:r w:rsidR="0016398D">
        <w:rPr>
          <w:rFonts w:cs="Times New Roman"/>
          <w:lang w:val="en-US"/>
        </w:rPr>
        <w:t xml:space="preserve"> be considered</w:t>
      </w:r>
      <w:r w:rsidR="00845805">
        <w:rPr>
          <w:rFonts w:cs="Times New Roman"/>
          <w:lang w:val="en-US"/>
        </w:rPr>
        <w:t xml:space="preserve">, </w:t>
      </w:r>
      <w:r w:rsidR="0016398D">
        <w:rPr>
          <w:rFonts w:cs="Times New Roman"/>
          <w:lang w:val="en-US"/>
        </w:rPr>
        <w:t xml:space="preserve">subject to </w:t>
      </w:r>
      <w:r w:rsidR="00845805">
        <w:rPr>
          <w:rFonts w:cs="Times New Roman"/>
          <w:lang w:val="en-US"/>
        </w:rPr>
        <w:t xml:space="preserve">alternative delivery platforms </w:t>
      </w:r>
      <w:r w:rsidR="0016398D">
        <w:rPr>
          <w:rFonts w:cs="Times New Roman"/>
          <w:lang w:val="en-US"/>
        </w:rPr>
        <w:t>being</w:t>
      </w:r>
      <w:r w:rsidR="00845805">
        <w:rPr>
          <w:rFonts w:cs="Times New Roman"/>
          <w:lang w:val="en-US"/>
        </w:rPr>
        <w:t xml:space="preserve"> able to exceed existing reliability standards. </w:t>
      </w:r>
      <w:r w:rsidR="00A81F3E" w:rsidRPr="009C60A5">
        <w:rPr>
          <w:rFonts w:cs="Times New Roman"/>
          <w:lang w:val="en-US"/>
        </w:rPr>
        <w:t xml:space="preserve"> </w:t>
      </w:r>
    </w:p>
    <w:p w14:paraId="0D942A25" w14:textId="14633E34" w:rsidR="00C73D27" w:rsidRDefault="00C73D27" w:rsidP="00864C16">
      <w:pPr>
        <w:spacing w:before="80"/>
        <w:rPr>
          <w:lang w:val="en-US"/>
        </w:rPr>
      </w:pPr>
      <w:r w:rsidRPr="009C60A5">
        <w:t>T</w:t>
      </w:r>
      <w:r>
        <w:t>rials</w:t>
      </w:r>
      <w:r w:rsidRPr="009C60A5">
        <w:t xml:space="preserve"> </w:t>
      </w:r>
      <w:r>
        <w:t>undertaken in</w:t>
      </w:r>
      <w:r w:rsidRPr="009C60A5">
        <w:t xml:space="preserve"> 2021-22 through the </w:t>
      </w:r>
      <w:hyperlink r:id="rId37" w:history="1">
        <w:r w:rsidRPr="009C60A5">
          <w:rPr>
            <w:rStyle w:val="Hyperlink"/>
            <w:rFonts w:cs="Times New Roman"/>
            <w:lang w:val="en-US"/>
          </w:rPr>
          <w:t>Alternative Voice Services Trials</w:t>
        </w:r>
      </w:hyperlink>
      <w:r w:rsidRPr="009C60A5">
        <w:rPr>
          <w:rFonts w:cs="Times New Roman"/>
          <w:lang w:val="en-US"/>
        </w:rPr>
        <w:t xml:space="preserve"> (AVST) program </w:t>
      </w:r>
      <w:r>
        <w:rPr>
          <w:rFonts w:cs="Times New Roman"/>
          <w:lang w:val="en-US"/>
        </w:rPr>
        <w:t>aimed to test</w:t>
      </w:r>
      <w:r w:rsidRPr="009C60A5">
        <w:rPr>
          <w:rFonts w:cs="Times New Roman"/>
          <w:lang w:val="en-US"/>
        </w:rPr>
        <w:t xml:space="preserve"> acceptable alternatives for rural and remote consumers. </w:t>
      </w:r>
      <w:r w:rsidR="00BC6558" w:rsidRPr="00BC6558">
        <w:rPr>
          <w:rFonts w:cs="Times New Roman"/>
          <w:lang w:val="en-US"/>
        </w:rPr>
        <w:t>Concerotel</w:t>
      </w:r>
      <w:r w:rsidR="00BC6558">
        <w:rPr>
          <w:rFonts w:cs="Times New Roman"/>
          <w:lang w:val="en-US"/>
        </w:rPr>
        <w:t xml:space="preserve">, </w:t>
      </w:r>
      <w:r w:rsidR="00BC6558" w:rsidRPr="00BC6558">
        <w:rPr>
          <w:rFonts w:cs="Times New Roman"/>
          <w:lang w:val="en-US"/>
        </w:rPr>
        <w:t>NBN Co</w:t>
      </w:r>
      <w:r w:rsidR="00BC6558">
        <w:rPr>
          <w:rFonts w:cs="Times New Roman"/>
          <w:lang w:val="en-US"/>
        </w:rPr>
        <w:t xml:space="preserve">, </w:t>
      </w:r>
      <w:r w:rsidR="00BC6558" w:rsidRPr="00BC6558">
        <w:rPr>
          <w:rFonts w:cs="Times New Roman"/>
          <w:lang w:val="en-US"/>
        </w:rPr>
        <w:t>Optus</w:t>
      </w:r>
      <w:r w:rsidR="00BC6558">
        <w:rPr>
          <w:rFonts w:cs="Times New Roman"/>
          <w:lang w:val="en-US"/>
        </w:rPr>
        <w:t xml:space="preserve">, </w:t>
      </w:r>
      <w:r w:rsidR="00BC6558" w:rsidRPr="00BC6558">
        <w:rPr>
          <w:rFonts w:cs="Times New Roman"/>
          <w:lang w:val="en-US"/>
        </w:rPr>
        <w:t>Pivotel</w:t>
      </w:r>
      <w:r w:rsidR="00BC6558">
        <w:rPr>
          <w:rFonts w:cs="Times New Roman"/>
          <w:lang w:val="en-US"/>
        </w:rPr>
        <w:t xml:space="preserve">, </w:t>
      </w:r>
      <w:r w:rsidR="00BC6558" w:rsidRPr="00BC6558">
        <w:rPr>
          <w:rFonts w:cs="Times New Roman"/>
          <w:lang w:val="en-US"/>
        </w:rPr>
        <w:t>Telstra</w:t>
      </w:r>
      <w:r w:rsidR="00BC6558">
        <w:rPr>
          <w:rFonts w:cs="Times New Roman"/>
          <w:lang w:val="en-US"/>
        </w:rPr>
        <w:t xml:space="preserve"> and </w:t>
      </w:r>
      <w:r w:rsidR="00BC6558" w:rsidRPr="00BC6558">
        <w:rPr>
          <w:rFonts w:cs="Times New Roman"/>
          <w:lang w:val="en-US"/>
        </w:rPr>
        <w:t>Zetifi</w:t>
      </w:r>
      <w:r w:rsidR="00BC6558">
        <w:rPr>
          <w:rFonts w:cs="Times New Roman"/>
          <w:lang w:val="en-US"/>
        </w:rPr>
        <w:t xml:space="preserve"> were involved in delivering a range of trial services. </w:t>
      </w:r>
      <w:r w:rsidR="00864C16" w:rsidRPr="00864C16">
        <w:rPr>
          <w:rFonts w:cs="Times New Roman"/>
          <w:lang w:val="en-US"/>
        </w:rPr>
        <w:t xml:space="preserve">The trial services typically involved applications of </w:t>
      </w:r>
      <w:r w:rsidR="00864C16">
        <w:rPr>
          <w:rFonts w:cs="Times New Roman"/>
          <w:lang w:val="en-US"/>
        </w:rPr>
        <w:t xml:space="preserve">existing </w:t>
      </w:r>
      <w:r w:rsidR="00864C16" w:rsidRPr="00864C16">
        <w:rPr>
          <w:rFonts w:cs="Times New Roman"/>
          <w:lang w:val="en-US"/>
        </w:rPr>
        <w:t xml:space="preserve">technologies like </w:t>
      </w:r>
      <w:r w:rsidR="00E22CFB">
        <w:rPr>
          <w:rFonts w:cs="Times New Roman"/>
          <w:lang w:val="en-US"/>
        </w:rPr>
        <w:t xml:space="preserve">fixed </w:t>
      </w:r>
      <w:r w:rsidR="00864C16" w:rsidRPr="00864C16">
        <w:rPr>
          <w:rFonts w:cs="Times New Roman"/>
          <w:lang w:val="en-US"/>
        </w:rPr>
        <w:t>wireless</w:t>
      </w:r>
      <w:r w:rsidR="00BC6558">
        <w:rPr>
          <w:rFonts w:cs="Times New Roman"/>
          <w:lang w:val="en-US"/>
        </w:rPr>
        <w:t>, 4G</w:t>
      </w:r>
      <w:r w:rsidR="00864C16" w:rsidRPr="00864C16">
        <w:rPr>
          <w:rFonts w:cs="Times New Roman"/>
          <w:lang w:val="en-US"/>
        </w:rPr>
        <w:t xml:space="preserve"> and satellite</w:t>
      </w:r>
      <w:r w:rsidR="00BC6558">
        <w:rPr>
          <w:rFonts w:cs="Times New Roman"/>
          <w:lang w:val="en-US"/>
        </w:rPr>
        <w:t xml:space="preserve">, but </w:t>
      </w:r>
      <w:r w:rsidR="00864C16" w:rsidRPr="00864C16">
        <w:rPr>
          <w:rFonts w:cs="Times New Roman"/>
          <w:lang w:val="en-US"/>
        </w:rPr>
        <w:t>often provided new functionality, such as the ability to make and receive calls using the customer's mobile handset in the home</w:t>
      </w:r>
      <w:r w:rsidR="00F13A0D">
        <w:rPr>
          <w:rFonts w:cs="Times New Roman"/>
          <w:lang w:val="en-US"/>
        </w:rPr>
        <w:t>,</w:t>
      </w:r>
      <w:r w:rsidR="00864C16" w:rsidRPr="00864C16">
        <w:rPr>
          <w:rFonts w:cs="Times New Roman"/>
          <w:lang w:val="en-US"/>
        </w:rPr>
        <w:t xml:space="preserve"> even if mobile network coverage was poor or absent.</w:t>
      </w:r>
      <w:r w:rsidR="00BC6558">
        <w:rPr>
          <w:rFonts w:cs="Times New Roman"/>
          <w:lang w:val="en-US"/>
        </w:rPr>
        <w:t xml:space="preserve"> </w:t>
      </w:r>
      <w:r w:rsidRPr="009C60A5">
        <w:rPr>
          <w:rFonts w:cs="Times New Roman"/>
          <w:lang w:val="en-US"/>
        </w:rPr>
        <w:t>The</w:t>
      </w:r>
      <w:r w:rsidR="00BC6558">
        <w:rPr>
          <w:rFonts w:cs="Times New Roman"/>
          <w:lang w:val="en-US"/>
        </w:rPr>
        <w:t>se</w:t>
      </w:r>
      <w:r w:rsidRPr="009C60A5">
        <w:rPr>
          <w:rFonts w:cs="Times New Roman"/>
          <w:lang w:val="en-US"/>
        </w:rPr>
        <w:t xml:space="preserve"> trials generally demonstrated that </w:t>
      </w:r>
      <w:r>
        <w:rPr>
          <w:rFonts w:cs="Times New Roman"/>
          <w:lang w:val="en-US"/>
        </w:rPr>
        <w:t>good quality</w:t>
      </w:r>
      <w:r w:rsidRPr="009C60A5">
        <w:rPr>
          <w:rFonts w:cs="Times New Roman"/>
          <w:lang w:val="en-US"/>
        </w:rPr>
        <w:t xml:space="preserve"> voice services could be delivered over alternative technologies</w:t>
      </w:r>
      <w:r>
        <w:rPr>
          <w:rFonts w:cs="Times New Roman"/>
          <w:lang w:val="en-US"/>
        </w:rPr>
        <w:t xml:space="preserve">, particularly fixed wireless. However, they </w:t>
      </w:r>
      <w:r w:rsidR="00F13A0D">
        <w:rPr>
          <w:rFonts w:cs="Times New Roman"/>
          <w:lang w:val="en-US"/>
        </w:rPr>
        <w:t xml:space="preserve">also </w:t>
      </w:r>
      <w:r>
        <w:rPr>
          <w:rFonts w:cs="Times New Roman"/>
          <w:lang w:val="en-US"/>
        </w:rPr>
        <w:t>identif</w:t>
      </w:r>
      <w:r w:rsidR="00F13A0D">
        <w:rPr>
          <w:rFonts w:cs="Times New Roman"/>
          <w:lang w:val="en-US"/>
        </w:rPr>
        <w:t>ied</w:t>
      </w:r>
      <w:r>
        <w:rPr>
          <w:rFonts w:cs="Times New Roman"/>
          <w:lang w:val="en-US"/>
        </w:rPr>
        <w:t xml:space="preserve"> a</w:t>
      </w:r>
      <w:r w:rsidRPr="009C60A5">
        <w:rPr>
          <w:rFonts w:cs="Times New Roman"/>
          <w:lang w:val="en-US"/>
        </w:rPr>
        <w:t xml:space="preserve"> range of issues that still needed to be worked through, including issues with outages and customer support.</w:t>
      </w:r>
      <w:r w:rsidRPr="009C60A5">
        <w:t xml:space="preserve"> </w:t>
      </w:r>
      <w:r>
        <w:t xml:space="preserve">A key limitation was that </w:t>
      </w:r>
      <w:r w:rsidRPr="009C60A5">
        <w:t xml:space="preserve">LEOSats were not </w:t>
      </w:r>
      <w:r>
        <w:t xml:space="preserve">able to be </w:t>
      </w:r>
      <w:r w:rsidRPr="009C60A5">
        <w:t xml:space="preserve">widely tested as they were not commercially available in Australia at the </w:t>
      </w:r>
      <w:r>
        <w:t>start</w:t>
      </w:r>
      <w:r w:rsidRPr="009C60A5">
        <w:t xml:space="preserve"> of the trials. </w:t>
      </w:r>
    </w:p>
    <w:p w14:paraId="08218352" w14:textId="071A42FE" w:rsidR="00E22CFB" w:rsidRDefault="00BA0BFA" w:rsidP="00E22CFB">
      <w:pPr>
        <w:spacing w:before="80"/>
        <w:rPr>
          <w:lang w:val="en-US"/>
        </w:rPr>
      </w:pPr>
      <w:r w:rsidRPr="00C52105">
        <w:rPr>
          <w:rFonts w:cs="Times New Roman"/>
          <w:lang w:val="en-US"/>
        </w:rPr>
        <w:t>Th</w:t>
      </w:r>
      <w:r>
        <w:rPr>
          <w:rFonts w:cs="Times New Roman"/>
          <w:lang w:val="en-US"/>
        </w:rPr>
        <w:t>is</w:t>
      </w:r>
      <w:r w:rsidRPr="00C52105">
        <w:rPr>
          <w:rFonts w:cs="Times New Roman"/>
          <w:lang w:val="en-US"/>
        </w:rPr>
        <w:t xml:space="preserve"> large body of previous work</w:t>
      </w:r>
      <w:r>
        <w:rPr>
          <w:rFonts w:cs="Times New Roman"/>
          <w:lang w:val="en-US"/>
        </w:rPr>
        <w:t xml:space="preserve"> and past stakeholder engagement, and current views and feedback from </w:t>
      </w:r>
      <w:r w:rsidR="007A065F">
        <w:rPr>
          <w:rFonts w:cs="Times New Roman"/>
          <w:lang w:val="en-US"/>
        </w:rPr>
        <w:t xml:space="preserve">interested </w:t>
      </w:r>
      <w:r>
        <w:rPr>
          <w:rFonts w:cs="Times New Roman"/>
          <w:lang w:val="en-US"/>
        </w:rPr>
        <w:t>stakeholders,</w:t>
      </w:r>
      <w:r w:rsidRPr="00C52105">
        <w:rPr>
          <w:rFonts w:cs="Times New Roman"/>
          <w:lang w:val="en-US"/>
        </w:rPr>
        <w:t xml:space="preserve"> will help to inform </w:t>
      </w:r>
      <w:r>
        <w:rPr>
          <w:rFonts w:cs="Times New Roman"/>
          <w:lang w:val="en-US"/>
        </w:rPr>
        <w:t xml:space="preserve">the Government’s </w:t>
      </w:r>
      <w:r w:rsidRPr="00C52105">
        <w:rPr>
          <w:rFonts w:cs="Times New Roman"/>
          <w:lang w:val="en-US"/>
        </w:rPr>
        <w:t>consideration of options to better deliver USO services in the future.</w:t>
      </w:r>
      <w:r w:rsidR="00E22CFB">
        <w:rPr>
          <w:rFonts w:cs="Times New Roman"/>
          <w:lang w:val="en-US"/>
        </w:rPr>
        <w:t xml:space="preserve"> </w:t>
      </w:r>
      <w:r w:rsidR="00E22CFB">
        <w:t xml:space="preserve">As noted elsewhere, the Government will also progress work to undertake further technical trials in 2024, </w:t>
      </w:r>
      <w:r w:rsidR="00224E12">
        <w:t xml:space="preserve">drawing on </w:t>
      </w:r>
      <w:r w:rsidR="00E22CFB">
        <w:t xml:space="preserve">stakeholder views on how these trials </w:t>
      </w:r>
      <w:r w:rsidR="007A065F">
        <w:t>can be</w:t>
      </w:r>
      <w:r w:rsidR="00E22CFB">
        <w:t xml:space="preserve"> best structured.</w:t>
      </w:r>
    </w:p>
    <w:p w14:paraId="037280E4" w14:textId="77777777" w:rsidR="00BA0BFA" w:rsidRPr="009C60A5" w:rsidRDefault="00C73D27" w:rsidP="00BA0BFA">
      <w:pPr>
        <w:pStyle w:val="Heading2"/>
        <w:spacing w:before="160" w:after="60"/>
      </w:pPr>
      <w:bookmarkStart w:id="31" w:name="_Toc149309867"/>
      <w:r>
        <w:t xml:space="preserve">Supporting </w:t>
      </w:r>
      <w:r w:rsidR="00BA0BFA">
        <w:t>First Nations communities</w:t>
      </w:r>
      <w:bookmarkEnd w:id="31"/>
    </w:p>
    <w:p w14:paraId="5AC75EAD" w14:textId="1588CBB0" w:rsidR="00BA0BFA" w:rsidRPr="00BA0BFA" w:rsidRDefault="00BA0BFA" w:rsidP="00BA0BFA">
      <w:pPr>
        <w:pStyle w:val="ListNumbered1"/>
        <w:numPr>
          <w:ilvl w:val="0"/>
          <w:numId w:val="0"/>
        </w:numPr>
        <w:rPr>
          <w:rFonts w:cs="Times New Roman"/>
          <w:lang w:val="en-US"/>
        </w:rPr>
      </w:pPr>
      <w:r>
        <w:rPr>
          <w:rFonts w:cs="Times New Roman"/>
          <w:lang w:val="en-US"/>
        </w:rPr>
        <w:t xml:space="preserve">Beyond broader issues raised in reviews mentioned above, there have also been specific concerns raised about </w:t>
      </w:r>
      <w:r w:rsidR="007A065F">
        <w:rPr>
          <w:rFonts w:cs="Times New Roman"/>
          <w:lang w:val="en-US"/>
        </w:rPr>
        <w:t xml:space="preserve">the </w:t>
      </w:r>
      <w:r>
        <w:rPr>
          <w:rFonts w:cs="Times New Roman"/>
          <w:lang w:val="en-US"/>
        </w:rPr>
        <w:t xml:space="preserve">practical </w:t>
      </w:r>
      <w:r w:rsidRPr="00BA0BFA">
        <w:rPr>
          <w:rFonts w:cs="Times New Roman"/>
          <w:lang w:val="en-US"/>
        </w:rPr>
        <w:t>effectiveness of current USO arrangements,</w:t>
      </w:r>
      <w:r>
        <w:rPr>
          <w:rFonts w:cs="Times New Roman"/>
          <w:lang w:val="en-US"/>
        </w:rPr>
        <w:t xml:space="preserve"> particularly for First Nations communities. This reflects</w:t>
      </w:r>
      <w:r w:rsidR="0037181B">
        <w:rPr>
          <w:rFonts w:cs="Times New Roman"/>
          <w:lang w:val="en-US"/>
        </w:rPr>
        <w:t xml:space="preserve"> that</w:t>
      </w:r>
      <w:r>
        <w:rPr>
          <w:rFonts w:cs="Times New Roman"/>
          <w:lang w:val="en-US"/>
        </w:rPr>
        <w:t xml:space="preserve"> existing USO arrangements are based on a model of providing </w:t>
      </w:r>
      <w:r w:rsidRPr="00BA0BFA">
        <w:rPr>
          <w:rFonts w:cs="Times New Roman"/>
          <w:lang w:val="en-US"/>
        </w:rPr>
        <w:t xml:space="preserve">fixed services to </w:t>
      </w:r>
      <w:r>
        <w:rPr>
          <w:rFonts w:cs="Times New Roman"/>
          <w:lang w:val="en-US"/>
        </w:rPr>
        <w:t xml:space="preserve">specific </w:t>
      </w:r>
      <w:r w:rsidRPr="00BA0BFA">
        <w:rPr>
          <w:rFonts w:cs="Times New Roman"/>
          <w:lang w:val="en-US"/>
        </w:rPr>
        <w:t>premises</w:t>
      </w:r>
      <w:r>
        <w:rPr>
          <w:rFonts w:cs="Times New Roman"/>
          <w:lang w:val="en-US"/>
        </w:rPr>
        <w:t xml:space="preserve"> or businesses, with ongoing service charges falling to the consumer or business owner. However, as the Government’s </w:t>
      </w:r>
      <w:hyperlink r:id="rId38" w:history="1">
        <w:r w:rsidRPr="00BA0BFA">
          <w:rPr>
            <w:rStyle w:val="Hyperlink"/>
            <w:rFonts w:cs="Times New Roman"/>
            <w:lang w:val="en-US"/>
          </w:rPr>
          <w:t>First Nations Digital Inclusion Advisory Group</w:t>
        </w:r>
      </w:hyperlink>
      <w:r>
        <w:rPr>
          <w:rFonts w:cs="Times New Roman"/>
          <w:lang w:val="en-US"/>
        </w:rPr>
        <w:t xml:space="preserve"> (FNDIAG) has identified</w:t>
      </w:r>
      <w:r w:rsidR="00B34E78">
        <w:rPr>
          <w:rFonts w:cs="Times New Roman"/>
          <w:lang w:val="en-US"/>
        </w:rPr>
        <w:t xml:space="preserve"> in its initial report to Government</w:t>
      </w:r>
      <w:r>
        <w:rPr>
          <w:rFonts w:cs="Times New Roman"/>
          <w:lang w:val="en-US"/>
        </w:rPr>
        <w:t xml:space="preserve">, some </w:t>
      </w:r>
      <w:r w:rsidRPr="00BA0BFA">
        <w:rPr>
          <w:rFonts w:cs="Times New Roman"/>
          <w:lang w:val="en-US"/>
        </w:rPr>
        <w:t xml:space="preserve">First Nations people and communities </w:t>
      </w:r>
      <w:r>
        <w:rPr>
          <w:rFonts w:cs="Times New Roman"/>
          <w:lang w:val="en-US"/>
        </w:rPr>
        <w:t>may not be able to afford post-paid fixed plans, and may end up relying on</w:t>
      </w:r>
      <w:r w:rsidRPr="00BA0BFA">
        <w:rPr>
          <w:rFonts w:cs="Times New Roman"/>
          <w:lang w:val="en-US"/>
        </w:rPr>
        <w:t xml:space="preserve"> </w:t>
      </w:r>
      <w:r>
        <w:rPr>
          <w:rFonts w:cs="Times New Roman"/>
          <w:lang w:val="en-US"/>
        </w:rPr>
        <w:t xml:space="preserve">relatively more </w:t>
      </w:r>
      <w:r w:rsidRPr="00BA0BFA">
        <w:rPr>
          <w:rFonts w:cs="Times New Roman"/>
          <w:lang w:val="en-US"/>
        </w:rPr>
        <w:t xml:space="preserve">expensive </w:t>
      </w:r>
      <w:r>
        <w:rPr>
          <w:rFonts w:cs="Times New Roman"/>
          <w:lang w:val="en-US"/>
        </w:rPr>
        <w:t xml:space="preserve">pre-paid </w:t>
      </w:r>
      <w:r w:rsidRPr="00BA0BFA">
        <w:rPr>
          <w:rFonts w:cs="Times New Roman"/>
          <w:lang w:val="en-US"/>
        </w:rPr>
        <w:t>mobile</w:t>
      </w:r>
      <w:r>
        <w:rPr>
          <w:rFonts w:cs="Times New Roman"/>
          <w:lang w:val="en-US"/>
        </w:rPr>
        <w:t xml:space="preserve"> plans,</w:t>
      </w:r>
      <w:r w:rsidRPr="00BA0BFA">
        <w:rPr>
          <w:rFonts w:cs="Times New Roman"/>
          <w:lang w:val="en-US"/>
        </w:rPr>
        <w:t xml:space="preserve"> or </w:t>
      </w:r>
      <w:r w:rsidR="008C5396">
        <w:rPr>
          <w:rFonts w:cs="Times New Roman"/>
          <w:lang w:val="en-US"/>
        </w:rPr>
        <w:t>on</w:t>
      </w:r>
      <w:r>
        <w:rPr>
          <w:rFonts w:cs="Times New Roman"/>
          <w:lang w:val="en-US"/>
        </w:rPr>
        <w:t xml:space="preserve"> </w:t>
      </w:r>
      <w:r w:rsidRPr="00BA0BFA">
        <w:rPr>
          <w:rFonts w:cs="Times New Roman"/>
          <w:lang w:val="en-US"/>
        </w:rPr>
        <w:t xml:space="preserve">community-based solutions. </w:t>
      </w:r>
      <w:r>
        <w:rPr>
          <w:rFonts w:cs="Times New Roman"/>
          <w:lang w:val="en-US"/>
        </w:rPr>
        <w:t>The FNDIAG will continue to provide broader advice to Government on a range of digital inclusion issues, but the Government is interested as part of this consultation i</w:t>
      </w:r>
      <w:r w:rsidR="008C5396">
        <w:rPr>
          <w:rFonts w:cs="Times New Roman"/>
          <w:lang w:val="en-US"/>
        </w:rPr>
        <w:t>n</w:t>
      </w:r>
      <w:r>
        <w:rPr>
          <w:rFonts w:cs="Times New Roman"/>
          <w:lang w:val="en-US"/>
        </w:rPr>
        <w:t xml:space="preserve"> gaining further stakeholder views and insights on how a </w:t>
      </w:r>
      <w:r>
        <w:t xml:space="preserve">future USO </w:t>
      </w:r>
      <w:r w:rsidR="00C73D27">
        <w:rPr>
          <w:lang w:val="en-US"/>
        </w:rPr>
        <w:t xml:space="preserve">could </w:t>
      </w:r>
      <w:r>
        <w:t>best support First Nations Australians</w:t>
      </w:r>
      <w:r w:rsidR="00470707">
        <w:rPr>
          <w:lang w:val="en-US"/>
        </w:rPr>
        <w:t>, particularly in remote communities.</w:t>
      </w:r>
    </w:p>
    <w:p w14:paraId="2D88075D" w14:textId="77777777" w:rsidR="001D244F" w:rsidRPr="009C60A5" w:rsidRDefault="00460C28" w:rsidP="009F01CA">
      <w:pPr>
        <w:pStyle w:val="Heading2"/>
        <w:spacing w:before="160" w:after="60"/>
      </w:pPr>
      <w:bookmarkStart w:id="32" w:name="_Toc149309868"/>
      <w:r w:rsidRPr="009C60A5">
        <w:t xml:space="preserve">New </w:t>
      </w:r>
      <w:r w:rsidR="0082791F" w:rsidRPr="009C60A5">
        <w:t>opportunities</w:t>
      </w:r>
      <w:bookmarkEnd w:id="32"/>
    </w:p>
    <w:p w14:paraId="568F3F91" w14:textId="23B1384A" w:rsidR="00C11EAD" w:rsidRDefault="00512DA9" w:rsidP="00A9158A">
      <w:pPr>
        <w:pStyle w:val="ListNumbered1"/>
        <w:numPr>
          <w:ilvl w:val="0"/>
          <w:numId w:val="0"/>
        </w:numPr>
        <w:rPr>
          <w:lang w:val="en-AU"/>
        </w:rPr>
      </w:pPr>
      <w:r>
        <w:rPr>
          <w:lang w:val="en-AU"/>
        </w:rPr>
        <w:t>T</w:t>
      </w:r>
      <w:r w:rsidR="00C11EAD">
        <w:rPr>
          <w:lang w:val="en-AU"/>
        </w:rPr>
        <w:t xml:space="preserve">he </w:t>
      </w:r>
      <w:r w:rsidR="0016398D">
        <w:rPr>
          <w:lang w:val="en-AU"/>
        </w:rPr>
        <w:t xml:space="preserve">number of services delivered </w:t>
      </w:r>
      <w:r w:rsidR="00BB0DA2">
        <w:rPr>
          <w:lang w:val="en-AU"/>
        </w:rPr>
        <w:t xml:space="preserve">over </w:t>
      </w:r>
      <w:r w:rsidR="00C11EAD">
        <w:rPr>
          <w:lang w:val="en-AU"/>
        </w:rPr>
        <w:t xml:space="preserve">Telstra’s legacy networks in regional and rural areas has </w:t>
      </w:r>
      <w:r w:rsidR="0016398D">
        <w:rPr>
          <w:lang w:val="en-AU"/>
        </w:rPr>
        <w:t xml:space="preserve">reduced </w:t>
      </w:r>
      <w:r w:rsidR="0018523B">
        <w:rPr>
          <w:lang w:val="en-AU"/>
        </w:rPr>
        <w:t>significantly</w:t>
      </w:r>
      <w:r w:rsidR="004B55B9">
        <w:rPr>
          <w:lang w:val="en-AU"/>
        </w:rPr>
        <w:t xml:space="preserve"> over recent years</w:t>
      </w:r>
      <w:r w:rsidR="00C11EAD">
        <w:rPr>
          <w:lang w:val="en-AU"/>
        </w:rPr>
        <w:t xml:space="preserve">. In September 2018, the </w:t>
      </w:r>
      <w:r w:rsidR="0018523B">
        <w:rPr>
          <w:lang w:val="en-AU"/>
        </w:rPr>
        <w:t>Government</w:t>
      </w:r>
      <w:r w:rsidR="00C11EAD">
        <w:rPr>
          <w:lang w:val="en-AU"/>
        </w:rPr>
        <w:t xml:space="preserve"> estimated Telstra</w:t>
      </w:r>
      <w:r w:rsidR="0018523B">
        <w:rPr>
          <w:lang w:val="en-AU"/>
        </w:rPr>
        <w:t xml:space="preserve"> </w:t>
      </w:r>
      <w:r w:rsidR="00C11EAD">
        <w:rPr>
          <w:lang w:val="en-AU"/>
        </w:rPr>
        <w:t>provided approximately 600,000 retail fixed voice services</w:t>
      </w:r>
      <w:r w:rsidR="0018523B">
        <w:rPr>
          <w:lang w:val="en-AU"/>
        </w:rPr>
        <w:t xml:space="preserve"> (and 235,000 ADSL broadband services)</w:t>
      </w:r>
      <w:r w:rsidR="00C11EAD">
        <w:rPr>
          <w:lang w:val="en-AU"/>
        </w:rPr>
        <w:t xml:space="preserve"> outside the NBN fixed</w:t>
      </w:r>
      <w:r w:rsidR="00D16FAB">
        <w:rPr>
          <w:lang w:val="en-AU"/>
        </w:rPr>
        <w:t xml:space="preserve"> </w:t>
      </w:r>
      <w:r w:rsidR="00C11EAD">
        <w:rPr>
          <w:lang w:val="en-AU"/>
        </w:rPr>
        <w:t>line footprint</w:t>
      </w:r>
      <w:r w:rsidR="0018523B">
        <w:rPr>
          <w:lang w:val="en-AU"/>
        </w:rPr>
        <w:t>.</w:t>
      </w:r>
      <w:r w:rsidR="00C11EAD">
        <w:rPr>
          <w:rStyle w:val="FootnoteReference"/>
          <w:lang w:val="en-AU"/>
        </w:rPr>
        <w:footnoteReference w:id="8"/>
      </w:r>
      <w:r w:rsidR="00C11EAD">
        <w:rPr>
          <w:lang w:val="en-AU"/>
        </w:rPr>
        <w:t xml:space="preserve"> </w:t>
      </w:r>
      <w:r w:rsidR="0018523B">
        <w:rPr>
          <w:lang w:val="en-AU"/>
        </w:rPr>
        <w:t xml:space="preserve">As noted earlier, </w:t>
      </w:r>
      <w:r w:rsidR="0016398D">
        <w:rPr>
          <w:lang w:val="en-AU"/>
        </w:rPr>
        <w:t xml:space="preserve">as of September 2023, </w:t>
      </w:r>
      <w:r w:rsidR="0018523B">
        <w:rPr>
          <w:lang w:val="en-AU"/>
        </w:rPr>
        <w:t xml:space="preserve">the </w:t>
      </w:r>
      <w:r w:rsidR="00BB0DA2">
        <w:rPr>
          <w:lang w:val="en-AU"/>
        </w:rPr>
        <w:t xml:space="preserve">corresponding figures are </w:t>
      </w:r>
      <w:r w:rsidR="00585062">
        <w:rPr>
          <w:lang w:val="en-AU"/>
        </w:rPr>
        <w:t xml:space="preserve">around </w:t>
      </w:r>
      <w:r w:rsidR="0016398D">
        <w:rPr>
          <w:lang w:val="en-AU"/>
        </w:rPr>
        <w:t>300,000</w:t>
      </w:r>
      <w:r w:rsidR="0018523B">
        <w:rPr>
          <w:lang w:val="en-AU"/>
        </w:rPr>
        <w:t xml:space="preserve"> </w:t>
      </w:r>
      <w:r w:rsidR="004B55B9">
        <w:rPr>
          <w:lang w:val="en-AU"/>
        </w:rPr>
        <w:t xml:space="preserve">retail fixed voice </w:t>
      </w:r>
      <w:r w:rsidR="0018523B">
        <w:rPr>
          <w:lang w:val="en-AU"/>
        </w:rPr>
        <w:t>services</w:t>
      </w:r>
      <w:r w:rsidR="007A065F">
        <w:rPr>
          <w:lang w:val="en-AU"/>
        </w:rPr>
        <w:t>,</w:t>
      </w:r>
      <w:r w:rsidR="0016398D">
        <w:rPr>
          <w:lang w:val="en-AU"/>
        </w:rPr>
        <w:t xml:space="preserve"> </w:t>
      </w:r>
      <w:r w:rsidR="00B34E78">
        <w:rPr>
          <w:lang w:val="en-AU"/>
        </w:rPr>
        <w:t>including</w:t>
      </w:r>
      <w:r w:rsidR="0016398D">
        <w:rPr>
          <w:lang w:val="en-AU"/>
        </w:rPr>
        <w:t xml:space="preserve"> </w:t>
      </w:r>
      <w:r w:rsidR="00B34E78">
        <w:rPr>
          <w:lang w:val="en-AU"/>
        </w:rPr>
        <w:t xml:space="preserve">around </w:t>
      </w:r>
      <w:r w:rsidR="0016398D">
        <w:rPr>
          <w:lang w:val="en-AU"/>
        </w:rPr>
        <w:t xml:space="preserve">100,000 </w:t>
      </w:r>
      <w:r w:rsidR="00B34E78">
        <w:rPr>
          <w:lang w:val="en-AU"/>
        </w:rPr>
        <w:t xml:space="preserve">bundled voice and </w:t>
      </w:r>
      <w:r w:rsidR="0016398D">
        <w:rPr>
          <w:lang w:val="en-AU"/>
        </w:rPr>
        <w:t>ADSL services outside the NBN fixed</w:t>
      </w:r>
      <w:r w:rsidR="00D16FAB">
        <w:rPr>
          <w:lang w:val="en-AU"/>
        </w:rPr>
        <w:t xml:space="preserve"> </w:t>
      </w:r>
      <w:r w:rsidR="0016398D">
        <w:rPr>
          <w:lang w:val="en-AU"/>
        </w:rPr>
        <w:t>line footprint.</w:t>
      </w:r>
      <w:r w:rsidR="0018523B">
        <w:rPr>
          <w:lang w:val="en-AU"/>
        </w:rPr>
        <w:t xml:space="preserve"> </w:t>
      </w:r>
    </w:p>
    <w:p w14:paraId="2551DAC5" w14:textId="222BF315" w:rsidR="00317746" w:rsidRPr="00317746" w:rsidRDefault="00C11EAD" w:rsidP="00A9158A">
      <w:pPr>
        <w:pStyle w:val="ListNumbered1"/>
        <w:numPr>
          <w:ilvl w:val="0"/>
          <w:numId w:val="0"/>
        </w:numPr>
        <w:rPr>
          <w:lang w:val="en-US"/>
        </w:rPr>
      </w:pPr>
      <w:r>
        <w:rPr>
          <w:lang w:val="en-AU"/>
        </w:rPr>
        <w:t>T</w:t>
      </w:r>
      <w:r w:rsidR="00F90262" w:rsidRPr="009C60A5">
        <w:rPr>
          <w:lang w:val="en-AU"/>
        </w:rPr>
        <w:t>he quality of broadband services over the NBN has</w:t>
      </w:r>
      <w:r>
        <w:rPr>
          <w:lang w:val="en-AU"/>
        </w:rPr>
        <w:t xml:space="preserve"> also</w:t>
      </w:r>
      <w:r w:rsidR="00F90262" w:rsidRPr="009C60A5">
        <w:rPr>
          <w:lang w:val="en-AU"/>
        </w:rPr>
        <w:t xml:space="preserve"> improved in regional and remote area</w:t>
      </w:r>
      <w:r w:rsidR="00F90262">
        <w:rPr>
          <w:lang w:val="en-AU"/>
        </w:rPr>
        <w:t xml:space="preserve">s, </w:t>
      </w:r>
      <w:r w:rsidR="00F90262" w:rsidRPr="00DA6588">
        <w:rPr>
          <w:lang w:val="en-AU"/>
        </w:rPr>
        <w:t xml:space="preserve">with </w:t>
      </w:r>
      <w:r w:rsidR="00BB0DA2" w:rsidRPr="00DA6588">
        <w:rPr>
          <w:lang w:val="en-AU"/>
        </w:rPr>
        <w:t>NBN</w:t>
      </w:r>
      <w:r w:rsidR="00BB0DA2">
        <w:rPr>
          <w:lang w:val="en-AU"/>
        </w:rPr>
        <w:t> </w:t>
      </w:r>
      <w:r w:rsidR="00F90262" w:rsidRPr="00DA6588">
        <w:rPr>
          <w:lang w:val="en-AU"/>
        </w:rPr>
        <w:t xml:space="preserve">Co’s </w:t>
      </w:r>
      <w:r w:rsidR="00BB0DA2">
        <w:rPr>
          <w:lang w:val="en-AU"/>
        </w:rPr>
        <w:t>scale rollout</w:t>
      </w:r>
      <w:r w:rsidR="00F90262" w:rsidRPr="00DA6588">
        <w:rPr>
          <w:lang w:val="en-AU"/>
        </w:rPr>
        <w:t xml:space="preserve"> completed and significant upgrades across its fixed</w:t>
      </w:r>
      <w:r w:rsidR="001F0F85">
        <w:rPr>
          <w:lang w:val="en-AU"/>
        </w:rPr>
        <w:t xml:space="preserve"> </w:t>
      </w:r>
      <w:r w:rsidR="00F90262" w:rsidRPr="00DA6588">
        <w:rPr>
          <w:lang w:val="en-AU"/>
        </w:rPr>
        <w:t xml:space="preserve">line, fixed wireless and satellite networks </w:t>
      </w:r>
      <w:r w:rsidR="0057583D" w:rsidRPr="00DA6588">
        <w:rPr>
          <w:lang w:val="en-AU"/>
        </w:rPr>
        <w:t xml:space="preserve">currently being </w:t>
      </w:r>
      <w:r w:rsidR="00F90262" w:rsidRPr="00DA6588">
        <w:rPr>
          <w:lang w:val="en-AU"/>
        </w:rPr>
        <w:t>roll</w:t>
      </w:r>
      <w:r w:rsidR="0057583D" w:rsidRPr="00DA6588">
        <w:rPr>
          <w:lang w:val="en-AU"/>
        </w:rPr>
        <w:t>ed</w:t>
      </w:r>
      <w:r w:rsidR="00F90262" w:rsidRPr="00DA6588">
        <w:rPr>
          <w:lang w:val="en-AU"/>
        </w:rPr>
        <w:t xml:space="preserve"> out.</w:t>
      </w:r>
      <w:r w:rsidR="00F90262" w:rsidRPr="009C60A5">
        <w:rPr>
          <w:lang w:val="en-AU"/>
        </w:rPr>
        <w:t xml:space="preserve"> </w:t>
      </w:r>
      <w:r w:rsidR="00F90262">
        <w:rPr>
          <w:lang w:val="en-AU"/>
        </w:rPr>
        <w:t xml:space="preserve">Most significantly, </w:t>
      </w:r>
      <w:r w:rsidR="00F90262" w:rsidRPr="009C60A5">
        <w:rPr>
          <w:lang w:val="en-AU"/>
        </w:rPr>
        <w:t xml:space="preserve">NBN Co is currently undertaking a $750 million upgrade of its </w:t>
      </w:r>
      <w:r w:rsidR="004B55B9">
        <w:rPr>
          <w:lang w:val="en-AU"/>
        </w:rPr>
        <w:t>f</w:t>
      </w:r>
      <w:r w:rsidR="00F90262" w:rsidRPr="009C60A5">
        <w:rPr>
          <w:lang w:val="en-AU"/>
        </w:rPr>
        <w:t xml:space="preserve">ixed </w:t>
      </w:r>
      <w:r w:rsidR="004B55B9">
        <w:rPr>
          <w:lang w:val="en-AU"/>
        </w:rPr>
        <w:t>w</w:t>
      </w:r>
      <w:r w:rsidR="00F90262" w:rsidRPr="009C60A5">
        <w:rPr>
          <w:lang w:val="en-AU"/>
        </w:rPr>
        <w:t>ireless network</w:t>
      </w:r>
      <w:r w:rsidR="006F73BE">
        <w:rPr>
          <w:lang w:val="en-AU"/>
        </w:rPr>
        <w:t xml:space="preserve"> (o</w:t>
      </w:r>
      <w:r w:rsidR="00C73D27">
        <w:rPr>
          <w:lang w:val="en-AU"/>
        </w:rPr>
        <w:t>f</w:t>
      </w:r>
      <w:r w:rsidR="006F73BE">
        <w:rPr>
          <w:lang w:val="en-AU"/>
        </w:rPr>
        <w:t xml:space="preserve"> which $480 million </w:t>
      </w:r>
      <w:r w:rsidR="00C73D27">
        <w:rPr>
          <w:lang w:val="en-AU"/>
        </w:rPr>
        <w:t xml:space="preserve">has been provided as a grant from </w:t>
      </w:r>
      <w:r w:rsidR="006F73BE">
        <w:rPr>
          <w:lang w:val="en-AU"/>
        </w:rPr>
        <w:t>the Government)</w:t>
      </w:r>
      <w:r w:rsidR="00F90262" w:rsidRPr="009C60A5">
        <w:rPr>
          <w:lang w:val="en-AU"/>
        </w:rPr>
        <w:t xml:space="preserve">, which will use </w:t>
      </w:r>
      <w:r w:rsidR="00F90262" w:rsidRPr="009C60A5">
        <w:t>the latest 4G and 5G wireless technology to extend the coverage range from existing towers by up to 50 per cent</w:t>
      </w:r>
      <w:r w:rsidR="00470707">
        <w:rPr>
          <w:lang w:val="en-US"/>
        </w:rPr>
        <w:t xml:space="preserve"> and </w:t>
      </w:r>
      <w:r w:rsidR="00CD3A49">
        <w:rPr>
          <w:lang w:val="en-US"/>
        </w:rPr>
        <w:t xml:space="preserve">significantly </w:t>
      </w:r>
      <w:r w:rsidR="00470707">
        <w:rPr>
          <w:lang w:val="en-US"/>
        </w:rPr>
        <w:t>increase the minimum speeds on the network</w:t>
      </w:r>
      <w:r w:rsidR="00F90262" w:rsidRPr="009C60A5">
        <w:rPr>
          <w:lang w:val="en-US"/>
        </w:rPr>
        <w:t>. This will enable</w:t>
      </w:r>
      <w:r w:rsidR="00F90262" w:rsidRPr="009C60A5">
        <w:t xml:space="preserve"> 120,000 additional premises to access fixed</w:t>
      </w:r>
      <w:r w:rsidR="001F0F85">
        <w:rPr>
          <w:lang w:val="en-US"/>
        </w:rPr>
        <w:t xml:space="preserve"> </w:t>
      </w:r>
      <w:r w:rsidR="00F90262" w:rsidRPr="009C60A5">
        <w:t>wireless service</w:t>
      </w:r>
      <w:r w:rsidR="00F90262" w:rsidRPr="009C60A5">
        <w:rPr>
          <w:lang w:val="en-US"/>
        </w:rPr>
        <w:t xml:space="preserve">s, which as noted earlier, are considered to be </w:t>
      </w:r>
      <w:r w:rsidR="006F73BE">
        <w:rPr>
          <w:lang w:val="en-US"/>
        </w:rPr>
        <w:t xml:space="preserve">technically </w:t>
      </w:r>
      <w:r w:rsidR="00F90262" w:rsidRPr="009C60A5">
        <w:rPr>
          <w:lang w:val="en-US"/>
        </w:rPr>
        <w:t xml:space="preserve">suitable for supporting reliable retail voice services. </w:t>
      </w:r>
    </w:p>
    <w:p w14:paraId="55EDE339" w14:textId="77777777" w:rsidR="0082791F" w:rsidRPr="009C60A5" w:rsidRDefault="0082791F" w:rsidP="009F01CA">
      <w:pPr>
        <w:pStyle w:val="ListNumbered1"/>
        <w:numPr>
          <w:ilvl w:val="0"/>
          <w:numId w:val="0"/>
        </w:numPr>
        <w:rPr>
          <w:b/>
          <w:lang w:val="en-AU"/>
        </w:rPr>
      </w:pPr>
      <w:bookmarkStart w:id="33" w:name="_Hlk143161058"/>
      <w:r w:rsidRPr="009C60A5">
        <w:rPr>
          <w:b/>
          <w:lang w:val="en-AU"/>
        </w:rPr>
        <w:t>New technologies</w:t>
      </w:r>
    </w:p>
    <w:p w14:paraId="2232D9C0" w14:textId="7A19A1DA" w:rsidR="00F93808" w:rsidRPr="009C60A5" w:rsidRDefault="00683CB6" w:rsidP="009F01CA">
      <w:pPr>
        <w:pStyle w:val="ListNumbered1"/>
        <w:numPr>
          <w:ilvl w:val="0"/>
          <w:numId w:val="0"/>
        </w:numPr>
        <w:rPr>
          <w:lang w:val="en-AU"/>
        </w:rPr>
      </w:pPr>
      <w:r w:rsidRPr="009C60A5">
        <w:rPr>
          <w:lang w:val="en-AU"/>
        </w:rPr>
        <w:t>Other</w:t>
      </w:r>
      <w:r w:rsidR="00E10F7E" w:rsidRPr="009C60A5">
        <w:rPr>
          <w:lang w:val="en-AU"/>
        </w:rPr>
        <w:t xml:space="preserve"> technologies have emerged that could be considered as potential </w:t>
      </w:r>
      <w:r w:rsidR="004B55B9">
        <w:rPr>
          <w:lang w:val="en-AU"/>
        </w:rPr>
        <w:t xml:space="preserve">future </w:t>
      </w:r>
      <w:r w:rsidR="00E10F7E" w:rsidRPr="009C60A5">
        <w:rPr>
          <w:lang w:val="en-AU"/>
        </w:rPr>
        <w:t xml:space="preserve">alternative platforms for USO delivery. </w:t>
      </w:r>
      <w:r w:rsidR="00970E31" w:rsidRPr="009C60A5">
        <w:rPr>
          <w:lang w:val="en-AU"/>
        </w:rPr>
        <w:t xml:space="preserve">Notably, </w:t>
      </w:r>
      <w:r w:rsidR="00F93808" w:rsidRPr="009C60A5">
        <w:rPr>
          <w:lang w:val="en-AU"/>
        </w:rPr>
        <w:t>high-speed broadband services provided over LEOSat technology have become widely available</w:t>
      </w:r>
      <w:r w:rsidR="00970E31" w:rsidRPr="009C60A5">
        <w:rPr>
          <w:lang w:val="en-AU"/>
        </w:rPr>
        <w:t xml:space="preserve"> </w:t>
      </w:r>
      <w:r w:rsidR="00C24832">
        <w:rPr>
          <w:lang w:val="en-AU"/>
        </w:rPr>
        <w:t>across</w:t>
      </w:r>
      <w:r w:rsidR="00F93808" w:rsidRPr="009C60A5">
        <w:rPr>
          <w:lang w:val="en-AU"/>
        </w:rPr>
        <w:t xml:space="preserve"> Australia</w:t>
      </w:r>
      <w:r w:rsidR="00C24832">
        <w:rPr>
          <w:lang w:val="en-AU"/>
        </w:rPr>
        <w:t>, including</w:t>
      </w:r>
      <w:r w:rsidR="00970E31" w:rsidRPr="009C60A5">
        <w:rPr>
          <w:lang w:val="en-AU"/>
        </w:rPr>
        <w:t xml:space="preserve"> </w:t>
      </w:r>
      <w:r w:rsidR="00F93808" w:rsidRPr="009C60A5">
        <w:rPr>
          <w:lang w:val="en-AU"/>
        </w:rPr>
        <w:t xml:space="preserve">in rural and remote areas. Due to their lower altitude orbits, LEOSat services </w:t>
      </w:r>
      <w:r w:rsidR="00B33875" w:rsidRPr="009C60A5">
        <w:rPr>
          <w:lang w:val="en-AU"/>
        </w:rPr>
        <w:t>generally have</w:t>
      </w:r>
      <w:r w:rsidR="00F93808" w:rsidRPr="009C60A5">
        <w:rPr>
          <w:lang w:val="en-AU"/>
        </w:rPr>
        <w:t xml:space="preserve"> significantly lower latency compared to geostationary satellites, which is important in supporting quality voice communications. Starlink </w:t>
      </w:r>
      <w:r w:rsidR="00765F9E">
        <w:rPr>
          <w:lang w:val="en-AU"/>
        </w:rPr>
        <w:t xml:space="preserve">LEOSat </w:t>
      </w:r>
      <w:r w:rsidR="00F93808" w:rsidRPr="009C60A5">
        <w:rPr>
          <w:lang w:val="en-AU"/>
        </w:rPr>
        <w:t xml:space="preserve">services are now available </w:t>
      </w:r>
      <w:r w:rsidR="00F93808" w:rsidRPr="005D7BF9">
        <w:rPr>
          <w:lang w:val="en-AU"/>
        </w:rPr>
        <w:t xml:space="preserve">in </w:t>
      </w:r>
      <w:r w:rsidR="00F13A0D">
        <w:rPr>
          <w:lang w:val="en-AU"/>
        </w:rPr>
        <w:t>close to 100%</w:t>
      </w:r>
      <w:r w:rsidR="00F93808" w:rsidRPr="005D7BF9">
        <w:rPr>
          <w:lang w:val="en-AU"/>
        </w:rPr>
        <w:t xml:space="preserve"> of</w:t>
      </w:r>
      <w:r w:rsidR="00F93808" w:rsidRPr="009C60A5">
        <w:rPr>
          <w:lang w:val="en-AU"/>
        </w:rPr>
        <w:t xml:space="preserve"> Australia, and </w:t>
      </w:r>
      <w:r w:rsidR="007B042D" w:rsidRPr="009C60A5">
        <w:rPr>
          <w:lang w:val="en-AU"/>
        </w:rPr>
        <w:t>there are</w:t>
      </w:r>
      <w:r w:rsidR="00F93808" w:rsidRPr="009C60A5">
        <w:rPr>
          <w:lang w:val="en-AU"/>
        </w:rPr>
        <w:t xml:space="preserve"> </w:t>
      </w:r>
      <w:r w:rsidR="00316074">
        <w:rPr>
          <w:lang w:val="en-AU"/>
        </w:rPr>
        <w:t xml:space="preserve">reportedly </w:t>
      </w:r>
      <w:r w:rsidR="00F93808" w:rsidRPr="009C60A5">
        <w:rPr>
          <w:lang w:val="en-AU"/>
        </w:rPr>
        <w:t xml:space="preserve">around </w:t>
      </w:r>
      <w:r w:rsidR="001B2841" w:rsidRPr="009C60A5">
        <w:rPr>
          <w:lang w:val="en-AU"/>
        </w:rPr>
        <w:t xml:space="preserve">130,000 </w:t>
      </w:r>
      <w:r w:rsidR="00765F9E">
        <w:rPr>
          <w:lang w:val="en-AU"/>
        </w:rPr>
        <w:t xml:space="preserve">Starlink </w:t>
      </w:r>
      <w:r w:rsidR="001B2841" w:rsidRPr="005D7BF9">
        <w:rPr>
          <w:lang w:val="en-AU"/>
        </w:rPr>
        <w:t>subscribers</w:t>
      </w:r>
      <w:r w:rsidR="00F93808" w:rsidRPr="001019FC">
        <w:rPr>
          <w:lang w:val="en-AU"/>
        </w:rPr>
        <w:t xml:space="preserve"> </w:t>
      </w:r>
      <w:r w:rsidR="00F13A0D">
        <w:rPr>
          <w:lang w:val="en-AU"/>
        </w:rPr>
        <w:t>nationally</w:t>
      </w:r>
      <w:r w:rsidR="00F93808" w:rsidRPr="009C60A5">
        <w:rPr>
          <w:lang w:val="en-AU"/>
        </w:rPr>
        <w:t xml:space="preserve">. Although Starlink has predominantly marketed its </w:t>
      </w:r>
      <w:r w:rsidR="00765F9E">
        <w:rPr>
          <w:lang w:val="en-AU"/>
        </w:rPr>
        <w:t xml:space="preserve">residential </w:t>
      </w:r>
      <w:r w:rsidR="00F93808" w:rsidRPr="009C60A5">
        <w:rPr>
          <w:lang w:val="en-AU"/>
        </w:rPr>
        <w:t>service</w:t>
      </w:r>
      <w:r w:rsidR="001B0085">
        <w:rPr>
          <w:lang w:val="en-AU"/>
        </w:rPr>
        <w:t>s</w:t>
      </w:r>
      <w:r w:rsidR="00F93808" w:rsidRPr="009C60A5">
        <w:rPr>
          <w:lang w:val="en-AU"/>
        </w:rPr>
        <w:t xml:space="preserve"> directly to customers as a retail product, Telstra announced in July 2023 that it plans to begin offering bundled voice and broadband services over Starlink </w:t>
      </w:r>
      <w:r w:rsidR="000D4289">
        <w:rPr>
          <w:lang w:val="en-AU"/>
        </w:rPr>
        <w:t>from</w:t>
      </w:r>
      <w:r w:rsidR="000D4289" w:rsidRPr="009C60A5">
        <w:rPr>
          <w:lang w:val="en-AU"/>
        </w:rPr>
        <w:t xml:space="preserve"> </w:t>
      </w:r>
      <w:r w:rsidR="00F93808" w:rsidRPr="009C60A5">
        <w:rPr>
          <w:lang w:val="en-AU"/>
        </w:rPr>
        <w:t>late 2023. Other LEOSat platforms are also in the process of being rolled out globally and are expected to be widely available in Australia in coming years, including OneWeb</w:t>
      </w:r>
      <w:r w:rsidR="00B937B2" w:rsidRPr="009C60A5">
        <w:rPr>
          <w:lang w:val="en-AU"/>
        </w:rPr>
        <w:t xml:space="preserve"> likely </w:t>
      </w:r>
      <w:r w:rsidR="00F93808" w:rsidRPr="009C60A5">
        <w:rPr>
          <w:lang w:val="en-AU"/>
        </w:rPr>
        <w:t xml:space="preserve">in early 2024 </w:t>
      </w:r>
      <w:r w:rsidR="00D34910" w:rsidRPr="009C60A5">
        <w:rPr>
          <w:lang w:val="en-AU"/>
        </w:rPr>
        <w:t xml:space="preserve">and </w:t>
      </w:r>
      <w:r w:rsidR="00F93808" w:rsidRPr="009C60A5">
        <w:rPr>
          <w:lang w:val="en-AU"/>
        </w:rPr>
        <w:t>Amazon’s Kuiper network</w:t>
      </w:r>
      <w:r w:rsidR="00B937B2" w:rsidRPr="009C60A5">
        <w:rPr>
          <w:lang w:val="en-AU"/>
        </w:rPr>
        <w:t xml:space="preserve"> likely</w:t>
      </w:r>
      <w:r w:rsidR="00F93808" w:rsidRPr="009C60A5">
        <w:rPr>
          <w:lang w:val="en-AU"/>
        </w:rPr>
        <w:t xml:space="preserve"> in 2025. </w:t>
      </w:r>
    </w:p>
    <w:p w14:paraId="13D85EA3" w14:textId="77777777" w:rsidR="00987FF3" w:rsidRDefault="00683CB6" w:rsidP="009F01CA">
      <w:pPr>
        <w:pStyle w:val="ListNumbered1"/>
        <w:numPr>
          <w:ilvl w:val="0"/>
          <w:numId w:val="0"/>
        </w:numPr>
        <w:rPr>
          <w:lang w:val="en-AU"/>
        </w:rPr>
      </w:pPr>
      <w:r w:rsidRPr="009C60A5">
        <w:rPr>
          <w:lang w:val="en-AU"/>
        </w:rPr>
        <w:t xml:space="preserve">Direct-to-device (D2D) satellite technology </w:t>
      </w:r>
      <w:r w:rsidR="00605504" w:rsidRPr="009C60A5">
        <w:rPr>
          <w:lang w:val="en-AU"/>
        </w:rPr>
        <w:t>has</w:t>
      </w:r>
      <w:r w:rsidR="00987FF3">
        <w:rPr>
          <w:lang w:val="en-AU"/>
        </w:rPr>
        <w:t xml:space="preserve"> also</w:t>
      </w:r>
      <w:r w:rsidR="00605504" w:rsidRPr="009C60A5">
        <w:rPr>
          <w:lang w:val="en-AU"/>
        </w:rPr>
        <w:t xml:space="preserve"> emerged as a potential </w:t>
      </w:r>
      <w:r w:rsidR="004F3006">
        <w:rPr>
          <w:lang w:val="en-AU"/>
        </w:rPr>
        <w:t xml:space="preserve">future </w:t>
      </w:r>
      <w:r w:rsidR="00605504" w:rsidRPr="009C60A5">
        <w:rPr>
          <w:lang w:val="en-AU"/>
        </w:rPr>
        <w:t xml:space="preserve">alternative </w:t>
      </w:r>
      <w:r w:rsidR="004F3006">
        <w:rPr>
          <w:lang w:val="en-AU"/>
        </w:rPr>
        <w:t>or complementary service</w:t>
      </w:r>
      <w:r w:rsidR="00605504" w:rsidRPr="009C60A5">
        <w:rPr>
          <w:lang w:val="en-AU"/>
        </w:rPr>
        <w:t xml:space="preserve"> </w:t>
      </w:r>
      <w:r w:rsidR="004F3006">
        <w:rPr>
          <w:lang w:val="en-AU"/>
        </w:rPr>
        <w:t xml:space="preserve">to existing </w:t>
      </w:r>
      <w:r w:rsidR="00605504" w:rsidRPr="009C60A5">
        <w:rPr>
          <w:lang w:val="en-AU"/>
        </w:rPr>
        <w:t xml:space="preserve">USO services. </w:t>
      </w:r>
      <w:r w:rsidR="00987FF3" w:rsidRPr="009C60A5">
        <w:rPr>
          <w:lang w:val="en-AU"/>
        </w:rPr>
        <w:t xml:space="preserve">In July 2023, Optus announced a partnership with Starlink to deliver </w:t>
      </w:r>
      <w:r w:rsidR="005D7BF9">
        <w:rPr>
          <w:lang w:val="en-AU"/>
        </w:rPr>
        <w:t>D2D</w:t>
      </w:r>
      <w:r w:rsidR="00987FF3" w:rsidRPr="009C60A5">
        <w:rPr>
          <w:lang w:val="en-AU"/>
        </w:rPr>
        <w:t xml:space="preserve"> mobile connectivity in areas without existing mobile coverage</w:t>
      </w:r>
      <w:r w:rsidR="00B71781">
        <w:rPr>
          <w:lang w:val="en-AU"/>
        </w:rPr>
        <w:t xml:space="preserve">. </w:t>
      </w:r>
      <w:r w:rsidR="00987FF3" w:rsidRPr="009C60A5">
        <w:rPr>
          <w:lang w:val="en-AU"/>
        </w:rPr>
        <w:t xml:space="preserve">Optus </w:t>
      </w:r>
      <w:r w:rsidR="00B71781">
        <w:rPr>
          <w:lang w:val="en-AU"/>
        </w:rPr>
        <w:t xml:space="preserve">has indicated it </w:t>
      </w:r>
      <w:r w:rsidR="00987FF3" w:rsidRPr="009C60A5">
        <w:rPr>
          <w:lang w:val="en-AU"/>
        </w:rPr>
        <w:t xml:space="preserve">plans to roll out SMS capability over Starlink </w:t>
      </w:r>
      <w:r w:rsidR="000D4289">
        <w:rPr>
          <w:lang w:val="en-AU"/>
        </w:rPr>
        <w:t>from</w:t>
      </w:r>
      <w:r w:rsidR="000D4289" w:rsidRPr="009C60A5">
        <w:rPr>
          <w:lang w:val="en-AU"/>
        </w:rPr>
        <w:t xml:space="preserve"> </w:t>
      </w:r>
      <w:r w:rsidR="00987FF3" w:rsidRPr="009C60A5">
        <w:rPr>
          <w:lang w:val="en-AU"/>
        </w:rPr>
        <w:t xml:space="preserve">late 2024, and voice and data applications </w:t>
      </w:r>
      <w:r w:rsidR="000D4289">
        <w:rPr>
          <w:lang w:val="en-AU"/>
        </w:rPr>
        <w:t>from</w:t>
      </w:r>
      <w:r w:rsidR="00987FF3" w:rsidRPr="009C60A5">
        <w:rPr>
          <w:lang w:val="en-AU"/>
        </w:rPr>
        <w:t xml:space="preserve"> late 2025.</w:t>
      </w:r>
      <w:r w:rsidR="00987FF3">
        <w:rPr>
          <w:lang w:val="en-AU"/>
        </w:rPr>
        <w:t xml:space="preserve"> </w:t>
      </w:r>
    </w:p>
    <w:p w14:paraId="6EB35C6B" w14:textId="32344406" w:rsidR="00970E31" w:rsidRPr="009C60A5" w:rsidRDefault="00765F9E" w:rsidP="009F01CA">
      <w:pPr>
        <w:pStyle w:val="ListNumbered1"/>
        <w:numPr>
          <w:ilvl w:val="0"/>
          <w:numId w:val="0"/>
        </w:numPr>
        <w:rPr>
          <w:lang w:val="en-AU"/>
        </w:rPr>
      </w:pPr>
      <w:r>
        <w:rPr>
          <w:lang w:val="en-AU"/>
        </w:rPr>
        <w:t>While many s</w:t>
      </w:r>
      <w:r w:rsidR="00D27D48" w:rsidRPr="006E4386">
        <w:rPr>
          <w:lang w:val="en-AU"/>
        </w:rPr>
        <w:t>atellite services</w:t>
      </w:r>
      <w:r>
        <w:rPr>
          <w:lang w:val="en-AU"/>
        </w:rPr>
        <w:t>, including LEOSats,</w:t>
      </w:r>
      <w:r w:rsidR="00683CB6" w:rsidRPr="006E4386">
        <w:rPr>
          <w:lang w:val="en-AU"/>
        </w:rPr>
        <w:t xml:space="preserve"> </w:t>
      </w:r>
      <w:r>
        <w:rPr>
          <w:lang w:val="en-AU"/>
        </w:rPr>
        <w:t xml:space="preserve">are configured to </w:t>
      </w:r>
      <w:r w:rsidR="00683CB6" w:rsidRPr="009C60A5">
        <w:rPr>
          <w:lang w:val="en-AU"/>
        </w:rPr>
        <w:t xml:space="preserve">establish a </w:t>
      </w:r>
      <w:r w:rsidR="00987FF3">
        <w:rPr>
          <w:lang w:val="en-AU"/>
        </w:rPr>
        <w:t xml:space="preserve">fixed </w:t>
      </w:r>
      <w:r w:rsidR="00683CB6" w:rsidRPr="009C60A5">
        <w:rPr>
          <w:lang w:val="en-AU"/>
        </w:rPr>
        <w:t xml:space="preserve">connection at a </w:t>
      </w:r>
      <w:r w:rsidR="00987FF3">
        <w:rPr>
          <w:lang w:val="en-AU"/>
        </w:rPr>
        <w:t>premises</w:t>
      </w:r>
      <w:r w:rsidR="00683CB6" w:rsidRPr="009C60A5">
        <w:rPr>
          <w:lang w:val="en-AU"/>
        </w:rPr>
        <w:t xml:space="preserve">, D2D technology can provide mobile solutions by communicating directly to an end-user’s mobile phone or device. </w:t>
      </w:r>
      <w:r>
        <w:rPr>
          <w:lang w:val="en-AU"/>
        </w:rPr>
        <w:t>While p</w:t>
      </w:r>
      <w:r w:rsidR="0095079F" w:rsidRPr="009C60A5">
        <w:rPr>
          <w:lang w:val="en-AU"/>
        </w:rPr>
        <w:t>urpose-specific</w:t>
      </w:r>
      <w:r w:rsidR="00605504" w:rsidRPr="009C60A5">
        <w:rPr>
          <w:lang w:val="en-AU"/>
        </w:rPr>
        <w:t xml:space="preserve"> satellite phones have been commercially available for decades</w:t>
      </w:r>
      <w:r w:rsidR="00F13A0D">
        <w:rPr>
          <w:lang w:val="en-AU"/>
        </w:rPr>
        <w:t>,</w:t>
      </w:r>
      <w:r w:rsidR="00987FF3">
        <w:rPr>
          <w:lang w:val="en-AU"/>
        </w:rPr>
        <w:t xml:space="preserve"> </w:t>
      </w:r>
      <w:r w:rsidR="004B55B9">
        <w:rPr>
          <w:lang w:val="en-AU"/>
        </w:rPr>
        <w:t xml:space="preserve">supported by </w:t>
      </w:r>
      <w:r w:rsidR="00987FF3">
        <w:rPr>
          <w:lang w:val="en-AU"/>
        </w:rPr>
        <w:t xml:space="preserve">geostationary </w:t>
      </w:r>
      <w:r w:rsidR="007D5F10">
        <w:rPr>
          <w:lang w:val="en-AU"/>
        </w:rPr>
        <w:t xml:space="preserve">or other </w:t>
      </w:r>
      <w:r w:rsidR="00987FF3">
        <w:rPr>
          <w:lang w:val="en-AU"/>
        </w:rPr>
        <w:t>satellites</w:t>
      </w:r>
      <w:r>
        <w:rPr>
          <w:lang w:val="en-AU"/>
        </w:rPr>
        <w:t>, they involved specific plans and the purchase of dedicated</w:t>
      </w:r>
      <w:r w:rsidR="004F3006">
        <w:rPr>
          <w:lang w:val="en-AU"/>
        </w:rPr>
        <w:t xml:space="preserve"> </w:t>
      </w:r>
      <w:r w:rsidR="005C2B5E">
        <w:rPr>
          <w:lang w:val="en-AU"/>
        </w:rPr>
        <w:t xml:space="preserve">satellite </w:t>
      </w:r>
      <w:r w:rsidR="004F3006">
        <w:rPr>
          <w:lang w:val="en-AU"/>
        </w:rPr>
        <w:t>handsets or other equipment</w:t>
      </w:r>
      <w:r w:rsidR="004B55B9">
        <w:rPr>
          <w:lang w:val="en-AU"/>
        </w:rPr>
        <w:t xml:space="preserve"> (such as </w:t>
      </w:r>
      <w:r w:rsidR="005C2B5E">
        <w:rPr>
          <w:lang w:val="en-AU"/>
        </w:rPr>
        <w:t xml:space="preserve">satellite </w:t>
      </w:r>
      <w:r w:rsidR="004B55B9">
        <w:rPr>
          <w:lang w:val="en-AU"/>
        </w:rPr>
        <w:t>sleeves</w:t>
      </w:r>
      <w:r w:rsidR="005C2B5E">
        <w:rPr>
          <w:lang w:val="en-AU"/>
        </w:rPr>
        <w:t xml:space="preserve"> that can be used with existing smartphones</w:t>
      </w:r>
      <w:r w:rsidR="007D5F10">
        <w:rPr>
          <w:lang w:val="en-AU"/>
        </w:rPr>
        <w:t>). As a result</w:t>
      </w:r>
      <w:r w:rsidR="005C2B5E">
        <w:rPr>
          <w:lang w:val="en-AU"/>
        </w:rPr>
        <w:t xml:space="preserve"> of these factors</w:t>
      </w:r>
      <w:r w:rsidR="007D5F10">
        <w:rPr>
          <w:lang w:val="en-AU"/>
        </w:rPr>
        <w:t>, satellite phones</w:t>
      </w:r>
      <w:r w:rsidR="00987FF3">
        <w:rPr>
          <w:lang w:val="en-AU"/>
        </w:rPr>
        <w:t xml:space="preserve"> </w:t>
      </w:r>
      <w:r w:rsidR="005D7BF9">
        <w:rPr>
          <w:lang w:val="en-AU"/>
        </w:rPr>
        <w:t xml:space="preserve">have </w:t>
      </w:r>
      <w:r w:rsidR="00987FF3">
        <w:rPr>
          <w:lang w:val="en-AU"/>
        </w:rPr>
        <w:t>not</w:t>
      </w:r>
      <w:r w:rsidR="005D7BF9">
        <w:rPr>
          <w:lang w:val="en-AU"/>
        </w:rPr>
        <w:t xml:space="preserve"> been</w:t>
      </w:r>
      <w:r w:rsidR="00987FF3">
        <w:rPr>
          <w:lang w:val="en-AU"/>
        </w:rPr>
        <w:t xml:space="preserve"> widely taken up.</w:t>
      </w:r>
    </w:p>
    <w:p w14:paraId="71ED6077" w14:textId="30235D48" w:rsidR="00E10F7E" w:rsidRDefault="00970E31" w:rsidP="009F01CA">
      <w:pPr>
        <w:pStyle w:val="ListNumbered1"/>
        <w:numPr>
          <w:ilvl w:val="0"/>
          <w:numId w:val="0"/>
        </w:numPr>
        <w:rPr>
          <w:lang w:val="en-AU"/>
        </w:rPr>
      </w:pPr>
      <w:r w:rsidRPr="009C60A5">
        <w:rPr>
          <w:lang w:val="en-AU"/>
        </w:rPr>
        <w:t>The</w:t>
      </w:r>
      <w:r w:rsidR="00F93808" w:rsidRPr="009C60A5">
        <w:rPr>
          <w:lang w:val="en-AU"/>
        </w:rPr>
        <w:t xml:space="preserve"> deployment of </w:t>
      </w:r>
      <w:r w:rsidR="006E4386">
        <w:rPr>
          <w:lang w:val="en-AU"/>
        </w:rPr>
        <w:t xml:space="preserve">LEOSats </w:t>
      </w:r>
      <w:r w:rsidR="009E55D2" w:rsidRPr="009C60A5">
        <w:rPr>
          <w:lang w:val="en-AU"/>
        </w:rPr>
        <w:t>promises</w:t>
      </w:r>
      <w:r w:rsidR="00F93808" w:rsidRPr="009C60A5">
        <w:rPr>
          <w:lang w:val="en-AU"/>
        </w:rPr>
        <w:t xml:space="preserve"> to support both high</w:t>
      </w:r>
      <w:r w:rsidR="00223607" w:rsidRPr="009C60A5">
        <w:rPr>
          <w:lang w:val="en-AU"/>
        </w:rPr>
        <w:t>-</w:t>
      </w:r>
      <w:r w:rsidR="00F93808" w:rsidRPr="009C60A5">
        <w:rPr>
          <w:lang w:val="en-AU"/>
        </w:rPr>
        <w:t>quality, low</w:t>
      </w:r>
      <w:r w:rsidR="00560CD9" w:rsidRPr="009C60A5">
        <w:rPr>
          <w:lang w:val="en-AU"/>
        </w:rPr>
        <w:t>-</w:t>
      </w:r>
      <w:r w:rsidR="00F93808" w:rsidRPr="009C60A5">
        <w:rPr>
          <w:lang w:val="en-AU"/>
        </w:rPr>
        <w:t>latency voice services and high-speed broadband, and it is therefore important to consider what role these platforms should play in supporting better delivery of USO services.</w:t>
      </w:r>
      <w:r w:rsidR="00560CD9" w:rsidRPr="009C60A5">
        <w:rPr>
          <w:lang w:val="en-AU"/>
        </w:rPr>
        <w:t xml:space="preserve"> </w:t>
      </w:r>
      <w:r w:rsidR="00E22CFB">
        <w:rPr>
          <w:lang w:val="en-AU"/>
        </w:rPr>
        <w:t>A key issue is that t</w:t>
      </w:r>
      <w:r w:rsidR="00FB3CD9" w:rsidRPr="009C60A5">
        <w:rPr>
          <w:lang w:val="en-AU"/>
        </w:rPr>
        <w:t xml:space="preserve">hese platforms, as well as other technologies, </w:t>
      </w:r>
      <w:r w:rsidR="00E22CFB">
        <w:rPr>
          <w:lang w:val="en-AU"/>
        </w:rPr>
        <w:t xml:space="preserve">will need to be shown to </w:t>
      </w:r>
      <w:r w:rsidR="00FB3CD9" w:rsidRPr="009C60A5">
        <w:rPr>
          <w:lang w:val="en-AU"/>
        </w:rPr>
        <w:t xml:space="preserve">deliver an acceptable </w:t>
      </w:r>
      <w:r w:rsidR="00223607" w:rsidRPr="009C60A5">
        <w:rPr>
          <w:lang w:val="en-AU"/>
        </w:rPr>
        <w:t xml:space="preserve">baseline </w:t>
      </w:r>
      <w:r w:rsidR="00FB3CD9" w:rsidRPr="009C60A5">
        <w:rPr>
          <w:lang w:val="en-AU"/>
        </w:rPr>
        <w:t xml:space="preserve">level of service </w:t>
      </w:r>
      <w:r w:rsidR="006E4386">
        <w:rPr>
          <w:lang w:val="en-AU"/>
        </w:rPr>
        <w:t xml:space="preserve">in Australian conditions </w:t>
      </w:r>
      <w:r w:rsidR="00FB3CD9" w:rsidRPr="009C60A5">
        <w:rPr>
          <w:lang w:val="en-AU"/>
        </w:rPr>
        <w:t>that regional and remote consumers can rely on</w:t>
      </w:r>
      <w:r w:rsidR="004A479C">
        <w:rPr>
          <w:lang w:val="en-AU"/>
        </w:rPr>
        <w:t xml:space="preserve"> before any decision is made</w:t>
      </w:r>
      <w:r w:rsidR="000D4289">
        <w:rPr>
          <w:lang w:val="en-AU"/>
        </w:rPr>
        <w:t xml:space="preserve"> to adjust existing USO arrangements</w:t>
      </w:r>
      <w:r w:rsidR="004A479C">
        <w:rPr>
          <w:lang w:val="en-AU"/>
        </w:rPr>
        <w:t>.</w:t>
      </w:r>
      <w:r w:rsidR="00A9158A">
        <w:rPr>
          <w:lang w:val="en-AU"/>
        </w:rPr>
        <w:t xml:space="preserve"> The Government will also consider the adequacy of the regulatory framework that applies to LEOSats, given their potential role in delivering USO services.</w:t>
      </w:r>
    </w:p>
    <w:p w14:paraId="3A9AAF24" w14:textId="57BE5E15" w:rsidR="00253103" w:rsidRPr="009C60A5" w:rsidRDefault="000E09B4" w:rsidP="009F01CA">
      <w:pPr>
        <w:pStyle w:val="Heading1"/>
        <w:spacing w:before="160"/>
        <w:contextualSpacing w:val="0"/>
      </w:pPr>
      <w:bookmarkStart w:id="34" w:name="_Toc149309869"/>
      <w:bookmarkEnd w:id="33"/>
      <w:r>
        <w:t xml:space="preserve">What should a modern </w:t>
      </w:r>
      <w:r w:rsidR="00470707">
        <w:t xml:space="preserve">universal service framework </w:t>
      </w:r>
      <w:r>
        <w:t>be able to deliver?</w:t>
      </w:r>
      <w:bookmarkEnd w:id="34"/>
    </w:p>
    <w:p w14:paraId="5B3DBFEF" w14:textId="148AC9D3" w:rsidR="00F93808" w:rsidRPr="009C60A5" w:rsidRDefault="00F93808" w:rsidP="009F01CA">
      <w:r w:rsidRPr="009C60A5">
        <w:t xml:space="preserve">As a starting point for </w:t>
      </w:r>
      <w:r w:rsidR="00FE0DAD">
        <w:t xml:space="preserve">considering the suitability of </w:t>
      </w:r>
      <w:r w:rsidRPr="009C60A5">
        <w:t xml:space="preserve">new platforms, it is important to determine the </w:t>
      </w:r>
      <w:r w:rsidR="00C511A4" w:rsidRPr="009C60A5">
        <w:t xml:space="preserve">service </w:t>
      </w:r>
      <w:r w:rsidR="00C73D27">
        <w:t xml:space="preserve">needs </w:t>
      </w:r>
      <w:r w:rsidRPr="009C60A5">
        <w:t xml:space="preserve">that should apply in </w:t>
      </w:r>
      <w:r w:rsidR="003F71EF">
        <w:t xml:space="preserve">the </w:t>
      </w:r>
      <w:r w:rsidRPr="009C60A5">
        <w:t>future. By establishing</w:t>
      </w:r>
      <w:r w:rsidR="009545F8">
        <w:t xml:space="preserve"> what an </w:t>
      </w:r>
      <w:r w:rsidRPr="009C60A5">
        <w:t xml:space="preserve">acceptable baseline </w:t>
      </w:r>
      <w:r w:rsidR="00470707">
        <w:t>universal</w:t>
      </w:r>
      <w:r w:rsidR="00470707" w:rsidRPr="009C60A5">
        <w:t xml:space="preserve"> </w:t>
      </w:r>
      <w:r w:rsidRPr="009C60A5">
        <w:t>service</w:t>
      </w:r>
      <w:r w:rsidR="009545F8">
        <w:t xml:space="preserve"> looks like</w:t>
      </w:r>
      <w:r w:rsidRPr="009C60A5">
        <w:t xml:space="preserve">, the Government will be better equipped to assess the suitability of new technologies for existing services in regional and remote areas.   </w:t>
      </w:r>
    </w:p>
    <w:p w14:paraId="6AF91514" w14:textId="22F107FE" w:rsidR="005A7E80" w:rsidRDefault="00470707" w:rsidP="005A7E80">
      <w:pPr>
        <w:rPr>
          <w:lang w:val="en-US"/>
        </w:rPr>
      </w:pPr>
      <w:r>
        <w:t>Presently, significant a</w:t>
      </w:r>
      <w:r w:rsidR="005A7E80">
        <w:t xml:space="preserve">spects </w:t>
      </w:r>
      <w:r w:rsidR="00BB0DA2">
        <w:t xml:space="preserve">of </w:t>
      </w:r>
      <w:r w:rsidR="005A7E80">
        <w:t xml:space="preserve">USO service </w:t>
      </w:r>
      <w:r w:rsidR="00BB0DA2">
        <w:t xml:space="preserve">delivery </w:t>
      </w:r>
      <w:r w:rsidR="00057040">
        <w:t xml:space="preserve">are currently </w:t>
      </w:r>
      <w:r w:rsidR="00BB0DA2">
        <w:t xml:space="preserve">supported through various </w:t>
      </w:r>
      <w:r w:rsidR="005C2B5E">
        <w:t xml:space="preserve">complementary </w:t>
      </w:r>
      <w:r w:rsidR="00BB0DA2">
        <w:t>regulatory and co-regulatory mechanisms</w:t>
      </w:r>
      <w:r w:rsidR="005A7E80">
        <w:t>. For example, connection, repair and appointment-keeping timeframes are set through the CSG and P</w:t>
      </w:r>
      <w:r w:rsidR="00A07C06">
        <w:t>riority Assistance</w:t>
      </w:r>
      <w:r w:rsidR="004C6E9E">
        <w:t xml:space="preserve"> arrangements</w:t>
      </w:r>
      <w:r w:rsidR="000D4289">
        <w:t xml:space="preserve"> described earlier</w:t>
      </w:r>
      <w:r w:rsidR="00845805">
        <w:t xml:space="preserve">, and basic voice quality metrics for </w:t>
      </w:r>
      <w:r w:rsidR="00BB0DA2">
        <w:t xml:space="preserve">STS are set out in </w:t>
      </w:r>
      <w:r w:rsidR="0037181B">
        <w:t xml:space="preserve">an </w:t>
      </w:r>
      <w:r w:rsidR="00BB0DA2">
        <w:t xml:space="preserve">industry code developed by the </w:t>
      </w:r>
      <w:r w:rsidR="00845805">
        <w:t>Communications Alliance</w:t>
      </w:r>
      <w:r w:rsidR="00845805">
        <w:rPr>
          <w:rStyle w:val="FootnoteReference"/>
        </w:rPr>
        <w:footnoteReference w:id="9"/>
      </w:r>
      <w:r w:rsidR="00C24832">
        <w:t>.</w:t>
      </w:r>
      <w:r w:rsidR="005A7E80">
        <w:t xml:space="preserve"> Telstra’s network availability is monitored through the Network Reliability Framework</w:t>
      </w:r>
      <w:r w:rsidR="008E637E">
        <w:t>. C</w:t>
      </w:r>
      <w:r w:rsidR="005A7E80">
        <w:t xml:space="preserve">onsumer </w:t>
      </w:r>
      <w:r w:rsidR="008E637E">
        <w:t>protections</w:t>
      </w:r>
      <w:r w:rsidR="00D20DBA">
        <w:t>,</w:t>
      </w:r>
      <w:r w:rsidR="008E637E">
        <w:t xml:space="preserve"> including</w:t>
      </w:r>
      <w:r w:rsidR="00D20DBA">
        <w:t xml:space="preserve"> for</w:t>
      </w:r>
      <w:r w:rsidR="005A7E80">
        <w:t xml:space="preserve"> billing, </w:t>
      </w:r>
      <w:r w:rsidR="008E637E">
        <w:t xml:space="preserve">sales, </w:t>
      </w:r>
      <w:r w:rsidR="005A7E80">
        <w:t xml:space="preserve">customer </w:t>
      </w:r>
      <w:r w:rsidR="009E5F4B">
        <w:t xml:space="preserve">service, </w:t>
      </w:r>
      <w:r w:rsidR="00BB0DA2">
        <w:t>complaint</w:t>
      </w:r>
      <w:r w:rsidR="009E5F4B">
        <w:t>s-</w:t>
      </w:r>
      <w:r w:rsidR="00BB0DA2">
        <w:t>handling and financial hardship matters</w:t>
      </w:r>
      <w:r w:rsidR="00D20DBA">
        <w:t>,</w:t>
      </w:r>
      <w:r w:rsidR="00BB0DA2">
        <w:t xml:space="preserve"> </w:t>
      </w:r>
      <w:r w:rsidR="005A7E80">
        <w:t>are managed through industry codes</w:t>
      </w:r>
      <w:r w:rsidR="000D4289">
        <w:t xml:space="preserve"> or directly regulated</w:t>
      </w:r>
      <w:r w:rsidR="005A7E80">
        <w:t xml:space="preserve"> </w:t>
      </w:r>
      <w:r w:rsidR="000D4289">
        <w:t xml:space="preserve">by </w:t>
      </w:r>
      <w:r w:rsidR="00392366">
        <w:t>t</w:t>
      </w:r>
      <w:r w:rsidR="000D4289">
        <w:t xml:space="preserve">he </w:t>
      </w:r>
      <w:r w:rsidR="00392366">
        <w:t xml:space="preserve">telecommunications regulator, the </w:t>
      </w:r>
      <w:r w:rsidR="000D4289">
        <w:t xml:space="preserve">ACMA. </w:t>
      </w:r>
      <w:r w:rsidR="009E5F4B">
        <w:t xml:space="preserve">The </w:t>
      </w:r>
      <w:r w:rsidR="005A7E80">
        <w:t>Australian Consumer Law</w:t>
      </w:r>
      <w:r w:rsidR="00392366">
        <w:t xml:space="preserve"> applies across the economy, including to most telecommunications services, and provides general consumer rights and guarantees, such as how providers market and represent goods and services</w:t>
      </w:r>
      <w:r w:rsidR="005A7E80">
        <w:t xml:space="preserve">. </w:t>
      </w:r>
      <w:r w:rsidR="006F73BE">
        <w:t>Current arrangements do not specify a particular</w:t>
      </w:r>
      <w:r w:rsidR="005A7E80">
        <w:rPr>
          <w:rFonts w:cs="Times New Roman"/>
          <w:lang w:val="en-US"/>
        </w:rPr>
        <w:t xml:space="preserve"> level of network resiliency or </w:t>
      </w:r>
      <w:r w:rsidR="006F73BE">
        <w:rPr>
          <w:rFonts w:cs="Times New Roman"/>
          <w:lang w:val="en-US"/>
        </w:rPr>
        <w:t>necessitate the provision of</w:t>
      </w:r>
      <w:r w:rsidR="005A7E80">
        <w:rPr>
          <w:rFonts w:cs="Times New Roman"/>
          <w:lang w:val="en-US"/>
        </w:rPr>
        <w:t xml:space="preserve"> redundancy options. </w:t>
      </w:r>
      <w:r w:rsidR="006F73BE">
        <w:rPr>
          <w:rFonts w:cs="Times New Roman"/>
          <w:lang w:val="en-US"/>
        </w:rPr>
        <w:t>On pricing, while</w:t>
      </w:r>
      <w:r w:rsidR="005A7E80">
        <w:rPr>
          <w:rFonts w:cs="Times New Roman"/>
          <w:lang w:val="en-US"/>
        </w:rPr>
        <w:t xml:space="preserve"> Telstra has previously been subject to price controls, it currently sets prices for USO voice services on a commercial basis.</w:t>
      </w:r>
      <w:r w:rsidR="005A7E80">
        <w:rPr>
          <w:lang w:val="en-US"/>
        </w:rPr>
        <w:t xml:space="preserve"> </w:t>
      </w:r>
    </w:p>
    <w:p w14:paraId="70AA97A0" w14:textId="77777777" w:rsidR="005A7E80" w:rsidRDefault="00BA0BFA" w:rsidP="00BA0BFA">
      <w:pPr>
        <w:pStyle w:val="Heading1"/>
        <w:spacing w:before="160"/>
        <w:contextualSpacing w:val="0"/>
      </w:pPr>
      <w:bookmarkStart w:id="35" w:name="_Toc149309870"/>
      <w:r>
        <w:t>Key q</w:t>
      </w:r>
      <w:r w:rsidR="005A7E80" w:rsidRPr="00BA0BFA">
        <w:t>uestions</w:t>
      </w:r>
      <w:r>
        <w:t xml:space="preserve"> for stakeholders</w:t>
      </w:r>
      <w:bookmarkEnd w:id="35"/>
    </w:p>
    <w:p w14:paraId="5B87BC9A" w14:textId="201B577A" w:rsidR="005A7E80" w:rsidRDefault="005A7E80" w:rsidP="001D0EAA">
      <w:pPr>
        <w:pStyle w:val="ListParagraph"/>
        <w:numPr>
          <w:ilvl w:val="0"/>
          <w:numId w:val="42"/>
        </w:numPr>
        <w:spacing w:after="60"/>
      </w:pPr>
      <w:r>
        <w:t xml:space="preserve">What do you consider are the </w:t>
      </w:r>
      <w:r w:rsidR="00FE6E61">
        <w:t xml:space="preserve">key </w:t>
      </w:r>
      <w:r>
        <w:t xml:space="preserve">outcomes that a modern </w:t>
      </w:r>
      <w:r w:rsidR="009D39F0">
        <w:t xml:space="preserve">universal service </w:t>
      </w:r>
      <w:r w:rsidR="00470707">
        <w:t>framework</w:t>
      </w:r>
      <w:r w:rsidR="009D39F0">
        <w:t xml:space="preserve"> </w:t>
      </w:r>
      <w:r>
        <w:t>should deliver?</w:t>
      </w:r>
    </w:p>
    <w:p w14:paraId="0AE89306" w14:textId="089EC254" w:rsidR="00586890" w:rsidRDefault="009D39F0" w:rsidP="001D0EAA">
      <w:pPr>
        <w:pStyle w:val="ListParagraph"/>
        <w:numPr>
          <w:ilvl w:val="0"/>
          <w:numId w:val="42"/>
        </w:numPr>
        <w:spacing w:after="60"/>
      </w:pPr>
      <w:r>
        <w:t>What safety-net se</w:t>
      </w:r>
      <w:r w:rsidR="009007A1">
        <w:t>rvices</w:t>
      </w:r>
      <w:r>
        <w:t xml:space="preserve"> does a modern universal service </w:t>
      </w:r>
      <w:r w:rsidR="00470707">
        <w:t>framework</w:t>
      </w:r>
      <w:r>
        <w:t xml:space="preserve"> need to </w:t>
      </w:r>
      <w:r w:rsidR="009007A1">
        <w:t>address</w:t>
      </w:r>
      <w:r>
        <w:t>?</w:t>
      </w:r>
    </w:p>
    <w:p w14:paraId="2A56D772" w14:textId="579E50DE" w:rsidR="00586890" w:rsidRDefault="00586890" w:rsidP="001D0EAA">
      <w:pPr>
        <w:pStyle w:val="ListParagraph"/>
        <w:numPr>
          <w:ilvl w:val="0"/>
          <w:numId w:val="42"/>
        </w:numPr>
        <w:spacing w:after="60"/>
      </w:pPr>
      <w:r>
        <w:t xml:space="preserve">To what extent do you consider mobile services </w:t>
      </w:r>
      <w:r w:rsidR="00470707">
        <w:t xml:space="preserve">are important </w:t>
      </w:r>
      <w:r w:rsidR="00B057DE">
        <w:t xml:space="preserve">to </w:t>
      </w:r>
      <w:r>
        <w:t>complement</w:t>
      </w:r>
      <w:r w:rsidR="00470707">
        <w:t xml:space="preserve"> fixed services supported under the existing framework</w:t>
      </w:r>
      <w:r>
        <w:t>?</w:t>
      </w:r>
    </w:p>
    <w:p w14:paraId="015B33F2" w14:textId="13CC7378" w:rsidR="005A7E80" w:rsidRDefault="005A7E80" w:rsidP="001D0EAA">
      <w:pPr>
        <w:pStyle w:val="ListParagraph"/>
        <w:numPr>
          <w:ilvl w:val="0"/>
          <w:numId w:val="42"/>
        </w:numPr>
        <w:spacing w:after="60"/>
      </w:pPr>
      <w:r>
        <w:t xml:space="preserve">Which existing requirements </w:t>
      </w:r>
      <w:r w:rsidR="009D39F0">
        <w:t xml:space="preserve">under </w:t>
      </w:r>
      <w:r w:rsidR="0037181B">
        <w:t xml:space="preserve">the </w:t>
      </w:r>
      <w:r w:rsidR="009D39F0">
        <w:t xml:space="preserve">current universal service </w:t>
      </w:r>
      <w:r w:rsidR="00470707">
        <w:t>framework</w:t>
      </w:r>
      <w:r w:rsidR="009D39F0">
        <w:t xml:space="preserve"> </w:t>
      </w:r>
      <w:r>
        <w:t>should be retained, or changed?</w:t>
      </w:r>
    </w:p>
    <w:p w14:paraId="22E46FC8" w14:textId="7705A525" w:rsidR="005A7E80" w:rsidRDefault="005A7E80" w:rsidP="001D0EAA">
      <w:pPr>
        <w:pStyle w:val="ListParagraph"/>
        <w:numPr>
          <w:ilvl w:val="0"/>
          <w:numId w:val="32"/>
        </w:numPr>
      </w:pPr>
      <w:r>
        <w:t>What role do you consider payphones should play</w:t>
      </w:r>
      <w:r w:rsidDel="009D39F0">
        <w:t xml:space="preserve"> in a </w:t>
      </w:r>
      <w:r w:rsidR="00470707">
        <w:t>modern universal service framework</w:t>
      </w:r>
      <w:r>
        <w:t>?</w:t>
      </w:r>
      <w:r w:rsidR="007B21A1">
        <w:t xml:space="preserve"> </w:t>
      </w:r>
    </w:p>
    <w:p w14:paraId="30A10D39" w14:textId="09E20894" w:rsidR="005A7E80" w:rsidRDefault="005A7E80" w:rsidP="001D0EAA">
      <w:pPr>
        <w:pStyle w:val="ListParagraph"/>
        <w:numPr>
          <w:ilvl w:val="0"/>
          <w:numId w:val="42"/>
        </w:numPr>
      </w:pPr>
      <w:r>
        <w:t xml:space="preserve">How should affordability be considered? </w:t>
      </w:r>
    </w:p>
    <w:p w14:paraId="2D850037" w14:textId="15E32968" w:rsidR="005A7E80" w:rsidRDefault="005A7E80" w:rsidP="001D0EAA">
      <w:pPr>
        <w:pStyle w:val="ListParagraph"/>
        <w:numPr>
          <w:ilvl w:val="0"/>
          <w:numId w:val="42"/>
        </w:numPr>
      </w:pPr>
      <w:r>
        <w:t xml:space="preserve">How </w:t>
      </w:r>
      <w:r w:rsidR="0037573E">
        <w:t xml:space="preserve">can </w:t>
      </w:r>
      <w:r>
        <w:t xml:space="preserve">a </w:t>
      </w:r>
      <w:r w:rsidR="00C73D27">
        <w:t>modern</w:t>
      </w:r>
      <w:r w:rsidR="009D39F0">
        <w:t xml:space="preserve"> universal service </w:t>
      </w:r>
      <w:r w:rsidR="00470707">
        <w:t>framework</w:t>
      </w:r>
      <w:r w:rsidR="00C73D27">
        <w:t xml:space="preserve"> deliver better outcomes </w:t>
      </w:r>
      <w:r w:rsidR="00470707">
        <w:t xml:space="preserve">and </w:t>
      </w:r>
      <w:r w:rsidR="002F04EB">
        <w:t xml:space="preserve">meet </w:t>
      </w:r>
      <w:r w:rsidR="00470707">
        <w:t xml:space="preserve">digital inclusion needs of </w:t>
      </w:r>
      <w:r>
        <w:t>First Nations Australians?</w:t>
      </w:r>
    </w:p>
    <w:p w14:paraId="6265F829" w14:textId="77777777" w:rsidR="00BA0BFA" w:rsidRDefault="00BA0BFA" w:rsidP="00BA0BFA">
      <w:pPr>
        <w:pStyle w:val="Heading1"/>
        <w:spacing w:before="160"/>
        <w:contextualSpacing w:val="0"/>
      </w:pPr>
      <w:bookmarkStart w:id="36" w:name="_Toc149309871"/>
      <w:r>
        <w:t>Background to assist responses to key questions</w:t>
      </w:r>
      <w:bookmarkEnd w:id="36"/>
    </w:p>
    <w:p w14:paraId="7CEE2B99" w14:textId="46B84A21" w:rsidR="00BA0BFA" w:rsidRDefault="00BA0BFA" w:rsidP="00BA0BFA">
      <w:bookmarkStart w:id="37" w:name="_Toc143754969"/>
      <w:r>
        <w:t xml:space="preserve">The Government is interested in hearing from stakeholders about the characteristics and outcomes that a modern </w:t>
      </w:r>
      <w:r w:rsidR="00470707">
        <w:t>universal service framework</w:t>
      </w:r>
      <w:r>
        <w:t xml:space="preserve"> should be able to deliver. Current arrangements and potential areas for consideration are outlined below to help inform stakeholder feedback</w:t>
      </w:r>
      <w:r w:rsidR="00D95527">
        <w:t>, and to assist with responding to the questions set out above.</w:t>
      </w:r>
    </w:p>
    <w:p w14:paraId="580B87EA" w14:textId="77777777" w:rsidR="00F93808" w:rsidRPr="009C60A5" w:rsidRDefault="00F93808" w:rsidP="004D2802">
      <w:pPr>
        <w:pStyle w:val="Heading2"/>
        <w:spacing w:before="160" w:after="60"/>
      </w:pPr>
      <w:bookmarkStart w:id="38" w:name="_Toc149309872"/>
      <w:r w:rsidRPr="009C60A5">
        <w:t>Connection, repair and appointment-keeping</w:t>
      </w:r>
      <w:bookmarkEnd w:id="37"/>
      <w:bookmarkEnd w:id="38"/>
    </w:p>
    <w:p w14:paraId="4D69F53F" w14:textId="656DEA13" w:rsidR="008E78C0" w:rsidRPr="009C60A5" w:rsidRDefault="00F93808" w:rsidP="004D2802">
      <w:pPr>
        <w:spacing w:before="0"/>
      </w:pPr>
      <w:r w:rsidRPr="009C60A5">
        <w:t xml:space="preserve">Timeframes for connection, repair and appointment-keeping for existing USO services are currently regulated under the </w:t>
      </w:r>
      <w:r w:rsidR="004C6E9E">
        <w:t>CSG.</w:t>
      </w:r>
      <w:r w:rsidRPr="009C60A5">
        <w:t xml:space="preserve"> Where Telstra supplies an STS</w:t>
      </w:r>
      <w:r w:rsidR="00470707">
        <w:t xml:space="preserve"> under the USO</w:t>
      </w:r>
      <w:r w:rsidRPr="009C60A5">
        <w:t>, it must meet specified maximum timeframes under the CSG or otherwise pay compensation directly to customers. Timeframes vary across urban, rural and remote areas, recognising the distances involved and given carriage service providers may need to arrange to transport necessary infrastructure or technicians to the location.</w:t>
      </w:r>
      <w:r w:rsidR="008E78C0" w:rsidRPr="009C60A5">
        <w:t xml:space="preserve"> Where a provider is not able to meet a timeframe, it can make a reasonable offer to supply an interim service (such as a mobile or satellite service at standard landline rates) or an alternative service (such as a call redirection to a mobile or additional landline service). </w:t>
      </w:r>
      <w:r w:rsidRPr="009C60A5">
        <w:t xml:space="preserve"> </w:t>
      </w:r>
    </w:p>
    <w:p w14:paraId="74F25889" w14:textId="77777777" w:rsidR="00BA676B" w:rsidRPr="009C60A5" w:rsidRDefault="00BA676B" w:rsidP="009F01CA">
      <w:pPr>
        <w:rPr>
          <w:i/>
        </w:rPr>
      </w:pPr>
      <w:r w:rsidRPr="009C60A5">
        <w:t>These</w:t>
      </w:r>
      <w:r w:rsidR="00F93808" w:rsidRPr="009C60A5">
        <w:t xml:space="preserve"> arrangements are designed to provide an incentive for service providers to connect and repair services quickly, and compensate consumers when they experience delays without a working service. </w:t>
      </w:r>
      <w:r w:rsidRPr="009C60A5">
        <w:t xml:space="preserve">Detailed information about the CSG arrangements, including the maximum timeframes and relative compensation payable to consumers, is available on the </w:t>
      </w:r>
      <w:hyperlink r:id="rId39" w:history="1">
        <w:r w:rsidRPr="009C60A5">
          <w:rPr>
            <w:rStyle w:val="Hyperlink"/>
          </w:rPr>
          <w:t>ACMA’s website</w:t>
        </w:r>
      </w:hyperlink>
      <w:r w:rsidRPr="009C60A5">
        <w:t xml:space="preserve"> or</w:t>
      </w:r>
      <w:r w:rsidR="005A7E80">
        <w:t xml:space="preserve"> in</w:t>
      </w:r>
      <w:r w:rsidRPr="009C60A5">
        <w:t xml:space="preserve"> the </w:t>
      </w:r>
      <w:hyperlink r:id="rId40" w:history="1">
        <w:r w:rsidRPr="009C60A5">
          <w:rPr>
            <w:rStyle w:val="Hyperlink"/>
            <w:i/>
          </w:rPr>
          <w:t>Telecommunications (Customer Service Guarantee) Standard 2023</w:t>
        </w:r>
      </w:hyperlink>
      <w:r w:rsidR="001F5B03" w:rsidRPr="009C60A5">
        <w:t xml:space="preserve">. </w:t>
      </w:r>
    </w:p>
    <w:p w14:paraId="103B7A21" w14:textId="77777777" w:rsidR="00F93808" w:rsidRPr="009C60A5" w:rsidRDefault="00F93808" w:rsidP="004D2802">
      <w:pPr>
        <w:pStyle w:val="Heading2"/>
        <w:spacing w:before="160" w:after="60"/>
      </w:pPr>
      <w:bookmarkStart w:id="39" w:name="_Toc143754970"/>
      <w:bookmarkStart w:id="40" w:name="_Toc149309873"/>
      <w:r w:rsidRPr="009C60A5">
        <w:t>Service quality</w:t>
      </w:r>
      <w:bookmarkEnd w:id="39"/>
      <w:bookmarkEnd w:id="40"/>
    </w:p>
    <w:p w14:paraId="54C90F4A" w14:textId="77777777" w:rsidR="00F93808" w:rsidRPr="009C60A5" w:rsidRDefault="00F93808" w:rsidP="004D2802">
      <w:pPr>
        <w:spacing w:before="0"/>
      </w:pPr>
      <w:r w:rsidRPr="009C60A5">
        <w:t xml:space="preserve">Telstra currently has requirements under the CSG to repair voice services that experience a fault or service difficulty. This may constitute fixing a range of specified issues with a service, including </w:t>
      </w:r>
      <w:r w:rsidR="004C6E9E">
        <w:t>where customers are</w:t>
      </w:r>
      <w:r w:rsidRPr="009C60A5">
        <w:t xml:space="preserve"> </w:t>
      </w:r>
      <w:r w:rsidR="004C6E9E">
        <w:t>unable</w:t>
      </w:r>
      <w:r w:rsidRPr="009C60A5">
        <w:t xml:space="preserve"> to make or receive calls as well as other disruptions such as excessive noise levels or repetitive drop-outs. However, other than the requirement under the USO to provide STS nationally, there are no specific standards or requirements under the CSG on the level of service Telstra must provide. As a comparison, the SIP laws require the networks of NBN Co and other SIPs to support retail services that can meet peak </w:t>
      </w:r>
      <w:r w:rsidR="0012408C">
        <w:t xml:space="preserve">broadband </w:t>
      </w:r>
      <w:r w:rsidRPr="009C60A5">
        <w:t xml:space="preserve">speeds of at least 25/5 Mbps. </w:t>
      </w:r>
    </w:p>
    <w:p w14:paraId="405C78C7" w14:textId="65AC1441" w:rsidR="00F93808" w:rsidRPr="009C60A5" w:rsidRDefault="00F93808" w:rsidP="009F01CA">
      <w:r w:rsidRPr="009C60A5">
        <w:t xml:space="preserve">Most commercially available services delivered over terrestrial infrastructure have low latencies that are able to easily support quality voice calls, including mobile services, fixed line and fixed wireless broadband. </w:t>
      </w:r>
      <w:r w:rsidR="00445E1B">
        <w:t>D</w:t>
      </w:r>
      <w:r w:rsidRPr="009C60A5">
        <w:t xml:space="preserve">ata reported by the </w:t>
      </w:r>
      <w:r w:rsidR="0037181B">
        <w:t>Australian Competition and Consumer Commission (</w:t>
      </w:r>
      <w:r w:rsidRPr="009C60A5">
        <w:t>ACCC</w:t>
      </w:r>
      <w:r w:rsidR="0037181B">
        <w:t>)</w:t>
      </w:r>
      <w:r w:rsidRPr="009C60A5">
        <w:t xml:space="preserve"> through the </w:t>
      </w:r>
      <w:hyperlink r:id="rId41" w:history="1">
        <w:r w:rsidRPr="009C60A5">
          <w:rPr>
            <w:rStyle w:val="Hyperlink"/>
          </w:rPr>
          <w:t>Measuring Broadband Australia program</w:t>
        </w:r>
      </w:hyperlink>
      <w:r w:rsidRPr="009C60A5">
        <w:t xml:space="preserve"> shows latencies for broadband services delivered over the NBN are typically in the range of 8-1</w:t>
      </w:r>
      <w:r w:rsidR="003151E2">
        <w:t>4</w:t>
      </w:r>
      <w:r w:rsidRPr="009C60A5">
        <w:t>ms over the fixed</w:t>
      </w:r>
      <w:r w:rsidR="00D20DBA">
        <w:t xml:space="preserve"> </w:t>
      </w:r>
      <w:r w:rsidRPr="009C60A5">
        <w:t xml:space="preserve">line network and 40-45ms over the </w:t>
      </w:r>
      <w:r w:rsidR="00D16FAB">
        <w:t>f</w:t>
      </w:r>
      <w:r w:rsidRPr="009C60A5">
        <w:t xml:space="preserve">ixed </w:t>
      </w:r>
      <w:r w:rsidR="00D16FAB">
        <w:t>w</w:t>
      </w:r>
      <w:r w:rsidRPr="009C60A5">
        <w:t>ireless network</w:t>
      </w:r>
      <w:r w:rsidR="00445E1B">
        <w:t xml:space="preserve">, </w:t>
      </w:r>
      <w:r w:rsidRPr="009C60A5">
        <w:t>noting latency can also be impacted by a range of issues such as the configuration of a router or network load.</w:t>
      </w:r>
      <w:r w:rsidRPr="009C60A5">
        <w:rPr>
          <w:rStyle w:val="FootnoteReference"/>
        </w:rPr>
        <w:footnoteReference w:id="10"/>
      </w:r>
      <w:r w:rsidRPr="009C60A5">
        <w:t xml:space="preserve"> Mobile services have typically been expected to have higher latencies than fixed</w:t>
      </w:r>
      <w:r w:rsidR="00D20DBA">
        <w:t xml:space="preserve"> </w:t>
      </w:r>
      <w:r w:rsidRPr="009C60A5">
        <w:t>line connections, within the broad range of 25-50ms, although 5G is seen to provide significantly lower latency. As geostationary satellites like NBN Sky Muster orbit at a great distance from Earth, they provide high</w:t>
      </w:r>
      <w:r w:rsidR="003151E2">
        <w:t>-</w:t>
      </w:r>
      <w:r w:rsidRPr="009C60A5">
        <w:t xml:space="preserve">latency services that are not typically considered to be as suitable for voice applications as other telecommunications platforms. </w:t>
      </w:r>
      <w:r w:rsidR="00470707">
        <w:t xml:space="preserve">However, </w:t>
      </w:r>
      <w:r w:rsidR="002F04EB">
        <w:t xml:space="preserve">many consumers </w:t>
      </w:r>
      <w:r w:rsidR="00470707">
        <w:t>use Sky Muster for video conferencing.</w:t>
      </w:r>
      <w:r w:rsidRPr="009C60A5">
        <w:t xml:space="preserve"> LEOSat networks orbit much closer to the Earth and are therefore </w:t>
      </w:r>
      <w:r w:rsidR="003151E2">
        <w:t xml:space="preserve">generally </w:t>
      </w:r>
      <w:r w:rsidRPr="009C60A5">
        <w:t>able to provide</w:t>
      </w:r>
      <w:r w:rsidR="003151E2">
        <w:t xml:space="preserve"> services with</w:t>
      </w:r>
      <w:r w:rsidRPr="009C60A5">
        <w:t xml:space="preserve"> low</w:t>
      </w:r>
      <w:r w:rsidR="003151E2">
        <w:t xml:space="preserve">er </w:t>
      </w:r>
      <w:r w:rsidRPr="009C60A5">
        <w:t xml:space="preserve">latency </w:t>
      </w:r>
      <w:r w:rsidR="003151E2">
        <w:t>that may be broadly comparable with typical latencies for mobile and fixed wireless broadband services</w:t>
      </w:r>
      <w:r w:rsidRPr="009C60A5">
        <w:t xml:space="preserve">. </w:t>
      </w:r>
      <w:r w:rsidRPr="003151E2">
        <w:t xml:space="preserve">As at October 2023, Starlink states that its </w:t>
      </w:r>
      <w:r w:rsidR="001019FC" w:rsidRPr="003151E2">
        <w:t xml:space="preserve">standard fixed </w:t>
      </w:r>
      <w:r w:rsidRPr="003151E2">
        <w:t>services are expected to provide latenc</w:t>
      </w:r>
      <w:r w:rsidR="00445E1B">
        <w:t>ies</w:t>
      </w:r>
      <w:r w:rsidRPr="003151E2">
        <w:t xml:space="preserve"> of between </w:t>
      </w:r>
      <w:r w:rsidR="003151E2">
        <w:t>31</w:t>
      </w:r>
      <w:r w:rsidRPr="003151E2">
        <w:t>-</w:t>
      </w:r>
      <w:r w:rsidR="003151E2">
        <w:t>86</w:t>
      </w:r>
      <w:r w:rsidRPr="003151E2">
        <w:t>ms</w:t>
      </w:r>
      <w:r w:rsidR="00BA676B" w:rsidRPr="003151E2">
        <w:t xml:space="preserve"> </w:t>
      </w:r>
      <w:r w:rsidRPr="003151E2">
        <w:t>in Australia</w:t>
      </w:r>
      <w:r w:rsidR="00445E1B">
        <w:t xml:space="preserve">, depending on the location of the service. </w:t>
      </w:r>
    </w:p>
    <w:p w14:paraId="36923D8A" w14:textId="77777777" w:rsidR="00F93808" w:rsidRPr="009C60A5" w:rsidRDefault="00F93808" w:rsidP="004D2802">
      <w:pPr>
        <w:pStyle w:val="Heading2"/>
        <w:spacing w:before="160" w:after="60"/>
      </w:pPr>
      <w:bookmarkStart w:id="41" w:name="_Toc143754971"/>
      <w:bookmarkStart w:id="42" w:name="_Toc149309874"/>
      <w:r w:rsidRPr="009C60A5">
        <w:t>Service availability</w:t>
      </w:r>
      <w:bookmarkEnd w:id="41"/>
      <w:bookmarkEnd w:id="42"/>
    </w:p>
    <w:p w14:paraId="234FA968" w14:textId="77777777" w:rsidR="00F93808" w:rsidRPr="009C60A5" w:rsidRDefault="005C485B" w:rsidP="004D2802">
      <w:pPr>
        <w:spacing w:before="0"/>
      </w:pPr>
      <w:r>
        <w:t>While no telecommunications service will be 100% available, s</w:t>
      </w:r>
      <w:r w:rsidR="00F93808" w:rsidRPr="009C60A5">
        <w:t xml:space="preserve">ervice availability (uptime) is another metric that is commonly </w:t>
      </w:r>
      <w:r w:rsidR="0037573E">
        <w:t>raised as an important indicator of</w:t>
      </w:r>
      <w:r w:rsidR="00F93808" w:rsidRPr="009C60A5">
        <w:t xml:space="preserve"> voice and broadband performance. Regardless of what platforms and networks are providing voice services to customers, it is important that services are available </w:t>
      </w:r>
      <w:r>
        <w:t>when customers need them.</w:t>
      </w:r>
      <w:r w:rsidR="00F93808" w:rsidRPr="009C60A5">
        <w:t xml:space="preserve"> </w:t>
      </w:r>
    </w:p>
    <w:p w14:paraId="4222BF31" w14:textId="1591ECEA" w:rsidR="008026FA" w:rsidRPr="009C60A5" w:rsidRDefault="00F93808" w:rsidP="009F01CA">
      <w:r w:rsidRPr="009C60A5">
        <w:t xml:space="preserve">Service uptime is usually measured as the total percentage of time for which a service is available. Services with high availability generally experience very few disruptions from network outages, dropouts or service faults. While Telstra is not currently subject to any requirement to maintain a specified level of service availability, under the Network Reliability Framework it is required to monitor service availability and publish data on a monthly basis. </w:t>
      </w:r>
      <w:r w:rsidR="00E9090E" w:rsidRPr="009C60A5">
        <w:t>Based on this information,</w:t>
      </w:r>
      <w:r w:rsidR="00D5752B" w:rsidRPr="009C60A5">
        <w:t xml:space="preserve"> </w:t>
      </w:r>
      <w:r w:rsidRPr="009C60A5">
        <w:t xml:space="preserve">Telstra’s </w:t>
      </w:r>
      <w:r w:rsidR="00E9090E" w:rsidRPr="009C60A5">
        <w:t xml:space="preserve">annual average service availability </w:t>
      </w:r>
      <w:r w:rsidR="008B206D">
        <w:t xml:space="preserve">nationally </w:t>
      </w:r>
      <w:r w:rsidR="00E9090E" w:rsidRPr="009C60A5">
        <w:t xml:space="preserve">since 2013 has generally ranged between 99.6% and 99.9%, </w:t>
      </w:r>
      <w:r w:rsidR="00D5752B" w:rsidRPr="009C60A5">
        <w:t>with Telstra having a monthly average national availability of 99.64% in FY2021-22.</w:t>
      </w:r>
    </w:p>
    <w:p w14:paraId="4A0D8E6C" w14:textId="7C982960" w:rsidR="00F93808" w:rsidRPr="009C60A5" w:rsidRDefault="00F93808" w:rsidP="009F01CA">
      <w:r w:rsidRPr="009C60A5">
        <w:t>NBN Co’s Wholesale Broadband Agreement (WBA4</w:t>
      </w:r>
      <w:r w:rsidR="00C428CC">
        <w:t>, and WBA5 from 1 December 2023</w:t>
      </w:r>
      <w:r w:rsidRPr="009C60A5">
        <w:t>) includes performance objectives for network availability over the NBN, which are 99.9% for its fixed</w:t>
      </w:r>
      <w:r w:rsidR="00D16FAB">
        <w:t xml:space="preserve"> </w:t>
      </w:r>
      <w:r w:rsidRPr="009C60A5">
        <w:t>line and fixed</w:t>
      </w:r>
      <w:r w:rsidR="00D16FAB">
        <w:t xml:space="preserve"> </w:t>
      </w:r>
      <w:r w:rsidRPr="009C60A5">
        <w:t xml:space="preserve">wireless networks and 99.7% for its satellite network. As at October 2023, Starlink expects services in Australia to be available at least 99% of the time, although it states that uninterrupted use of services is not guaranteed. The ACCC’s Measuring Broadband Australia program also reports information about outages of NBN services. </w:t>
      </w:r>
      <w:r w:rsidR="00FA2C42">
        <w:t>T</w:t>
      </w:r>
      <w:r w:rsidRPr="009C60A5">
        <w:t>he average rate of outages per day lasting longer than 30 seconds is typically within the range of 0.2-0.4 for both fixed</w:t>
      </w:r>
      <w:r w:rsidR="00D16FAB">
        <w:t xml:space="preserve"> </w:t>
      </w:r>
      <w:r w:rsidRPr="009C60A5">
        <w:t>line</w:t>
      </w:r>
      <w:r w:rsidR="00D16FAB">
        <w:t xml:space="preserve"> services</w:t>
      </w:r>
      <w:r w:rsidRPr="009C60A5">
        <w:t xml:space="preserve"> and fixed</w:t>
      </w:r>
      <w:r w:rsidR="00D16FAB">
        <w:t xml:space="preserve"> </w:t>
      </w:r>
      <w:r w:rsidRPr="009C60A5">
        <w:t xml:space="preserve">wireless services (i.e. services on these networks experience outages roughly every 2.5-5 days on average), although results </w:t>
      </w:r>
      <w:r w:rsidR="003E12E9" w:rsidRPr="009C60A5">
        <w:t xml:space="preserve">generally </w:t>
      </w:r>
      <w:r w:rsidRPr="009C60A5">
        <w:t xml:space="preserve">differ depending on the </w:t>
      </w:r>
      <w:r w:rsidR="008B206D">
        <w:t>retailer</w:t>
      </w:r>
      <w:r w:rsidR="008B206D" w:rsidRPr="009C60A5">
        <w:t xml:space="preserve"> </w:t>
      </w:r>
      <w:r w:rsidRPr="009C60A5">
        <w:t>offering the service.</w:t>
      </w:r>
      <w:r w:rsidRPr="009C60A5">
        <w:rPr>
          <w:rStyle w:val="FootnoteReference"/>
        </w:rPr>
        <w:footnoteReference w:id="11"/>
      </w:r>
      <w:r w:rsidRPr="009C60A5">
        <w:t xml:space="preserve"> </w:t>
      </w:r>
      <w:r w:rsidR="004C1341" w:rsidRPr="009C60A5">
        <w:t>The ACCC does not currently report information about satellite services</w:t>
      </w:r>
      <w:r w:rsidR="00796200">
        <w:t xml:space="preserve"> as part of the Measuring Broadband Australia program. </w:t>
      </w:r>
    </w:p>
    <w:p w14:paraId="051D93FD" w14:textId="77777777" w:rsidR="00F93808" w:rsidRPr="009C60A5" w:rsidRDefault="00F93808" w:rsidP="004D2802">
      <w:pPr>
        <w:pStyle w:val="Heading2"/>
        <w:spacing w:before="160" w:after="60"/>
      </w:pPr>
      <w:bookmarkStart w:id="43" w:name="_Toc143754972"/>
      <w:bookmarkStart w:id="44" w:name="_Toc149309875"/>
      <w:r w:rsidRPr="009C60A5">
        <w:t>Network resilience</w:t>
      </w:r>
      <w:bookmarkEnd w:id="43"/>
      <w:bookmarkEnd w:id="44"/>
    </w:p>
    <w:p w14:paraId="5AC300B7" w14:textId="73E93788" w:rsidR="005A7E80" w:rsidRDefault="005A7E80" w:rsidP="004D2802">
      <w:pPr>
        <w:pStyle w:val="ListNumbered1"/>
        <w:numPr>
          <w:ilvl w:val="0"/>
          <w:numId w:val="0"/>
        </w:numPr>
        <w:spacing w:before="0" w:after="160"/>
        <w:rPr>
          <w:rFonts w:cs="Times New Roman"/>
          <w:lang w:val="en-US"/>
        </w:rPr>
      </w:pPr>
      <w:r>
        <w:rPr>
          <w:rFonts w:cs="Times New Roman"/>
          <w:lang w:val="en-US"/>
        </w:rPr>
        <w:t xml:space="preserve">Voice services are often vital during emergencies to keep communities safe, connected and informed. While no communications network is 100 per cent resilient to </w:t>
      </w:r>
      <w:r w:rsidR="00470707">
        <w:rPr>
          <w:rFonts w:cs="Times New Roman"/>
          <w:lang w:val="en-US"/>
        </w:rPr>
        <w:t xml:space="preserve">weather events, climatic conditions, or </w:t>
      </w:r>
      <w:r>
        <w:rPr>
          <w:rFonts w:cs="Times New Roman"/>
          <w:lang w:val="en-US"/>
        </w:rPr>
        <w:t xml:space="preserve">natural disasters, it is important that networks are prepared as much as possible against the impacts of power outages and other disruptions to ensure people remain connected. </w:t>
      </w:r>
    </w:p>
    <w:p w14:paraId="05FF41FA" w14:textId="298E3DD2" w:rsidR="005A7E80" w:rsidRDefault="00E553B1" w:rsidP="005A7E80">
      <w:pPr>
        <w:pStyle w:val="ListNumbered1"/>
        <w:numPr>
          <w:ilvl w:val="0"/>
          <w:numId w:val="0"/>
        </w:numPr>
        <w:spacing w:before="160" w:after="160"/>
        <w:rPr>
          <w:rFonts w:cs="Times New Roman"/>
          <w:lang w:val="en-US"/>
        </w:rPr>
      </w:pPr>
      <w:r>
        <w:rPr>
          <w:rFonts w:cs="Times New Roman"/>
          <w:lang w:val="en-US"/>
        </w:rPr>
        <w:t>There</w:t>
      </w:r>
      <w:r w:rsidR="00470707">
        <w:rPr>
          <w:rFonts w:cs="Times New Roman"/>
          <w:lang w:val="en-US"/>
        </w:rPr>
        <w:t xml:space="preserve"> are no</w:t>
      </w:r>
      <w:r w:rsidR="005A7E80">
        <w:rPr>
          <w:rFonts w:cs="Times New Roman"/>
          <w:lang w:val="en-US"/>
        </w:rPr>
        <w:t xml:space="preserve"> regulatory requirement</w:t>
      </w:r>
      <w:r w:rsidR="00470707">
        <w:rPr>
          <w:rFonts w:cs="Times New Roman"/>
          <w:lang w:val="en-US"/>
        </w:rPr>
        <w:t>s</w:t>
      </w:r>
      <w:r w:rsidR="005A7E80">
        <w:rPr>
          <w:rFonts w:cs="Times New Roman"/>
          <w:lang w:val="en-US"/>
        </w:rPr>
        <w:t xml:space="preserve"> </w:t>
      </w:r>
      <w:r w:rsidR="00470707">
        <w:rPr>
          <w:rFonts w:cs="Times New Roman"/>
          <w:lang w:val="en-US"/>
        </w:rPr>
        <w:t xml:space="preserve">on telecommunications network operators </w:t>
      </w:r>
      <w:r w:rsidR="005A7E80">
        <w:rPr>
          <w:rFonts w:cs="Times New Roman"/>
          <w:lang w:val="en-US"/>
        </w:rPr>
        <w:t xml:space="preserve">to maintain a level of network resiliency or provide redundancy options on </w:t>
      </w:r>
      <w:r w:rsidR="00470707">
        <w:rPr>
          <w:rFonts w:cs="Times New Roman"/>
          <w:lang w:val="en-US"/>
        </w:rPr>
        <w:t xml:space="preserve">their </w:t>
      </w:r>
      <w:r w:rsidR="005A7E80">
        <w:rPr>
          <w:rFonts w:cs="Times New Roman"/>
          <w:lang w:val="en-US"/>
        </w:rPr>
        <w:t xml:space="preserve">networks. This reflects </w:t>
      </w:r>
      <w:r w:rsidR="00470707">
        <w:rPr>
          <w:rFonts w:cs="Times New Roman"/>
          <w:lang w:val="en-US"/>
        </w:rPr>
        <w:t xml:space="preserve">in part </w:t>
      </w:r>
      <w:r w:rsidR="005A7E80">
        <w:rPr>
          <w:rFonts w:cs="Times New Roman"/>
          <w:lang w:val="en-US"/>
        </w:rPr>
        <w:t xml:space="preserve">the difficulties involved with guaranteeing power </w:t>
      </w:r>
      <w:r w:rsidR="00470707">
        <w:rPr>
          <w:rFonts w:cs="Times New Roman"/>
          <w:lang w:val="en-US"/>
        </w:rPr>
        <w:t>to all key network elements in all cases</w:t>
      </w:r>
      <w:r w:rsidR="005A7E80">
        <w:rPr>
          <w:rFonts w:cs="Times New Roman"/>
          <w:lang w:val="en-US"/>
        </w:rPr>
        <w:t xml:space="preserve">. However, network operators actively plan to </w:t>
      </w:r>
      <w:r w:rsidR="0037573E">
        <w:rPr>
          <w:rFonts w:cs="Times New Roman"/>
          <w:lang w:val="en-US"/>
        </w:rPr>
        <w:t>minimi</w:t>
      </w:r>
      <w:r w:rsidR="006E4386">
        <w:rPr>
          <w:rFonts w:cs="Times New Roman"/>
          <w:lang w:val="en-US"/>
        </w:rPr>
        <w:t>s</w:t>
      </w:r>
      <w:r w:rsidR="0037573E">
        <w:rPr>
          <w:rFonts w:cs="Times New Roman"/>
          <w:lang w:val="en-US"/>
        </w:rPr>
        <w:t>e</w:t>
      </w:r>
      <w:r w:rsidR="005A7E80">
        <w:rPr>
          <w:rFonts w:cs="Times New Roman"/>
          <w:lang w:val="en-US"/>
        </w:rPr>
        <w:t xml:space="preserve"> disruptions to service</w:t>
      </w:r>
      <w:r w:rsidR="002B78A0">
        <w:rPr>
          <w:rFonts w:cs="Times New Roman"/>
          <w:lang w:val="en-US"/>
        </w:rPr>
        <w:t>s</w:t>
      </w:r>
      <w:r w:rsidR="005A7E80">
        <w:rPr>
          <w:rFonts w:cs="Times New Roman"/>
          <w:lang w:val="en-US"/>
        </w:rPr>
        <w:t xml:space="preserve"> and determine the most effective way to mitigate any risks to their operations. This may involve maintaining permanent generators at critical infrastructure sites; battery power for secondary network elements; and inventory of, and access to, backup generators to recharge batteries during extended power loss. </w:t>
      </w:r>
    </w:p>
    <w:p w14:paraId="2C92D0F7" w14:textId="77777777" w:rsidR="00F93808" w:rsidRPr="009C60A5" w:rsidRDefault="00F93808" w:rsidP="004D2802">
      <w:pPr>
        <w:pStyle w:val="Heading2"/>
        <w:spacing w:before="160" w:after="60"/>
      </w:pPr>
      <w:bookmarkStart w:id="45" w:name="_Toc143754973"/>
      <w:bookmarkStart w:id="46" w:name="_Toc149309876"/>
      <w:r w:rsidRPr="009C60A5">
        <w:t>Customer support</w:t>
      </w:r>
      <w:bookmarkEnd w:id="45"/>
      <w:bookmarkEnd w:id="46"/>
    </w:p>
    <w:p w14:paraId="17674F9A" w14:textId="42869AA3" w:rsidR="007151DA" w:rsidRPr="009C60A5" w:rsidRDefault="00487D74" w:rsidP="004D2802">
      <w:pPr>
        <w:spacing w:before="0"/>
      </w:pPr>
      <w:r>
        <w:t>The Government understands the community generally expects the market to provide some level of</w:t>
      </w:r>
      <w:r w:rsidR="007151DA" w:rsidRPr="009C60A5">
        <w:t xml:space="preserve"> information and assistance to make sure customers can easily access and use </w:t>
      </w:r>
      <w:r>
        <w:t xml:space="preserve">telecommunications </w:t>
      </w:r>
      <w:r w:rsidR="007151DA" w:rsidRPr="009C60A5">
        <w:t>services</w:t>
      </w:r>
      <w:r>
        <w:t xml:space="preserve">. This can extend to </w:t>
      </w:r>
      <w:r w:rsidR="00CC448F">
        <w:t>service providers</w:t>
      </w:r>
      <w:r w:rsidR="00395C8B">
        <w:t xml:space="preserve"> </w:t>
      </w:r>
      <w:r>
        <w:t>advi</w:t>
      </w:r>
      <w:r w:rsidR="00CC448F">
        <w:t>sing customers</w:t>
      </w:r>
      <w:r>
        <w:t xml:space="preserve"> on </w:t>
      </w:r>
      <w:r w:rsidR="007151DA" w:rsidRPr="009C60A5">
        <w:t xml:space="preserve">any equipment or devices that may be necessary to support a connection, and </w:t>
      </w:r>
      <w:r>
        <w:t xml:space="preserve">being reasonably </w:t>
      </w:r>
      <w:r w:rsidR="007151DA" w:rsidRPr="009C60A5">
        <w:t xml:space="preserve">available to </w:t>
      </w:r>
      <w:r w:rsidR="007151DA">
        <w:t>assist</w:t>
      </w:r>
      <w:r w:rsidR="007151DA" w:rsidRPr="009C60A5">
        <w:t xml:space="preserve"> customers </w:t>
      </w:r>
      <w:r w:rsidR="007151DA">
        <w:t xml:space="preserve">if </w:t>
      </w:r>
      <w:r w:rsidR="007151DA" w:rsidRPr="009C60A5">
        <w:t xml:space="preserve">they require further information. </w:t>
      </w:r>
      <w:r>
        <w:t xml:space="preserve">These expectations may be further heightened where services are offered under universal service arrangements. </w:t>
      </w:r>
      <w:r w:rsidR="007151DA" w:rsidRPr="009C60A5">
        <w:t xml:space="preserve">It is also important that customers receive appropriate assistance when an existing service is disrupted, including when fault reports are made. While the Government expects </w:t>
      </w:r>
      <w:r w:rsidR="00FE6E61">
        <w:t>retailers of telecommunications services</w:t>
      </w:r>
      <w:r w:rsidR="007151DA" w:rsidRPr="009C60A5">
        <w:t xml:space="preserve"> to use their best efforts to resolve </w:t>
      </w:r>
      <w:r w:rsidR="008B206D">
        <w:t xml:space="preserve">most </w:t>
      </w:r>
      <w:r w:rsidR="007151DA" w:rsidRPr="009C60A5">
        <w:t>complaints</w:t>
      </w:r>
      <w:r w:rsidR="008B206D">
        <w:t xml:space="preserve"> directly with consumers</w:t>
      </w:r>
      <w:r w:rsidR="007151DA" w:rsidRPr="009C60A5">
        <w:t xml:space="preserve">, the </w:t>
      </w:r>
      <w:hyperlink r:id="rId42" w:history="1">
        <w:r w:rsidR="007151DA" w:rsidRPr="009C60A5">
          <w:rPr>
            <w:rStyle w:val="Hyperlink"/>
          </w:rPr>
          <w:t>Telecommunications Industry Ombudsman</w:t>
        </w:r>
      </w:hyperlink>
      <w:r w:rsidR="007151DA" w:rsidRPr="009C60A5">
        <w:t xml:space="preserve"> (TIO) is available to help resolve </w:t>
      </w:r>
      <w:r w:rsidR="00FE6E61">
        <w:t xml:space="preserve">escalated </w:t>
      </w:r>
      <w:r w:rsidR="007151DA" w:rsidRPr="009C60A5">
        <w:t xml:space="preserve">complaints between customers and service providers. </w:t>
      </w:r>
    </w:p>
    <w:p w14:paraId="608CF877" w14:textId="2EE91A05" w:rsidR="00A90889" w:rsidRDefault="005A7E80" w:rsidP="005A7E80">
      <w:r>
        <w:t xml:space="preserve">Telstra is not currently subject to any specific standards for customer service and support under the USO. However, like other </w:t>
      </w:r>
      <w:r w:rsidR="00FE6E61">
        <w:t>carriage service providers</w:t>
      </w:r>
      <w:r w:rsidR="00D03B6F">
        <w:t xml:space="preserve"> (CSPs)</w:t>
      </w:r>
      <w:r>
        <w:t xml:space="preserve">, it is subject to the </w:t>
      </w:r>
      <w:r>
        <w:rPr>
          <w:i/>
        </w:rPr>
        <w:t>Telecommunications Consumer Protections Code</w:t>
      </w:r>
      <w:r w:rsidR="00F6152D">
        <w:rPr>
          <w:i/>
        </w:rPr>
        <w:t xml:space="preserve"> </w:t>
      </w:r>
      <w:r w:rsidR="00F6152D" w:rsidRPr="00F6152D">
        <w:t>(</w:t>
      </w:r>
      <w:r w:rsidR="00F6152D">
        <w:t>TCP code)</w:t>
      </w:r>
      <w:r>
        <w:rPr>
          <w:i/>
        </w:rPr>
        <w:t xml:space="preserve">. </w:t>
      </w:r>
      <w:r>
        <w:t>The TCP code</w:t>
      </w:r>
      <w:r>
        <w:rPr>
          <w:i/>
        </w:rPr>
        <w:t xml:space="preserve"> </w:t>
      </w:r>
      <w:r>
        <w:t>is designed to protect the rights of consumers, and to make clear the obligations of service providers of landline, mobile and broadband services. It contains</w:t>
      </w:r>
      <w:r w:rsidR="00D03B6F">
        <w:t xml:space="preserve"> safeguards on</w:t>
      </w:r>
      <w:r>
        <w:t xml:space="preserve"> issues like</w:t>
      </w:r>
      <w:r w:rsidR="00D03B6F">
        <w:t xml:space="preserve"> sales and customer service, contracts,</w:t>
      </w:r>
      <w:r>
        <w:t xml:space="preserve"> billing, </w:t>
      </w:r>
      <w:r w:rsidR="00D03B6F">
        <w:t xml:space="preserve">credit and debt management and changing suppliers. </w:t>
      </w:r>
      <w:r>
        <w:t xml:space="preserve"> Telstra</w:t>
      </w:r>
      <w:r w:rsidR="00D03B6F">
        <w:t>, like other CSPs</w:t>
      </w:r>
      <w:r w:rsidR="008C5396">
        <w:t>,</w:t>
      </w:r>
      <w:r>
        <w:t xml:space="preserve"> is also subject to the </w:t>
      </w:r>
      <w:r>
        <w:rPr>
          <w:i/>
        </w:rPr>
        <w:t xml:space="preserve">Telecommunications (Customer Complaints Handling) Industry Standard 2018, </w:t>
      </w:r>
      <w:r>
        <w:t xml:space="preserve">which establishes how service providers handle </w:t>
      </w:r>
      <w:r w:rsidR="00FE6E61">
        <w:t xml:space="preserve">and respond to </w:t>
      </w:r>
      <w:r>
        <w:t xml:space="preserve">complaints by customers. More information on the </w:t>
      </w:r>
      <w:hyperlink r:id="rId43" w:history="1">
        <w:r>
          <w:rPr>
            <w:rStyle w:val="Hyperlink"/>
          </w:rPr>
          <w:t>TCP Code</w:t>
        </w:r>
      </w:hyperlink>
      <w:r>
        <w:t xml:space="preserve"> and the </w:t>
      </w:r>
      <w:hyperlink r:id="rId44" w:history="1">
        <w:r>
          <w:rPr>
            <w:rStyle w:val="Hyperlink"/>
          </w:rPr>
          <w:t>Consumer Complaints Standard</w:t>
        </w:r>
      </w:hyperlink>
      <w:r>
        <w:t xml:space="preserve"> is available on the ACMA’s website. </w:t>
      </w:r>
    </w:p>
    <w:p w14:paraId="5DD6EA3D" w14:textId="77777777" w:rsidR="00D67D8A" w:rsidRPr="009C60A5" w:rsidRDefault="00F93808" w:rsidP="004D2802">
      <w:pPr>
        <w:pStyle w:val="Heading2"/>
        <w:spacing w:before="160" w:after="60"/>
      </w:pPr>
      <w:bookmarkStart w:id="47" w:name="_Toc143754974"/>
      <w:bookmarkStart w:id="48" w:name="_Toc149309877"/>
      <w:r w:rsidRPr="009C60A5">
        <w:t>Affordability</w:t>
      </w:r>
      <w:bookmarkEnd w:id="47"/>
      <w:bookmarkEnd w:id="48"/>
      <w:r w:rsidRPr="009C60A5">
        <w:t xml:space="preserve"> </w:t>
      </w:r>
    </w:p>
    <w:p w14:paraId="18E51E6C" w14:textId="77777777" w:rsidR="005A7E80" w:rsidRDefault="001E3B1B" w:rsidP="004D2802">
      <w:pPr>
        <w:spacing w:before="0"/>
      </w:pPr>
      <w:r>
        <w:t>T</w:t>
      </w:r>
      <w:r w:rsidR="005A7E80">
        <w:t xml:space="preserve">he telecommunications-specific competition provisions in the </w:t>
      </w:r>
      <w:r w:rsidR="005A7E80">
        <w:rPr>
          <w:i/>
        </w:rPr>
        <w:t>Competition and Consumer Act 2010</w:t>
      </w:r>
      <w:r w:rsidR="002B78A0">
        <w:t xml:space="preserve"> </w:t>
      </w:r>
      <w:r w:rsidR="00C73D27">
        <w:t>aim</w:t>
      </w:r>
      <w:r w:rsidR="005A7E80">
        <w:t xml:space="preserve"> to promote the long-term interests of consumers by creating a more competitive industry with lower prices, service innovation and greater service choice. As in other industries, competition drives prices down, and </w:t>
      </w:r>
      <w:r>
        <w:t>providers have flexibility to offer and price</w:t>
      </w:r>
      <w:r w:rsidR="005A7E80">
        <w:t xml:space="preserve"> services</w:t>
      </w:r>
      <w:r>
        <w:t xml:space="preserve"> to reflect demand and consumer needs</w:t>
      </w:r>
      <w:r w:rsidR="005A7E80">
        <w:t xml:space="preserve">, including </w:t>
      </w:r>
      <w:r>
        <w:t xml:space="preserve">supplying standalone or </w:t>
      </w:r>
      <w:r w:rsidR="005A7E80">
        <w:t>bundl</w:t>
      </w:r>
      <w:r>
        <w:t>ed</w:t>
      </w:r>
      <w:r w:rsidR="005A7E80">
        <w:t xml:space="preserve"> voice and broadband services to customers.</w:t>
      </w:r>
    </w:p>
    <w:p w14:paraId="28CCDD2B" w14:textId="77777777" w:rsidR="005A7E80" w:rsidRDefault="005A7E80" w:rsidP="005A7E80">
      <w:r>
        <w:t xml:space="preserve">Telstra is not currently subject to any explicit legislative requirements on the pricing of fixed voice services (or related customer equipment) provided under the USO. However, </w:t>
      </w:r>
      <w:r w:rsidR="002B78A0">
        <w:t>given its USO</w:t>
      </w:r>
      <w:r>
        <w:t xml:space="preserve"> requirement to provide reasonable access to STS, Telstra’s national pricing ensures that customers pay the same price for a baseline service regardless of whether they reside in an urban, regional or remote area of the country. Telstra’s plans and costs for STS are available on the </w:t>
      </w:r>
      <w:hyperlink r:id="rId45" w:history="1">
        <w:r>
          <w:rPr>
            <w:rStyle w:val="Hyperlink"/>
          </w:rPr>
          <w:t>‘Home Phones’ page</w:t>
        </w:r>
      </w:hyperlink>
      <w:r>
        <w:t xml:space="preserve"> of its website. </w:t>
      </w:r>
      <w:r w:rsidR="002B78A0">
        <w:t>From</w:t>
      </w:r>
      <w:r>
        <w:t xml:space="preserve"> </w:t>
      </w:r>
      <w:r w:rsidR="002B78A0">
        <w:t xml:space="preserve">November </w:t>
      </w:r>
      <w:r>
        <w:t xml:space="preserve">2023, </w:t>
      </w:r>
      <w:r w:rsidR="002B78A0">
        <w:t xml:space="preserve">Telstra </w:t>
      </w:r>
      <w:r>
        <w:t xml:space="preserve">basic </w:t>
      </w:r>
      <w:r w:rsidR="002B78A0">
        <w:t>voice-only</w:t>
      </w:r>
      <w:r>
        <w:t xml:space="preserve"> landline services </w:t>
      </w:r>
      <w:r w:rsidR="002B78A0">
        <w:t xml:space="preserve">will be </w:t>
      </w:r>
      <w:r>
        <w:t>priced at $5</w:t>
      </w:r>
      <w:r w:rsidR="002B78A0">
        <w:t>0</w:t>
      </w:r>
      <w:r>
        <w:t xml:space="preserve"> per month, although there may be additional costs for connection and delivery</w:t>
      </w:r>
      <w:r w:rsidR="00F6152D">
        <w:t>,</w:t>
      </w:r>
      <w:r>
        <w:t xml:space="preserve"> and customers </w:t>
      </w:r>
      <w:r w:rsidR="008B206D">
        <w:t>may need to rent or</w:t>
      </w:r>
      <w:r>
        <w:t xml:space="preserve"> purchase a handset to use the service.    </w:t>
      </w:r>
    </w:p>
    <w:p w14:paraId="564D7C7B" w14:textId="77777777" w:rsidR="005A7E80" w:rsidRDefault="005A7E80" w:rsidP="005A7E80">
      <w:r>
        <w:t>Under its carrier licence conditions, Telstra is required to maintain a suite of products and services for people on low</w:t>
      </w:r>
      <w:r w:rsidR="002B78A0">
        <w:t xml:space="preserve"> </w:t>
      </w:r>
      <w:r>
        <w:t xml:space="preserve">incomes. It currently offers a range of products, discounts and free services for eligible customers, including low-cost services for pensioners and individuals with a Health Care Card, as well as bill assistance and alternative structured payment options for people experiencing financial hardship. More information is available on the </w:t>
      </w:r>
      <w:hyperlink r:id="rId46" w:history="1">
        <w:r>
          <w:rPr>
            <w:rStyle w:val="Hyperlink"/>
          </w:rPr>
          <w:t>‘Access for everyone’ page</w:t>
        </w:r>
      </w:hyperlink>
      <w:r>
        <w:t xml:space="preserve"> on Telstra’s website. </w:t>
      </w:r>
    </w:p>
    <w:p w14:paraId="75AD6DEC" w14:textId="40E73CF3" w:rsidR="007364F4" w:rsidRDefault="00497145" w:rsidP="005A7E80">
      <w:r>
        <w:t xml:space="preserve">Under NBN Co’s Special Access Undertaking that was accepted </w:t>
      </w:r>
      <w:r w:rsidR="00BA0BFA">
        <w:t xml:space="preserve">by the Australian Competition and Consumer Commission </w:t>
      </w:r>
      <w:r>
        <w:t xml:space="preserve">on 17 October 2023, NBN Co </w:t>
      </w:r>
      <w:r w:rsidR="00BA0BFA">
        <w:t xml:space="preserve">will introduce </w:t>
      </w:r>
      <w:r w:rsidR="00BA0BFA" w:rsidRPr="00BA0BFA">
        <w:t>long</w:t>
      </w:r>
      <w:r w:rsidR="00213283">
        <w:t>-</w:t>
      </w:r>
      <w:r w:rsidR="00BA0BFA" w:rsidRPr="00BA0BFA">
        <w:t>term pricing commitments</w:t>
      </w:r>
      <w:r w:rsidR="00BA0BFA">
        <w:t xml:space="preserve"> that will provide </w:t>
      </w:r>
      <w:r w:rsidR="00BA0BFA" w:rsidRPr="00BA0BFA">
        <w:t>greater price stability, keeping prices in line with inflation and protecting consumers from unexpected sharp price hikes</w:t>
      </w:r>
      <w:r w:rsidR="00BA0BFA">
        <w:t xml:space="preserve">. </w:t>
      </w:r>
    </w:p>
    <w:p w14:paraId="195EDE83" w14:textId="021A1909" w:rsidR="00B007BA" w:rsidRDefault="001E3B1B" w:rsidP="00213283">
      <w:pPr>
        <w:spacing w:after="160"/>
      </w:pPr>
      <w:r>
        <w:t xml:space="preserve">Under universal service arrangements, consumers are responsible for </w:t>
      </w:r>
      <w:r w:rsidR="000F71D7">
        <w:t>individual</w:t>
      </w:r>
      <w:r w:rsidR="00765F9E">
        <w:t xml:space="preserve"> </w:t>
      </w:r>
      <w:r>
        <w:t xml:space="preserve">service charges, and </w:t>
      </w:r>
      <w:r w:rsidR="002D0F0A">
        <w:t xml:space="preserve">ultimately need to select the service </w:t>
      </w:r>
      <w:r w:rsidR="00765F9E">
        <w:t>(</w:t>
      </w:r>
      <w:r w:rsidR="002D0F0A">
        <w:t xml:space="preserve">or </w:t>
      </w:r>
      <w:r w:rsidR="00765F9E">
        <w:t xml:space="preserve">combination of </w:t>
      </w:r>
      <w:r w:rsidR="002D0F0A">
        <w:t>services</w:t>
      </w:r>
      <w:r w:rsidR="00765F9E">
        <w:t>)</w:t>
      </w:r>
      <w:r w:rsidR="002D0F0A">
        <w:t xml:space="preserve"> that best meet</w:t>
      </w:r>
      <w:r w:rsidR="00213283">
        <w:t>s</w:t>
      </w:r>
      <w:r w:rsidR="002D0F0A">
        <w:t xml:space="preserve"> their needs. </w:t>
      </w:r>
      <w:r w:rsidR="00B007BA">
        <w:t>In some cases, consumers may prefer to rely on mobile services rather than fixed services</w:t>
      </w:r>
      <w:r>
        <w:t xml:space="preserve"> available under universal access arrangements</w:t>
      </w:r>
      <w:r w:rsidR="00B007BA">
        <w:t xml:space="preserve">, or use mobile services to complement fixed services. However, if there is greater access to reliable </w:t>
      </w:r>
      <w:r>
        <w:t xml:space="preserve">and proven </w:t>
      </w:r>
      <w:r w:rsidR="00B007BA">
        <w:t xml:space="preserve">platforms that can support both reliable voice and broadband, this may provide opportunities for </w:t>
      </w:r>
      <w:r>
        <w:t xml:space="preserve">some </w:t>
      </w:r>
      <w:r w:rsidR="00B007BA">
        <w:t>consumers to rationalise services.</w:t>
      </w:r>
    </w:p>
    <w:p w14:paraId="4EECC21F" w14:textId="4531CB57" w:rsidR="00763A4A" w:rsidRPr="00317746" w:rsidRDefault="00763A4A" w:rsidP="00317746">
      <w:pPr>
        <w:spacing w:after="160"/>
        <w:rPr>
          <w:b/>
        </w:rPr>
      </w:pPr>
      <w:r>
        <w:rPr>
          <w:b/>
        </w:rPr>
        <w:t xml:space="preserve">Table </w:t>
      </w:r>
      <w:r w:rsidR="00317746">
        <w:rPr>
          <w:b/>
        </w:rPr>
        <w:t>2</w:t>
      </w:r>
      <w:r>
        <w:rPr>
          <w:b/>
        </w:rPr>
        <w:t xml:space="preserve">: </w:t>
      </w:r>
      <w:r w:rsidR="00FF228F">
        <w:rPr>
          <w:b/>
        </w:rPr>
        <w:t xml:space="preserve">Summary of prices for telecommunications services </w:t>
      </w:r>
    </w:p>
    <w:tbl>
      <w:tblPr>
        <w:tblStyle w:val="TableGrid"/>
        <w:tblW w:w="0" w:type="auto"/>
        <w:tblLook w:val="04A0" w:firstRow="1" w:lastRow="0" w:firstColumn="1" w:lastColumn="0" w:noHBand="0" w:noVBand="1"/>
      </w:tblPr>
      <w:tblGrid>
        <w:gridCol w:w="1271"/>
        <w:gridCol w:w="1276"/>
        <w:gridCol w:w="1417"/>
        <w:gridCol w:w="1560"/>
        <w:gridCol w:w="1514"/>
        <w:gridCol w:w="1408"/>
        <w:gridCol w:w="1408"/>
      </w:tblGrid>
      <w:tr w:rsidR="00FC7536" w14:paraId="476BE285" w14:textId="77777777" w:rsidTr="001E3B1B">
        <w:tc>
          <w:tcPr>
            <w:tcW w:w="1271" w:type="dxa"/>
          </w:tcPr>
          <w:p w14:paraId="678B1118" w14:textId="77777777" w:rsidR="00FC7536" w:rsidRPr="00FC7536" w:rsidRDefault="00FC7536" w:rsidP="005A7E80">
            <w:pPr>
              <w:rPr>
                <w:b/>
              </w:rPr>
            </w:pPr>
            <w:r w:rsidRPr="00FC7536">
              <w:rPr>
                <w:b/>
              </w:rPr>
              <w:t>Fixed line voice</w:t>
            </w:r>
          </w:p>
        </w:tc>
        <w:tc>
          <w:tcPr>
            <w:tcW w:w="1276" w:type="dxa"/>
          </w:tcPr>
          <w:p w14:paraId="5D1BA6D3" w14:textId="77777777" w:rsidR="00FC7536" w:rsidRPr="00FC7536" w:rsidRDefault="00FC7536" w:rsidP="005A7E80">
            <w:pPr>
              <w:rPr>
                <w:b/>
              </w:rPr>
            </w:pPr>
            <w:r w:rsidRPr="00FC7536">
              <w:rPr>
                <w:b/>
              </w:rPr>
              <w:t xml:space="preserve">ADSL </w:t>
            </w:r>
          </w:p>
          <w:p w14:paraId="08DBD615" w14:textId="77777777" w:rsidR="00FC7536" w:rsidRPr="00FC7536" w:rsidRDefault="00FC7536" w:rsidP="005A7E80">
            <w:pPr>
              <w:rPr>
                <w:b/>
              </w:rPr>
            </w:pPr>
            <w:r w:rsidRPr="00FC7536">
              <w:rPr>
                <w:b/>
              </w:rPr>
              <w:t>(&lt;25 Mbps)</w:t>
            </w:r>
          </w:p>
        </w:tc>
        <w:tc>
          <w:tcPr>
            <w:tcW w:w="1417" w:type="dxa"/>
          </w:tcPr>
          <w:p w14:paraId="74B0868B" w14:textId="04EF52B7" w:rsidR="00FC7536" w:rsidRPr="00FC7536" w:rsidRDefault="00FC7536" w:rsidP="005A7E80">
            <w:pPr>
              <w:rPr>
                <w:b/>
              </w:rPr>
            </w:pPr>
            <w:r w:rsidRPr="00FC7536">
              <w:rPr>
                <w:b/>
              </w:rPr>
              <w:t xml:space="preserve">NBN fixed </w:t>
            </w:r>
            <w:r w:rsidR="00D16FAB">
              <w:rPr>
                <w:b/>
              </w:rPr>
              <w:t xml:space="preserve">line </w:t>
            </w:r>
            <w:r w:rsidRPr="00FC7536">
              <w:rPr>
                <w:b/>
              </w:rPr>
              <w:t>/ fixed wireless</w:t>
            </w:r>
          </w:p>
          <w:p w14:paraId="33267510" w14:textId="77777777" w:rsidR="00FC7536" w:rsidRPr="00FC7536" w:rsidRDefault="00FC7536" w:rsidP="005A7E80">
            <w:pPr>
              <w:rPr>
                <w:b/>
              </w:rPr>
            </w:pPr>
            <w:r w:rsidRPr="00FC7536">
              <w:rPr>
                <w:b/>
              </w:rPr>
              <w:t>(&lt;50</w:t>
            </w:r>
            <w:r w:rsidR="001E3B1B">
              <w:rPr>
                <w:b/>
              </w:rPr>
              <w:t xml:space="preserve"> </w:t>
            </w:r>
            <w:r w:rsidRPr="00FC7536">
              <w:rPr>
                <w:b/>
              </w:rPr>
              <w:t>Mbps)</w:t>
            </w:r>
          </w:p>
        </w:tc>
        <w:tc>
          <w:tcPr>
            <w:tcW w:w="1560" w:type="dxa"/>
          </w:tcPr>
          <w:p w14:paraId="6565B64F" w14:textId="5D071A03" w:rsidR="00FC7536" w:rsidRPr="00FC7536" w:rsidRDefault="00FC7536" w:rsidP="005A7E80">
            <w:pPr>
              <w:rPr>
                <w:b/>
              </w:rPr>
            </w:pPr>
            <w:r w:rsidRPr="00FC7536">
              <w:rPr>
                <w:b/>
              </w:rPr>
              <w:t>NBN fixed</w:t>
            </w:r>
            <w:r w:rsidR="00D16FAB">
              <w:rPr>
                <w:b/>
              </w:rPr>
              <w:t xml:space="preserve"> line</w:t>
            </w:r>
            <w:r w:rsidRPr="00FC7536">
              <w:rPr>
                <w:b/>
              </w:rPr>
              <w:t xml:space="preserve"> / fixed wireless (</w:t>
            </w:r>
            <w:r>
              <w:rPr>
                <w:b/>
              </w:rPr>
              <w:t>&gt;</w:t>
            </w:r>
            <w:r w:rsidRPr="00FC7536">
              <w:rPr>
                <w:b/>
              </w:rPr>
              <w:t>50 Mbps)</w:t>
            </w:r>
          </w:p>
        </w:tc>
        <w:tc>
          <w:tcPr>
            <w:tcW w:w="1514" w:type="dxa"/>
          </w:tcPr>
          <w:p w14:paraId="0A0FEA31" w14:textId="77777777" w:rsidR="00FC7536" w:rsidRPr="00FC7536" w:rsidRDefault="00FC7536" w:rsidP="005A7E80">
            <w:pPr>
              <w:rPr>
                <w:b/>
              </w:rPr>
            </w:pPr>
            <w:r w:rsidRPr="00FC7536">
              <w:rPr>
                <w:b/>
              </w:rPr>
              <w:t xml:space="preserve">NBN </w:t>
            </w:r>
            <w:r>
              <w:rPr>
                <w:b/>
              </w:rPr>
              <w:t>SkyMuster (12-25</w:t>
            </w:r>
            <w:r w:rsidR="001E3B1B">
              <w:rPr>
                <w:b/>
              </w:rPr>
              <w:t xml:space="preserve"> </w:t>
            </w:r>
            <w:r>
              <w:rPr>
                <w:b/>
              </w:rPr>
              <w:t>Mbps)</w:t>
            </w:r>
          </w:p>
        </w:tc>
        <w:tc>
          <w:tcPr>
            <w:tcW w:w="1408" w:type="dxa"/>
          </w:tcPr>
          <w:p w14:paraId="1F980616" w14:textId="77777777" w:rsidR="001E3B1B" w:rsidRDefault="001E3B1B" w:rsidP="005A7E80">
            <w:pPr>
              <w:rPr>
                <w:b/>
              </w:rPr>
            </w:pPr>
            <w:r>
              <w:rPr>
                <w:b/>
              </w:rPr>
              <w:t xml:space="preserve">NBN </w:t>
            </w:r>
            <w:r w:rsidR="00FC7536">
              <w:rPr>
                <w:b/>
              </w:rPr>
              <w:t xml:space="preserve">SkyMuster Plus </w:t>
            </w:r>
          </w:p>
          <w:p w14:paraId="262E3AE2" w14:textId="77777777" w:rsidR="00FC7536" w:rsidRPr="00FC7536" w:rsidRDefault="00FC7536" w:rsidP="005A7E80">
            <w:pPr>
              <w:rPr>
                <w:b/>
              </w:rPr>
            </w:pPr>
            <w:r>
              <w:rPr>
                <w:b/>
              </w:rPr>
              <w:t>(</w:t>
            </w:r>
            <w:r w:rsidR="001E3B1B">
              <w:rPr>
                <w:b/>
              </w:rPr>
              <w:t>&gt;</w:t>
            </w:r>
            <w:r>
              <w:rPr>
                <w:b/>
              </w:rPr>
              <w:t>25</w:t>
            </w:r>
            <w:r w:rsidR="001E3B1B">
              <w:rPr>
                <w:b/>
              </w:rPr>
              <w:t xml:space="preserve"> </w:t>
            </w:r>
            <w:r>
              <w:rPr>
                <w:b/>
              </w:rPr>
              <w:t>Mbp</w:t>
            </w:r>
            <w:r w:rsidR="001E3B1B">
              <w:rPr>
                <w:b/>
              </w:rPr>
              <w:t>s</w:t>
            </w:r>
            <w:r>
              <w:rPr>
                <w:b/>
              </w:rPr>
              <w:t>)</w:t>
            </w:r>
          </w:p>
        </w:tc>
        <w:tc>
          <w:tcPr>
            <w:tcW w:w="1408" w:type="dxa"/>
          </w:tcPr>
          <w:p w14:paraId="5695AF1D" w14:textId="77777777" w:rsidR="00FC7536" w:rsidRPr="00FC7536" w:rsidRDefault="00FC7536" w:rsidP="005A7E80">
            <w:pPr>
              <w:rPr>
                <w:b/>
              </w:rPr>
            </w:pPr>
            <w:r w:rsidRPr="00FC7536">
              <w:rPr>
                <w:b/>
              </w:rPr>
              <w:t>Mobile</w:t>
            </w:r>
          </w:p>
        </w:tc>
      </w:tr>
      <w:tr w:rsidR="00FC7536" w14:paraId="0AE41529" w14:textId="77777777" w:rsidTr="001E3B1B">
        <w:tc>
          <w:tcPr>
            <w:tcW w:w="1271" w:type="dxa"/>
          </w:tcPr>
          <w:p w14:paraId="10DDF33E" w14:textId="77777777" w:rsidR="001E3B1B" w:rsidRDefault="00FC7536" w:rsidP="001E3B1B">
            <w:r>
              <w:t>$25-$60 per month</w:t>
            </w:r>
          </w:p>
        </w:tc>
        <w:tc>
          <w:tcPr>
            <w:tcW w:w="1276" w:type="dxa"/>
          </w:tcPr>
          <w:p w14:paraId="2DC94CB8" w14:textId="77777777" w:rsidR="00FC7536" w:rsidRDefault="00FC7536" w:rsidP="005A7E80">
            <w:r>
              <w:t>$79 per month</w:t>
            </w:r>
          </w:p>
        </w:tc>
        <w:tc>
          <w:tcPr>
            <w:tcW w:w="1417" w:type="dxa"/>
          </w:tcPr>
          <w:p w14:paraId="1E90F55B" w14:textId="77777777" w:rsidR="00FC7536" w:rsidRDefault="00FC7536" w:rsidP="005A7E80">
            <w:r>
              <w:t>$65 per month</w:t>
            </w:r>
          </w:p>
        </w:tc>
        <w:tc>
          <w:tcPr>
            <w:tcW w:w="1560" w:type="dxa"/>
          </w:tcPr>
          <w:p w14:paraId="3A21549D" w14:textId="77777777" w:rsidR="00FC7536" w:rsidRDefault="00FC7536" w:rsidP="005A7E80">
            <w:r>
              <w:t>$97 per month</w:t>
            </w:r>
          </w:p>
        </w:tc>
        <w:tc>
          <w:tcPr>
            <w:tcW w:w="1514" w:type="dxa"/>
          </w:tcPr>
          <w:p w14:paraId="2BB7D97D" w14:textId="77777777" w:rsidR="00FC7536" w:rsidRDefault="00FC7536" w:rsidP="00FC7536">
            <w:r>
              <w:t>$35</w:t>
            </w:r>
            <w:r w:rsidR="00585062">
              <w:t>-</w:t>
            </w:r>
            <w:r>
              <w:t xml:space="preserve">$155 per month </w:t>
            </w:r>
          </w:p>
        </w:tc>
        <w:tc>
          <w:tcPr>
            <w:tcW w:w="1408" w:type="dxa"/>
          </w:tcPr>
          <w:p w14:paraId="471F4AB4" w14:textId="77777777" w:rsidR="00FC7536" w:rsidRDefault="001E3B1B" w:rsidP="005A7E80">
            <w:r>
              <w:t>$50</w:t>
            </w:r>
            <w:r w:rsidR="00585062">
              <w:t>-</w:t>
            </w:r>
            <w:r>
              <w:t xml:space="preserve">$200 per month </w:t>
            </w:r>
          </w:p>
        </w:tc>
        <w:tc>
          <w:tcPr>
            <w:tcW w:w="1408" w:type="dxa"/>
          </w:tcPr>
          <w:p w14:paraId="1681C15F" w14:textId="77777777" w:rsidR="00FC7536" w:rsidRDefault="00FC7536" w:rsidP="005A7E80">
            <w:r>
              <w:t>$35 per month</w:t>
            </w:r>
          </w:p>
        </w:tc>
      </w:tr>
    </w:tbl>
    <w:p w14:paraId="6B0C697C" w14:textId="3E3F312E" w:rsidR="000F71D7" w:rsidRPr="000F71D7" w:rsidRDefault="000F71D7" w:rsidP="000F71D7">
      <w:r w:rsidRPr="004253AD">
        <w:t>Note</w:t>
      </w:r>
      <w:r>
        <w:t xml:space="preserve">: </w:t>
      </w:r>
      <w:r w:rsidR="00213283">
        <w:t>Prices</w:t>
      </w:r>
      <w:r>
        <w:t xml:space="preserve"> </w:t>
      </w:r>
      <w:r w:rsidR="001E3B1B">
        <w:t>in the table above</w:t>
      </w:r>
      <w:r w:rsidR="00213283">
        <w:t xml:space="preserve"> are</w:t>
      </w:r>
      <w:r>
        <w:t xml:space="preserve"> drawn from the </w:t>
      </w:r>
      <w:hyperlink r:id="rId47" w:history="1">
        <w:r w:rsidRPr="001E3B1B">
          <w:rPr>
            <w:rStyle w:val="Hyperlink"/>
            <w:i/>
          </w:rPr>
          <w:t>ACCC</w:t>
        </w:r>
        <w:r w:rsidRPr="001E3B1B">
          <w:rPr>
            <w:rStyle w:val="Hyperlink"/>
          </w:rPr>
          <w:t xml:space="preserve"> </w:t>
        </w:r>
        <w:r w:rsidRPr="001E3B1B">
          <w:rPr>
            <w:rStyle w:val="Hyperlink"/>
            <w:i/>
          </w:rPr>
          <w:t>communications market report 2021-22</w:t>
        </w:r>
      </w:hyperlink>
      <w:r>
        <w:t>, and are primarily median advertised prices</w:t>
      </w:r>
      <w:r w:rsidR="001E3B1B">
        <w:t>, while f</w:t>
      </w:r>
      <w:r w:rsidR="00FC7536">
        <w:t xml:space="preserve">ixed voice and </w:t>
      </w:r>
      <w:r w:rsidR="001E3B1B">
        <w:t>SkyMuster</w:t>
      </w:r>
      <w:r w:rsidR="00FC7536">
        <w:t xml:space="preserve"> price</w:t>
      </w:r>
      <w:r w:rsidR="001E3B1B">
        <w:t>s reflect ACCC analysis.</w:t>
      </w:r>
    </w:p>
    <w:p w14:paraId="56379E9A" w14:textId="77777777" w:rsidR="005A7E80" w:rsidRDefault="005A7E80" w:rsidP="004D2802">
      <w:pPr>
        <w:pStyle w:val="Heading1"/>
        <w:spacing w:before="160"/>
        <w:contextualSpacing w:val="0"/>
        <w:rPr>
          <w:lang w:val="en-US"/>
        </w:rPr>
      </w:pPr>
      <w:bookmarkStart w:id="49" w:name="_Toc149309878"/>
      <w:r>
        <w:rPr>
          <w:lang w:val="en-US"/>
        </w:rPr>
        <w:t xml:space="preserve">Future </w:t>
      </w:r>
      <w:r w:rsidR="00955D77">
        <w:rPr>
          <w:lang w:val="en-US"/>
        </w:rPr>
        <w:t>c</w:t>
      </w:r>
      <w:r>
        <w:rPr>
          <w:lang w:val="en-US"/>
        </w:rPr>
        <w:t xml:space="preserve">onsultation and </w:t>
      </w:r>
      <w:r w:rsidR="00955D77">
        <w:rPr>
          <w:lang w:val="en-US"/>
        </w:rPr>
        <w:t>r</w:t>
      </w:r>
      <w:r>
        <w:rPr>
          <w:lang w:val="en-US"/>
        </w:rPr>
        <w:t xml:space="preserve">elated </w:t>
      </w:r>
      <w:r w:rsidR="00955D77">
        <w:rPr>
          <w:lang w:val="en-US"/>
        </w:rPr>
        <w:t>p</w:t>
      </w:r>
      <w:r>
        <w:rPr>
          <w:lang w:val="en-US"/>
        </w:rPr>
        <w:t>rocesses</w:t>
      </w:r>
      <w:bookmarkEnd w:id="49"/>
    </w:p>
    <w:p w14:paraId="2ECC4ACB" w14:textId="77777777" w:rsidR="005A7E80" w:rsidRDefault="005A7E80" w:rsidP="004D2802">
      <w:pPr>
        <w:pStyle w:val="Heading2"/>
        <w:spacing w:before="160" w:after="60"/>
        <w:rPr>
          <w:lang w:val="en-US"/>
        </w:rPr>
      </w:pPr>
      <w:bookmarkStart w:id="50" w:name="_Toc149309879"/>
      <w:r>
        <w:rPr>
          <w:lang w:val="en-US"/>
        </w:rPr>
        <w:t>Investigating performance and reliability of new technologies</w:t>
      </w:r>
      <w:bookmarkEnd w:id="50"/>
    </w:p>
    <w:p w14:paraId="6E5E2735" w14:textId="77777777" w:rsidR="007B21A1" w:rsidRDefault="005A7E80" w:rsidP="005A7E80">
      <w:pPr>
        <w:spacing w:before="80"/>
      </w:pPr>
      <w:r>
        <w:t>The Government considers it is important to establish a clear</w:t>
      </w:r>
      <w:r w:rsidR="0037573E">
        <w:t xml:space="preserve"> </w:t>
      </w:r>
      <w:r>
        <w:t xml:space="preserve">and transparent body of evidence on whether alternative </w:t>
      </w:r>
      <w:r w:rsidR="003C1579">
        <w:t xml:space="preserve">and emerging </w:t>
      </w:r>
      <w:r w:rsidR="00763EB5">
        <w:t>network</w:t>
      </w:r>
      <w:r w:rsidR="003C1579">
        <w:t>s</w:t>
      </w:r>
      <w:r w:rsidR="00763EB5">
        <w:t xml:space="preserve"> </w:t>
      </w:r>
      <w:r>
        <w:t xml:space="preserve">are capable of delivering the required levels of service. Accordingly, the Government intends to undertake trials to test the suitability of emerging technologies. This will gather quantitative data on a range of matters which may impact the availability, accessibility, quality and reliability of alternative platforms, including how technologies are impacted by geographical location, weather, climate, topography, equipment types and power requirements. </w:t>
      </w:r>
    </w:p>
    <w:p w14:paraId="2D1317D0" w14:textId="194E936C" w:rsidR="005A7E80" w:rsidRDefault="00B9192F" w:rsidP="005A7E80">
      <w:pPr>
        <w:spacing w:before="80"/>
      </w:pPr>
      <w:r>
        <w:t>The Government intends to undertake these trials throughout 2024</w:t>
      </w:r>
      <w:r w:rsidR="0037573E">
        <w:t xml:space="preserve"> as part of existing delivery and administrative arrangements for </w:t>
      </w:r>
      <w:r w:rsidR="00EA3212">
        <w:t>the USO</w:t>
      </w:r>
      <w:r w:rsidR="0037573E">
        <w:t xml:space="preserve"> and other public interest telecommunications contracts</w:t>
      </w:r>
      <w:r>
        <w:t xml:space="preserve">. </w:t>
      </w:r>
      <w:r w:rsidR="0037573E">
        <w:t>More</w:t>
      </w:r>
      <w:r>
        <w:t xml:space="preserve"> </w:t>
      </w:r>
      <w:r w:rsidR="00392366" w:rsidRPr="00FE6E61">
        <w:t xml:space="preserve">detail </w:t>
      </w:r>
      <w:r w:rsidR="005A7E80" w:rsidRPr="00FE6E61">
        <w:t xml:space="preserve">will be released separately in coming </w:t>
      </w:r>
      <w:r w:rsidR="00E553B1" w:rsidRPr="00FE6E61">
        <w:t>months</w:t>
      </w:r>
      <w:r w:rsidR="00E553B1">
        <w:t>;</w:t>
      </w:r>
      <w:r w:rsidR="0037573E">
        <w:t xml:space="preserve"> </w:t>
      </w:r>
      <w:r w:rsidR="00E553B1">
        <w:t>however,</w:t>
      </w:r>
      <w:r w:rsidR="0037573E">
        <w:t xml:space="preserve"> the Department would welcome any early stakeholder views on the design of the trials.</w:t>
      </w:r>
    </w:p>
    <w:p w14:paraId="50854E45" w14:textId="77777777" w:rsidR="005A7E80" w:rsidRDefault="002D6D05" w:rsidP="004D2802">
      <w:pPr>
        <w:pStyle w:val="Heading2"/>
        <w:spacing w:before="160" w:after="60"/>
        <w:rPr>
          <w:lang w:val="en-US"/>
        </w:rPr>
      </w:pPr>
      <w:bookmarkStart w:id="51" w:name="_Toc149309880"/>
      <w:r>
        <w:rPr>
          <w:lang w:val="en-US"/>
        </w:rPr>
        <w:t>Considering s</w:t>
      </w:r>
      <w:r w:rsidR="005A7E80">
        <w:rPr>
          <w:lang w:val="en-US"/>
        </w:rPr>
        <w:t>ustainable funding arrangements</w:t>
      </w:r>
      <w:bookmarkEnd w:id="51"/>
      <w:r w:rsidR="005A7E80">
        <w:rPr>
          <w:lang w:val="en-US"/>
        </w:rPr>
        <w:t xml:space="preserve"> </w:t>
      </w:r>
    </w:p>
    <w:p w14:paraId="25188063" w14:textId="77777777" w:rsidR="00237371" w:rsidRDefault="005A7E80" w:rsidP="004D2802">
      <w:pPr>
        <w:spacing w:before="0"/>
      </w:pPr>
      <w:r>
        <w:t xml:space="preserve">As part of work to consider a more modern USO, the Government will also consider </w:t>
      </w:r>
      <w:r w:rsidR="005C2B5E">
        <w:t xml:space="preserve">and seek stakeholder views on </w:t>
      </w:r>
      <w:r>
        <w:t xml:space="preserve">the best mechanism for delivering sustainable, long-term funding of services </w:t>
      </w:r>
      <w:r w:rsidR="00663EAE">
        <w:t xml:space="preserve">in </w:t>
      </w:r>
      <w:r>
        <w:t xml:space="preserve">rural and remote areas. </w:t>
      </w:r>
    </w:p>
    <w:p w14:paraId="38022F35" w14:textId="005F4578" w:rsidR="00237371" w:rsidRDefault="005A7E80" w:rsidP="00237371">
      <w:pPr>
        <w:spacing w:before="80"/>
      </w:pPr>
      <w:r>
        <w:t xml:space="preserve">This work will </w:t>
      </w:r>
      <w:r w:rsidR="001336CC">
        <w:t xml:space="preserve">incorporate </w:t>
      </w:r>
      <w:r w:rsidR="00237371">
        <w:t>the required statutory review of the RBS</w:t>
      </w:r>
      <w:r w:rsidR="00D16FAB">
        <w:t>,</w:t>
      </w:r>
      <w:r w:rsidR="00237371">
        <w:t xml:space="preserve"> which under legislation</w:t>
      </w:r>
      <w:r w:rsidR="002D0F0A">
        <w:rPr>
          <w:rStyle w:val="FootnoteReference"/>
        </w:rPr>
        <w:footnoteReference w:id="12"/>
      </w:r>
      <w:r w:rsidR="00237371">
        <w:t xml:space="preserve"> must be</w:t>
      </w:r>
      <w:r w:rsidR="00237371" w:rsidRPr="009C60A5">
        <w:t xml:space="preserve"> undertaken in the first four years</w:t>
      </w:r>
      <w:r w:rsidR="00D16FAB">
        <w:t xml:space="preserve"> of the scheme</w:t>
      </w:r>
      <w:r w:rsidR="00237371" w:rsidRPr="009C60A5">
        <w:t xml:space="preserve"> (i.e. by May 2024</w:t>
      </w:r>
      <w:r w:rsidR="00237371">
        <w:t xml:space="preserve"> or as soon as practical thereafter</w:t>
      </w:r>
      <w:r w:rsidR="00237371" w:rsidRPr="009C60A5">
        <w:t>).</w:t>
      </w:r>
    </w:p>
    <w:p w14:paraId="46D9C48B" w14:textId="767A5B51" w:rsidR="005A7E80" w:rsidRDefault="005A7E80" w:rsidP="005A7E80">
      <w:pPr>
        <w:rPr>
          <w:rFonts w:cs="Times New Roman"/>
          <w:lang w:val="en-US"/>
        </w:rPr>
      </w:pPr>
      <w:r>
        <w:t xml:space="preserve">The Government is aware that there may be different views on the merits of </w:t>
      </w:r>
      <w:r w:rsidR="00694444">
        <w:t xml:space="preserve">maintaining </w:t>
      </w:r>
      <w:r>
        <w:t xml:space="preserve">two different funding mechanisms (RBS and TIL) to support </w:t>
      </w:r>
      <w:r w:rsidR="00694444">
        <w:t xml:space="preserve">different aspects of </w:t>
      </w:r>
      <w:r>
        <w:t xml:space="preserve">universal service delivery. </w:t>
      </w:r>
      <w:r>
        <w:rPr>
          <w:rFonts w:cs="Times New Roman"/>
          <w:lang w:val="en-US"/>
        </w:rPr>
        <w:t xml:space="preserve">If services can increasingly be provided through commercially-available </w:t>
      </w:r>
      <w:r w:rsidR="00735D30">
        <w:rPr>
          <w:rFonts w:cs="Times New Roman"/>
          <w:lang w:val="en-US"/>
        </w:rPr>
        <w:t>networks</w:t>
      </w:r>
      <w:r>
        <w:rPr>
          <w:rFonts w:cs="Times New Roman"/>
          <w:lang w:val="en-US"/>
        </w:rPr>
        <w:t xml:space="preserve">, this may provide opportunities to reduce overall levels of subsidy, and instead direct funding to targeted needs in the community. There have also been concerns that funding arrangements should be designed to be administratively simple </w:t>
      </w:r>
      <w:r w:rsidR="00694444">
        <w:rPr>
          <w:rFonts w:cs="Times New Roman"/>
          <w:lang w:val="en-US"/>
        </w:rPr>
        <w:t xml:space="preserve">as possible, </w:t>
      </w:r>
      <w:r>
        <w:rPr>
          <w:rFonts w:cs="Times New Roman"/>
          <w:lang w:val="en-US"/>
        </w:rPr>
        <w:t xml:space="preserve">and to </w:t>
      </w:r>
      <w:r w:rsidR="00E553B1">
        <w:rPr>
          <w:rFonts w:cs="Times New Roman"/>
          <w:lang w:val="en-US"/>
        </w:rPr>
        <w:t>maximi</w:t>
      </w:r>
      <w:r w:rsidR="00DB0E61">
        <w:rPr>
          <w:rFonts w:cs="Times New Roman"/>
          <w:lang w:val="en-US"/>
        </w:rPr>
        <w:t>s</w:t>
      </w:r>
      <w:r w:rsidR="00E553B1">
        <w:rPr>
          <w:rFonts w:cs="Times New Roman"/>
          <w:lang w:val="en-US"/>
        </w:rPr>
        <w:t>e</w:t>
      </w:r>
      <w:r>
        <w:rPr>
          <w:rFonts w:cs="Times New Roman"/>
          <w:lang w:val="en-US"/>
        </w:rPr>
        <w:t xml:space="preserve"> competitive outcomes. </w:t>
      </w:r>
    </w:p>
    <w:p w14:paraId="2B55DC7E" w14:textId="77777777" w:rsidR="005A7E80" w:rsidRDefault="005A7E80" w:rsidP="005A7E80">
      <w:r>
        <w:t xml:space="preserve">The Government plans to gather stakeholder views on how these arrangements are operating and opportunities for how they could be improved. A </w:t>
      </w:r>
      <w:r w:rsidR="00694444">
        <w:t xml:space="preserve">further </w:t>
      </w:r>
      <w:r>
        <w:t>consultation paper</w:t>
      </w:r>
      <w:r w:rsidR="00F6152D">
        <w:t xml:space="preserve"> on funding arrangements</w:t>
      </w:r>
      <w:r w:rsidR="00663EAE">
        <w:t>, including on matters required to be considered as part of the review of the RBS,</w:t>
      </w:r>
      <w:r>
        <w:t xml:space="preserve"> will be issued</w:t>
      </w:r>
      <w:r w:rsidR="00C468A0">
        <w:t xml:space="preserve"> in early 2024</w:t>
      </w:r>
      <w:r w:rsidR="0037573E">
        <w:t>.</w:t>
      </w:r>
    </w:p>
    <w:p w14:paraId="17F89901" w14:textId="77777777" w:rsidR="005A7E80" w:rsidRDefault="005A7E80" w:rsidP="004D2802">
      <w:pPr>
        <w:pStyle w:val="Heading2"/>
        <w:spacing w:before="160" w:after="60"/>
        <w:rPr>
          <w:lang w:val="en-US"/>
        </w:rPr>
      </w:pPr>
      <w:bookmarkStart w:id="52" w:name="_Toc149309881"/>
      <w:r>
        <w:rPr>
          <w:lang w:val="en-US"/>
        </w:rPr>
        <w:t>Considering appropriate regulatory safeguards</w:t>
      </w:r>
      <w:bookmarkEnd w:id="52"/>
      <w:r>
        <w:rPr>
          <w:lang w:val="en-US"/>
        </w:rPr>
        <w:t xml:space="preserve"> </w:t>
      </w:r>
    </w:p>
    <w:p w14:paraId="754E20B2" w14:textId="4F0E1E66" w:rsidR="00D16FAB" w:rsidRDefault="005A7E80" w:rsidP="004D2802">
      <w:pPr>
        <w:spacing w:before="0"/>
      </w:pPr>
      <w:r>
        <w:t>If community consultation and the</w:t>
      </w:r>
      <w:r w:rsidR="002B78A0">
        <w:t xml:space="preserve"> technology</w:t>
      </w:r>
      <w:r>
        <w:t xml:space="preserve"> trial</w:t>
      </w:r>
      <w:r w:rsidR="002B78A0">
        <w:t>s</w:t>
      </w:r>
      <w:r>
        <w:t xml:space="preserve"> </w:t>
      </w:r>
      <w:r w:rsidR="002B78A0">
        <w:t>demonstrate</w:t>
      </w:r>
      <w:r>
        <w:t xml:space="preserve"> that there are suitable alternative technologies</w:t>
      </w:r>
      <w:r w:rsidR="002B78A0">
        <w:t xml:space="preserve"> for the delivery of </w:t>
      </w:r>
      <w:r w:rsidR="0094185D">
        <w:t>voice services</w:t>
      </w:r>
      <w:r>
        <w:t xml:space="preserve">, it will be important to consider what regulatory safeguards </w:t>
      </w:r>
      <w:r w:rsidR="00DB0E61">
        <w:t xml:space="preserve">are </w:t>
      </w:r>
      <w:r>
        <w:t>needed to safeguard consumer interests</w:t>
      </w:r>
      <w:r w:rsidR="002B78A0">
        <w:t xml:space="preserve"> and </w:t>
      </w:r>
      <w:r>
        <w:t xml:space="preserve">ensure as far as possible that any transition to new technologies is smooth and streamlined. </w:t>
      </w:r>
      <w:r w:rsidR="00712B02">
        <w:t xml:space="preserve">Issues that could be examined through this process include the </w:t>
      </w:r>
      <w:r w:rsidR="00470707">
        <w:t xml:space="preserve">extent to which different providers </w:t>
      </w:r>
      <w:r w:rsidR="002F04EB">
        <w:t>c</w:t>
      </w:r>
      <w:r w:rsidR="00470707">
        <w:t xml:space="preserve">ould have roles in supporting universal service outcomes, and what would be an </w:t>
      </w:r>
      <w:r w:rsidR="00712B02">
        <w:t xml:space="preserve">appropriate mix of wholesale and retail obligations. </w:t>
      </w:r>
    </w:p>
    <w:p w14:paraId="5B4F6776" w14:textId="411FA01C" w:rsidR="00A154FE" w:rsidRDefault="005A7E80" w:rsidP="00A9158A">
      <w:r>
        <w:t xml:space="preserve">The Government will separately consult further on these matters </w:t>
      </w:r>
      <w:r w:rsidR="00663EAE">
        <w:t xml:space="preserve">as required </w:t>
      </w:r>
      <w:r>
        <w:t xml:space="preserve">at a future point, once the suitability of alternative platforms has </w:t>
      </w:r>
      <w:r w:rsidR="00663EAE">
        <w:t>been further considered</w:t>
      </w:r>
      <w:r>
        <w:t xml:space="preserve">. </w:t>
      </w:r>
    </w:p>
    <w:sectPr w:rsidR="00A154FE" w:rsidSect="00E3303A">
      <w:pgSz w:w="11906" w:h="16838" w:code="9"/>
      <w:pgMar w:top="1021" w:right="1021" w:bottom="1021" w:left="1021" w:header="51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F5768" w14:textId="77777777" w:rsidR="0064754D" w:rsidRDefault="0064754D" w:rsidP="008456D5">
      <w:pPr>
        <w:spacing w:before="0" w:after="0"/>
      </w:pPr>
      <w:r>
        <w:separator/>
      </w:r>
    </w:p>
  </w:endnote>
  <w:endnote w:type="continuationSeparator" w:id="0">
    <w:p w14:paraId="1D1FAAD1" w14:textId="77777777" w:rsidR="0064754D" w:rsidRDefault="0064754D" w:rsidP="008456D5">
      <w:pPr>
        <w:spacing w:before="0" w:after="0"/>
      </w:pPr>
      <w:r>
        <w:continuationSeparator/>
      </w:r>
    </w:p>
  </w:endnote>
  <w:endnote w:type="continuationNotice" w:id="1">
    <w:p w14:paraId="16F74EF0" w14:textId="77777777" w:rsidR="0064754D" w:rsidRDefault="0064754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504BB" w14:textId="77777777" w:rsidR="0064754D" w:rsidRDefault="0064754D" w:rsidP="00180B5B">
    <w:pPr>
      <w:pStyle w:val="Footer"/>
      <w:spacing w:before="720"/>
      <w:jc w:val="right"/>
    </w:pPr>
    <w:r>
      <w:rPr>
        <w:noProof/>
        <w:lang w:eastAsia="en-AU"/>
      </w:rPr>
      <mc:AlternateContent>
        <mc:Choice Requires="wps">
          <w:drawing>
            <wp:anchor distT="0" distB="0" distL="114300" distR="114300" simplePos="0" relativeHeight="251659776" behindDoc="1" locked="1" layoutInCell="1" allowOverlap="1" wp14:anchorId="4605A5A5" wp14:editId="61B0920A">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5BE4196B" w14:textId="77777777" w:rsidR="0064754D" w:rsidRPr="007A05BE" w:rsidRDefault="0064754D"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05A5A5" id="_x0000_t202" coordsize="21600,21600" o:spt="202" path="m,l,21600r21600,l21600,xe">
              <v:stroke joinstyle="miter"/>
              <v:path gradientshapeok="t" o:connecttype="rect"/>
            </v:shapetype>
            <v:shape id="Text Box 16" o:spid="_x0000_s1026" type="#_x0000_t202" style="position:absolute;left:0;text-align:left;margin-left:0;margin-top:0;width:79.3pt;height:42.45pt;z-index:-25165670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5BE4196B" w14:textId="77777777" w:rsidR="0064754D" w:rsidRPr="007A05BE" w:rsidRDefault="0064754D"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752" behindDoc="1" locked="1" layoutInCell="1" allowOverlap="1" wp14:anchorId="4DDF8770" wp14:editId="135BAC8E">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1966499710"/>
                            <w:dataBinding w:prefixMappings="xmlns:ns0='http://purl.org/dc/elements/1.1/' xmlns:ns1='http://schemas.openxmlformats.org/package/2006/metadata/core-properties' " w:xpath="/ns1:coreProperties[1]/ns0:title[1]" w:storeItemID="{6C3C8BC8-F283-45AE-878A-BAB7291924A1}"/>
                            <w:text/>
                          </w:sdtPr>
                          <w:sdtEndPr/>
                          <w:sdtContent>
                            <w:p w14:paraId="0C31EE42" w14:textId="5080CA91" w:rsidR="0064754D" w:rsidRDefault="0064754D" w:rsidP="00180B5B">
                              <w:pPr>
                                <w:pStyle w:val="Footer"/>
                              </w:pPr>
                              <w:r>
                                <w:t>Better delivery of universal services</w:t>
                              </w:r>
                            </w:p>
                          </w:sdtContent>
                        </w:sdt>
                        <w:p w14:paraId="767EBC15" w14:textId="02EE937F" w:rsidR="0064754D" w:rsidRDefault="0064754D" w:rsidP="00180B5B">
                          <w:pPr>
                            <w:pStyle w:val="Footer"/>
                          </w:pPr>
                          <w:r>
                            <w:t xml:space="preserve">Better delivery of Universal Services </w:t>
                          </w:r>
                        </w:p>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F8770" id="Text Box 18" o:spid="_x0000_s1027" type="#_x0000_t202" style="position:absolute;left:0;text-align:left;margin-left:0;margin-top:0;width:340.15pt;height:42.45pt;z-index:-25165772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sdt>
                    <w:sdtPr>
                      <w:alias w:val="Title"/>
                      <w:tag w:val=""/>
                      <w:id w:val="-1966499710"/>
                      <w:dataBinding w:prefixMappings="xmlns:ns0='http://purl.org/dc/elements/1.1/' xmlns:ns1='http://schemas.openxmlformats.org/package/2006/metadata/core-properties' " w:xpath="/ns1:coreProperties[1]/ns0:title[1]" w:storeItemID="{6C3C8BC8-F283-45AE-878A-BAB7291924A1}"/>
                      <w:text/>
                    </w:sdtPr>
                    <w:sdtContent>
                      <w:p w14:paraId="0C31EE42" w14:textId="5080CA91" w:rsidR="0064754D" w:rsidRDefault="0064754D" w:rsidP="00180B5B">
                        <w:pPr>
                          <w:pStyle w:val="Footer"/>
                        </w:pPr>
                        <w:r>
                          <w:t>Better delivery of universal services</w:t>
                        </w:r>
                      </w:p>
                    </w:sdtContent>
                  </w:sdt>
                  <w:p w14:paraId="767EBC15" w14:textId="02EE937F" w:rsidR="0064754D" w:rsidRDefault="0064754D" w:rsidP="00180B5B">
                    <w:pPr>
                      <w:pStyle w:val="Footer"/>
                    </w:pPr>
                    <w:r>
                      <w:t xml:space="preserve">Better delivery of Universal Services </w:t>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515A8" w14:textId="77777777" w:rsidR="0064754D" w:rsidRDefault="0064754D" w:rsidP="00546218">
    <w:pPr>
      <w:pStyle w:val="Footer"/>
      <w:spacing w:before="720"/>
    </w:pPr>
    <w:r>
      <w:rPr>
        <w:noProof/>
        <w:lang w:eastAsia="en-AU"/>
      </w:rPr>
      <mc:AlternateContent>
        <mc:Choice Requires="wps">
          <w:drawing>
            <wp:anchor distT="0" distB="0" distL="114300" distR="114300" simplePos="0" relativeHeight="251655680" behindDoc="1" locked="1" layoutInCell="1" allowOverlap="1" wp14:anchorId="3EF78765" wp14:editId="3912164B">
              <wp:simplePos x="0" y="0"/>
              <wp:positionH relativeFrom="page">
                <wp:align>right</wp:align>
              </wp:positionH>
              <wp:positionV relativeFrom="page">
                <wp:align>bottom</wp:align>
              </wp:positionV>
              <wp:extent cx="1007640" cy="53964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313DC7ED" w14:textId="77777777" w:rsidR="0064754D" w:rsidRPr="007A05BE" w:rsidRDefault="0064754D" w:rsidP="007A05BE">
                          <w:pPr>
                            <w:pStyle w:val="Footer"/>
                            <w:jc w:val="right"/>
                            <w:rPr>
                              <w:rStyle w:val="PageNumber"/>
                            </w:rPr>
                          </w:pPr>
                          <w:r w:rsidRPr="00EA72A4">
                            <w:rPr>
                              <w:rStyle w:val="PageNumber"/>
                            </w:rPr>
                            <w:fldChar w:fldCharType="begin"/>
                          </w:r>
                          <w:r w:rsidRPr="00EA72A4">
                            <w:rPr>
                              <w:rStyle w:val="PageNumber"/>
                            </w:rPr>
                            <w:instrText xml:space="preserve"> PAGE   \* MERGEFORMAT </w:instrText>
                          </w:r>
                          <w:r w:rsidRPr="00EA72A4">
                            <w:rPr>
                              <w:rStyle w:val="PageNumber"/>
                            </w:rPr>
                            <w:fldChar w:fldCharType="separate"/>
                          </w:r>
                          <w:r w:rsidRPr="00EA72A4">
                            <w:rPr>
                              <w:rStyle w:val="PageNumber"/>
                              <w:noProof/>
                            </w:rPr>
                            <w:t>1</w:t>
                          </w:r>
                          <w:r w:rsidRPr="00EA72A4">
                            <w:rPr>
                              <w:rStyle w:val="PageNumber"/>
                              <w:noProof/>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78765" id="_x0000_t202" coordsize="21600,21600" o:spt="202" path="m,l,21600r21600,l21600,xe">
              <v:stroke joinstyle="miter"/>
              <v:path gradientshapeok="t" o:connecttype="rect"/>
            </v:shapetype>
            <v:shape id="Text Box 4" o:spid="_x0000_s1028" type="#_x0000_t202" style="position:absolute;margin-left:28.15pt;margin-top:0;width:79.35pt;height:42.5pt;z-index:-25166080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61hwIAABEFAAAOAAAAZHJzL2Uyb0RvYy54bWysVFFv2jAQfp+0/2D5HRIgBBoRKihjmlS1&#10;lcrUZ+M4JVLi82xDwqb+952dBKZuD9O0hzjnu/P5vvvuvLhtqpKchDYFyJSOhiElQnLICvma0q+7&#10;7WBOibFMZqwEKVJ6FobeLj9+WNQqEWM4QJkJTTCINEmtUnqwViVBYPhBVMwMQQmJxhx0xSxu9WuQ&#10;aVZj9KoMxmEYBzXoTGngwhjUblojXfr4eS64fcxzIywpU4q5Wb9qv+7dGiwXLHnVTB0K3qXB/iGL&#10;ihUSL72E2jDLyFEXv4WqCq7BQG6HHKoA8rzgwmNANKPwHZrnA1PCY8HiGHUpk/l/YfnD6UmTIktp&#10;RIlkFVK0E40la2hI5BHh7t5Yh83pPaYfd6P5ZDPbxoN1dDMfRJP1ZHATzdeD0Ww8X0/Hq1X8KXpz&#10;pzPBE/xAM1ucRF9g1Pwdgo5rV5tZcI1DyYkhnyPHXuDz6v8+06BWJvHAXBt48VkhStsgqu6Y0xtU&#10;OlxNriv3RzYI2rFNzpfWcJi5OxSGszhCE0fbdHLj5Pb2/rTSxn4WUBEnpFRj6/n6sRMm1br2Lu4y&#10;CduiLH37lZLUKY0n09AfuFgQWikR2TVXJ9lm33jCxi4Bp9lDdkZ4GtruNopvC8zhnhn7xDS2M6aN&#10;I2ofcclLwLugkyg5gP7+J73zR47QSkmN45FS8+3ItKCk/CKx/9ws9YL2QhzNwxDVe7+bxLjBnTxW&#10;d+C5IpiXF1GrbdmLuYbqBWd45e5DE5Mcb03pvhfvbDuu+AZwsVp5J5wdxey9fFbYSCNfNVfbXfPC&#10;tOoIsEjdA/QjxJJ3PLS+LROro4W88CRd69kVHufON1f3RrjB/nXvva4v2fInAAAA//8DAFBLAwQU&#10;AAYACAAAACEARenxuNwAAAAEAQAADwAAAGRycy9kb3ducmV2LnhtbEyPQUvDQBCF74L/YRnBS7G7&#10;CtEQMykiCAqitJb2us2OSUh2Nuxu2+ivd+tFLwOP93jvm3Ix2UEcyIfOMcL1XIEgrp3puEFYfzxd&#10;5SBC1Gz04JgQvijAojo/K3Vh3JGXdFjFRqQSDoVGaGMcCylD3ZLVYe5G4uR9Om91TNI30nh9TOV2&#10;kDdK3UqrO04LrR7psaW6X+0tQv8WfL6lTG26af36/d7Pnl/kDPHyYnq4BxFpin9hOOEndKgS087t&#10;2QQxIKRH4u89eVl+B2KHkGcKZFXK//DVDwAAAP//AwBQSwECLQAUAAYACAAAACEAtoM4kv4AAADh&#10;AQAAEwAAAAAAAAAAAAAAAAAAAAAAW0NvbnRlbnRfVHlwZXNdLnhtbFBLAQItABQABgAIAAAAIQA4&#10;/SH/1gAAAJQBAAALAAAAAAAAAAAAAAAAAC8BAABfcmVscy8ucmVsc1BLAQItABQABgAIAAAAIQCt&#10;rS61hwIAABEFAAAOAAAAAAAAAAAAAAAAAC4CAABkcnMvZTJvRG9jLnhtbFBLAQItABQABgAIAAAA&#10;IQBF6fG43AAAAAQBAAAPAAAAAAAAAAAAAAAAAOEEAABkcnMvZG93bnJldi54bWxQSwUGAAAAAAQA&#10;BADzAAAA6gUAAAAA&#10;" filled="f" stroked="f" strokeweight=".5pt">
              <v:textbox inset="0,0,18mm,10mm">
                <w:txbxContent>
                  <w:p w14:paraId="313DC7ED" w14:textId="77777777" w:rsidR="0064754D" w:rsidRPr="007A05BE" w:rsidRDefault="0064754D" w:rsidP="007A05BE">
                    <w:pPr>
                      <w:pStyle w:val="Footer"/>
                      <w:jc w:val="right"/>
                      <w:rPr>
                        <w:rStyle w:val="PageNumber"/>
                      </w:rPr>
                    </w:pPr>
                    <w:r w:rsidRPr="00EA72A4">
                      <w:rPr>
                        <w:rStyle w:val="PageNumber"/>
                      </w:rPr>
                      <w:fldChar w:fldCharType="begin"/>
                    </w:r>
                    <w:r w:rsidRPr="00EA72A4">
                      <w:rPr>
                        <w:rStyle w:val="PageNumber"/>
                      </w:rPr>
                      <w:instrText xml:space="preserve"> PAGE   \* MERGEFORMAT </w:instrText>
                    </w:r>
                    <w:r w:rsidRPr="00EA72A4">
                      <w:rPr>
                        <w:rStyle w:val="PageNumber"/>
                      </w:rPr>
                      <w:fldChar w:fldCharType="separate"/>
                    </w:r>
                    <w:r w:rsidRPr="00EA72A4">
                      <w:rPr>
                        <w:rStyle w:val="PageNumber"/>
                        <w:noProof/>
                      </w:rPr>
                      <w:t>1</w:t>
                    </w:r>
                    <w:r w:rsidRPr="00EA72A4">
                      <w:rPr>
                        <w:rStyle w:val="PageNumber"/>
                        <w:noProof/>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4656" behindDoc="1" locked="1" layoutInCell="1" allowOverlap="1" wp14:anchorId="05EE049B" wp14:editId="17335B1E">
              <wp:simplePos x="0" y="0"/>
              <wp:positionH relativeFrom="page">
                <wp:align>right</wp:align>
              </wp:positionH>
              <wp:positionV relativeFrom="page">
                <wp:align>bottom</wp:align>
              </wp:positionV>
              <wp:extent cx="4320000" cy="53964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134214723"/>
                            <w:dataBinding w:prefixMappings="xmlns:ns0='http://purl.org/dc/elements/1.1/' xmlns:ns1='http://schemas.openxmlformats.org/package/2006/metadata/core-properties' " w:xpath="/ns1:coreProperties[1]/ns0:title[1]" w:storeItemID="{6C3C8BC8-F283-45AE-878A-BAB7291924A1}"/>
                            <w:text/>
                          </w:sdtPr>
                          <w:sdtEndPr/>
                          <w:sdtContent>
                            <w:p w14:paraId="2CB21EBE" w14:textId="34F61368" w:rsidR="0064754D" w:rsidRDefault="0064754D" w:rsidP="007A05BE">
                              <w:pPr>
                                <w:pStyle w:val="Footer"/>
                                <w:jc w:val="right"/>
                              </w:pPr>
                              <w:r>
                                <w:t>Better delivery of universal services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E049B" id="Text Box 3" o:spid="_x0000_s1029" type="#_x0000_t202" style="position:absolute;margin-left:288.95pt;margin-top:0;width:340.15pt;height:42.5pt;z-index:-25166182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uhhwIAABIFAAAOAAAAZHJzL2Uyb0RvYy54bWysVMFu2zAMvQ/YPwi6p7bjNE2NOkXSLsOA&#10;oi3QDjsrstwYsEVNUmJ3w/59FG0nQ7fDMOxgmSJFio+P1NV119TsoKyrQOc8OYs5U1pCUemXnH9+&#10;3kwWnDkvdCFq0Crnr8rx6+X7d1etydQUdlAXyjIMol3WmpzvvDdZFDm5U41wZ2CURmMJthEet/Yl&#10;KqxoMXpTR9M4nkct2MJYkMo51N72Rr6k+GWppH8oS6c8q3OOuXlaLa3bsEbLK5G9WGF2lRzSEP+Q&#10;RSMqjZceQ90KL9jeVr+FaippwUHpzyQ0EZRlJRVhQDRJ/AbN004YRViwOM4cy+T+X1h5f3i0rCpy&#10;nnKmRYMUPavOszV0LCVEuLtzPmALesL0/SZZpLcXm/lkPbtcTGbpOp1czhbrSXIxXazPp6vV/MPs&#10;R/AulMzwAyt8dVBjgVHzdwgGrkNtLqJTHM4OAvlMAnsR5TX+KdOoNS4jYKENSHwyiNJ3iGpwC3qH&#10;yoCrK20T/sgGQzu2yeuxNQJmicpZit0Wo0mi7Ty9nM+od/D20dtY5z8qaFgQcm6x9ah+4oBJ9YmO&#10;R8JlGjZVXVP71Zq1OZ+n5zE5HC0YvNaI7JRrkHy37QbC0DtotlC8IjwLfXc7IzcV5nAnnH8UFtsZ&#10;08YR9Q+4lDXgXTBInO3AfvuTPpxHjtDKWYvjkXP3dS+s4qz+pLH/wiyNgiUhieMFVWhL23Te10vv&#10;mxsgshgmRiL6Wl+PYmmh+YJDvAoXokloidfmfDuKN76fV3wEpFqt6BAOjxH+Tj8Z7KSEyhaK+9x9&#10;EdYMDHjk7h7GGRLZGyL6sz0Vq72HsiKWTgUdKo+DR901PBJhsn/d06nTU7b8CQAA//8DAFBLAwQU&#10;AAYACAAAACEA+rQKg9oAAAAEAQAADwAAAGRycy9kb3ducmV2LnhtbEyPwU7DMBBE70j8g7WVuFG7&#10;BUoU4lQVEjcOpHDpzY03cVR7bcVum/L1GC70stJoRjNvq/XkLDvhGAdPEhZzAQyp9XqgXsLX59t9&#10;ASwmRVpZTyjhghHW9e1NpUrtz9TgaZt6lksolkqCSSmUnMfWoFNx7gNS9jo/OpWyHHuuR3XO5c7y&#10;pRAr7tRAecGogK8G28P26CQ09gMv3Wb5vPt+fzyI0IXG0E7Ku9m0eQGWcEr/YfjFz+hQZ6a9P5KO&#10;zErIj6S/m71VIR6A7SUUTwJ4XfFr+PoHAAD//wMAUEsBAi0AFAAGAAgAAAAhALaDOJL+AAAA4QEA&#10;ABMAAAAAAAAAAAAAAAAAAAAAAFtDb250ZW50X1R5cGVzXS54bWxQSwECLQAUAAYACAAAACEAOP0h&#10;/9YAAACUAQAACwAAAAAAAAAAAAAAAAAvAQAAX3JlbHMvLnJlbHNQSwECLQAUAAYACAAAACEAHLVb&#10;oYcCAAASBQAADgAAAAAAAAAAAAAAAAAuAgAAZHJzL2Uyb0RvYy54bWxQSwECLQAUAAYACAAAACEA&#10;+rQKg9oAAAAEAQAADwAAAAAAAAAAAAAAAADhBAAAZHJzL2Rvd25yZXYueG1sUEsFBgAAAAAEAAQA&#10;8wAAAOgFAAAAAA==&#10;" filled="f" stroked="f" strokeweight=".5pt">
              <v:textbox inset="0,0,28mm,10mm">
                <w:txbxContent>
                  <w:sdt>
                    <w:sdtPr>
                      <w:alias w:val="Title"/>
                      <w:tag w:val=""/>
                      <w:id w:val="1134214723"/>
                      <w:dataBinding w:prefixMappings="xmlns:ns0='http://purl.org/dc/elements/1.1/' xmlns:ns1='http://schemas.openxmlformats.org/package/2006/metadata/core-properties' " w:xpath="/ns1:coreProperties[1]/ns0:title[1]" w:storeItemID="{6C3C8BC8-F283-45AE-878A-BAB7291924A1}"/>
                      <w:text/>
                    </w:sdtPr>
                    <w:sdtContent>
                      <w:p w14:paraId="2CB21EBE" w14:textId="34F61368" w:rsidR="0064754D" w:rsidRDefault="0064754D" w:rsidP="007A05BE">
                        <w:pPr>
                          <w:pStyle w:val="Footer"/>
                          <w:jc w:val="right"/>
                        </w:pPr>
                        <w:r>
                          <w:t>Better delivery of universal services</w:t>
                        </w:r>
                      </w:p>
                    </w:sdtContent>
                  </w:sdt>
                </w:txbxContent>
              </v:textbox>
              <w10:wrap anchorx="page" anchory="page"/>
              <w10:anchorlock/>
            </v:shape>
          </w:pict>
        </mc:Fallback>
      </mc:AlternateContent>
    </w:r>
    <w:r>
      <w:rPr>
        <w:noProof/>
        <w:lang w:eastAsia="en-AU"/>
      </w:rPr>
      <w:drawing>
        <wp:anchor distT="0" distB="0" distL="114300" distR="114300" simplePos="0" relativeHeight="251653632" behindDoc="1" locked="1" layoutInCell="1" allowOverlap="1" wp14:anchorId="283B5934" wp14:editId="07D9E86D">
          <wp:simplePos x="0" y="0"/>
          <wp:positionH relativeFrom="page">
            <wp:align>right</wp:align>
          </wp:positionH>
          <wp:positionV relativeFrom="page">
            <wp:align>bottom</wp:align>
          </wp:positionV>
          <wp:extent cx="10692000" cy="183240"/>
          <wp:effectExtent l="0" t="0" r="0" b="762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ACA5A" w14:textId="387B070C" w:rsidR="0064754D" w:rsidRDefault="0064754D" w:rsidP="00D02062">
    <w:pPr>
      <w:pStyle w:val="Footer"/>
      <w:spacing w:before="720"/>
    </w:pPr>
    <w:r>
      <w:rPr>
        <w:noProof/>
        <w:lang w:eastAsia="en-AU"/>
      </w:rPr>
      <mc:AlternateContent>
        <mc:Choice Requires="wps">
          <w:drawing>
            <wp:anchor distT="0" distB="0" distL="114300" distR="114300" simplePos="0" relativeHeight="251660800" behindDoc="1" locked="1" layoutInCell="1" allowOverlap="1" wp14:anchorId="62CA1D57" wp14:editId="7ED48578">
              <wp:simplePos x="0" y="0"/>
              <wp:positionH relativeFrom="page">
                <wp:posOffset>6553200</wp:posOffset>
              </wp:positionH>
              <wp:positionV relativeFrom="page">
                <wp:posOffset>10153015</wp:posOffset>
              </wp:positionV>
              <wp:extent cx="1007640" cy="539640"/>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74ADA41F" w14:textId="77777777" w:rsidR="0064754D" w:rsidRPr="007A05BE" w:rsidRDefault="0064754D" w:rsidP="004253AD">
                          <w:pPr>
                            <w:pStyle w:val="Footer"/>
                            <w:jc w:val="right"/>
                            <w:rPr>
                              <w:rStyle w:val="PageNumber"/>
                            </w:rPr>
                          </w:pPr>
                          <w:r w:rsidRPr="00EA72A4">
                            <w:rPr>
                              <w:rStyle w:val="PageNumber"/>
                            </w:rPr>
                            <w:fldChar w:fldCharType="begin"/>
                          </w:r>
                          <w:r w:rsidRPr="00EA72A4">
                            <w:rPr>
                              <w:rStyle w:val="PageNumber"/>
                            </w:rPr>
                            <w:instrText xml:space="preserve"> PAGE   \* MERGEFORMAT </w:instrText>
                          </w:r>
                          <w:r w:rsidRPr="00EA72A4">
                            <w:rPr>
                              <w:rStyle w:val="PageNumber"/>
                            </w:rPr>
                            <w:fldChar w:fldCharType="separate"/>
                          </w:r>
                          <w:r w:rsidRPr="00EA72A4">
                            <w:rPr>
                              <w:rStyle w:val="PageNumber"/>
                              <w:noProof/>
                            </w:rPr>
                            <w:t>1</w:t>
                          </w:r>
                          <w:r w:rsidRPr="00EA72A4">
                            <w:rPr>
                              <w:rStyle w:val="PageNumber"/>
                              <w:noProof/>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CA1D57" id="_x0000_t202" coordsize="21600,21600" o:spt="202" path="m,l,21600r21600,l21600,xe">
              <v:stroke joinstyle="miter"/>
              <v:path gradientshapeok="t" o:connecttype="rect"/>
            </v:shapetype>
            <v:shape id="Text Box 9" o:spid="_x0000_s1030" type="#_x0000_t202" style="position:absolute;margin-left:516pt;margin-top:799.45pt;width:79.35pt;height:4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8GvhwIAABEFAAAOAAAAZHJzL2Uyb0RvYy54bWysVFFv2jAQfp+0/2D5HRIgBIgaKihjmlS1&#10;lejUZ+M4JVLi82xDwqb+952dBKZuD9O0hzjnu/P5vvvufHPbVCU5CW0KkCkdDUNKhOSQFfI1pV+f&#10;t4M5JcYymbESpEjpWRh6u/z44aZWiRjDAcpMaIJBpElqldKDtSoJAsMPomJmCEpINOagK2Zxq1+D&#10;TLMao1dlMA7DOKhBZ0oDF8agdtMa6dLHz3PB7WOeG2FJmVLMzfpV+3Xv1mB5w5JXzdSh4F0a7B+y&#10;qFgh8dJLqA2zjBx18VuoquAaDOR2yKEKIM8LLjwGRDMK36HZHZgSHgsWx6hLmcz/C8sfTk+aFFlK&#10;F5RIViFFz6KxZA0NWXhEuLs31mFzeo/px91oPtnMtvFgHS3mg2iyngwW0Xw9GM3G8/V0vFrFn6I3&#10;dzoTPMEPNLPFSfQFRs3fIei4drWZBdc4lJwY8jly7AU+r/7vMw1qZRIPzLWBF3cKUdoGUXXHnN6g&#10;0uFqcl25P7JB0I5tcr60hsPM3aEwnMURmjjappOFk9vb+9NKG/tZQEWckFKNrefrx06YVOvau7jL&#10;JGyLsvTtV0pSpzSeTEN/4GJBaKVEZNdcnWSbfeMJi1wCTrOH7IzwNLTdbRTfFpjDPTP2iWlsZ0wb&#10;R9Q+4pKXgHdBJ1FyAP39T3rnjxyhlZIaxyOl5tuRaUFJ+UVi/7lZ6gXthTiahyGq9343iXGDO3ms&#10;7sBzRTAvL6JW27IXcw3VC87wyt2HJiY53prSfS/e2XZc8Q3gYrXyTjg7itl7uVPYSCNfNVfb5+aF&#10;adURYJG6B+hHiCXveGh9WyZWRwt54Um61rMrPM6db67ujXCD/evee11fsuVPAAAA//8DAFBLAwQU&#10;AAYACAAAACEAYy2ATOQAAAAPAQAADwAAAGRycy9kb3ducmV2LnhtbEyPQUvDQBCF74L/YRnBS7G7&#10;bWlNYjZFBEFBKtai1212TEKysyG7baO/3ulJb+8xjzffy9ej68QRh9B40jCbKhBIpbcNVRp27483&#10;CYgQDVnTeUIN3xhgXVxe5Caz/kRveNzGSnAJhcxoqGPsMylDWaMzYep7JL59+cGZyHaopB3Mictd&#10;J+dKraQzDfGH2vT4UGPZbg9OQ7sJQ/KJS/XRjLuXn9d28vQsJ1pfX433dyAijvEvDGd8RoeCmfb+&#10;QDaIjr1azHlMZLVMkxTEOTNL1S2IPatVskhBFrn8v6P4BQAA//8DAFBLAQItABQABgAIAAAAIQC2&#10;gziS/gAAAOEBAAATAAAAAAAAAAAAAAAAAAAAAABbQ29udGVudF9UeXBlc10ueG1sUEsBAi0AFAAG&#10;AAgAAAAhADj9If/WAAAAlAEAAAsAAAAAAAAAAAAAAAAALwEAAF9yZWxzLy5yZWxzUEsBAi0AFAAG&#10;AAgAAAAhAMWvwa+HAgAAEQUAAA4AAAAAAAAAAAAAAAAALgIAAGRycy9lMm9Eb2MueG1sUEsBAi0A&#10;FAAGAAgAAAAhAGMtgEzkAAAADwEAAA8AAAAAAAAAAAAAAAAA4QQAAGRycy9kb3ducmV2LnhtbFBL&#10;BQYAAAAABAAEAPMAAADyBQAAAAA=&#10;" filled="f" stroked="f" strokeweight=".5pt">
              <v:textbox inset="0,0,18mm,10mm">
                <w:txbxContent>
                  <w:p w14:paraId="74ADA41F" w14:textId="77777777" w:rsidR="0064754D" w:rsidRPr="007A05BE" w:rsidRDefault="0064754D" w:rsidP="004253AD">
                    <w:pPr>
                      <w:pStyle w:val="Footer"/>
                      <w:jc w:val="right"/>
                      <w:rPr>
                        <w:rStyle w:val="PageNumber"/>
                      </w:rPr>
                    </w:pPr>
                    <w:r w:rsidRPr="00EA72A4">
                      <w:rPr>
                        <w:rStyle w:val="PageNumber"/>
                      </w:rPr>
                      <w:fldChar w:fldCharType="begin"/>
                    </w:r>
                    <w:r w:rsidRPr="00EA72A4">
                      <w:rPr>
                        <w:rStyle w:val="PageNumber"/>
                      </w:rPr>
                      <w:instrText xml:space="preserve"> PAGE   \* MERGEFORMAT </w:instrText>
                    </w:r>
                    <w:r w:rsidRPr="00EA72A4">
                      <w:rPr>
                        <w:rStyle w:val="PageNumber"/>
                      </w:rPr>
                      <w:fldChar w:fldCharType="separate"/>
                    </w:r>
                    <w:r w:rsidRPr="00EA72A4">
                      <w:rPr>
                        <w:rStyle w:val="PageNumber"/>
                        <w:noProof/>
                      </w:rPr>
                      <w:t>1</w:t>
                    </w:r>
                    <w:r w:rsidRPr="00EA72A4">
                      <w:rPr>
                        <w:rStyle w:val="PageNumber"/>
                        <w:noProof/>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7728" behindDoc="1" locked="1" layoutInCell="1" allowOverlap="1" wp14:anchorId="5E811720" wp14:editId="19611BBE">
              <wp:simplePos x="0" y="0"/>
              <wp:positionH relativeFrom="page">
                <wp:align>right</wp:align>
              </wp:positionH>
              <wp:positionV relativeFrom="page">
                <wp:align>bottom</wp:align>
              </wp:positionV>
              <wp:extent cx="4320000" cy="539640"/>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66763325"/>
                            <w:dataBinding w:prefixMappings="xmlns:ns0='http://purl.org/dc/elements/1.1/' xmlns:ns1='http://schemas.openxmlformats.org/package/2006/metadata/core-properties' " w:xpath="/ns1:coreProperties[1]/ns0:title[1]" w:storeItemID="{6C3C8BC8-F283-45AE-878A-BAB7291924A1}"/>
                            <w:text/>
                          </w:sdtPr>
                          <w:sdtEndPr/>
                          <w:sdtContent>
                            <w:p w14:paraId="37CFCF75" w14:textId="20FBEAE6" w:rsidR="0064754D" w:rsidRDefault="0064754D" w:rsidP="00D02062">
                              <w:pPr>
                                <w:pStyle w:val="Footer"/>
                                <w:jc w:val="right"/>
                              </w:pPr>
                              <w:r>
                                <w:t>Better delivery of universal services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11720" id="Text Box 7" o:spid="_x0000_s1031" type="#_x0000_t202" style="position:absolute;margin-left:288.95pt;margin-top:0;width:340.15pt;height:42.5pt;z-index:-25165875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UoiAIAABIFAAAOAAAAZHJzL2Uyb0RvYy54bWysVE1v2zAMvQ/YfxB0T23H+apRp0jaZRhQ&#10;tAXaYWdFlhsDtqhJSuxu2H8fxdjJ0O0wDDtYpkiJ5OMjdXXdNTU7KOsq0DlPLmLOlJZQVPol55+f&#10;N6MFZ84LXYgatMr5q3L8evn+3VVrMjWGHdSFsgydaJe1Juc7700WRU7uVCPcBRil0ViCbYTHrX2J&#10;Cita9N7U0TiOZ1ELtjAWpHIOtbdHI1+S/7JU0j+UpVOe1TnH3DytltZtWKPllcherDC7SvZpiH/I&#10;ohGVxqAnV7fCC7a31W+umkpacFD6CwlNBGVZSUUYEE0Sv0HztBNGERYsjjOnMrn/51beHx4tq4qc&#10;zznTokGKnlXn2Ro6NidEuLtzPmALesL0/SZZpLfzzWy0nlwuRpN0nY4uJ4v1KJmPF+vpeLWafZj8&#10;CLcLJTP8wApfHdRQYNT8HYKe61CbeXT2w9lBIJ9JYC+ivIY/ZRq1xmUELLQBiU8GUfoOUfXXgt6h&#10;MuDqStuEP7LB0I5t8npqjYBZonKSYrfFaJJom6aXswn1DkYfbhvr/EcFDQtCzi22HtVPHDCpY6LD&#10;kRBMw6aqa2q/WrM257N0GtOFkwWd1xqRnXMNku+2HRE2DfCDZgvFK8KzcOxuZ+SmwhzuhPOPwmI7&#10;Y9o4ov4Bl7IGjAW9xNkO7Lc/6cN55AitnLU4Hjl3X/fCKs7qTxr7L8zSIFgSkjheUIW2tE1nx3rp&#10;fXMDRBbDxEjEu9bXg1haaL7gEK9CQDQJLTFszreDeOOP84qPgFSrFR3C4THC3+kng52UUNlCcZ+7&#10;L8KangGP3N3DMEMie0PE8eyRitXeQ1kRS+eC9pXHwaPu6h+JMNm/7unU+Slb/gQAAP//AwBQSwME&#10;FAAGAAgAAAAhAPq0CoPaAAAABAEAAA8AAABkcnMvZG93bnJldi54bWxMj8FOwzAQRO9I/IO1lbhR&#10;uwVKFOJUFRI3DqRw6c2NN3FUe23Fbpvy9Rgu9LLSaEYzb6v15Cw74RgHTxIWcwEMqfV6oF7C1+fb&#10;fQEsJkVaWU8o4YIR1vXtTaVK7c/U4GmbepZLKJZKgkkplJzH1qBTce4DUvY6PzqVshx7rkd1zuXO&#10;8qUQK+7UQHnBqICvBtvD9ugkNPYDL91m+bz7fn88iNCFxtBOyrvZtHkBlnBK/2H4xc/oUGemvT+S&#10;jsxKyI+kv5u9VSEegO0lFE8CeF3xa/j6BwAA//8DAFBLAQItABQABgAIAAAAIQC2gziS/gAAAOEB&#10;AAATAAAAAAAAAAAAAAAAAAAAAABbQ29udGVudF9UeXBlc10ueG1sUEsBAi0AFAAGAAgAAAAhADj9&#10;If/WAAAAlAEAAAsAAAAAAAAAAAAAAAAALwEAAF9yZWxzLy5yZWxzUEsBAi0AFAAGAAgAAAAhAEdb&#10;FSiIAgAAEgUAAA4AAAAAAAAAAAAAAAAALgIAAGRycy9lMm9Eb2MueG1sUEsBAi0AFAAGAAgAAAAh&#10;APq0CoPaAAAABAEAAA8AAAAAAAAAAAAAAAAA4gQAAGRycy9kb3ducmV2LnhtbFBLBQYAAAAABAAE&#10;APMAAADpBQAAAAA=&#10;" filled="f" stroked="f" strokeweight=".5pt">
              <v:textbox inset="0,0,28mm,10mm">
                <w:txbxContent>
                  <w:sdt>
                    <w:sdtPr>
                      <w:alias w:val="Title"/>
                      <w:tag w:val=""/>
                      <w:id w:val="-1266763325"/>
                      <w:dataBinding w:prefixMappings="xmlns:ns0='http://purl.org/dc/elements/1.1/' xmlns:ns1='http://schemas.openxmlformats.org/package/2006/metadata/core-properties' " w:xpath="/ns1:coreProperties[1]/ns0:title[1]" w:storeItemID="{6C3C8BC8-F283-45AE-878A-BAB7291924A1}"/>
                      <w:text/>
                    </w:sdtPr>
                    <w:sdtContent>
                      <w:p w14:paraId="37CFCF75" w14:textId="20FBEAE6" w:rsidR="0064754D" w:rsidRDefault="0064754D" w:rsidP="00D02062">
                        <w:pPr>
                          <w:pStyle w:val="Footer"/>
                          <w:jc w:val="right"/>
                        </w:pPr>
                        <w:r>
                          <w:t>Better delivery of universal services</w:t>
                        </w:r>
                      </w:p>
                    </w:sdtContent>
                  </w:sdt>
                </w:txbxContent>
              </v:textbox>
              <w10:wrap anchorx="page" anchory="page"/>
              <w10:anchorlock/>
            </v:shape>
          </w:pict>
        </mc:Fallback>
      </mc:AlternateContent>
    </w:r>
    <w:r>
      <w:rPr>
        <w:noProof/>
        <w:lang w:eastAsia="en-AU"/>
      </w:rPr>
      <w:drawing>
        <wp:anchor distT="0" distB="0" distL="114300" distR="114300" simplePos="0" relativeHeight="251656704" behindDoc="1" locked="1" layoutInCell="1" allowOverlap="1" wp14:anchorId="3D71F7D4" wp14:editId="583D5582">
          <wp:simplePos x="0" y="0"/>
          <wp:positionH relativeFrom="page">
            <wp:align>right</wp:align>
          </wp:positionH>
          <wp:positionV relativeFrom="page">
            <wp:align>bottom</wp:align>
          </wp:positionV>
          <wp:extent cx="10692000" cy="183240"/>
          <wp:effectExtent l="0" t="0" r="0" b="762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58FE1" w14:textId="77777777" w:rsidR="0064754D" w:rsidRPr="005912BE" w:rsidRDefault="0064754D" w:rsidP="005912BE">
      <w:pPr>
        <w:spacing w:before="300"/>
        <w:rPr>
          <w:color w:val="008089" w:themeColor="accent2"/>
        </w:rPr>
      </w:pPr>
      <w:r w:rsidRPr="001606C9">
        <w:rPr>
          <w:color w:val="004044" w:themeColor="accent2" w:themeShade="80"/>
        </w:rPr>
        <w:t>----------</w:t>
      </w:r>
    </w:p>
  </w:footnote>
  <w:footnote w:type="continuationSeparator" w:id="0">
    <w:p w14:paraId="3CD4A17A" w14:textId="77777777" w:rsidR="0064754D" w:rsidRDefault="0064754D" w:rsidP="008456D5">
      <w:pPr>
        <w:spacing w:before="0" w:after="0"/>
      </w:pPr>
      <w:r>
        <w:continuationSeparator/>
      </w:r>
    </w:p>
  </w:footnote>
  <w:footnote w:type="continuationNotice" w:id="1">
    <w:p w14:paraId="7290EA4E" w14:textId="77777777" w:rsidR="0064754D" w:rsidRDefault="0064754D">
      <w:pPr>
        <w:spacing w:before="0" w:after="0"/>
      </w:pPr>
    </w:p>
  </w:footnote>
  <w:footnote w:id="2">
    <w:p w14:paraId="44063FBB" w14:textId="77777777" w:rsidR="0064754D" w:rsidRPr="00224E12" w:rsidRDefault="0064754D" w:rsidP="00224E12">
      <w:pPr>
        <w:pStyle w:val="FootnoteText"/>
        <w:ind w:left="226" w:hanging="113"/>
        <w:rPr>
          <w:lang w:val="en-US"/>
        </w:rPr>
      </w:pPr>
      <w:r>
        <w:rPr>
          <w:rStyle w:val="FootnoteReference"/>
        </w:rPr>
        <w:footnoteRef/>
      </w:r>
      <w:r>
        <w:t xml:space="preserve"> </w:t>
      </w:r>
      <w:r>
        <w:rPr>
          <w:lang w:val="en-US"/>
        </w:rPr>
        <w:t xml:space="preserve">This includes the 2015, 2018 and 2021 regional telecommunications reviews, and in 2017, a public inquiry by the Productivity Commission and an Australian National Audit Office audit of administration of USO contractual arrangements. Further, over the past seven to eight years, key consumer groups such as the </w:t>
      </w:r>
      <w:r w:rsidRPr="00035BD1">
        <w:rPr>
          <w:lang w:val="en-US"/>
        </w:rPr>
        <w:t>Australian Communications Consumer Action Network</w:t>
      </w:r>
      <w:r>
        <w:rPr>
          <w:lang w:val="en-US"/>
        </w:rPr>
        <w:t xml:space="preserve"> and the </w:t>
      </w:r>
      <w:r w:rsidRPr="00035BD1">
        <w:rPr>
          <w:lang w:val="en-US"/>
        </w:rPr>
        <w:t>Regional, Rural and Remote Communications Coalition</w:t>
      </w:r>
      <w:r>
        <w:rPr>
          <w:lang w:val="en-US"/>
        </w:rPr>
        <w:t xml:space="preserve"> have consistently highlighted through their policy priorities that universal service arrangements should be examined and modernised.</w:t>
      </w:r>
    </w:p>
  </w:footnote>
  <w:footnote w:id="3">
    <w:p w14:paraId="11C9E91F" w14:textId="77777777" w:rsidR="0064754D" w:rsidRPr="001F2C01" w:rsidRDefault="0064754D" w:rsidP="000228A3">
      <w:pPr>
        <w:pStyle w:val="FootnoteText"/>
        <w:ind w:left="226" w:hanging="113"/>
        <w:rPr>
          <w:lang w:val="en-US"/>
        </w:rPr>
      </w:pPr>
      <w:r>
        <w:rPr>
          <w:rStyle w:val="FootnoteReference"/>
        </w:rPr>
        <w:footnoteRef/>
      </w:r>
      <w:r>
        <w:t xml:space="preserve"> </w:t>
      </w:r>
      <w:r>
        <w:rPr>
          <w:lang w:val="en-US"/>
        </w:rPr>
        <w:t xml:space="preserve">The agreement was originally called the Telecommunications Universal Service Management Agency (TUSMA) Agreement. The TUSMA was a separate agency that was established from 1 July 2012, but ceased operations from </w:t>
      </w:r>
      <w:r w:rsidRPr="00D84107">
        <w:rPr>
          <w:lang w:val="en-US"/>
        </w:rPr>
        <w:t>1 July 2015</w:t>
      </w:r>
      <w:r>
        <w:rPr>
          <w:lang w:val="en-US"/>
        </w:rPr>
        <w:t xml:space="preserve"> as its </w:t>
      </w:r>
      <w:r w:rsidRPr="00D84107">
        <w:rPr>
          <w:lang w:val="en-US"/>
        </w:rPr>
        <w:t>functions</w:t>
      </w:r>
      <w:r>
        <w:rPr>
          <w:lang w:val="en-US"/>
        </w:rPr>
        <w:t xml:space="preserve"> and staff</w:t>
      </w:r>
      <w:r w:rsidRPr="00D84107">
        <w:rPr>
          <w:lang w:val="en-US"/>
        </w:rPr>
        <w:t xml:space="preserve"> transferred to </w:t>
      </w:r>
      <w:r>
        <w:rPr>
          <w:lang w:val="en-US"/>
        </w:rPr>
        <w:t xml:space="preserve">what is now the </w:t>
      </w:r>
      <w:r w:rsidRPr="00D84107">
        <w:rPr>
          <w:lang w:val="en-US"/>
        </w:rPr>
        <w:t>Department of Infrastructure, Transport, Regional Development</w:t>
      </w:r>
      <w:r>
        <w:rPr>
          <w:lang w:val="en-US"/>
        </w:rPr>
        <w:t>,</w:t>
      </w:r>
      <w:r w:rsidRPr="00D84107">
        <w:rPr>
          <w:lang w:val="en-US"/>
        </w:rPr>
        <w:t xml:space="preserve"> Communications</w:t>
      </w:r>
      <w:r>
        <w:rPr>
          <w:lang w:val="en-US"/>
        </w:rPr>
        <w:t xml:space="preserve"> and the Arts</w:t>
      </w:r>
      <w:r w:rsidRPr="00D84107">
        <w:rPr>
          <w:lang w:val="en-US"/>
        </w:rPr>
        <w:t>.</w:t>
      </w:r>
      <w:r>
        <w:rPr>
          <w:lang w:val="en-US"/>
        </w:rPr>
        <w:t xml:space="preserve"> </w:t>
      </w:r>
    </w:p>
  </w:footnote>
  <w:footnote w:id="4">
    <w:p w14:paraId="62D3D02D" w14:textId="5D1D0C15" w:rsidR="0064754D" w:rsidRPr="00CE6796" w:rsidRDefault="0064754D" w:rsidP="000228A3">
      <w:pPr>
        <w:pStyle w:val="FootnoteText"/>
        <w:ind w:left="226" w:hanging="113"/>
        <w:rPr>
          <w:lang w:val="en-US"/>
        </w:rPr>
      </w:pPr>
      <w:r>
        <w:rPr>
          <w:rStyle w:val="FootnoteReference"/>
        </w:rPr>
        <w:footnoteRef/>
      </w:r>
      <w:r>
        <w:t xml:space="preserve"> More detail on TIL arrangements is available on the </w:t>
      </w:r>
      <w:hyperlink r:id="rId1" w:history="1">
        <w:r w:rsidRPr="00213283">
          <w:rPr>
            <w:rStyle w:val="Hyperlink"/>
          </w:rPr>
          <w:t>Department’s website</w:t>
        </w:r>
      </w:hyperlink>
      <w:r>
        <w:t xml:space="preserve">. </w:t>
      </w:r>
    </w:p>
  </w:footnote>
  <w:footnote w:id="5">
    <w:p w14:paraId="72E635AC" w14:textId="16257C46" w:rsidR="0064754D" w:rsidRPr="00984FDD" w:rsidRDefault="0064754D">
      <w:pPr>
        <w:pStyle w:val="FootnoteText"/>
        <w:rPr>
          <w:lang w:val="en-US"/>
        </w:rPr>
      </w:pPr>
      <w:r>
        <w:rPr>
          <w:rStyle w:val="FootnoteReference"/>
        </w:rPr>
        <w:footnoteRef/>
      </w:r>
      <w:r>
        <w:t xml:space="preserve"> </w:t>
      </w:r>
      <w:r w:rsidR="00BA703D">
        <w:t xml:space="preserve">More information on recent usage of free payphones is available on </w:t>
      </w:r>
      <w:hyperlink r:id="rId2" w:history="1">
        <w:r w:rsidR="00BA703D" w:rsidRPr="00BA703D">
          <w:rPr>
            <w:rStyle w:val="Hyperlink"/>
          </w:rPr>
          <w:t>Telstra’s website</w:t>
        </w:r>
      </w:hyperlink>
      <w:r w:rsidR="00BA703D">
        <w:t xml:space="preserve">. </w:t>
      </w:r>
    </w:p>
  </w:footnote>
  <w:footnote w:id="6">
    <w:p w14:paraId="04A5F3D6" w14:textId="273F0D1F" w:rsidR="0064754D" w:rsidRPr="00C03171" w:rsidRDefault="0064754D">
      <w:pPr>
        <w:pStyle w:val="FootnoteText"/>
        <w:rPr>
          <w:lang w:val="en-US"/>
        </w:rPr>
      </w:pPr>
      <w:r>
        <w:rPr>
          <w:rStyle w:val="FootnoteReference"/>
        </w:rPr>
        <w:footnoteRef/>
      </w:r>
      <w:r>
        <w:t xml:space="preserve"> </w:t>
      </w:r>
      <w:r w:rsidR="00BA703D">
        <w:t xml:space="preserve">Further information about the availability of free Wi-Fi on selected payphones is available on </w:t>
      </w:r>
      <w:hyperlink r:id="rId3" w:history="1">
        <w:r w:rsidR="00BA703D" w:rsidRPr="00BA703D">
          <w:rPr>
            <w:rStyle w:val="Hyperlink"/>
          </w:rPr>
          <w:t>Telstra’s website</w:t>
        </w:r>
      </w:hyperlink>
    </w:p>
  </w:footnote>
  <w:footnote w:id="7">
    <w:p w14:paraId="6D87FF07" w14:textId="77777777" w:rsidR="0064754D" w:rsidRPr="00E4639D" w:rsidRDefault="0064754D" w:rsidP="000228A3">
      <w:pPr>
        <w:pStyle w:val="FootnoteText"/>
        <w:ind w:left="226" w:hanging="113"/>
        <w:rPr>
          <w:lang w:val="en-US"/>
        </w:rPr>
      </w:pPr>
      <w:r>
        <w:rPr>
          <w:rStyle w:val="FootnoteReference"/>
        </w:rPr>
        <w:footnoteRef/>
      </w:r>
      <w:r>
        <w:t xml:space="preserve"> </w:t>
      </w:r>
      <w:r>
        <w:rPr>
          <w:lang w:val="en-US"/>
        </w:rPr>
        <w:t xml:space="preserve">Telstra has made a commercial decision to close its </w:t>
      </w:r>
      <w:r w:rsidRPr="00864C16">
        <w:rPr>
          <w:lang w:val="en-US"/>
        </w:rPr>
        <w:t xml:space="preserve">3G network </w:t>
      </w:r>
      <w:r>
        <w:rPr>
          <w:lang w:val="en-US"/>
        </w:rPr>
        <w:t>after</w:t>
      </w:r>
      <w:r w:rsidRPr="00864C16">
        <w:rPr>
          <w:lang w:val="en-US"/>
        </w:rPr>
        <w:t xml:space="preserve"> June 2024</w:t>
      </w:r>
      <w:r>
        <w:rPr>
          <w:lang w:val="en-US"/>
        </w:rPr>
        <w:t>. It is progressing migration options to provide continuity for existing USO customers that currently obtain voice services over its 3G NGWLL service.</w:t>
      </w:r>
    </w:p>
  </w:footnote>
  <w:footnote w:id="8">
    <w:p w14:paraId="154FA8C8" w14:textId="5638854D" w:rsidR="0064754D" w:rsidRPr="001F2C01" w:rsidRDefault="0064754D" w:rsidP="000228A3">
      <w:pPr>
        <w:pStyle w:val="FootnoteText"/>
        <w:ind w:left="226" w:hanging="113"/>
        <w:rPr>
          <w:lang w:val="en-US"/>
        </w:rPr>
      </w:pPr>
      <w:r>
        <w:rPr>
          <w:rStyle w:val="FootnoteReference"/>
        </w:rPr>
        <w:footnoteRef/>
      </w:r>
      <w:r>
        <w:t xml:space="preserve"> </w:t>
      </w:r>
      <w:r>
        <w:rPr>
          <w:lang w:val="en-US"/>
        </w:rPr>
        <w:t xml:space="preserve">This estimate was provided in the Government’s </w:t>
      </w:r>
      <w:hyperlink r:id="rId4" w:history="1">
        <w:r w:rsidRPr="00D20DBA">
          <w:rPr>
            <w:rStyle w:val="Hyperlink"/>
            <w:lang w:val="en-US"/>
          </w:rPr>
          <w:t>summary report</w:t>
        </w:r>
      </w:hyperlink>
      <w:r>
        <w:rPr>
          <w:lang w:val="en-US"/>
        </w:rPr>
        <w:t xml:space="preserve"> on the development of the USG, published in November 2018. </w:t>
      </w:r>
    </w:p>
  </w:footnote>
  <w:footnote w:id="9">
    <w:p w14:paraId="2C0AB03D" w14:textId="349A0CE1" w:rsidR="0064754D" w:rsidRPr="001F2C01" w:rsidRDefault="0064754D">
      <w:pPr>
        <w:pStyle w:val="FootnoteText"/>
        <w:rPr>
          <w:lang w:val="en-US"/>
        </w:rPr>
      </w:pPr>
      <w:r>
        <w:rPr>
          <w:rStyle w:val="FootnoteReference"/>
        </w:rPr>
        <w:footnoteRef/>
      </w:r>
      <w:r>
        <w:t xml:space="preserve"> Th</w:t>
      </w:r>
      <w:r w:rsidR="006D61F6">
        <w:t>is</w:t>
      </w:r>
      <w:r>
        <w:t xml:space="preserve"> code – </w:t>
      </w:r>
      <w:r>
        <w:rPr>
          <w:i/>
        </w:rPr>
        <w:t xml:space="preserve">End-to-end network performance for the STS </w:t>
      </w:r>
      <w:r>
        <w:t xml:space="preserve">– is available on the </w:t>
      </w:r>
      <w:hyperlink r:id="rId5" w:history="1">
        <w:r w:rsidRPr="00213283">
          <w:rPr>
            <w:rStyle w:val="Hyperlink"/>
          </w:rPr>
          <w:t>Communications Alliance website</w:t>
        </w:r>
      </w:hyperlink>
      <w:r>
        <w:t>.</w:t>
      </w:r>
    </w:p>
  </w:footnote>
  <w:footnote w:id="10">
    <w:p w14:paraId="3117D4C0" w14:textId="3B36EB1F" w:rsidR="0064754D" w:rsidRPr="00A56E74" w:rsidRDefault="0064754D" w:rsidP="000228A3">
      <w:pPr>
        <w:pStyle w:val="FootnoteText"/>
        <w:ind w:left="226" w:hanging="113"/>
        <w:rPr>
          <w:lang w:val="en-US"/>
        </w:rPr>
      </w:pPr>
      <w:r>
        <w:rPr>
          <w:rStyle w:val="FootnoteReference"/>
        </w:rPr>
        <w:footnoteRef/>
      </w:r>
      <w:r>
        <w:t xml:space="preserve"> The ACCC publishes performance </w:t>
      </w:r>
      <w:r w:rsidRPr="000228A3">
        <w:rPr>
          <w:lang w:val="en-US"/>
        </w:rPr>
        <w:t>reports</w:t>
      </w:r>
      <w:r>
        <w:t xml:space="preserve"> for the Measuring Broadband Australia program on </w:t>
      </w:r>
      <w:hyperlink r:id="rId6" w:history="1">
        <w:r w:rsidRPr="0077272F">
          <w:rPr>
            <w:rStyle w:val="Hyperlink"/>
          </w:rPr>
          <w:t>its website</w:t>
        </w:r>
        <w:r w:rsidR="0077272F" w:rsidRPr="0077272F">
          <w:rPr>
            <w:rStyle w:val="Hyperlink"/>
          </w:rPr>
          <w:t>.</w:t>
        </w:r>
      </w:hyperlink>
      <w:r w:rsidR="0077272F">
        <w:t xml:space="preserve"> </w:t>
      </w:r>
    </w:p>
  </w:footnote>
  <w:footnote w:id="11">
    <w:p w14:paraId="7A499340" w14:textId="44E6CF7D" w:rsidR="0064754D" w:rsidRPr="00E400AA" w:rsidRDefault="0064754D" w:rsidP="000228A3">
      <w:pPr>
        <w:pStyle w:val="FootnoteText"/>
        <w:ind w:left="226" w:hanging="113"/>
        <w:rPr>
          <w:lang w:val="en-US"/>
        </w:rPr>
      </w:pPr>
      <w:r>
        <w:rPr>
          <w:rStyle w:val="FootnoteReference"/>
        </w:rPr>
        <w:footnoteRef/>
      </w:r>
      <w:r>
        <w:t xml:space="preserve"> The ACCC publishes performance reports for </w:t>
      </w:r>
      <w:r w:rsidRPr="000228A3">
        <w:rPr>
          <w:lang w:val="en-US"/>
        </w:rPr>
        <w:t>the</w:t>
      </w:r>
      <w:r>
        <w:t xml:space="preserve"> Measuring Broadband Australia program on </w:t>
      </w:r>
      <w:hyperlink r:id="rId7" w:history="1">
        <w:r w:rsidRPr="0077272F">
          <w:rPr>
            <w:rStyle w:val="Hyperlink"/>
          </w:rPr>
          <w:t>its website</w:t>
        </w:r>
      </w:hyperlink>
      <w:r w:rsidR="0077272F">
        <w:t xml:space="preserve">. </w:t>
      </w:r>
    </w:p>
  </w:footnote>
  <w:footnote w:id="12">
    <w:p w14:paraId="73A305B8" w14:textId="6F493CF8" w:rsidR="0064754D" w:rsidRPr="004D2802" w:rsidRDefault="0064754D">
      <w:pPr>
        <w:pStyle w:val="FootnoteText"/>
        <w:rPr>
          <w:lang w:val="en-US"/>
        </w:rPr>
      </w:pPr>
      <w:r>
        <w:rPr>
          <w:rStyle w:val="FootnoteReference"/>
        </w:rPr>
        <w:footnoteRef/>
      </w:r>
      <w:r>
        <w:t xml:space="preserve"> </w:t>
      </w:r>
      <w:r w:rsidR="004D2802">
        <w:t xml:space="preserve">This requirement is set out in </w:t>
      </w:r>
      <w:r>
        <w:t xml:space="preserve">s152ZFA of the </w:t>
      </w:r>
      <w:r w:rsidRPr="004D085A">
        <w:rPr>
          <w:i/>
        </w:rPr>
        <w:t>Telecommunications (Consumer Protection and Service Standards) Act 1999</w:t>
      </w:r>
      <w:r w:rsidR="004D280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8EC6F" w14:textId="77777777" w:rsidR="0064754D" w:rsidRDefault="00A961BB" w:rsidP="00180B5B">
    <w:pPr>
      <w:pStyle w:val="Header"/>
      <w:spacing w:after="1320"/>
      <w:jc w:val="left"/>
    </w:pPr>
    <w:r>
      <w:rPr>
        <w:noProof/>
      </w:rPr>
      <w:pict w14:anchorId="1227C6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585954" o:spid="_x0000_s2050" type="#_x0000_t136" style="position:absolute;margin-left:0;margin-top:0;width:564.95pt;height:130.35pt;rotation:315;z-index:-251654656;mso-position-horizontal:center;mso-position-horizontal-relative:margin;mso-position-vertical:center;mso-position-vertical-relative:margin" o:allowincell="f" fillcolor="silver" stroked="f">
          <v:fill opacity=".5"/>
          <v:textpath style="font-family:&quot;Calibri&quot;;font-size:1pt" string="WORKING DRAFT"/>
          <w10:wrap anchorx="margin" anchory="margin"/>
        </v:shape>
      </w:pict>
    </w:r>
    <w:r>
      <w:fldChar w:fldCharType="begin"/>
    </w:r>
    <w:r>
      <w:instrText xml:space="preserve"> STYLEREF  "Heading 1" \l  \* MERGEFORMAT </w:instrText>
    </w:r>
    <w:r>
      <w:fldChar w:fldCharType="separate"/>
    </w:r>
    <w:r w:rsidR="0064754D">
      <w:rPr>
        <w:noProof/>
      </w:rPr>
      <w:t>Introduction</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4C7C1" w14:textId="47200D0E" w:rsidR="0064754D" w:rsidRDefault="00A961BB" w:rsidP="00546218">
    <w:pPr>
      <w:pStyle w:val="Header"/>
      <w:spacing w:after="1320"/>
    </w:pPr>
    <w:r>
      <w:fldChar w:fldCharType="begin"/>
    </w:r>
    <w:r>
      <w:instrText xml:space="preserve"> STYLEREF  "Heading 1" \l  \* MERGEFORMAT </w:instrText>
    </w:r>
    <w:r>
      <w:fldChar w:fldCharType="separate"/>
    </w:r>
    <w:r>
      <w:rPr>
        <w:noProof/>
      </w:rPr>
      <w:t>Future consultation and related processes</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132"/>
        </w:tabs>
        <w:ind w:left="113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332D72"/>
    <w:multiLevelType w:val="multilevel"/>
    <w:tmpl w:val="5A1E86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9483CD7"/>
    <w:multiLevelType w:val="hybridMultilevel"/>
    <w:tmpl w:val="107EF614"/>
    <w:lvl w:ilvl="0" w:tplc="961A0D7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621AED"/>
    <w:multiLevelType w:val="multilevel"/>
    <w:tmpl w:val="C2EED61A"/>
    <w:numStyleLink w:val="NumberedHeadings"/>
  </w:abstractNum>
  <w:abstractNum w:abstractNumId="14" w15:restartNumberingAfterBreak="0">
    <w:nsid w:val="0E516F64"/>
    <w:multiLevelType w:val="hybridMultilevel"/>
    <w:tmpl w:val="4572A6F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4F22AA5"/>
    <w:multiLevelType w:val="hybridMultilevel"/>
    <w:tmpl w:val="42C28768"/>
    <w:lvl w:ilvl="0" w:tplc="D86C32C6">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662591A"/>
    <w:multiLevelType w:val="hybridMultilevel"/>
    <w:tmpl w:val="8B1C44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0A81444"/>
    <w:multiLevelType w:val="hybridMultilevel"/>
    <w:tmpl w:val="65BE8730"/>
    <w:lvl w:ilvl="0" w:tplc="C00AE73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5D8656F"/>
    <w:multiLevelType w:val="hybridMultilevel"/>
    <w:tmpl w:val="C5586924"/>
    <w:lvl w:ilvl="0" w:tplc="72B6304A">
      <w:start w:val="1"/>
      <w:numFmt w:val="decimal"/>
      <w:lvlText w:val="%1."/>
      <w:lvlJc w:val="left"/>
      <w:pPr>
        <w:ind w:left="360" w:hanging="360"/>
      </w:pPr>
      <w:rPr>
        <w:rFonts w:hint="default"/>
        <w:b w:val="0"/>
        <w:i w:val="0"/>
        <w:color w:val="auto"/>
      </w:rPr>
    </w:lvl>
    <w:lvl w:ilvl="1" w:tplc="E91ED378" w:tentative="1">
      <w:start w:val="1"/>
      <w:numFmt w:val="lowerLetter"/>
      <w:lvlText w:val="%2."/>
      <w:lvlJc w:val="left"/>
      <w:pPr>
        <w:ind w:left="1080" w:hanging="360"/>
      </w:pPr>
    </w:lvl>
    <w:lvl w:ilvl="2" w:tplc="2416E416" w:tentative="1">
      <w:start w:val="1"/>
      <w:numFmt w:val="lowerRoman"/>
      <w:lvlText w:val="%3."/>
      <w:lvlJc w:val="right"/>
      <w:pPr>
        <w:ind w:left="1800" w:hanging="180"/>
      </w:pPr>
    </w:lvl>
    <w:lvl w:ilvl="3" w:tplc="A314B102" w:tentative="1">
      <w:start w:val="1"/>
      <w:numFmt w:val="decimal"/>
      <w:lvlText w:val="%4."/>
      <w:lvlJc w:val="left"/>
      <w:pPr>
        <w:ind w:left="2520" w:hanging="360"/>
      </w:pPr>
    </w:lvl>
    <w:lvl w:ilvl="4" w:tplc="11E4C9E8" w:tentative="1">
      <w:start w:val="1"/>
      <w:numFmt w:val="lowerLetter"/>
      <w:lvlText w:val="%5."/>
      <w:lvlJc w:val="left"/>
      <w:pPr>
        <w:ind w:left="3240" w:hanging="360"/>
      </w:pPr>
    </w:lvl>
    <w:lvl w:ilvl="5" w:tplc="55786F88" w:tentative="1">
      <w:start w:val="1"/>
      <w:numFmt w:val="lowerRoman"/>
      <w:lvlText w:val="%6."/>
      <w:lvlJc w:val="right"/>
      <w:pPr>
        <w:ind w:left="3960" w:hanging="180"/>
      </w:pPr>
    </w:lvl>
    <w:lvl w:ilvl="6" w:tplc="5672D10A" w:tentative="1">
      <w:start w:val="1"/>
      <w:numFmt w:val="decimal"/>
      <w:lvlText w:val="%7."/>
      <w:lvlJc w:val="left"/>
      <w:pPr>
        <w:ind w:left="4680" w:hanging="360"/>
      </w:pPr>
    </w:lvl>
    <w:lvl w:ilvl="7" w:tplc="F18E98CE" w:tentative="1">
      <w:start w:val="1"/>
      <w:numFmt w:val="lowerLetter"/>
      <w:lvlText w:val="%8."/>
      <w:lvlJc w:val="left"/>
      <w:pPr>
        <w:ind w:left="5400" w:hanging="360"/>
      </w:pPr>
    </w:lvl>
    <w:lvl w:ilvl="8" w:tplc="97AAB8FC" w:tentative="1">
      <w:start w:val="1"/>
      <w:numFmt w:val="lowerRoman"/>
      <w:lvlText w:val="%9."/>
      <w:lvlJc w:val="right"/>
      <w:pPr>
        <w:ind w:left="6120" w:hanging="180"/>
      </w:pPr>
    </w:lvl>
  </w:abstractNum>
  <w:abstractNum w:abstractNumId="20" w15:restartNumberingAfterBreak="0">
    <w:nsid w:val="380D02A8"/>
    <w:multiLevelType w:val="hybridMultilevel"/>
    <w:tmpl w:val="5CFEEE7E"/>
    <w:lvl w:ilvl="0" w:tplc="4D46C8DA">
      <w:start w:val="1"/>
      <w:numFmt w:val="decimal"/>
      <w:lvlText w:val="2.%1"/>
      <w:lvlJc w:val="left"/>
      <w:pPr>
        <w:ind w:left="360" w:hanging="360"/>
      </w:pPr>
    </w:lvl>
    <w:lvl w:ilvl="1" w:tplc="DE749B62">
      <w:start w:val="1"/>
      <w:numFmt w:val="lowerLetter"/>
      <w:lvlText w:val="%2."/>
      <w:lvlJc w:val="left"/>
      <w:pPr>
        <w:ind w:left="1080" w:hanging="360"/>
      </w:pPr>
    </w:lvl>
    <w:lvl w:ilvl="2" w:tplc="84C2AF58" w:tentative="1">
      <w:start w:val="1"/>
      <w:numFmt w:val="lowerRoman"/>
      <w:lvlText w:val="%3."/>
      <w:lvlJc w:val="right"/>
      <w:pPr>
        <w:ind w:left="1800" w:hanging="180"/>
      </w:pPr>
    </w:lvl>
    <w:lvl w:ilvl="3" w:tplc="59823BD0" w:tentative="1">
      <w:start w:val="1"/>
      <w:numFmt w:val="decimal"/>
      <w:lvlText w:val="%4."/>
      <w:lvlJc w:val="left"/>
      <w:pPr>
        <w:ind w:left="2520" w:hanging="360"/>
      </w:pPr>
    </w:lvl>
    <w:lvl w:ilvl="4" w:tplc="1B586678" w:tentative="1">
      <w:start w:val="1"/>
      <w:numFmt w:val="lowerLetter"/>
      <w:lvlText w:val="%5."/>
      <w:lvlJc w:val="left"/>
      <w:pPr>
        <w:ind w:left="3240" w:hanging="360"/>
      </w:pPr>
    </w:lvl>
    <w:lvl w:ilvl="5" w:tplc="76586D80" w:tentative="1">
      <w:start w:val="1"/>
      <w:numFmt w:val="lowerRoman"/>
      <w:lvlText w:val="%6."/>
      <w:lvlJc w:val="right"/>
      <w:pPr>
        <w:ind w:left="3960" w:hanging="180"/>
      </w:pPr>
    </w:lvl>
    <w:lvl w:ilvl="6" w:tplc="517EDCE6" w:tentative="1">
      <w:start w:val="1"/>
      <w:numFmt w:val="decimal"/>
      <w:lvlText w:val="%7."/>
      <w:lvlJc w:val="left"/>
      <w:pPr>
        <w:ind w:left="4680" w:hanging="360"/>
      </w:pPr>
    </w:lvl>
    <w:lvl w:ilvl="7" w:tplc="04AC9A1A" w:tentative="1">
      <w:start w:val="1"/>
      <w:numFmt w:val="lowerLetter"/>
      <w:lvlText w:val="%8."/>
      <w:lvlJc w:val="left"/>
      <w:pPr>
        <w:ind w:left="5400" w:hanging="360"/>
      </w:pPr>
    </w:lvl>
    <w:lvl w:ilvl="8" w:tplc="6D143028" w:tentative="1">
      <w:start w:val="1"/>
      <w:numFmt w:val="lowerRoman"/>
      <w:lvlText w:val="%9."/>
      <w:lvlJc w:val="right"/>
      <w:pPr>
        <w:ind w:left="6120" w:hanging="180"/>
      </w:pPr>
    </w:lvl>
  </w:abstractNum>
  <w:abstractNum w:abstractNumId="21" w15:restartNumberingAfterBreak="0">
    <w:nsid w:val="38F377AA"/>
    <w:multiLevelType w:val="hybridMultilevel"/>
    <w:tmpl w:val="279E2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A51938"/>
    <w:multiLevelType w:val="multilevel"/>
    <w:tmpl w:val="298C34E4"/>
    <w:numStyleLink w:val="AppendixNumbers"/>
  </w:abstractNum>
  <w:abstractNum w:abstractNumId="23"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4B3C7FC9"/>
    <w:multiLevelType w:val="hybridMultilevel"/>
    <w:tmpl w:val="5E0665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5023BAB"/>
    <w:multiLevelType w:val="hybridMultilevel"/>
    <w:tmpl w:val="B022B1B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DED6F2A"/>
    <w:multiLevelType w:val="hybridMultilevel"/>
    <w:tmpl w:val="4EE62F38"/>
    <w:lvl w:ilvl="0" w:tplc="2ED859C0">
      <w:start w:val="1"/>
      <w:numFmt w:val="decimal"/>
      <w:lvlText w:val="%1."/>
      <w:lvlJc w:val="left"/>
      <w:pPr>
        <w:ind w:left="360" w:hanging="360"/>
      </w:pPr>
    </w:lvl>
    <w:lvl w:ilvl="1" w:tplc="6F7659C0">
      <w:start w:val="1"/>
      <w:numFmt w:val="lowerLetter"/>
      <w:lvlText w:val="(%2)"/>
      <w:lvlJc w:val="left"/>
      <w:pPr>
        <w:ind w:left="1080" w:hanging="360"/>
      </w:pPr>
    </w:lvl>
    <w:lvl w:ilvl="2" w:tplc="82F6A636">
      <w:start w:val="1"/>
      <w:numFmt w:val="lowerRoman"/>
      <w:lvlText w:val="%3."/>
      <w:lvlJc w:val="right"/>
      <w:pPr>
        <w:ind w:left="1800" w:hanging="180"/>
      </w:pPr>
    </w:lvl>
    <w:lvl w:ilvl="3" w:tplc="EEC247D2">
      <w:start w:val="1"/>
      <w:numFmt w:val="decimal"/>
      <w:lvlText w:val="%4."/>
      <w:lvlJc w:val="left"/>
      <w:pPr>
        <w:ind w:left="2520" w:hanging="360"/>
      </w:pPr>
    </w:lvl>
    <w:lvl w:ilvl="4" w:tplc="ACE2F19A">
      <w:start w:val="1"/>
      <w:numFmt w:val="lowerLetter"/>
      <w:lvlText w:val="%5."/>
      <w:lvlJc w:val="left"/>
      <w:pPr>
        <w:ind w:left="3240" w:hanging="360"/>
      </w:pPr>
    </w:lvl>
    <w:lvl w:ilvl="5" w:tplc="67C8BFFC">
      <w:start w:val="1"/>
      <w:numFmt w:val="lowerRoman"/>
      <w:lvlText w:val="%6."/>
      <w:lvlJc w:val="right"/>
      <w:pPr>
        <w:ind w:left="3960" w:hanging="180"/>
      </w:pPr>
    </w:lvl>
    <w:lvl w:ilvl="6" w:tplc="B9C661AA">
      <w:start w:val="1"/>
      <w:numFmt w:val="decimal"/>
      <w:lvlText w:val="%7."/>
      <w:lvlJc w:val="left"/>
      <w:pPr>
        <w:ind w:left="4680" w:hanging="360"/>
      </w:pPr>
    </w:lvl>
    <w:lvl w:ilvl="7" w:tplc="0EFA08E4">
      <w:start w:val="1"/>
      <w:numFmt w:val="lowerLetter"/>
      <w:lvlText w:val="%8."/>
      <w:lvlJc w:val="left"/>
      <w:pPr>
        <w:ind w:left="5400" w:hanging="360"/>
      </w:pPr>
    </w:lvl>
    <w:lvl w:ilvl="8" w:tplc="81E0D006">
      <w:start w:val="1"/>
      <w:numFmt w:val="lowerRoman"/>
      <w:lvlText w:val="%9."/>
      <w:lvlJc w:val="right"/>
      <w:pPr>
        <w:ind w:left="6120" w:hanging="180"/>
      </w:pPr>
    </w:lvl>
  </w:abstractNum>
  <w:abstractNum w:abstractNumId="30" w15:restartNumberingAfterBreak="0">
    <w:nsid w:val="6E283A48"/>
    <w:multiLevelType w:val="hybridMultilevel"/>
    <w:tmpl w:val="43AEF384"/>
    <w:lvl w:ilvl="0" w:tplc="BD78488A">
      <w:start w:val="1"/>
      <w:numFmt w:val="decimal"/>
      <w:pStyle w:val="ListParagraph"/>
      <w:lvlText w:val="%1."/>
      <w:lvlJc w:val="left"/>
      <w:pPr>
        <w:ind w:left="720" w:hanging="360"/>
      </w:pPr>
      <w:rPr>
        <w:rFonts w:hint="default"/>
      </w:rPr>
    </w:lvl>
    <w:lvl w:ilvl="1" w:tplc="0C090019">
      <w:start w:val="1"/>
      <w:numFmt w:val="lowerLetter"/>
      <w:lvlText w:val="%2."/>
      <w:lvlJc w:val="left"/>
      <w:pPr>
        <w:ind w:left="1636" w:hanging="360"/>
      </w:pPr>
    </w:lvl>
    <w:lvl w:ilvl="2" w:tplc="23862198">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08E36CE"/>
    <w:multiLevelType w:val="hybridMultilevel"/>
    <w:tmpl w:val="760E9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EF384C"/>
    <w:multiLevelType w:val="hybridMultilevel"/>
    <w:tmpl w:val="6EFC3B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9D4CDC"/>
    <w:multiLevelType w:val="hybridMultilevel"/>
    <w:tmpl w:val="4226FB34"/>
    <w:lvl w:ilvl="0" w:tplc="0BB6A0C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3"/>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6"/>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7"/>
  </w:num>
  <w:num w:numId="26">
    <w:abstractNumId w:val="27"/>
  </w:num>
  <w:num w:numId="27">
    <w:abstractNumId w:val="27"/>
  </w:num>
  <w:num w:numId="28">
    <w:abstractNumId w:val="14"/>
  </w:num>
  <w:num w:numId="29">
    <w:abstractNumId w:val="33"/>
  </w:num>
  <w:num w:numId="30">
    <w:abstractNumId w:val="30"/>
  </w:num>
  <w:num w:numId="31">
    <w:abstractNumId w:val="30"/>
    <w:lvlOverride w:ilvl="0">
      <w:startOverride w:val="1"/>
    </w:lvlOverride>
  </w:num>
  <w:num w:numId="32">
    <w:abstractNumId w:val="32"/>
  </w:num>
  <w:num w:numId="33">
    <w:abstractNumId w:val="16"/>
  </w:num>
  <w:num w:numId="34">
    <w:abstractNumId w:val="25"/>
  </w:num>
  <w:num w:numId="35">
    <w:abstractNumId w:val="19"/>
  </w:num>
  <w:num w:numId="36">
    <w:abstractNumId w:val="15"/>
  </w:num>
  <w:num w:numId="37">
    <w:abstractNumId w:val="28"/>
  </w:num>
  <w:num w:numId="38">
    <w:abstractNumId w:val="21"/>
  </w:num>
  <w:num w:numId="39">
    <w:abstractNumId w:val="30"/>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32"/>
  </w:num>
  <w:num w:numId="43">
    <w:abstractNumId w:val="17"/>
  </w:num>
  <w:num w:numId="44">
    <w:abstractNumId w:val="12"/>
  </w:num>
  <w:num w:numId="45">
    <w:abstractNumId w:val="31"/>
  </w:num>
  <w:num w:numId="46">
    <w:abstractNumId w:val="30"/>
  </w:num>
  <w:num w:numId="47">
    <w:abstractNumId w:val="20"/>
  </w:num>
  <w:num w:numId="48">
    <w:abstractNumId w:val="10"/>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58B"/>
    <w:rsid w:val="00001699"/>
    <w:rsid w:val="00003323"/>
    <w:rsid w:val="00005C44"/>
    <w:rsid w:val="00006BC7"/>
    <w:rsid w:val="000106ED"/>
    <w:rsid w:val="0001388F"/>
    <w:rsid w:val="00013E9C"/>
    <w:rsid w:val="0001430B"/>
    <w:rsid w:val="000216A1"/>
    <w:rsid w:val="00021913"/>
    <w:rsid w:val="000228A3"/>
    <w:rsid w:val="00023B02"/>
    <w:rsid w:val="000254A2"/>
    <w:rsid w:val="0002616D"/>
    <w:rsid w:val="00027AA5"/>
    <w:rsid w:val="00030497"/>
    <w:rsid w:val="00033684"/>
    <w:rsid w:val="00033EB7"/>
    <w:rsid w:val="000341DF"/>
    <w:rsid w:val="00034344"/>
    <w:rsid w:val="00035BD1"/>
    <w:rsid w:val="000412C7"/>
    <w:rsid w:val="000419A3"/>
    <w:rsid w:val="000450D1"/>
    <w:rsid w:val="000478E4"/>
    <w:rsid w:val="00047FF9"/>
    <w:rsid w:val="00050814"/>
    <w:rsid w:val="00050ABF"/>
    <w:rsid w:val="000519C1"/>
    <w:rsid w:val="00051AFC"/>
    <w:rsid w:val="00052B14"/>
    <w:rsid w:val="000550F0"/>
    <w:rsid w:val="00055DD7"/>
    <w:rsid w:val="00057040"/>
    <w:rsid w:val="000578B2"/>
    <w:rsid w:val="0006250D"/>
    <w:rsid w:val="0006482A"/>
    <w:rsid w:val="00064F70"/>
    <w:rsid w:val="00074171"/>
    <w:rsid w:val="00074464"/>
    <w:rsid w:val="00074E77"/>
    <w:rsid w:val="00075F85"/>
    <w:rsid w:val="00077CD2"/>
    <w:rsid w:val="00080332"/>
    <w:rsid w:val="0008038E"/>
    <w:rsid w:val="00090625"/>
    <w:rsid w:val="000949FC"/>
    <w:rsid w:val="00097070"/>
    <w:rsid w:val="000A0789"/>
    <w:rsid w:val="000A4D93"/>
    <w:rsid w:val="000A590A"/>
    <w:rsid w:val="000A77F0"/>
    <w:rsid w:val="000B0203"/>
    <w:rsid w:val="000B1484"/>
    <w:rsid w:val="000B4539"/>
    <w:rsid w:val="000B6DB0"/>
    <w:rsid w:val="000C6C01"/>
    <w:rsid w:val="000D1497"/>
    <w:rsid w:val="000D17CF"/>
    <w:rsid w:val="000D4097"/>
    <w:rsid w:val="000D4289"/>
    <w:rsid w:val="000D6E57"/>
    <w:rsid w:val="000E09B4"/>
    <w:rsid w:val="000E24BA"/>
    <w:rsid w:val="000E5674"/>
    <w:rsid w:val="000E5791"/>
    <w:rsid w:val="000E7210"/>
    <w:rsid w:val="000E7E9F"/>
    <w:rsid w:val="000F0179"/>
    <w:rsid w:val="000F3E01"/>
    <w:rsid w:val="000F4AD8"/>
    <w:rsid w:val="000F71D7"/>
    <w:rsid w:val="001019FC"/>
    <w:rsid w:val="001072E7"/>
    <w:rsid w:val="00111596"/>
    <w:rsid w:val="00114E85"/>
    <w:rsid w:val="0011521B"/>
    <w:rsid w:val="001155B8"/>
    <w:rsid w:val="001155C2"/>
    <w:rsid w:val="00122A3B"/>
    <w:rsid w:val="0012347B"/>
    <w:rsid w:val="0012408C"/>
    <w:rsid w:val="00125B2E"/>
    <w:rsid w:val="00125FE8"/>
    <w:rsid w:val="001261BF"/>
    <w:rsid w:val="001278BA"/>
    <w:rsid w:val="001336CC"/>
    <w:rsid w:val="001349C6"/>
    <w:rsid w:val="00140671"/>
    <w:rsid w:val="00140937"/>
    <w:rsid w:val="00141B09"/>
    <w:rsid w:val="001548AE"/>
    <w:rsid w:val="001606C9"/>
    <w:rsid w:val="0016398D"/>
    <w:rsid w:val="00164BBC"/>
    <w:rsid w:val="0016533D"/>
    <w:rsid w:val="0016788C"/>
    <w:rsid w:val="001706E2"/>
    <w:rsid w:val="001708E8"/>
    <w:rsid w:val="00170E3D"/>
    <w:rsid w:val="00171486"/>
    <w:rsid w:val="001720E3"/>
    <w:rsid w:val="0017282F"/>
    <w:rsid w:val="001730D6"/>
    <w:rsid w:val="00173930"/>
    <w:rsid w:val="001775A1"/>
    <w:rsid w:val="00180625"/>
    <w:rsid w:val="00180B5B"/>
    <w:rsid w:val="0018523B"/>
    <w:rsid w:val="00185965"/>
    <w:rsid w:val="001938BB"/>
    <w:rsid w:val="00195A0D"/>
    <w:rsid w:val="00196264"/>
    <w:rsid w:val="001A2171"/>
    <w:rsid w:val="001A4AC8"/>
    <w:rsid w:val="001B0085"/>
    <w:rsid w:val="001B2841"/>
    <w:rsid w:val="001B58CC"/>
    <w:rsid w:val="001C27AE"/>
    <w:rsid w:val="001C3A41"/>
    <w:rsid w:val="001C4249"/>
    <w:rsid w:val="001C5EC3"/>
    <w:rsid w:val="001C7146"/>
    <w:rsid w:val="001C75E8"/>
    <w:rsid w:val="001D025C"/>
    <w:rsid w:val="001D0EAA"/>
    <w:rsid w:val="001D244F"/>
    <w:rsid w:val="001D3935"/>
    <w:rsid w:val="001D7467"/>
    <w:rsid w:val="001E076E"/>
    <w:rsid w:val="001E343B"/>
    <w:rsid w:val="001E35EE"/>
    <w:rsid w:val="001E3B1B"/>
    <w:rsid w:val="001E4B01"/>
    <w:rsid w:val="001E7354"/>
    <w:rsid w:val="001F01EB"/>
    <w:rsid w:val="001F0F85"/>
    <w:rsid w:val="001F14B1"/>
    <w:rsid w:val="001F18E4"/>
    <w:rsid w:val="001F2C01"/>
    <w:rsid w:val="001F3078"/>
    <w:rsid w:val="001F4E72"/>
    <w:rsid w:val="001F5B03"/>
    <w:rsid w:val="002006BA"/>
    <w:rsid w:val="00201D25"/>
    <w:rsid w:val="00202CB1"/>
    <w:rsid w:val="00203702"/>
    <w:rsid w:val="00205AEC"/>
    <w:rsid w:val="00207D66"/>
    <w:rsid w:val="0021218B"/>
    <w:rsid w:val="002122AA"/>
    <w:rsid w:val="00213077"/>
    <w:rsid w:val="00213283"/>
    <w:rsid w:val="002172E2"/>
    <w:rsid w:val="00221427"/>
    <w:rsid w:val="00223607"/>
    <w:rsid w:val="002241E2"/>
    <w:rsid w:val="00224E12"/>
    <w:rsid w:val="002254D5"/>
    <w:rsid w:val="00225D54"/>
    <w:rsid w:val="0022611D"/>
    <w:rsid w:val="00227CB8"/>
    <w:rsid w:val="00230465"/>
    <w:rsid w:val="00237371"/>
    <w:rsid w:val="00237F53"/>
    <w:rsid w:val="00240E75"/>
    <w:rsid w:val="00243A67"/>
    <w:rsid w:val="00245FD7"/>
    <w:rsid w:val="00253103"/>
    <w:rsid w:val="00256A31"/>
    <w:rsid w:val="00257250"/>
    <w:rsid w:val="0025794C"/>
    <w:rsid w:val="00261A71"/>
    <w:rsid w:val="00262CFA"/>
    <w:rsid w:val="0026422D"/>
    <w:rsid w:val="002668E6"/>
    <w:rsid w:val="00266955"/>
    <w:rsid w:val="00267B85"/>
    <w:rsid w:val="00270ECD"/>
    <w:rsid w:val="002758B2"/>
    <w:rsid w:val="00275E2E"/>
    <w:rsid w:val="00277A7B"/>
    <w:rsid w:val="00280EBA"/>
    <w:rsid w:val="00282752"/>
    <w:rsid w:val="00284164"/>
    <w:rsid w:val="00284BE5"/>
    <w:rsid w:val="002875BF"/>
    <w:rsid w:val="0029106C"/>
    <w:rsid w:val="0029191F"/>
    <w:rsid w:val="002952B6"/>
    <w:rsid w:val="002959FB"/>
    <w:rsid w:val="00296957"/>
    <w:rsid w:val="002A1C2C"/>
    <w:rsid w:val="002A318E"/>
    <w:rsid w:val="002A3D9C"/>
    <w:rsid w:val="002A4877"/>
    <w:rsid w:val="002A6AB0"/>
    <w:rsid w:val="002A76C8"/>
    <w:rsid w:val="002B00AF"/>
    <w:rsid w:val="002B3507"/>
    <w:rsid w:val="002B3569"/>
    <w:rsid w:val="002B7197"/>
    <w:rsid w:val="002B782F"/>
    <w:rsid w:val="002B78A0"/>
    <w:rsid w:val="002B7A4B"/>
    <w:rsid w:val="002C028B"/>
    <w:rsid w:val="002C43E5"/>
    <w:rsid w:val="002C67B3"/>
    <w:rsid w:val="002C6C14"/>
    <w:rsid w:val="002D0F0A"/>
    <w:rsid w:val="002D0F2A"/>
    <w:rsid w:val="002D12BD"/>
    <w:rsid w:val="002D12C7"/>
    <w:rsid w:val="002D2FD2"/>
    <w:rsid w:val="002D393B"/>
    <w:rsid w:val="002D52C3"/>
    <w:rsid w:val="002D6D05"/>
    <w:rsid w:val="002D6D07"/>
    <w:rsid w:val="002E1ADA"/>
    <w:rsid w:val="002E7A81"/>
    <w:rsid w:val="002E7B43"/>
    <w:rsid w:val="002F04C0"/>
    <w:rsid w:val="002F04EB"/>
    <w:rsid w:val="002F06D8"/>
    <w:rsid w:val="002F2BFB"/>
    <w:rsid w:val="002F2EAD"/>
    <w:rsid w:val="002F5200"/>
    <w:rsid w:val="002F7C94"/>
    <w:rsid w:val="003025B9"/>
    <w:rsid w:val="00305CDD"/>
    <w:rsid w:val="00305E71"/>
    <w:rsid w:val="00310786"/>
    <w:rsid w:val="003124B5"/>
    <w:rsid w:val="003151E2"/>
    <w:rsid w:val="00316074"/>
    <w:rsid w:val="00316DAA"/>
    <w:rsid w:val="00317746"/>
    <w:rsid w:val="00317795"/>
    <w:rsid w:val="00324BAB"/>
    <w:rsid w:val="003253C9"/>
    <w:rsid w:val="003302E9"/>
    <w:rsid w:val="003319BA"/>
    <w:rsid w:val="00332790"/>
    <w:rsid w:val="00332F5A"/>
    <w:rsid w:val="00334662"/>
    <w:rsid w:val="00340B08"/>
    <w:rsid w:val="0034142C"/>
    <w:rsid w:val="00342C2E"/>
    <w:rsid w:val="003444CF"/>
    <w:rsid w:val="00344EB9"/>
    <w:rsid w:val="00346778"/>
    <w:rsid w:val="00347D75"/>
    <w:rsid w:val="00352B26"/>
    <w:rsid w:val="00354117"/>
    <w:rsid w:val="003565FF"/>
    <w:rsid w:val="003608DB"/>
    <w:rsid w:val="0036262C"/>
    <w:rsid w:val="00362FF5"/>
    <w:rsid w:val="0036414E"/>
    <w:rsid w:val="00364258"/>
    <w:rsid w:val="00366015"/>
    <w:rsid w:val="0037154B"/>
    <w:rsid w:val="0037181B"/>
    <w:rsid w:val="003720E9"/>
    <w:rsid w:val="00372BA9"/>
    <w:rsid w:val="00375611"/>
    <w:rsid w:val="0037573E"/>
    <w:rsid w:val="00382FE7"/>
    <w:rsid w:val="00384815"/>
    <w:rsid w:val="003855A8"/>
    <w:rsid w:val="00385803"/>
    <w:rsid w:val="00385DFE"/>
    <w:rsid w:val="00386462"/>
    <w:rsid w:val="00392366"/>
    <w:rsid w:val="00395C8B"/>
    <w:rsid w:val="003A01F7"/>
    <w:rsid w:val="003A0C5A"/>
    <w:rsid w:val="003B387D"/>
    <w:rsid w:val="003B59DF"/>
    <w:rsid w:val="003C0E82"/>
    <w:rsid w:val="003C1579"/>
    <w:rsid w:val="003C1C27"/>
    <w:rsid w:val="003C5634"/>
    <w:rsid w:val="003C5BD9"/>
    <w:rsid w:val="003C625A"/>
    <w:rsid w:val="003D05F5"/>
    <w:rsid w:val="003D368B"/>
    <w:rsid w:val="003D6332"/>
    <w:rsid w:val="003E12E9"/>
    <w:rsid w:val="003E1C6B"/>
    <w:rsid w:val="003E726F"/>
    <w:rsid w:val="003F1371"/>
    <w:rsid w:val="003F41AB"/>
    <w:rsid w:val="003F4743"/>
    <w:rsid w:val="003F71EF"/>
    <w:rsid w:val="003F775D"/>
    <w:rsid w:val="0040058D"/>
    <w:rsid w:val="00401CDB"/>
    <w:rsid w:val="00401DB2"/>
    <w:rsid w:val="004026EE"/>
    <w:rsid w:val="00406EC0"/>
    <w:rsid w:val="0041180D"/>
    <w:rsid w:val="00416993"/>
    <w:rsid w:val="00416BA5"/>
    <w:rsid w:val="00420F04"/>
    <w:rsid w:val="004228BC"/>
    <w:rsid w:val="004253AD"/>
    <w:rsid w:val="00430511"/>
    <w:rsid w:val="00431A93"/>
    <w:rsid w:val="00434D32"/>
    <w:rsid w:val="00437BD1"/>
    <w:rsid w:val="004424E7"/>
    <w:rsid w:val="00443BEF"/>
    <w:rsid w:val="00444F20"/>
    <w:rsid w:val="00445E1B"/>
    <w:rsid w:val="00450242"/>
    <w:rsid w:val="00450D0E"/>
    <w:rsid w:val="00451782"/>
    <w:rsid w:val="00454F9F"/>
    <w:rsid w:val="004578AF"/>
    <w:rsid w:val="00460C28"/>
    <w:rsid w:val="00467FF1"/>
    <w:rsid w:val="00470707"/>
    <w:rsid w:val="0047168F"/>
    <w:rsid w:val="00471B35"/>
    <w:rsid w:val="00471E7A"/>
    <w:rsid w:val="00471ED2"/>
    <w:rsid w:val="00473ED1"/>
    <w:rsid w:val="00477E77"/>
    <w:rsid w:val="00481696"/>
    <w:rsid w:val="00481DF4"/>
    <w:rsid w:val="00483596"/>
    <w:rsid w:val="004848CA"/>
    <w:rsid w:val="00485C30"/>
    <w:rsid w:val="004866D3"/>
    <w:rsid w:val="00487D74"/>
    <w:rsid w:val="004940FE"/>
    <w:rsid w:val="00497145"/>
    <w:rsid w:val="004A0DD6"/>
    <w:rsid w:val="004A16E1"/>
    <w:rsid w:val="004A24B4"/>
    <w:rsid w:val="004A479C"/>
    <w:rsid w:val="004B0D95"/>
    <w:rsid w:val="004B147F"/>
    <w:rsid w:val="004B2437"/>
    <w:rsid w:val="004B3006"/>
    <w:rsid w:val="004B55B9"/>
    <w:rsid w:val="004B7DA1"/>
    <w:rsid w:val="004C0FAD"/>
    <w:rsid w:val="004C1341"/>
    <w:rsid w:val="004C6DBE"/>
    <w:rsid w:val="004C6E9E"/>
    <w:rsid w:val="004D2802"/>
    <w:rsid w:val="004D380C"/>
    <w:rsid w:val="004E190B"/>
    <w:rsid w:val="004E2F5B"/>
    <w:rsid w:val="004E6170"/>
    <w:rsid w:val="004F00AC"/>
    <w:rsid w:val="004F150D"/>
    <w:rsid w:val="004F1B0C"/>
    <w:rsid w:val="004F2240"/>
    <w:rsid w:val="004F3006"/>
    <w:rsid w:val="004F37C1"/>
    <w:rsid w:val="004F467C"/>
    <w:rsid w:val="004F5660"/>
    <w:rsid w:val="004F704F"/>
    <w:rsid w:val="004F74B0"/>
    <w:rsid w:val="004F77AA"/>
    <w:rsid w:val="00502F5C"/>
    <w:rsid w:val="00505453"/>
    <w:rsid w:val="0051098E"/>
    <w:rsid w:val="00512DA9"/>
    <w:rsid w:val="00512EC5"/>
    <w:rsid w:val="00515E86"/>
    <w:rsid w:val="0052119F"/>
    <w:rsid w:val="005215A8"/>
    <w:rsid w:val="005225B6"/>
    <w:rsid w:val="0052383F"/>
    <w:rsid w:val="00526D40"/>
    <w:rsid w:val="00527D3E"/>
    <w:rsid w:val="00530BF7"/>
    <w:rsid w:val="00532E45"/>
    <w:rsid w:val="00533D03"/>
    <w:rsid w:val="00535496"/>
    <w:rsid w:val="00536A97"/>
    <w:rsid w:val="00541213"/>
    <w:rsid w:val="005435EF"/>
    <w:rsid w:val="00545256"/>
    <w:rsid w:val="00546218"/>
    <w:rsid w:val="00546995"/>
    <w:rsid w:val="00546B2B"/>
    <w:rsid w:val="00556816"/>
    <w:rsid w:val="00556E51"/>
    <w:rsid w:val="0056058B"/>
    <w:rsid w:val="00560CD9"/>
    <w:rsid w:val="00561ED4"/>
    <w:rsid w:val="00562065"/>
    <w:rsid w:val="00564351"/>
    <w:rsid w:val="005653A9"/>
    <w:rsid w:val="005729E9"/>
    <w:rsid w:val="005739BE"/>
    <w:rsid w:val="0057583D"/>
    <w:rsid w:val="00575C39"/>
    <w:rsid w:val="00585062"/>
    <w:rsid w:val="0058645B"/>
    <w:rsid w:val="00586890"/>
    <w:rsid w:val="00590CB4"/>
    <w:rsid w:val="005912BE"/>
    <w:rsid w:val="00592B67"/>
    <w:rsid w:val="00595E77"/>
    <w:rsid w:val="005969A1"/>
    <w:rsid w:val="005A107D"/>
    <w:rsid w:val="005A110E"/>
    <w:rsid w:val="005A7E80"/>
    <w:rsid w:val="005B1688"/>
    <w:rsid w:val="005B307F"/>
    <w:rsid w:val="005B3D60"/>
    <w:rsid w:val="005B6205"/>
    <w:rsid w:val="005C0425"/>
    <w:rsid w:val="005C120E"/>
    <w:rsid w:val="005C1AA2"/>
    <w:rsid w:val="005C2B5E"/>
    <w:rsid w:val="005C485B"/>
    <w:rsid w:val="005C617D"/>
    <w:rsid w:val="005C61A3"/>
    <w:rsid w:val="005C7B06"/>
    <w:rsid w:val="005D7BF9"/>
    <w:rsid w:val="005E192A"/>
    <w:rsid w:val="005E6A49"/>
    <w:rsid w:val="005E6B95"/>
    <w:rsid w:val="005F39D5"/>
    <w:rsid w:val="005F43FB"/>
    <w:rsid w:val="005F60A0"/>
    <w:rsid w:val="005F794B"/>
    <w:rsid w:val="005F7C6C"/>
    <w:rsid w:val="00600610"/>
    <w:rsid w:val="00605504"/>
    <w:rsid w:val="00607AF1"/>
    <w:rsid w:val="006101FE"/>
    <w:rsid w:val="0061023B"/>
    <w:rsid w:val="00611CC1"/>
    <w:rsid w:val="006162EB"/>
    <w:rsid w:val="00620504"/>
    <w:rsid w:val="00621B26"/>
    <w:rsid w:val="0062316E"/>
    <w:rsid w:val="00625D12"/>
    <w:rsid w:val="00630F2E"/>
    <w:rsid w:val="00631A7E"/>
    <w:rsid w:val="0064032D"/>
    <w:rsid w:val="0064104B"/>
    <w:rsid w:val="006422DC"/>
    <w:rsid w:val="00642C4B"/>
    <w:rsid w:val="00642EBF"/>
    <w:rsid w:val="006451FF"/>
    <w:rsid w:val="0064705C"/>
    <w:rsid w:val="00647154"/>
    <w:rsid w:val="0064754D"/>
    <w:rsid w:val="00650302"/>
    <w:rsid w:val="00653269"/>
    <w:rsid w:val="006563B7"/>
    <w:rsid w:val="00661281"/>
    <w:rsid w:val="00661EE1"/>
    <w:rsid w:val="00663EAE"/>
    <w:rsid w:val="00664BAA"/>
    <w:rsid w:val="00667DF5"/>
    <w:rsid w:val="006751BE"/>
    <w:rsid w:val="00675ACF"/>
    <w:rsid w:val="00682A8D"/>
    <w:rsid w:val="00683CB6"/>
    <w:rsid w:val="00684B8B"/>
    <w:rsid w:val="00686A7B"/>
    <w:rsid w:val="0068751E"/>
    <w:rsid w:val="00687963"/>
    <w:rsid w:val="00687A52"/>
    <w:rsid w:val="00687C3A"/>
    <w:rsid w:val="00690F49"/>
    <w:rsid w:val="006935EC"/>
    <w:rsid w:val="006943E2"/>
    <w:rsid w:val="00694444"/>
    <w:rsid w:val="0069543B"/>
    <w:rsid w:val="006A0F8A"/>
    <w:rsid w:val="006A13AC"/>
    <w:rsid w:val="006A16EB"/>
    <w:rsid w:val="006A266A"/>
    <w:rsid w:val="006A4270"/>
    <w:rsid w:val="006A60A2"/>
    <w:rsid w:val="006A6A8A"/>
    <w:rsid w:val="006B1A82"/>
    <w:rsid w:val="006B2BBB"/>
    <w:rsid w:val="006B4AA1"/>
    <w:rsid w:val="006B6FC4"/>
    <w:rsid w:val="006C1FAE"/>
    <w:rsid w:val="006C298B"/>
    <w:rsid w:val="006C3299"/>
    <w:rsid w:val="006C3389"/>
    <w:rsid w:val="006C4730"/>
    <w:rsid w:val="006C5421"/>
    <w:rsid w:val="006C73E1"/>
    <w:rsid w:val="006C79A9"/>
    <w:rsid w:val="006D1854"/>
    <w:rsid w:val="006D36F3"/>
    <w:rsid w:val="006D4572"/>
    <w:rsid w:val="006D4E80"/>
    <w:rsid w:val="006D56B0"/>
    <w:rsid w:val="006D61F6"/>
    <w:rsid w:val="006D66D3"/>
    <w:rsid w:val="006E1ECA"/>
    <w:rsid w:val="006E2690"/>
    <w:rsid w:val="006E294A"/>
    <w:rsid w:val="006E3699"/>
    <w:rsid w:val="006E4386"/>
    <w:rsid w:val="006E43B2"/>
    <w:rsid w:val="006E4771"/>
    <w:rsid w:val="006E4D4C"/>
    <w:rsid w:val="006E74E9"/>
    <w:rsid w:val="006E7958"/>
    <w:rsid w:val="006F1239"/>
    <w:rsid w:val="006F2241"/>
    <w:rsid w:val="006F73BE"/>
    <w:rsid w:val="00702D99"/>
    <w:rsid w:val="0070716F"/>
    <w:rsid w:val="00710DC8"/>
    <w:rsid w:val="007115AB"/>
    <w:rsid w:val="00712AE9"/>
    <w:rsid w:val="00712B02"/>
    <w:rsid w:val="007151DA"/>
    <w:rsid w:val="007153BA"/>
    <w:rsid w:val="00716265"/>
    <w:rsid w:val="00716619"/>
    <w:rsid w:val="007179E1"/>
    <w:rsid w:val="00720721"/>
    <w:rsid w:val="00720B5A"/>
    <w:rsid w:val="00720BCF"/>
    <w:rsid w:val="00723C74"/>
    <w:rsid w:val="007339B0"/>
    <w:rsid w:val="00733F2E"/>
    <w:rsid w:val="00735D30"/>
    <w:rsid w:val="007364F4"/>
    <w:rsid w:val="0074215C"/>
    <w:rsid w:val="0074238D"/>
    <w:rsid w:val="00742A41"/>
    <w:rsid w:val="00742FBB"/>
    <w:rsid w:val="007431B6"/>
    <w:rsid w:val="007436C9"/>
    <w:rsid w:val="0074532E"/>
    <w:rsid w:val="00746902"/>
    <w:rsid w:val="007475CF"/>
    <w:rsid w:val="007516BE"/>
    <w:rsid w:val="0075627E"/>
    <w:rsid w:val="00761B91"/>
    <w:rsid w:val="007626D3"/>
    <w:rsid w:val="00763A4A"/>
    <w:rsid w:val="00763EB5"/>
    <w:rsid w:val="00763FB3"/>
    <w:rsid w:val="00765F9E"/>
    <w:rsid w:val="0076606E"/>
    <w:rsid w:val="007663E6"/>
    <w:rsid w:val="0077272F"/>
    <w:rsid w:val="00774BEE"/>
    <w:rsid w:val="00783074"/>
    <w:rsid w:val="0078582F"/>
    <w:rsid w:val="007871E1"/>
    <w:rsid w:val="007946CD"/>
    <w:rsid w:val="00796200"/>
    <w:rsid w:val="007A05BE"/>
    <w:rsid w:val="007A0640"/>
    <w:rsid w:val="007A065F"/>
    <w:rsid w:val="007A514C"/>
    <w:rsid w:val="007B042D"/>
    <w:rsid w:val="007B13EA"/>
    <w:rsid w:val="007B21A1"/>
    <w:rsid w:val="007B3DA2"/>
    <w:rsid w:val="007C315C"/>
    <w:rsid w:val="007C3697"/>
    <w:rsid w:val="007C4CF6"/>
    <w:rsid w:val="007C6513"/>
    <w:rsid w:val="007C79AA"/>
    <w:rsid w:val="007D0012"/>
    <w:rsid w:val="007D5F10"/>
    <w:rsid w:val="007D66EC"/>
    <w:rsid w:val="007E1AB5"/>
    <w:rsid w:val="007E5154"/>
    <w:rsid w:val="007E51C8"/>
    <w:rsid w:val="007E5AA9"/>
    <w:rsid w:val="007F3996"/>
    <w:rsid w:val="007F4506"/>
    <w:rsid w:val="007F5E46"/>
    <w:rsid w:val="008000F9"/>
    <w:rsid w:val="008026FA"/>
    <w:rsid w:val="008063BA"/>
    <w:rsid w:val="008067A1"/>
    <w:rsid w:val="008071A3"/>
    <w:rsid w:val="00812B7E"/>
    <w:rsid w:val="0081782A"/>
    <w:rsid w:val="00820B2D"/>
    <w:rsid w:val="0082217F"/>
    <w:rsid w:val="00823365"/>
    <w:rsid w:val="0082791F"/>
    <w:rsid w:val="00831FA8"/>
    <w:rsid w:val="0083397F"/>
    <w:rsid w:val="00833EF2"/>
    <w:rsid w:val="008356F5"/>
    <w:rsid w:val="0083573A"/>
    <w:rsid w:val="00835B4A"/>
    <w:rsid w:val="00842BBB"/>
    <w:rsid w:val="008435D6"/>
    <w:rsid w:val="008456D5"/>
    <w:rsid w:val="00845805"/>
    <w:rsid w:val="0084634B"/>
    <w:rsid w:val="008538BD"/>
    <w:rsid w:val="00854EAD"/>
    <w:rsid w:val="008561DB"/>
    <w:rsid w:val="008612F5"/>
    <w:rsid w:val="0086364D"/>
    <w:rsid w:val="00864C16"/>
    <w:rsid w:val="0086514D"/>
    <w:rsid w:val="008673EA"/>
    <w:rsid w:val="00874F97"/>
    <w:rsid w:val="008750B4"/>
    <w:rsid w:val="00875EF0"/>
    <w:rsid w:val="00877CBF"/>
    <w:rsid w:val="0088481E"/>
    <w:rsid w:val="00886D53"/>
    <w:rsid w:val="00897546"/>
    <w:rsid w:val="008A1887"/>
    <w:rsid w:val="008A1E60"/>
    <w:rsid w:val="008A2402"/>
    <w:rsid w:val="008A5565"/>
    <w:rsid w:val="008A64AA"/>
    <w:rsid w:val="008A7EC6"/>
    <w:rsid w:val="008B190D"/>
    <w:rsid w:val="008B206D"/>
    <w:rsid w:val="008B232D"/>
    <w:rsid w:val="008B3160"/>
    <w:rsid w:val="008B55FE"/>
    <w:rsid w:val="008B6A2F"/>
    <w:rsid w:val="008B6A81"/>
    <w:rsid w:val="008C3753"/>
    <w:rsid w:val="008C3903"/>
    <w:rsid w:val="008C5396"/>
    <w:rsid w:val="008C5EA1"/>
    <w:rsid w:val="008C75CB"/>
    <w:rsid w:val="008D0EB3"/>
    <w:rsid w:val="008D2958"/>
    <w:rsid w:val="008D6457"/>
    <w:rsid w:val="008D7C83"/>
    <w:rsid w:val="008E1CF2"/>
    <w:rsid w:val="008E2A0D"/>
    <w:rsid w:val="008E39A3"/>
    <w:rsid w:val="008E4EC0"/>
    <w:rsid w:val="008E637E"/>
    <w:rsid w:val="008E741E"/>
    <w:rsid w:val="008E78C0"/>
    <w:rsid w:val="008F0B3F"/>
    <w:rsid w:val="008F2DCD"/>
    <w:rsid w:val="008F3B7E"/>
    <w:rsid w:val="009007A1"/>
    <w:rsid w:val="00900F78"/>
    <w:rsid w:val="009016B8"/>
    <w:rsid w:val="0090452A"/>
    <w:rsid w:val="0090714B"/>
    <w:rsid w:val="00910829"/>
    <w:rsid w:val="00910FDF"/>
    <w:rsid w:val="0091361D"/>
    <w:rsid w:val="00913CE8"/>
    <w:rsid w:val="00921D40"/>
    <w:rsid w:val="00925D7E"/>
    <w:rsid w:val="00925E97"/>
    <w:rsid w:val="00927015"/>
    <w:rsid w:val="00927EA4"/>
    <w:rsid w:val="009328F2"/>
    <w:rsid w:val="009403F9"/>
    <w:rsid w:val="0094177D"/>
    <w:rsid w:val="0094185D"/>
    <w:rsid w:val="00950532"/>
    <w:rsid w:val="0095079F"/>
    <w:rsid w:val="00951797"/>
    <w:rsid w:val="00951E88"/>
    <w:rsid w:val="00952B18"/>
    <w:rsid w:val="009545F8"/>
    <w:rsid w:val="00955D77"/>
    <w:rsid w:val="0095670F"/>
    <w:rsid w:val="00962E42"/>
    <w:rsid w:val="0096326F"/>
    <w:rsid w:val="00963CEA"/>
    <w:rsid w:val="00967CA9"/>
    <w:rsid w:val="00970069"/>
    <w:rsid w:val="00970CB8"/>
    <w:rsid w:val="00970E31"/>
    <w:rsid w:val="009732A0"/>
    <w:rsid w:val="00973710"/>
    <w:rsid w:val="009744C0"/>
    <w:rsid w:val="00976714"/>
    <w:rsid w:val="00981687"/>
    <w:rsid w:val="009822F8"/>
    <w:rsid w:val="009845F7"/>
    <w:rsid w:val="00984FDD"/>
    <w:rsid w:val="00987FF3"/>
    <w:rsid w:val="009904F2"/>
    <w:rsid w:val="0099093C"/>
    <w:rsid w:val="009909EC"/>
    <w:rsid w:val="00992EB9"/>
    <w:rsid w:val="00993A0E"/>
    <w:rsid w:val="00995C2C"/>
    <w:rsid w:val="009969B2"/>
    <w:rsid w:val="00996B8C"/>
    <w:rsid w:val="009A00D4"/>
    <w:rsid w:val="009A208F"/>
    <w:rsid w:val="009A5DF3"/>
    <w:rsid w:val="009B00F2"/>
    <w:rsid w:val="009B14B9"/>
    <w:rsid w:val="009B172A"/>
    <w:rsid w:val="009B1B64"/>
    <w:rsid w:val="009B3FDC"/>
    <w:rsid w:val="009B6BA5"/>
    <w:rsid w:val="009B7DF9"/>
    <w:rsid w:val="009C37DC"/>
    <w:rsid w:val="009C4F1D"/>
    <w:rsid w:val="009C51F9"/>
    <w:rsid w:val="009C60A5"/>
    <w:rsid w:val="009D15EE"/>
    <w:rsid w:val="009D344F"/>
    <w:rsid w:val="009D39F0"/>
    <w:rsid w:val="009D6075"/>
    <w:rsid w:val="009D6489"/>
    <w:rsid w:val="009E55D2"/>
    <w:rsid w:val="009E5F4B"/>
    <w:rsid w:val="009E6839"/>
    <w:rsid w:val="009F01CA"/>
    <w:rsid w:val="009F2583"/>
    <w:rsid w:val="009F2C1C"/>
    <w:rsid w:val="009F3BAA"/>
    <w:rsid w:val="009F4FEC"/>
    <w:rsid w:val="009F78F5"/>
    <w:rsid w:val="00A01BF1"/>
    <w:rsid w:val="00A05509"/>
    <w:rsid w:val="00A05967"/>
    <w:rsid w:val="00A06F05"/>
    <w:rsid w:val="00A070A2"/>
    <w:rsid w:val="00A07C06"/>
    <w:rsid w:val="00A10279"/>
    <w:rsid w:val="00A105CD"/>
    <w:rsid w:val="00A11467"/>
    <w:rsid w:val="00A146EE"/>
    <w:rsid w:val="00A154FE"/>
    <w:rsid w:val="00A158D2"/>
    <w:rsid w:val="00A20850"/>
    <w:rsid w:val="00A20B55"/>
    <w:rsid w:val="00A218DA"/>
    <w:rsid w:val="00A22E8E"/>
    <w:rsid w:val="00A26D3B"/>
    <w:rsid w:val="00A2752F"/>
    <w:rsid w:val="00A35DF7"/>
    <w:rsid w:val="00A37735"/>
    <w:rsid w:val="00A400F8"/>
    <w:rsid w:val="00A41EA5"/>
    <w:rsid w:val="00A424DB"/>
    <w:rsid w:val="00A4452A"/>
    <w:rsid w:val="00A44F67"/>
    <w:rsid w:val="00A46476"/>
    <w:rsid w:val="00A46B2C"/>
    <w:rsid w:val="00A46E47"/>
    <w:rsid w:val="00A47DEC"/>
    <w:rsid w:val="00A50423"/>
    <w:rsid w:val="00A55479"/>
    <w:rsid w:val="00A5746E"/>
    <w:rsid w:val="00A57AD2"/>
    <w:rsid w:val="00A6259E"/>
    <w:rsid w:val="00A64079"/>
    <w:rsid w:val="00A67ECE"/>
    <w:rsid w:val="00A71B36"/>
    <w:rsid w:val="00A7331B"/>
    <w:rsid w:val="00A73A3F"/>
    <w:rsid w:val="00A811A4"/>
    <w:rsid w:val="00A81F3E"/>
    <w:rsid w:val="00A821A3"/>
    <w:rsid w:val="00A85E51"/>
    <w:rsid w:val="00A90889"/>
    <w:rsid w:val="00A9158A"/>
    <w:rsid w:val="00A932D3"/>
    <w:rsid w:val="00A95970"/>
    <w:rsid w:val="00A961BB"/>
    <w:rsid w:val="00A96DED"/>
    <w:rsid w:val="00AA0A29"/>
    <w:rsid w:val="00AA1309"/>
    <w:rsid w:val="00AA1388"/>
    <w:rsid w:val="00AA3107"/>
    <w:rsid w:val="00AA5BC0"/>
    <w:rsid w:val="00AB1B10"/>
    <w:rsid w:val="00AB2AA1"/>
    <w:rsid w:val="00AB3DBB"/>
    <w:rsid w:val="00AB41F2"/>
    <w:rsid w:val="00AB43DA"/>
    <w:rsid w:val="00AC590C"/>
    <w:rsid w:val="00AC7A53"/>
    <w:rsid w:val="00AD1EB1"/>
    <w:rsid w:val="00AD53F9"/>
    <w:rsid w:val="00AD605C"/>
    <w:rsid w:val="00AD7703"/>
    <w:rsid w:val="00AE0F0B"/>
    <w:rsid w:val="00AE27CD"/>
    <w:rsid w:val="00AE2BFF"/>
    <w:rsid w:val="00AE3AE3"/>
    <w:rsid w:val="00AE3B9A"/>
    <w:rsid w:val="00AE5F74"/>
    <w:rsid w:val="00AE6DE7"/>
    <w:rsid w:val="00AF30EE"/>
    <w:rsid w:val="00AF7ADA"/>
    <w:rsid w:val="00AF7FC4"/>
    <w:rsid w:val="00B007BA"/>
    <w:rsid w:val="00B00E87"/>
    <w:rsid w:val="00B01E12"/>
    <w:rsid w:val="00B0387A"/>
    <w:rsid w:val="00B0484D"/>
    <w:rsid w:val="00B04FE8"/>
    <w:rsid w:val="00B057DE"/>
    <w:rsid w:val="00B077AB"/>
    <w:rsid w:val="00B1553B"/>
    <w:rsid w:val="00B175C6"/>
    <w:rsid w:val="00B21870"/>
    <w:rsid w:val="00B219DC"/>
    <w:rsid w:val="00B31226"/>
    <w:rsid w:val="00B322EF"/>
    <w:rsid w:val="00B33875"/>
    <w:rsid w:val="00B34679"/>
    <w:rsid w:val="00B34E78"/>
    <w:rsid w:val="00B4062D"/>
    <w:rsid w:val="00B415D0"/>
    <w:rsid w:val="00B4226E"/>
    <w:rsid w:val="00B42AC2"/>
    <w:rsid w:val="00B460EE"/>
    <w:rsid w:val="00B52FBB"/>
    <w:rsid w:val="00B53806"/>
    <w:rsid w:val="00B53A9A"/>
    <w:rsid w:val="00B546FD"/>
    <w:rsid w:val="00B574E7"/>
    <w:rsid w:val="00B6131A"/>
    <w:rsid w:val="00B6548C"/>
    <w:rsid w:val="00B666BA"/>
    <w:rsid w:val="00B71781"/>
    <w:rsid w:val="00B71C63"/>
    <w:rsid w:val="00B7207C"/>
    <w:rsid w:val="00B727BC"/>
    <w:rsid w:val="00B7299B"/>
    <w:rsid w:val="00B74107"/>
    <w:rsid w:val="00B74A89"/>
    <w:rsid w:val="00B8054E"/>
    <w:rsid w:val="00B85081"/>
    <w:rsid w:val="00B85920"/>
    <w:rsid w:val="00B86517"/>
    <w:rsid w:val="00B87A61"/>
    <w:rsid w:val="00B9192F"/>
    <w:rsid w:val="00B937B2"/>
    <w:rsid w:val="00B9430D"/>
    <w:rsid w:val="00BA0BFA"/>
    <w:rsid w:val="00BA1530"/>
    <w:rsid w:val="00BA2A4D"/>
    <w:rsid w:val="00BA4318"/>
    <w:rsid w:val="00BA4E7D"/>
    <w:rsid w:val="00BA676B"/>
    <w:rsid w:val="00BA703D"/>
    <w:rsid w:val="00BA7042"/>
    <w:rsid w:val="00BA7E36"/>
    <w:rsid w:val="00BB0DA2"/>
    <w:rsid w:val="00BB3AAC"/>
    <w:rsid w:val="00BB4A57"/>
    <w:rsid w:val="00BB69F2"/>
    <w:rsid w:val="00BC07D2"/>
    <w:rsid w:val="00BC1A80"/>
    <w:rsid w:val="00BC38BE"/>
    <w:rsid w:val="00BC3B7B"/>
    <w:rsid w:val="00BC4335"/>
    <w:rsid w:val="00BC6558"/>
    <w:rsid w:val="00BC75D0"/>
    <w:rsid w:val="00BC7668"/>
    <w:rsid w:val="00BD166D"/>
    <w:rsid w:val="00BD2D8E"/>
    <w:rsid w:val="00BE11BE"/>
    <w:rsid w:val="00BE2BD1"/>
    <w:rsid w:val="00BE341B"/>
    <w:rsid w:val="00BE3AD8"/>
    <w:rsid w:val="00BE4A41"/>
    <w:rsid w:val="00BE616C"/>
    <w:rsid w:val="00BE6281"/>
    <w:rsid w:val="00BE76B5"/>
    <w:rsid w:val="00BF014B"/>
    <w:rsid w:val="00BF21B6"/>
    <w:rsid w:val="00C03171"/>
    <w:rsid w:val="00C04A37"/>
    <w:rsid w:val="00C054AF"/>
    <w:rsid w:val="00C07E24"/>
    <w:rsid w:val="00C11EAD"/>
    <w:rsid w:val="00C12854"/>
    <w:rsid w:val="00C20510"/>
    <w:rsid w:val="00C20C32"/>
    <w:rsid w:val="00C22652"/>
    <w:rsid w:val="00C23971"/>
    <w:rsid w:val="00C24832"/>
    <w:rsid w:val="00C25955"/>
    <w:rsid w:val="00C278B3"/>
    <w:rsid w:val="00C30112"/>
    <w:rsid w:val="00C325D0"/>
    <w:rsid w:val="00C40C28"/>
    <w:rsid w:val="00C428CC"/>
    <w:rsid w:val="00C45113"/>
    <w:rsid w:val="00C468A0"/>
    <w:rsid w:val="00C473AF"/>
    <w:rsid w:val="00C5020D"/>
    <w:rsid w:val="00C50CE2"/>
    <w:rsid w:val="00C511A4"/>
    <w:rsid w:val="00C52105"/>
    <w:rsid w:val="00C531FB"/>
    <w:rsid w:val="00C53D21"/>
    <w:rsid w:val="00C54263"/>
    <w:rsid w:val="00C54AF5"/>
    <w:rsid w:val="00C54BE9"/>
    <w:rsid w:val="00C54D58"/>
    <w:rsid w:val="00C60A9F"/>
    <w:rsid w:val="00C61FBD"/>
    <w:rsid w:val="00C630D8"/>
    <w:rsid w:val="00C65151"/>
    <w:rsid w:val="00C73D27"/>
    <w:rsid w:val="00C77B04"/>
    <w:rsid w:val="00C82831"/>
    <w:rsid w:val="00C82CD7"/>
    <w:rsid w:val="00C84FAE"/>
    <w:rsid w:val="00C85E81"/>
    <w:rsid w:val="00C87864"/>
    <w:rsid w:val="00C90505"/>
    <w:rsid w:val="00C9282D"/>
    <w:rsid w:val="00C9332F"/>
    <w:rsid w:val="00C94F4A"/>
    <w:rsid w:val="00C95197"/>
    <w:rsid w:val="00CA0E06"/>
    <w:rsid w:val="00CA468B"/>
    <w:rsid w:val="00CB0EA7"/>
    <w:rsid w:val="00CC317D"/>
    <w:rsid w:val="00CC448F"/>
    <w:rsid w:val="00CC70CD"/>
    <w:rsid w:val="00CC786C"/>
    <w:rsid w:val="00CC7EA2"/>
    <w:rsid w:val="00CD233E"/>
    <w:rsid w:val="00CD3A49"/>
    <w:rsid w:val="00CD45FC"/>
    <w:rsid w:val="00CE4132"/>
    <w:rsid w:val="00CE6796"/>
    <w:rsid w:val="00CE6974"/>
    <w:rsid w:val="00CF6CFD"/>
    <w:rsid w:val="00CF763F"/>
    <w:rsid w:val="00CF78A5"/>
    <w:rsid w:val="00D02062"/>
    <w:rsid w:val="00D03B6F"/>
    <w:rsid w:val="00D120BF"/>
    <w:rsid w:val="00D125ED"/>
    <w:rsid w:val="00D132E8"/>
    <w:rsid w:val="00D14785"/>
    <w:rsid w:val="00D15D22"/>
    <w:rsid w:val="00D16FAB"/>
    <w:rsid w:val="00D20DBA"/>
    <w:rsid w:val="00D21100"/>
    <w:rsid w:val="00D243EB"/>
    <w:rsid w:val="00D25AED"/>
    <w:rsid w:val="00D27D48"/>
    <w:rsid w:val="00D34670"/>
    <w:rsid w:val="00D34910"/>
    <w:rsid w:val="00D34E87"/>
    <w:rsid w:val="00D3562F"/>
    <w:rsid w:val="00D37307"/>
    <w:rsid w:val="00D419FB"/>
    <w:rsid w:val="00D42323"/>
    <w:rsid w:val="00D43BB9"/>
    <w:rsid w:val="00D466AA"/>
    <w:rsid w:val="00D47686"/>
    <w:rsid w:val="00D47C98"/>
    <w:rsid w:val="00D47E00"/>
    <w:rsid w:val="00D47E0F"/>
    <w:rsid w:val="00D537D5"/>
    <w:rsid w:val="00D53FB2"/>
    <w:rsid w:val="00D54611"/>
    <w:rsid w:val="00D549D3"/>
    <w:rsid w:val="00D5655E"/>
    <w:rsid w:val="00D5752B"/>
    <w:rsid w:val="00D60DBA"/>
    <w:rsid w:val="00D62C1B"/>
    <w:rsid w:val="00D64311"/>
    <w:rsid w:val="00D64C26"/>
    <w:rsid w:val="00D64EB3"/>
    <w:rsid w:val="00D67D8A"/>
    <w:rsid w:val="00D726F1"/>
    <w:rsid w:val="00D76ED8"/>
    <w:rsid w:val="00D7745B"/>
    <w:rsid w:val="00D84107"/>
    <w:rsid w:val="00D84A9F"/>
    <w:rsid w:val="00D85BC9"/>
    <w:rsid w:val="00D8651B"/>
    <w:rsid w:val="00D90A79"/>
    <w:rsid w:val="00D9385F"/>
    <w:rsid w:val="00D95527"/>
    <w:rsid w:val="00D956DD"/>
    <w:rsid w:val="00D96BC0"/>
    <w:rsid w:val="00DA0D7A"/>
    <w:rsid w:val="00DA15AC"/>
    <w:rsid w:val="00DA6588"/>
    <w:rsid w:val="00DB00C2"/>
    <w:rsid w:val="00DB03BF"/>
    <w:rsid w:val="00DB0E61"/>
    <w:rsid w:val="00DB18BB"/>
    <w:rsid w:val="00DB18BD"/>
    <w:rsid w:val="00DB4F52"/>
    <w:rsid w:val="00DB74FF"/>
    <w:rsid w:val="00DC191E"/>
    <w:rsid w:val="00DC36E0"/>
    <w:rsid w:val="00DC399B"/>
    <w:rsid w:val="00DC69D1"/>
    <w:rsid w:val="00DC7C6F"/>
    <w:rsid w:val="00DD09C2"/>
    <w:rsid w:val="00DD3447"/>
    <w:rsid w:val="00DD4276"/>
    <w:rsid w:val="00DD517B"/>
    <w:rsid w:val="00DD5EFC"/>
    <w:rsid w:val="00DE0951"/>
    <w:rsid w:val="00DE150F"/>
    <w:rsid w:val="00DE36F6"/>
    <w:rsid w:val="00DE4362"/>
    <w:rsid w:val="00DE4FE2"/>
    <w:rsid w:val="00DF3077"/>
    <w:rsid w:val="00DF7B57"/>
    <w:rsid w:val="00E02A5F"/>
    <w:rsid w:val="00E04908"/>
    <w:rsid w:val="00E074B6"/>
    <w:rsid w:val="00E10F7E"/>
    <w:rsid w:val="00E11658"/>
    <w:rsid w:val="00E1462A"/>
    <w:rsid w:val="00E17656"/>
    <w:rsid w:val="00E2218A"/>
    <w:rsid w:val="00E22CFB"/>
    <w:rsid w:val="00E26430"/>
    <w:rsid w:val="00E265C2"/>
    <w:rsid w:val="00E30EB4"/>
    <w:rsid w:val="00E313EB"/>
    <w:rsid w:val="00E3303A"/>
    <w:rsid w:val="00E41DB0"/>
    <w:rsid w:val="00E423AB"/>
    <w:rsid w:val="00E42DE0"/>
    <w:rsid w:val="00E4639D"/>
    <w:rsid w:val="00E471A7"/>
    <w:rsid w:val="00E50666"/>
    <w:rsid w:val="00E5101A"/>
    <w:rsid w:val="00E53FDD"/>
    <w:rsid w:val="00E553B1"/>
    <w:rsid w:val="00E575A8"/>
    <w:rsid w:val="00E57FE4"/>
    <w:rsid w:val="00E60735"/>
    <w:rsid w:val="00E61EA9"/>
    <w:rsid w:val="00E62FE6"/>
    <w:rsid w:val="00E67F9E"/>
    <w:rsid w:val="00E70287"/>
    <w:rsid w:val="00E742D9"/>
    <w:rsid w:val="00E77C37"/>
    <w:rsid w:val="00E8079B"/>
    <w:rsid w:val="00E83870"/>
    <w:rsid w:val="00E83A53"/>
    <w:rsid w:val="00E84E04"/>
    <w:rsid w:val="00E9090E"/>
    <w:rsid w:val="00E9149F"/>
    <w:rsid w:val="00E922BD"/>
    <w:rsid w:val="00E94FDD"/>
    <w:rsid w:val="00E95BA5"/>
    <w:rsid w:val="00E96598"/>
    <w:rsid w:val="00E97756"/>
    <w:rsid w:val="00EA31F1"/>
    <w:rsid w:val="00EA3212"/>
    <w:rsid w:val="00EA5754"/>
    <w:rsid w:val="00EA72A4"/>
    <w:rsid w:val="00EA74D3"/>
    <w:rsid w:val="00EA7C6D"/>
    <w:rsid w:val="00EB1904"/>
    <w:rsid w:val="00EB2201"/>
    <w:rsid w:val="00EB5D3B"/>
    <w:rsid w:val="00EB6DC8"/>
    <w:rsid w:val="00EC0930"/>
    <w:rsid w:val="00EC0D57"/>
    <w:rsid w:val="00EC0DDB"/>
    <w:rsid w:val="00EC1514"/>
    <w:rsid w:val="00EC2A43"/>
    <w:rsid w:val="00EC3512"/>
    <w:rsid w:val="00EC3801"/>
    <w:rsid w:val="00EC6EA5"/>
    <w:rsid w:val="00EC7151"/>
    <w:rsid w:val="00EC73A9"/>
    <w:rsid w:val="00ED034D"/>
    <w:rsid w:val="00ED06C4"/>
    <w:rsid w:val="00ED103D"/>
    <w:rsid w:val="00ED11A8"/>
    <w:rsid w:val="00ED2759"/>
    <w:rsid w:val="00ED3539"/>
    <w:rsid w:val="00ED5606"/>
    <w:rsid w:val="00ED5CE8"/>
    <w:rsid w:val="00ED7D23"/>
    <w:rsid w:val="00EE0421"/>
    <w:rsid w:val="00EE0B09"/>
    <w:rsid w:val="00EE0FD2"/>
    <w:rsid w:val="00EE5004"/>
    <w:rsid w:val="00EE505F"/>
    <w:rsid w:val="00EF0EAC"/>
    <w:rsid w:val="00EF18AD"/>
    <w:rsid w:val="00EF453D"/>
    <w:rsid w:val="00EF66A1"/>
    <w:rsid w:val="00F00170"/>
    <w:rsid w:val="00F06C33"/>
    <w:rsid w:val="00F073BD"/>
    <w:rsid w:val="00F11869"/>
    <w:rsid w:val="00F12D94"/>
    <w:rsid w:val="00F13738"/>
    <w:rsid w:val="00F13A0D"/>
    <w:rsid w:val="00F13E34"/>
    <w:rsid w:val="00F1428D"/>
    <w:rsid w:val="00F1531D"/>
    <w:rsid w:val="00F22DC6"/>
    <w:rsid w:val="00F252C0"/>
    <w:rsid w:val="00F26F51"/>
    <w:rsid w:val="00F32306"/>
    <w:rsid w:val="00F3269E"/>
    <w:rsid w:val="00F32EE9"/>
    <w:rsid w:val="00F3458B"/>
    <w:rsid w:val="00F3487B"/>
    <w:rsid w:val="00F37372"/>
    <w:rsid w:val="00F40104"/>
    <w:rsid w:val="00F43AE8"/>
    <w:rsid w:val="00F51A9A"/>
    <w:rsid w:val="00F52DC0"/>
    <w:rsid w:val="00F5578D"/>
    <w:rsid w:val="00F5725B"/>
    <w:rsid w:val="00F6152D"/>
    <w:rsid w:val="00F67CDB"/>
    <w:rsid w:val="00F7048B"/>
    <w:rsid w:val="00F7122E"/>
    <w:rsid w:val="00F717B2"/>
    <w:rsid w:val="00F74BA6"/>
    <w:rsid w:val="00F846CB"/>
    <w:rsid w:val="00F90262"/>
    <w:rsid w:val="00F93808"/>
    <w:rsid w:val="00F93A3C"/>
    <w:rsid w:val="00FA000F"/>
    <w:rsid w:val="00FA2C42"/>
    <w:rsid w:val="00FA33A3"/>
    <w:rsid w:val="00FA3650"/>
    <w:rsid w:val="00FA5D74"/>
    <w:rsid w:val="00FB3CD9"/>
    <w:rsid w:val="00FB4E01"/>
    <w:rsid w:val="00FB5F8E"/>
    <w:rsid w:val="00FB6E0F"/>
    <w:rsid w:val="00FC04B1"/>
    <w:rsid w:val="00FC2D22"/>
    <w:rsid w:val="00FC32B2"/>
    <w:rsid w:val="00FC34AF"/>
    <w:rsid w:val="00FC7536"/>
    <w:rsid w:val="00FD0C46"/>
    <w:rsid w:val="00FD2151"/>
    <w:rsid w:val="00FD3377"/>
    <w:rsid w:val="00FD4C84"/>
    <w:rsid w:val="00FD5A89"/>
    <w:rsid w:val="00FE0DAD"/>
    <w:rsid w:val="00FE12F2"/>
    <w:rsid w:val="00FE3705"/>
    <w:rsid w:val="00FE5B3F"/>
    <w:rsid w:val="00FE6E61"/>
    <w:rsid w:val="00FF1E5A"/>
    <w:rsid w:val="00FF228F"/>
    <w:rsid w:val="00FF2D48"/>
    <w:rsid w:val="00FF5C2B"/>
    <w:rsid w:val="00FF7703"/>
    <w:rsid w:val="3D5B82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1D197A9"/>
  <w15:chartTrackingRefBased/>
  <w15:docId w15:val="{F3A25945-2053-4C6B-A0BB-5A62466E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94185D"/>
    <w:pPr>
      <w:keepLines/>
      <w:tabs>
        <w:tab w:val="right" w:pos="9854"/>
      </w:tabs>
      <w:ind w:left="567" w:hanging="567"/>
    </w:pPr>
    <w:rPr>
      <w:b/>
      <w:noProof/>
      <w:sz w:val="24"/>
      <w:u w:val="single" w:color="008089" w:themeColor="accent2"/>
    </w:rPr>
  </w:style>
  <w:style w:type="paragraph" w:styleId="TOC2">
    <w:name w:val="toc 2"/>
    <w:basedOn w:val="Normal"/>
    <w:next w:val="Normal"/>
    <w:autoRedefine/>
    <w:uiPriority w:val="39"/>
    <w:rsid w:val="009D39F0"/>
    <w:pPr>
      <w:keepLines/>
      <w:tabs>
        <w:tab w:val="right" w:leader="dot" w:pos="9854"/>
      </w:tab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1606C9"/>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character" w:styleId="UnresolvedMention">
    <w:name w:val="Unresolved Mention"/>
    <w:basedOn w:val="DefaultParagraphFont"/>
    <w:uiPriority w:val="99"/>
    <w:semiHidden/>
    <w:unhideWhenUsed/>
    <w:rsid w:val="00C12854"/>
    <w:rPr>
      <w:color w:val="605E5C"/>
      <w:shd w:val="clear" w:color="auto" w:fill="E1DFDD"/>
    </w:rPr>
  </w:style>
  <w:style w:type="paragraph" w:styleId="BalloonText">
    <w:name w:val="Balloon Text"/>
    <w:basedOn w:val="Normal"/>
    <w:link w:val="BalloonTextChar"/>
    <w:uiPriority w:val="99"/>
    <w:semiHidden/>
    <w:unhideWhenUsed/>
    <w:rsid w:val="003025B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5B9"/>
    <w:rPr>
      <w:rFonts w:ascii="Segoe UI" w:hAnsi="Segoe UI" w:cs="Segoe UI"/>
      <w:sz w:val="18"/>
      <w:szCs w:val="18"/>
    </w:rPr>
  </w:style>
  <w:style w:type="paragraph" w:styleId="ListParagraph">
    <w:name w:val="List Paragraph"/>
    <w:aliases w:val="Bullet li,Bulletr List Paragraph,FooterText,L,List Paragraph1,List Paragraph2,List Paragraph21,Listeafsnit1,Paragraphe de liste1,Parágrafo da Lista1,Párrafo de lista1,Recommendation,bullet point list,numbered,リスト段落1,列出段落,列出段落1"/>
    <w:basedOn w:val="Normal"/>
    <w:link w:val="ListParagraphChar"/>
    <w:uiPriority w:val="34"/>
    <w:qFormat/>
    <w:rsid w:val="007A0640"/>
    <w:pPr>
      <w:numPr>
        <w:numId w:val="30"/>
      </w:numPr>
      <w:suppressAutoHyphens w:val="0"/>
      <w:spacing w:before="0" w:after="160"/>
      <w:contextualSpacing/>
    </w:pPr>
    <w:rPr>
      <w:color w:val="auto"/>
      <w:lang w:val="en-US"/>
    </w:rPr>
  </w:style>
  <w:style w:type="paragraph" w:customStyle="1" w:styleId="Heading2notshowing">
    <w:name w:val="Heading 2—not showing"/>
    <w:basedOn w:val="ImprintHeading"/>
    <w:next w:val="Normal"/>
    <w:qFormat/>
    <w:rsid w:val="007A0640"/>
    <w:pPr>
      <w:spacing w:before="0"/>
    </w:pPr>
    <w:rPr>
      <w:kern w:val="12"/>
      <w:sz w:val="24"/>
    </w:rPr>
  </w:style>
  <w:style w:type="character" w:styleId="CommentReference">
    <w:name w:val="annotation reference"/>
    <w:basedOn w:val="DefaultParagraphFont"/>
    <w:uiPriority w:val="99"/>
    <w:semiHidden/>
    <w:unhideWhenUsed/>
    <w:rsid w:val="0068751E"/>
    <w:rPr>
      <w:sz w:val="16"/>
      <w:szCs w:val="16"/>
    </w:rPr>
  </w:style>
  <w:style w:type="paragraph" w:styleId="CommentText">
    <w:name w:val="annotation text"/>
    <w:basedOn w:val="Normal"/>
    <w:link w:val="CommentTextChar"/>
    <w:uiPriority w:val="99"/>
    <w:unhideWhenUsed/>
    <w:rsid w:val="0068751E"/>
    <w:rPr>
      <w:sz w:val="20"/>
      <w:szCs w:val="20"/>
    </w:rPr>
  </w:style>
  <w:style w:type="character" w:customStyle="1" w:styleId="CommentTextChar">
    <w:name w:val="Comment Text Char"/>
    <w:basedOn w:val="DefaultParagraphFont"/>
    <w:link w:val="CommentText"/>
    <w:uiPriority w:val="99"/>
    <w:rsid w:val="0068751E"/>
    <w:rPr>
      <w:sz w:val="20"/>
      <w:szCs w:val="20"/>
    </w:rPr>
  </w:style>
  <w:style w:type="paragraph" w:styleId="CommentSubject">
    <w:name w:val="annotation subject"/>
    <w:basedOn w:val="CommentText"/>
    <w:next w:val="CommentText"/>
    <w:link w:val="CommentSubjectChar"/>
    <w:uiPriority w:val="99"/>
    <w:semiHidden/>
    <w:unhideWhenUsed/>
    <w:rsid w:val="0068751E"/>
    <w:rPr>
      <w:b/>
      <w:bCs/>
    </w:rPr>
  </w:style>
  <w:style w:type="character" w:customStyle="1" w:styleId="CommentSubjectChar">
    <w:name w:val="Comment Subject Char"/>
    <w:basedOn w:val="CommentTextChar"/>
    <w:link w:val="CommentSubject"/>
    <w:uiPriority w:val="99"/>
    <w:semiHidden/>
    <w:rsid w:val="0068751E"/>
    <w:rPr>
      <w:b/>
      <w:bCs/>
      <w:sz w:val="20"/>
      <w:szCs w:val="20"/>
    </w:rPr>
  </w:style>
  <w:style w:type="character" w:styleId="FollowedHyperlink">
    <w:name w:val="FollowedHyperlink"/>
    <w:basedOn w:val="DefaultParagraphFont"/>
    <w:uiPriority w:val="99"/>
    <w:semiHidden/>
    <w:unhideWhenUsed/>
    <w:rsid w:val="00675ACF"/>
    <w:rPr>
      <w:color w:val="0046FF" w:themeColor="followedHyperlink"/>
      <w:u w:val="single"/>
    </w:rPr>
  </w:style>
  <w:style w:type="character" w:customStyle="1" w:styleId="ListParagraphChar">
    <w:name w:val="List Paragraph Char"/>
    <w:aliases w:val="Bullet li Char,Bulletr List Paragraph Char,FooterText Char,L Char,List Paragraph1 Char,List Paragraph2 Char,List Paragraph21 Char,Listeafsnit1 Char,Paragraphe de liste1 Char,Parágrafo da Lista1 Char,Párrafo de lista1 Char,リスト段落1 Char"/>
    <w:basedOn w:val="DefaultParagraphFont"/>
    <w:link w:val="ListParagraph"/>
    <w:uiPriority w:val="34"/>
    <w:rsid w:val="00471B35"/>
    <w:rPr>
      <w:color w:val="auto"/>
      <w:lang w:val="en-US"/>
    </w:rPr>
  </w:style>
  <w:style w:type="paragraph" w:styleId="Revision">
    <w:name w:val="Revision"/>
    <w:hidden/>
    <w:uiPriority w:val="99"/>
    <w:semiHidden/>
    <w:rsid w:val="00D47E00"/>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3641">
      <w:bodyDiv w:val="1"/>
      <w:marLeft w:val="0"/>
      <w:marRight w:val="0"/>
      <w:marTop w:val="0"/>
      <w:marBottom w:val="0"/>
      <w:divBdr>
        <w:top w:val="none" w:sz="0" w:space="0" w:color="auto"/>
        <w:left w:val="none" w:sz="0" w:space="0" w:color="auto"/>
        <w:bottom w:val="none" w:sz="0" w:space="0" w:color="auto"/>
        <w:right w:val="none" w:sz="0" w:space="0" w:color="auto"/>
      </w:divBdr>
    </w:div>
    <w:div w:id="64374738">
      <w:bodyDiv w:val="1"/>
      <w:marLeft w:val="0"/>
      <w:marRight w:val="0"/>
      <w:marTop w:val="0"/>
      <w:marBottom w:val="0"/>
      <w:divBdr>
        <w:top w:val="none" w:sz="0" w:space="0" w:color="auto"/>
        <w:left w:val="none" w:sz="0" w:space="0" w:color="auto"/>
        <w:bottom w:val="none" w:sz="0" w:space="0" w:color="auto"/>
        <w:right w:val="none" w:sz="0" w:space="0" w:color="auto"/>
      </w:divBdr>
    </w:div>
    <w:div w:id="212667276">
      <w:bodyDiv w:val="1"/>
      <w:marLeft w:val="0"/>
      <w:marRight w:val="0"/>
      <w:marTop w:val="0"/>
      <w:marBottom w:val="0"/>
      <w:divBdr>
        <w:top w:val="none" w:sz="0" w:space="0" w:color="auto"/>
        <w:left w:val="none" w:sz="0" w:space="0" w:color="auto"/>
        <w:bottom w:val="none" w:sz="0" w:space="0" w:color="auto"/>
        <w:right w:val="none" w:sz="0" w:space="0" w:color="auto"/>
      </w:divBdr>
    </w:div>
    <w:div w:id="217474384">
      <w:bodyDiv w:val="1"/>
      <w:marLeft w:val="0"/>
      <w:marRight w:val="0"/>
      <w:marTop w:val="0"/>
      <w:marBottom w:val="0"/>
      <w:divBdr>
        <w:top w:val="none" w:sz="0" w:space="0" w:color="auto"/>
        <w:left w:val="none" w:sz="0" w:space="0" w:color="auto"/>
        <w:bottom w:val="none" w:sz="0" w:space="0" w:color="auto"/>
        <w:right w:val="none" w:sz="0" w:space="0" w:color="auto"/>
      </w:divBdr>
    </w:div>
    <w:div w:id="279336544">
      <w:bodyDiv w:val="1"/>
      <w:marLeft w:val="0"/>
      <w:marRight w:val="0"/>
      <w:marTop w:val="0"/>
      <w:marBottom w:val="0"/>
      <w:divBdr>
        <w:top w:val="none" w:sz="0" w:space="0" w:color="auto"/>
        <w:left w:val="none" w:sz="0" w:space="0" w:color="auto"/>
        <w:bottom w:val="none" w:sz="0" w:space="0" w:color="auto"/>
        <w:right w:val="none" w:sz="0" w:space="0" w:color="auto"/>
      </w:divBdr>
    </w:div>
    <w:div w:id="612051262">
      <w:bodyDiv w:val="1"/>
      <w:marLeft w:val="0"/>
      <w:marRight w:val="0"/>
      <w:marTop w:val="0"/>
      <w:marBottom w:val="0"/>
      <w:divBdr>
        <w:top w:val="none" w:sz="0" w:space="0" w:color="auto"/>
        <w:left w:val="none" w:sz="0" w:space="0" w:color="auto"/>
        <w:bottom w:val="none" w:sz="0" w:space="0" w:color="auto"/>
        <w:right w:val="none" w:sz="0" w:space="0" w:color="auto"/>
      </w:divBdr>
    </w:div>
    <w:div w:id="708605127">
      <w:bodyDiv w:val="1"/>
      <w:marLeft w:val="0"/>
      <w:marRight w:val="0"/>
      <w:marTop w:val="0"/>
      <w:marBottom w:val="0"/>
      <w:divBdr>
        <w:top w:val="none" w:sz="0" w:space="0" w:color="auto"/>
        <w:left w:val="none" w:sz="0" w:space="0" w:color="auto"/>
        <w:bottom w:val="none" w:sz="0" w:space="0" w:color="auto"/>
        <w:right w:val="none" w:sz="0" w:space="0" w:color="auto"/>
      </w:divBdr>
    </w:div>
    <w:div w:id="812330446">
      <w:bodyDiv w:val="1"/>
      <w:marLeft w:val="0"/>
      <w:marRight w:val="0"/>
      <w:marTop w:val="0"/>
      <w:marBottom w:val="0"/>
      <w:divBdr>
        <w:top w:val="none" w:sz="0" w:space="0" w:color="auto"/>
        <w:left w:val="none" w:sz="0" w:space="0" w:color="auto"/>
        <w:bottom w:val="none" w:sz="0" w:space="0" w:color="auto"/>
        <w:right w:val="none" w:sz="0" w:space="0" w:color="auto"/>
      </w:divBdr>
    </w:div>
    <w:div w:id="970943556">
      <w:bodyDiv w:val="1"/>
      <w:marLeft w:val="0"/>
      <w:marRight w:val="0"/>
      <w:marTop w:val="0"/>
      <w:marBottom w:val="0"/>
      <w:divBdr>
        <w:top w:val="none" w:sz="0" w:space="0" w:color="auto"/>
        <w:left w:val="none" w:sz="0" w:space="0" w:color="auto"/>
        <w:bottom w:val="none" w:sz="0" w:space="0" w:color="auto"/>
        <w:right w:val="none" w:sz="0" w:space="0" w:color="auto"/>
      </w:divBdr>
    </w:div>
    <w:div w:id="1084958130">
      <w:bodyDiv w:val="1"/>
      <w:marLeft w:val="0"/>
      <w:marRight w:val="0"/>
      <w:marTop w:val="0"/>
      <w:marBottom w:val="0"/>
      <w:divBdr>
        <w:top w:val="none" w:sz="0" w:space="0" w:color="auto"/>
        <w:left w:val="none" w:sz="0" w:space="0" w:color="auto"/>
        <w:bottom w:val="none" w:sz="0" w:space="0" w:color="auto"/>
        <w:right w:val="none" w:sz="0" w:space="0" w:color="auto"/>
      </w:divBdr>
    </w:div>
    <w:div w:id="1126199287">
      <w:bodyDiv w:val="1"/>
      <w:marLeft w:val="0"/>
      <w:marRight w:val="0"/>
      <w:marTop w:val="0"/>
      <w:marBottom w:val="0"/>
      <w:divBdr>
        <w:top w:val="none" w:sz="0" w:space="0" w:color="auto"/>
        <w:left w:val="none" w:sz="0" w:space="0" w:color="auto"/>
        <w:bottom w:val="none" w:sz="0" w:space="0" w:color="auto"/>
        <w:right w:val="none" w:sz="0" w:space="0" w:color="auto"/>
      </w:divBdr>
    </w:div>
    <w:div w:id="1236402256">
      <w:bodyDiv w:val="1"/>
      <w:marLeft w:val="0"/>
      <w:marRight w:val="0"/>
      <w:marTop w:val="0"/>
      <w:marBottom w:val="0"/>
      <w:divBdr>
        <w:top w:val="none" w:sz="0" w:space="0" w:color="auto"/>
        <w:left w:val="none" w:sz="0" w:space="0" w:color="auto"/>
        <w:bottom w:val="none" w:sz="0" w:space="0" w:color="auto"/>
        <w:right w:val="none" w:sz="0" w:space="0" w:color="auto"/>
      </w:divBdr>
    </w:div>
    <w:div w:id="1319184716">
      <w:bodyDiv w:val="1"/>
      <w:marLeft w:val="0"/>
      <w:marRight w:val="0"/>
      <w:marTop w:val="0"/>
      <w:marBottom w:val="0"/>
      <w:divBdr>
        <w:top w:val="none" w:sz="0" w:space="0" w:color="auto"/>
        <w:left w:val="none" w:sz="0" w:space="0" w:color="auto"/>
        <w:bottom w:val="none" w:sz="0" w:space="0" w:color="auto"/>
        <w:right w:val="none" w:sz="0" w:space="0" w:color="auto"/>
      </w:divBdr>
    </w:div>
    <w:div w:id="1332874562">
      <w:bodyDiv w:val="1"/>
      <w:marLeft w:val="0"/>
      <w:marRight w:val="0"/>
      <w:marTop w:val="0"/>
      <w:marBottom w:val="0"/>
      <w:divBdr>
        <w:top w:val="none" w:sz="0" w:space="0" w:color="auto"/>
        <w:left w:val="none" w:sz="0" w:space="0" w:color="auto"/>
        <w:bottom w:val="none" w:sz="0" w:space="0" w:color="auto"/>
        <w:right w:val="none" w:sz="0" w:space="0" w:color="auto"/>
      </w:divBdr>
    </w:div>
    <w:div w:id="1332954605">
      <w:bodyDiv w:val="1"/>
      <w:marLeft w:val="0"/>
      <w:marRight w:val="0"/>
      <w:marTop w:val="0"/>
      <w:marBottom w:val="0"/>
      <w:divBdr>
        <w:top w:val="none" w:sz="0" w:space="0" w:color="auto"/>
        <w:left w:val="none" w:sz="0" w:space="0" w:color="auto"/>
        <w:bottom w:val="none" w:sz="0" w:space="0" w:color="auto"/>
        <w:right w:val="none" w:sz="0" w:space="0" w:color="auto"/>
      </w:divBdr>
    </w:div>
    <w:div w:id="1422292829">
      <w:bodyDiv w:val="1"/>
      <w:marLeft w:val="0"/>
      <w:marRight w:val="0"/>
      <w:marTop w:val="0"/>
      <w:marBottom w:val="0"/>
      <w:divBdr>
        <w:top w:val="none" w:sz="0" w:space="0" w:color="auto"/>
        <w:left w:val="none" w:sz="0" w:space="0" w:color="auto"/>
        <w:bottom w:val="none" w:sz="0" w:space="0" w:color="auto"/>
        <w:right w:val="none" w:sz="0" w:space="0" w:color="auto"/>
      </w:divBdr>
    </w:div>
    <w:div w:id="1629508163">
      <w:bodyDiv w:val="1"/>
      <w:marLeft w:val="0"/>
      <w:marRight w:val="0"/>
      <w:marTop w:val="0"/>
      <w:marBottom w:val="0"/>
      <w:divBdr>
        <w:top w:val="none" w:sz="0" w:space="0" w:color="auto"/>
        <w:left w:val="none" w:sz="0" w:space="0" w:color="auto"/>
        <w:bottom w:val="none" w:sz="0" w:space="0" w:color="auto"/>
        <w:right w:val="none" w:sz="0" w:space="0" w:color="auto"/>
      </w:divBdr>
    </w:div>
    <w:div w:id="1831675323">
      <w:bodyDiv w:val="1"/>
      <w:marLeft w:val="0"/>
      <w:marRight w:val="0"/>
      <w:marTop w:val="0"/>
      <w:marBottom w:val="0"/>
      <w:divBdr>
        <w:top w:val="none" w:sz="0" w:space="0" w:color="auto"/>
        <w:left w:val="none" w:sz="0" w:space="0" w:color="auto"/>
        <w:bottom w:val="none" w:sz="0" w:space="0" w:color="auto"/>
        <w:right w:val="none" w:sz="0" w:space="0" w:color="auto"/>
      </w:divBdr>
    </w:div>
    <w:div w:id="1842041433">
      <w:bodyDiv w:val="1"/>
      <w:marLeft w:val="0"/>
      <w:marRight w:val="0"/>
      <w:marTop w:val="0"/>
      <w:marBottom w:val="0"/>
      <w:divBdr>
        <w:top w:val="none" w:sz="0" w:space="0" w:color="auto"/>
        <w:left w:val="none" w:sz="0" w:space="0" w:color="auto"/>
        <w:bottom w:val="none" w:sz="0" w:space="0" w:color="auto"/>
        <w:right w:val="none" w:sz="0" w:space="0" w:color="auto"/>
      </w:divBdr>
    </w:div>
    <w:div w:id="2058579492">
      <w:bodyDiv w:val="1"/>
      <w:marLeft w:val="0"/>
      <w:marRight w:val="0"/>
      <w:marTop w:val="0"/>
      <w:marBottom w:val="0"/>
      <w:divBdr>
        <w:top w:val="none" w:sz="0" w:space="0" w:color="auto"/>
        <w:left w:val="none" w:sz="0" w:space="0" w:color="auto"/>
        <w:bottom w:val="none" w:sz="0" w:space="0" w:color="auto"/>
        <w:right w:val="none" w:sz="0" w:space="0" w:color="auto"/>
      </w:divBdr>
    </w:div>
    <w:div w:id="211860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hyperlink" Target="https://www.infrastructure.gov.au/media-communications-arts/better-connectivity-plan-regional-and-rural-australia" TargetMode="External"/><Relationship Id="rId39" Type="http://schemas.openxmlformats.org/officeDocument/2006/relationships/hyperlink" Target="https://www.acma.gov.au/customer-service-guarantee"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www.acma.gov.au/statutory-infrastructure-provider-regime" TargetMode="External"/><Relationship Id="rId42" Type="http://schemas.openxmlformats.org/officeDocument/2006/relationships/hyperlink" Target="https://www.tio.com.au/" TargetMode="External"/><Relationship Id="rId47" Type="http://schemas.openxmlformats.org/officeDocument/2006/relationships/hyperlink" Target="https://www.accc.gov.au/about-us/publications/serial-publications/accc-communications-market-report/accc-communications-market-report-2021-22" TargetMode="Externa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infrastructure.gov.au/" TargetMode="External"/><Relationship Id="rId25" Type="http://schemas.openxmlformats.org/officeDocument/2006/relationships/image" Target="media/image5.png"/><Relationship Id="rId33" Type="http://schemas.openxmlformats.org/officeDocument/2006/relationships/hyperlink" Target="https://www.legislation.gov.au/Details/F2022L00440" TargetMode="External"/><Relationship Id="rId38" Type="http://schemas.openxmlformats.org/officeDocument/2006/relationships/hyperlink" Target="https://www.digitalinclusion.gov.au/" TargetMode="External"/><Relationship Id="rId46" Type="http://schemas.openxmlformats.org/officeDocument/2006/relationships/hyperlink" Target="https://www.telstra.com.au/aboutus/community-environment/community-programs/access-for-everyone" TargetMode="External"/><Relationship Id="rId2" Type="http://schemas.openxmlformats.org/officeDocument/2006/relationships/customXml" Target="../customXml/item2.xml"/><Relationship Id="rId16" Type="http://schemas.openxmlformats.org/officeDocument/2006/relationships/hyperlink" Target="mailto:publishing@infrastructure.gov.au" TargetMode="External"/><Relationship Id="rId20" Type="http://schemas.openxmlformats.org/officeDocument/2006/relationships/footer" Target="footer1.xml"/><Relationship Id="rId29" Type="http://schemas.openxmlformats.org/officeDocument/2006/relationships/hyperlink" Target="https://www.acma.gov.au/telecommunications-industry-levy-til-overview" TargetMode="External"/><Relationship Id="rId41" Type="http://schemas.openxmlformats.org/officeDocument/2006/relationships/hyperlink" Target="https://www.accc.gov.au/by-industry/telecommunications-and-internet/telecommunications-monitoring/measuring-broadband-australia-program/latest-performance-repor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hyperlink" Target="https://www.telstra.com.au/consumer-advice/customer-service/regional-service-performance" TargetMode="External"/><Relationship Id="rId37" Type="http://schemas.openxmlformats.org/officeDocument/2006/relationships/hyperlink" Target="https://www.infrastructure.gov.au/media-technology-communications/phone/phone-services/universal-service-guarantee-telecommunications/alternative-voice-services-trial" TargetMode="External"/><Relationship Id="rId40" Type="http://schemas.openxmlformats.org/officeDocument/2006/relationships/hyperlink" Target="https://www.legislation.gov.au/Details/F2023L01140" TargetMode="External"/><Relationship Id="rId45" Type="http://schemas.openxmlformats.org/officeDocument/2006/relationships/hyperlink" Target="https://www.telstra.com.au/home-phone" TargetMode="External"/><Relationship Id="rId5" Type="http://schemas.openxmlformats.org/officeDocument/2006/relationships/customXml" Target="../customXml/item5.xml"/><Relationship Id="rId15" Type="http://schemas.openxmlformats.org/officeDocument/2006/relationships/hyperlink" Target="http://www.pmc.gov.au/" TargetMode="External"/><Relationship Id="rId23" Type="http://schemas.openxmlformats.org/officeDocument/2006/relationships/hyperlink" Target="mailto:usb@infrastructure.gov.au" TargetMode="External"/><Relationship Id="rId28" Type="http://schemas.openxmlformats.org/officeDocument/2006/relationships/hyperlink" Target="https://www.infrastructure.gov.au/media-communications-arts/internet/regional-connectivity-program" TargetMode="External"/><Relationship Id="rId36" Type="http://schemas.openxmlformats.org/officeDocument/2006/relationships/hyperlink" Target="https://www.infrastructure.gov.au/sites/default/files/documents/2021-rtirc-report-a-step-change-in-demand.pdf" TargetMode="External"/><Relationship Id="rId49"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yperlink" Target="https://www.acma.gov.au/priority-assistance-landline-customers" TargetMode="External"/><Relationship Id="rId44" Type="http://schemas.openxmlformats.org/officeDocument/2006/relationships/hyperlink" Target="https://www.acma.gov.au/how-telcos-must-handle-complai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 TargetMode="External"/><Relationship Id="rId22" Type="http://schemas.openxmlformats.org/officeDocument/2006/relationships/footer" Target="footer3.xml"/><Relationship Id="rId27" Type="http://schemas.openxmlformats.org/officeDocument/2006/relationships/hyperlink" Target="http://www.infrastructure.gov.au/media-communications-arts/phone/mobile-services-and-coverage/mobile-black-spot-program" TargetMode="External"/><Relationship Id="rId30" Type="http://schemas.openxmlformats.org/officeDocument/2006/relationships/hyperlink" Target="https://www.acma.gov.au/customer-service-guarantee" TargetMode="External"/><Relationship Id="rId35" Type="http://schemas.openxmlformats.org/officeDocument/2006/relationships/chart" Target="charts/chart1.xml"/><Relationship Id="rId43" Type="http://schemas.openxmlformats.org/officeDocument/2006/relationships/hyperlink" Target="https://www.acma.gov.au/telecommunications-consumer-protections-code" TargetMode="External"/><Relationship Id="rId48" Type="http://schemas.openxmlformats.org/officeDocument/2006/relationships/fontTable" Target="fontTable.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telstra.com.au/exchange/free-wi-fi-is-now-available-to-anyone-across-selected-telstra-pa" TargetMode="External"/><Relationship Id="rId7" Type="http://schemas.openxmlformats.org/officeDocument/2006/relationships/hyperlink" Target="http://www.accc.gov.au/by-industry/telecommunications-and-internet/telecommunications-monitoring/measuring-broadband-australia-program/latest-performance-report" TargetMode="External"/><Relationship Id="rId2" Type="http://schemas.openxmlformats.org/officeDocument/2006/relationships/hyperlink" Target="http://www.telstra.com.au/exchange/payphone-usage-is-surging-with-nearly-two-million-free-calls-bei" TargetMode="External"/><Relationship Id="rId1" Type="http://schemas.openxmlformats.org/officeDocument/2006/relationships/hyperlink" Target="http://www.infrastructure.gov.au/media-technology-communications/phone/phone-services/universal-service-guarantee-telecommunications/telecommunications-contract-and-grant-registers" TargetMode="External"/><Relationship Id="rId6" Type="http://schemas.openxmlformats.org/officeDocument/2006/relationships/hyperlink" Target="http://www.accc.gov.au/by-industry/telecommunications-and-internet/telecommunications-monitoring/measuring-broadband-australia-program/latest-performance-report" TargetMode="External"/><Relationship Id="rId5" Type="http://schemas.openxmlformats.org/officeDocument/2006/relationships/hyperlink" Target="http://www.commsalliance.com.au/Documents/all/codes/c519." TargetMode="External"/><Relationship Id="rId4" Type="http://schemas.openxmlformats.org/officeDocument/2006/relationships/hyperlink" Target="https://www.infrastructure.gov.au/sites/default/files/development_of_the_usg_-_summary_re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vey\AppData\Local\Temp\4\Temp1_Corporate%20Word%20and%20PowerPoint%20templates_1%20July%202022%20(6).zip\DITRDCA_Document%20template_1%20July%202022.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Telstra legacy services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B9F-4EF4-A02C-09F337D2FA7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B9F-4EF4-A02C-09F337D2FA7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B9F-4EF4-A02C-09F337D2FA75}"/>
              </c:ext>
            </c:extLst>
          </c:dPt>
          <c:dLbls>
            <c:dLbl>
              <c:idx val="0"/>
              <c:layout>
                <c:manualLayout>
                  <c:x val="4.9267279090114587E-3"/>
                  <c:y val="6.9710036245469315E-3"/>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7B9F-4EF4-A02C-09F337D2FA75}"/>
                </c:ext>
              </c:extLst>
            </c:dLbl>
            <c:dLbl>
              <c:idx val="1"/>
              <c:layout>
                <c:manualLayout>
                  <c:x val="-7.4918890347039956E-3"/>
                  <c:y val="7.2769341332333454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7B9F-4EF4-A02C-09F337D2FA75}"/>
                </c:ext>
              </c:extLst>
            </c:dLbl>
            <c:dLbl>
              <c:idx val="2"/>
              <c:layout>
                <c:manualLayout>
                  <c:x val="2.3500591067075059E-2"/>
                  <c:y val="6.5919447081886365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7B9F-4EF4-A02C-09F337D2FA75}"/>
                </c:ext>
              </c:extLst>
            </c:dLbl>
            <c:numFmt formatCode="#,##0" sourceLinked="0"/>
            <c:spPr>
              <a:noFill/>
              <a:ln>
                <a:noFill/>
              </a:ln>
              <a:effectLst/>
            </c:spPr>
            <c:txPr>
              <a:bodyPr rot="0" spcFirstLastPara="1" vertOverflow="ellipsis" vert="horz" wrap="non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ext>
            </c:extLst>
          </c:dLbls>
          <c:cat>
            <c:strRef>
              <c:f>Sheet1!$A$2:$A$4</c:f>
              <c:strCache>
                <c:ptCount val="3"/>
                <c:pt idx="0">
                  <c:v>Copper only</c:v>
                </c:pt>
                <c:pt idx="1">
                  <c:v>Copper and ADSL</c:v>
                </c:pt>
                <c:pt idx="2">
                  <c:v>Other (HCRC, NGWLL, USO Sat)</c:v>
                </c:pt>
              </c:strCache>
            </c:strRef>
          </c:cat>
          <c:val>
            <c:numRef>
              <c:f>Sheet1!$B$2:$B$4</c:f>
              <c:numCache>
                <c:formatCode>General</c:formatCode>
                <c:ptCount val="3"/>
                <c:pt idx="0">
                  <c:v>184000</c:v>
                </c:pt>
                <c:pt idx="1">
                  <c:v>103000</c:v>
                </c:pt>
                <c:pt idx="2">
                  <c:v>15000</c:v>
                </c:pt>
              </c:numCache>
            </c:numRef>
          </c:val>
          <c:extLst>
            <c:ext xmlns:c16="http://schemas.microsoft.com/office/drawing/2014/chart" uri="{C3380CC4-5D6E-409C-BE32-E72D297353CC}">
              <c16:uniqueId val="{00000006-7B9F-4EF4-A02C-09F337D2FA75}"/>
            </c:ext>
          </c:extLst>
        </c:ser>
        <c:dLbls>
          <c:dLblPos val="bestFit"/>
          <c:showLegendKey val="0"/>
          <c:showVal val="1"/>
          <c:showCatName val="0"/>
          <c:showSerName val="0"/>
          <c:showPercent val="0"/>
          <c:showBubbleSize val="0"/>
          <c:showLeaderLines val="0"/>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spcAft>
          <a:spcPts val="800"/>
        </a:spcAft>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ABE90ABB1C4FA787D4FDB347CCF116"/>
        <w:category>
          <w:name w:val="General"/>
          <w:gallery w:val="placeholder"/>
        </w:category>
        <w:types>
          <w:type w:val="bbPlcHdr"/>
        </w:types>
        <w:behaviors>
          <w:behavior w:val="content"/>
        </w:behaviors>
        <w:guid w:val="{C1439FD3-B8DA-480B-ABD3-734899347561}"/>
      </w:docPartPr>
      <w:docPartBody>
        <w:p w:rsidR="00DF4B82" w:rsidRDefault="004746CE">
          <w:pPr>
            <w:pStyle w:val="2EABE90ABB1C4FA787D4FDB347CCF116"/>
          </w:pPr>
          <w:r w:rsidRPr="00EC51DD">
            <w:rPr>
              <w:rStyle w:val="PlaceholderText"/>
            </w:rPr>
            <w:t>[Publish Date]</w:t>
          </w:r>
        </w:p>
      </w:docPartBody>
    </w:docPart>
    <w:docPart>
      <w:docPartPr>
        <w:name w:val="8248ECE0A1D541EC860541F613676BC2"/>
        <w:category>
          <w:name w:val="General"/>
          <w:gallery w:val="placeholder"/>
        </w:category>
        <w:types>
          <w:type w:val="bbPlcHdr"/>
        </w:types>
        <w:behaviors>
          <w:behavior w:val="content"/>
        </w:behaviors>
        <w:guid w:val="{1832CF8F-6524-4F19-A47B-F9B8FFD58EEB}"/>
      </w:docPartPr>
      <w:docPartBody>
        <w:p w:rsidR="006E187E" w:rsidRDefault="004746CE">
          <w:pPr>
            <w:pStyle w:val="8248ECE0A1D541EC860541F613676BC2"/>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6CE"/>
    <w:rsid w:val="000079F5"/>
    <w:rsid w:val="000A20F7"/>
    <w:rsid w:val="000B3C40"/>
    <w:rsid w:val="000E3ACB"/>
    <w:rsid w:val="001D5884"/>
    <w:rsid w:val="002179FE"/>
    <w:rsid w:val="00237711"/>
    <w:rsid w:val="00244386"/>
    <w:rsid w:val="00273409"/>
    <w:rsid w:val="00273767"/>
    <w:rsid w:val="00275591"/>
    <w:rsid w:val="00303772"/>
    <w:rsid w:val="00337DED"/>
    <w:rsid w:val="003923AF"/>
    <w:rsid w:val="00426F3F"/>
    <w:rsid w:val="00467F87"/>
    <w:rsid w:val="004746CE"/>
    <w:rsid w:val="005374B7"/>
    <w:rsid w:val="00576EC8"/>
    <w:rsid w:val="00615241"/>
    <w:rsid w:val="0066758A"/>
    <w:rsid w:val="006E187E"/>
    <w:rsid w:val="0077446F"/>
    <w:rsid w:val="00777802"/>
    <w:rsid w:val="007F2343"/>
    <w:rsid w:val="008E1A64"/>
    <w:rsid w:val="008F0E59"/>
    <w:rsid w:val="00922E43"/>
    <w:rsid w:val="00972D81"/>
    <w:rsid w:val="00A87560"/>
    <w:rsid w:val="00B96A4C"/>
    <w:rsid w:val="00BB07E1"/>
    <w:rsid w:val="00BB382E"/>
    <w:rsid w:val="00BC490E"/>
    <w:rsid w:val="00BC60F3"/>
    <w:rsid w:val="00C02431"/>
    <w:rsid w:val="00C036DF"/>
    <w:rsid w:val="00C51810"/>
    <w:rsid w:val="00CB6E81"/>
    <w:rsid w:val="00DB1720"/>
    <w:rsid w:val="00DC330C"/>
    <w:rsid w:val="00DF4B82"/>
    <w:rsid w:val="00ED4F0E"/>
    <w:rsid w:val="00F31DA6"/>
    <w:rsid w:val="00F6506B"/>
    <w:rsid w:val="00FC41F2"/>
    <w:rsid w:val="00FD28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A82D1707F6E4FF38F493585000708FC">
    <w:name w:val="1A82D1707F6E4FF38F493585000708FC"/>
  </w:style>
  <w:style w:type="paragraph" w:customStyle="1" w:styleId="2EABE90ABB1C4FA787D4FDB347CCF116">
    <w:name w:val="2EABE90ABB1C4FA787D4FDB347CCF116"/>
  </w:style>
  <w:style w:type="paragraph" w:customStyle="1" w:styleId="8248ECE0A1D541EC860541F613676BC2">
    <w:name w:val="8248ECE0A1D541EC860541F613676B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2023-10-27T00:00:00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714AC1684EAF4ABDF0C3D5363C46AE" ma:contentTypeVersion="0" ma:contentTypeDescription="Create a new document." ma:contentTypeScope="" ma:versionID="dcc2a480f5e2c5b404ec63509e073c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8BEFA9-9614-41E4-B800-51DCEE9CADA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9CC59D5-95E0-4182-9380-D4C45D19DD6D}">
  <ds:schemaRefs>
    <ds:schemaRef ds:uri="http://schemas.microsoft.com/sharepoint/v3/contenttype/forms"/>
  </ds:schemaRefs>
</ds:datastoreItem>
</file>

<file path=customXml/itemProps4.xml><?xml version="1.0" encoding="utf-8"?>
<ds:datastoreItem xmlns:ds="http://schemas.openxmlformats.org/officeDocument/2006/customXml" ds:itemID="{853ED871-314B-40B1-8899-8ACAA798D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078BB364-9F8B-476D-9710-1D29866E6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DITRDCA_Document template_1 July 2022.dotx</Template>
  <TotalTime>2</TotalTime>
  <Pages>17</Pages>
  <Words>7931</Words>
  <Characters>45847</Characters>
  <Application>Microsoft Office Word</Application>
  <DocSecurity>0</DocSecurity>
  <Lines>694</Lines>
  <Paragraphs>245</Paragraphs>
  <ScaleCrop>false</ScaleCrop>
  <HeadingPairs>
    <vt:vector size="2" baseType="variant">
      <vt:variant>
        <vt:lpstr>Title</vt:lpstr>
      </vt:variant>
      <vt:variant>
        <vt:i4>1</vt:i4>
      </vt:variant>
    </vt:vector>
  </HeadingPairs>
  <TitlesOfParts>
    <vt:vector size="1" baseType="lpstr">
      <vt:lpstr>Better delivery of universal services</vt:lpstr>
    </vt:vector>
  </TitlesOfParts>
  <Company>Department of Infrastructure &amp; Regional Development</Company>
  <LinksUpToDate>false</LinksUpToDate>
  <CharactersWithSpaces>53533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Better delivery of universal services</dc:title>
  <dc:subject/>
  <dc:creator>Ivey, Lara</dc:creator>
  <cp:keywords/>
  <dc:description/>
  <cp:lastModifiedBy>Driscoll, Tom</cp:lastModifiedBy>
  <cp:revision>3</cp:revision>
  <cp:lastPrinted>2023-10-27T03:38:00Z</cp:lastPrinted>
  <dcterms:created xsi:type="dcterms:W3CDTF">2023-10-27T03:38:00Z</dcterms:created>
  <dcterms:modified xsi:type="dcterms:W3CDTF">2023-10-27T03:39:00Z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0x01010078714AC1684EAF4ABDF0C3D5363C46AE</vt:lpwstr>
  </property>
  <property fmtid="{D5CDD505-2E9C-101B-9397-08002B2CF9AE}" pid="3" name="TrimRevisionNumber">
    <vt:i4>22</vt:i4>
  </property>
</Properties>
</file>