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50AF0" w14:textId="77777777"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14:paraId="31F647A9" w14:textId="77777777"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14:paraId="5027F217" w14:textId="77777777" w:rsidR="00906533" w:rsidRPr="00B041CB" w:rsidRDefault="00A46349" w:rsidP="00906533">
      <w:pPr>
        <w:pStyle w:val="Heading1"/>
      </w:pPr>
      <w:r w:rsidRPr="0000318D">
        <w:t>Australian Jet Zero Council</w:t>
      </w:r>
      <w:r>
        <w:t>—Workplan</w:t>
      </w:r>
    </w:p>
    <w:p w14:paraId="277F3213" w14:textId="77777777" w:rsidR="00906533" w:rsidRPr="00B041CB" w:rsidRDefault="00A46349" w:rsidP="00906533">
      <w:pPr>
        <w:suppressAutoHyphens/>
        <w:spacing w:before="160" w:after="80"/>
        <w:rPr>
          <w:rFonts w:eastAsia="Calibri" w:cs="Times New Roman"/>
          <w:b/>
          <w:color w:val="081E3E"/>
          <w:kern w:val="12"/>
          <w:szCs w:val="20"/>
        </w:rPr>
      </w:pPr>
      <w:bookmarkStart w:id="0" w:name="_GoBack"/>
      <w:r>
        <w:rPr>
          <w:rFonts w:eastAsia="Calibri" w:cs="Times New Roman"/>
          <w:b/>
          <w:color w:val="081E3E"/>
          <w:kern w:val="12"/>
          <w:szCs w:val="20"/>
        </w:rPr>
        <w:t xml:space="preserve">Version </w:t>
      </w:r>
      <w:r w:rsidR="00AA69E5">
        <w:rPr>
          <w:rFonts w:eastAsia="Calibri" w:cs="Times New Roman"/>
          <w:b/>
          <w:color w:val="081E3E"/>
          <w:kern w:val="12"/>
          <w:szCs w:val="20"/>
        </w:rPr>
        <w:t>2</w:t>
      </w:r>
      <w:r>
        <w:rPr>
          <w:rFonts w:eastAsia="Calibri" w:cs="Times New Roman"/>
          <w:b/>
          <w:color w:val="081E3E"/>
          <w:kern w:val="12"/>
          <w:szCs w:val="20"/>
        </w:rPr>
        <w:t>—</w:t>
      </w:r>
      <w:r w:rsidR="00AA69E5">
        <w:rPr>
          <w:rFonts w:eastAsia="Calibri" w:cs="Times New Roman"/>
          <w:b/>
          <w:color w:val="081E3E"/>
          <w:kern w:val="12"/>
          <w:szCs w:val="20"/>
        </w:rPr>
        <w:t>March 2025</w:t>
      </w:r>
    </w:p>
    <w:bookmarkEnd w:id="0"/>
    <w:p w14:paraId="55B0D4F3" w14:textId="77777777"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14:paraId="7BE64424" w14:textId="77777777"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14:paraId="4BD11F6D" w14:textId="77777777" w:rsidR="00CD670F" w:rsidRPr="0000318D" w:rsidRDefault="00CD670F" w:rsidP="00CD670F">
      <w:pPr>
        <w:pStyle w:val="Heading2"/>
      </w:pPr>
      <w:r w:rsidRPr="0000318D">
        <w:t>Introduction</w:t>
      </w:r>
    </w:p>
    <w:p w14:paraId="30AF664D" w14:textId="77777777" w:rsidR="00CD670F" w:rsidRPr="00CD670F" w:rsidRDefault="00CD670F" w:rsidP="00CD670F">
      <w:r w:rsidRPr="0000318D">
        <w:t>On</w:t>
      </w:r>
      <w:r>
        <w:t xml:space="preserve"> 21 June 2023, </w:t>
      </w:r>
      <w:r w:rsidRPr="0000318D">
        <w:t xml:space="preserve">the </w:t>
      </w:r>
      <w:r>
        <w:t>Australian Government</w:t>
      </w:r>
      <w:r w:rsidRPr="0000318D">
        <w:t xml:space="preserve"> announced the establishment of the Australian Jet Zero Council</w:t>
      </w:r>
      <w:r>
        <w:t xml:space="preserve"> (the Council</w:t>
      </w:r>
      <w:r w:rsidRPr="00CD670F">
        <w:t>).</w:t>
      </w:r>
    </w:p>
    <w:p w14:paraId="7071D850" w14:textId="77777777" w:rsidR="009E1515" w:rsidRDefault="009E1515" w:rsidP="009E1515">
      <w:r w:rsidRPr="00CD670F">
        <w:t xml:space="preserve">The </w:t>
      </w:r>
      <w:r>
        <w:t>c</w:t>
      </w:r>
      <w:r w:rsidRPr="00CD670F">
        <w:t>ouncil brings together a cross-section of senior stakeholders from across the aviation sector and its supply chains to work with industry to</w:t>
      </w:r>
      <w:r>
        <w:t>:</w:t>
      </w:r>
    </w:p>
    <w:p w14:paraId="5A846FF2" w14:textId="77777777" w:rsidR="009E1515" w:rsidRDefault="009E1515" w:rsidP="009E1515">
      <w:pPr>
        <w:pStyle w:val="ListParagraph"/>
        <w:numPr>
          <w:ilvl w:val="0"/>
          <w:numId w:val="31"/>
        </w:numPr>
      </w:pPr>
      <w:r w:rsidRPr="00CD670F">
        <w:t>inform the design of policy settings to encourage emissions reduction in the aviation industry</w:t>
      </w:r>
    </w:p>
    <w:p w14:paraId="25C76C8F" w14:textId="77777777" w:rsidR="009E1515" w:rsidRDefault="009E1515" w:rsidP="009E1515">
      <w:pPr>
        <w:pStyle w:val="ListParagraph"/>
        <w:numPr>
          <w:ilvl w:val="0"/>
          <w:numId w:val="31"/>
        </w:numPr>
      </w:pPr>
      <w:r w:rsidRPr="00CD670F">
        <w:t xml:space="preserve">provide senior industry leadership, and </w:t>
      </w:r>
    </w:p>
    <w:p w14:paraId="6E9C7506" w14:textId="77777777" w:rsidR="009E1515" w:rsidRPr="00CD670F" w:rsidRDefault="009E1515" w:rsidP="009E1515">
      <w:pPr>
        <w:pStyle w:val="ListParagraph"/>
        <w:numPr>
          <w:ilvl w:val="0"/>
          <w:numId w:val="31"/>
        </w:numPr>
      </w:pPr>
      <w:r w:rsidRPr="00CD670F">
        <w:t>promote, mobilise and galvanise industry efforts to decarbonise aviation.</w:t>
      </w:r>
    </w:p>
    <w:p w14:paraId="03426789" w14:textId="77777777" w:rsidR="009E1515" w:rsidRPr="00D40E5A" w:rsidRDefault="009E1515" w:rsidP="009E1515">
      <w:bookmarkStart w:id="1" w:name="_Hlk140589818"/>
      <w:r w:rsidRPr="00CD670F">
        <w:t xml:space="preserve">The </w:t>
      </w:r>
      <w:r>
        <w:t xml:space="preserve">council produced its first workplan in 2023 and refreshed the workplan following their fourth meeting in October 2024. At this meeting, members provided updates and reports against all items in the workplan and identified the next steps for all work items. </w:t>
      </w:r>
      <w:bookmarkEnd w:id="1"/>
    </w:p>
    <w:p w14:paraId="06A0CD0D" w14:textId="77777777" w:rsidR="00317083" w:rsidRPr="00DF1A1F" w:rsidRDefault="00317083" w:rsidP="00DF1A1F"/>
    <w:p w14:paraId="61E71635" w14:textId="77777777" w:rsidR="00317083" w:rsidRPr="00DF1A1F" w:rsidRDefault="00317083" w:rsidP="00DF1A1F">
      <w:pPr>
        <w:sectPr w:rsidR="00317083" w:rsidRPr="00DF1A1F" w:rsidSect="00953CCD">
          <w:type w:val="continuous"/>
          <w:pgSz w:w="11906" w:h="16838"/>
          <w:pgMar w:top="1276" w:right="991" w:bottom="1276" w:left="1440" w:header="567" w:footer="0" w:gutter="0"/>
          <w:cols w:space="708"/>
          <w:titlePg/>
          <w:docGrid w:linePitch="360"/>
        </w:sectPr>
      </w:pPr>
    </w:p>
    <w:p w14:paraId="794BC8B7" w14:textId="77777777" w:rsidR="00CD670F" w:rsidRDefault="00CD670F" w:rsidP="00CD670F">
      <w:pPr>
        <w:pStyle w:val="Tablefigureheading"/>
      </w:pPr>
      <w:r w:rsidRPr="0000318D">
        <w:lastRenderedPageBreak/>
        <w:t xml:space="preserve">Table </w:t>
      </w:r>
      <w:fldSimple w:instr=" SEQ Table \* ARABIC ">
        <w:r>
          <w:rPr>
            <w:noProof/>
          </w:rPr>
          <w:t>1</w:t>
        </w:r>
      </w:fldSimple>
      <w:r w:rsidRPr="0000318D">
        <w:t>: Work items overview</w:t>
      </w:r>
    </w:p>
    <w:tbl>
      <w:tblPr>
        <w:tblStyle w:val="DefaultTable111"/>
        <w:tblW w:w="5000" w:type="pct"/>
        <w:tblInd w:w="-108" w:type="dxa"/>
        <w:tblLook w:val="04A0" w:firstRow="1" w:lastRow="0" w:firstColumn="1" w:lastColumn="0" w:noHBand="0" w:noVBand="1"/>
        <w:tblDescription w:val="Table 1: Work items overview"/>
      </w:tblPr>
      <w:tblGrid>
        <w:gridCol w:w="386"/>
        <w:gridCol w:w="1923"/>
        <w:gridCol w:w="1411"/>
        <w:gridCol w:w="8286"/>
        <w:gridCol w:w="2280"/>
      </w:tblGrid>
      <w:tr w:rsidR="00317083" w:rsidRPr="007C6C87" w14:paraId="539A9263" w14:textId="77777777" w:rsidTr="0031708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 w:type="pct"/>
          </w:tcPr>
          <w:p w14:paraId="6B601009" w14:textId="77777777" w:rsidR="00317083" w:rsidRPr="007C6C87" w:rsidRDefault="00317083" w:rsidP="008F05AE">
            <w:pPr>
              <w:keepNext/>
              <w:shd w:val="clear" w:color="auto" w:fill="081E3E"/>
              <w:spacing w:before="60" w:after="60"/>
              <w:rPr>
                <w:color w:val="FFFFFF" w:themeColor="background1"/>
              </w:rPr>
            </w:pPr>
            <w:r w:rsidRPr="007C6C87">
              <w:rPr>
                <w:color w:val="FFFFFF" w:themeColor="background1"/>
              </w:rPr>
              <w:t>#</w:t>
            </w:r>
          </w:p>
        </w:tc>
        <w:tc>
          <w:tcPr>
            <w:tcW w:w="673" w:type="pct"/>
          </w:tcPr>
          <w:p w14:paraId="5F541756" w14:textId="77777777" w:rsidR="00317083" w:rsidRPr="007C6C87" w:rsidRDefault="00317083" w:rsidP="008F05AE">
            <w:pPr>
              <w:keepNext/>
              <w:shd w:val="clear" w:color="auto" w:fill="081E3E"/>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7C6C87">
              <w:rPr>
                <w:color w:val="FFFFFF" w:themeColor="background1"/>
              </w:rPr>
              <w:t>Item name</w:t>
            </w:r>
          </w:p>
        </w:tc>
        <w:tc>
          <w:tcPr>
            <w:tcW w:w="494" w:type="pct"/>
          </w:tcPr>
          <w:p w14:paraId="38103800" w14:textId="77777777" w:rsidR="00317083" w:rsidRPr="007C6C87" w:rsidRDefault="00317083" w:rsidP="008F05AE">
            <w:pPr>
              <w:keepNext/>
              <w:shd w:val="clear" w:color="auto" w:fill="081E3E"/>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7C6C87">
              <w:rPr>
                <w:color w:val="FFFFFF" w:themeColor="background1"/>
              </w:rPr>
              <w:t>Council lead/s</w:t>
            </w:r>
          </w:p>
        </w:tc>
        <w:tc>
          <w:tcPr>
            <w:tcW w:w="2900" w:type="pct"/>
          </w:tcPr>
          <w:p w14:paraId="61413835" w14:textId="77777777" w:rsidR="00317083" w:rsidRPr="007C6C87" w:rsidRDefault="00317083" w:rsidP="008F05AE">
            <w:pPr>
              <w:keepNext/>
              <w:shd w:val="clear" w:color="auto" w:fill="081E3E"/>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C6C87">
              <w:rPr>
                <w:color w:val="FFFFFF" w:themeColor="background1"/>
              </w:rPr>
              <w:t>Short description</w:t>
            </w:r>
          </w:p>
        </w:tc>
        <w:tc>
          <w:tcPr>
            <w:tcW w:w="798" w:type="pct"/>
          </w:tcPr>
          <w:p w14:paraId="1E162BC9" w14:textId="77777777" w:rsidR="00317083" w:rsidRPr="007C6C87" w:rsidRDefault="00317083" w:rsidP="008F05AE">
            <w:pPr>
              <w:keepNext/>
              <w:shd w:val="clear" w:color="auto" w:fill="081E3E"/>
              <w:spacing w:before="60"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Relates to old work plan item #</w:t>
            </w:r>
          </w:p>
        </w:tc>
      </w:tr>
      <w:tr w:rsidR="00317083" w:rsidRPr="007C6C87" w14:paraId="2866C9EF" w14:textId="77777777" w:rsidTr="00317083">
        <w:trPr>
          <w:cantSplit/>
        </w:trPr>
        <w:tc>
          <w:tcPr>
            <w:cnfStyle w:val="001000000000" w:firstRow="0" w:lastRow="0" w:firstColumn="1" w:lastColumn="0" w:oddVBand="0" w:evenVBand="0" w:oddHBand="0" w:evenHBand="0" w:firstRowFirstColumn="0" w:firstRowLastColumn="0" w:lastRowFirstColumn="0" w:lastRowLastColumn="0"/>
            <w:tcW w:w="135" w:type="pct"/>
          </w:tcPr>
          <w:p w14:paraId="6BEECE08" w14:textId="77777777" w:rsidR="00317083" w:rsidRPr="00992E29" w:rsidRDefault="00317083" w:rsidP="008F05AE">
            <w:pPr>
              <w:jc w:val="center"/>
              <w:rPr>
                <w:b w:val="0"/>
              </w:rPr>
            </w:pPr>
            <w:r>
              <w:t>1</w:t>
            </w:r>
          </w:p>
        </w:tc>
        <w:tc>
          <w:tcPr>
            <w:tcW w:w="673" w:type="pct"/>
          </w:tcPr>
          <w:p w14:paraId="43630297" w14:textId="77777777" w:rsidR="00317083" w:rsidRDefault="00317083" w:rsidP="008F05AE">
            <w:pPr>
              <w:cnfStyle w:val="000000000000" w:firstRow="0" w:lastRow="0" w:firstColumn="0" w:lastColumn="0" w:oddVBand="0" w:evenVBand="0" w:oddHBand="0" w:evenHBand="0" w:firstRowFirstColumn="0" w:firstRowLastColumn="0" w:lastRowFirstColumn="0" w:lastRowLastColumn="0"/>
              <w:rPr>
                <w:b/>
              </w:rPr>
            </w:pPr>
            <w:r>
              <w:rPr>
                <w:b/>
              </w:rPr>
              <w:t>SAF sustainability certification workstream</w:t>
            </w:r>
          </w:p>
          <w:p w14:paraId="3A46635F" w14:textId="1E5AB789" w:rsidR="00317083" w:rsidRPr="00992E29" w:rsidRDefault="00317083" w:rsidP="00DF1A1F">
            <w:pPr>
              <w:cnfStyle w:val="000000000000" w:firstRow="0" w:lastRow="0" w:firstColumn="0" w:lastColumn="0" w:oddVBand="0" w:evenVBand="0" w:oddHBand="0" w:evenHBand="0" w:firstRowFirstColumn="0" w:firstRowLastColumn="0" w:lastRowFirstColumn="0" w:lastRowLastColumn="0"/>
              <w:rPr>
                <w:b/>
              </w:rPr>
            </w:pPr>
            <w:r>
              <w:rPr>
                <w:b/>
              </w:rPr>
              <w:t>(Sustainability and lifecycle emissions work)</w:t>
            </w:r>
          </w:p>
        </w:tc>
        <w:tc>
          <w:tcPr>
            <w:tcW w:w="494" w:type="pct"/>
          </w:tcPr>
          <w:p w14:paraId="395F0782" w14:textId="77777777" w:rsidR="00317083" w:rsidRPr="00992E29" w:rsidRDefault="0025083E" w:rsidP="0025083E">
            <w:pPr>
              <w:cnfStyle w:val="000000000000" w:firstRow="0" w:lastRow="0" w:firstColumn="0" w:lastColumn="0" w:oddVBand="0" w:evenVBand="0" w:oddHBand="0" w:evenHBand="0" w:firstRowFirstColumn="0" w:firstRowLastColumn="0" w:lastRowFirstColumn="0" w:lastRowLastColumn="0"/>
              <w:rPr>
                <w:b/>
              </w:rPr>
            </w:pPr>
            <w:r w:rsidRPr="0025083E">
              <w:t>To be confirmed at the 6th meeting.</w:t>
            </w:r>
          </w:p>
        </w:tc>
        <w:tc>
          <w:tcPr>
            <w:tcW w:w="2900" w:type="pct"/>
          </w:tcPr>
          <w:p w14:paraId="0DAFD175" w14:textId="77777777" w:rsidR="00317083" w:rsidRDefault="00317083" w:rsidP="00317083">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Consider DCCEEW’s approach to the GO Scheme.</w:t>
            </w:r>
          </w:p>
          <w:p w14:paraId="2D033711" w14:textId="77777777" w:rsidR="00317083" w:rsidRDefault="00317083" w:rsidP="00317083">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Provide advice to government on what other instruments may be required to address issues not dealt with by the GO Scheme (e.g. certification schemes like the Roundtable for Sustainable Biomass, International Sustainability and Carbon Certification).</w:t>
            </w:r>
          </w:p>
          <w:p w14:paraId="6F645E8A" w14:textId="77777777" w:rsidR="00317083" w:rsidRDefault="00317083" w:rsidP="00317083">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Further value adds from the council to be considered once the scope and methodology for the GO Scheme becomes clearer.</w:t>
            </w:r>
          </w:p>
          <w:p w14:paraId="788BCC64" w14:textId="77777777" w:rsidR="00317083" w:rsidRPr="00DF1A1F" w:rsidRDefault="00317083" w:rsidP="00DF1A1F">
            <w:pPr>
              <w:cnfStyle w:val="000000000000" w:firstRow="0" w:lastRow="0" w:firstColumn="0" w:lastColumn="0" w:oddVBand="0" w:evenVBand="0" w:oddHBand="0" w:evenHBand="0" w:firstRowFirstColumn="0" w:firstRowLastColumn="0" w:lastRowFirstColumn="0" w:lastRowLastColumn="0"/>
              <w:rPr>
                <w:b/>
              </w:rPr>
            </w:pPr>
          </w:p>
        </w:tc>
        <w:tc>
          <w:tcPr>
            <w:tcW w:w="798" w:type="pct"/>
          </w:tcPr>
          <w:p w14:paraId="262D06B3" w14:textId="2B39B77B" w:rsidR="00317083" w:rsidRPr="0025083E" w:rsidRDefault="00317083" w:rsidP="008F05AE">
            <w:pPr>
              <w:jc w:val="center"/>
              <w:cnfStyle w:val="000000000000" w:firstRow="0" w:lastRow="0" w:firstColumn="0" w:lastColumn="0" w:oddVBand="0" w:evenVBand="0" w:oddHBand="0" w:evenHBand="0" w:firstRowFirstColumn="0" w:firstRowLastColumn="0" w:lastRowFirstColumn="0" w:lastRowLastColumn="0"/>
            </w:pPr>
            <w:r w:rsidRPr="0025083E">
              <w:t xml:space="preserve">Work item 1 </w:t>
            </w:r>
          </w:p>
        </w:tc>
      </w:tr>
      <w:tr w:rsidR="00317083" w:rsidRPr="007C6C87" w14:paraId="4E4A7FA2" w14:textId="77777777" w:rsidTr="0031708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 w:type="pct"/>
          </w:tcPr>
          <w:p w14:paraId="0A5DA58D" w14:textId="77777777" w:rsidR="00317083" w:rsidRDefault="00317083" w:rsidP="008F05AE">
            <w:pPr>
              <w:jc w:val="center"/>
            </w:pPr>
            <w:r>
              <w:t>2</w:t>
            </w:r>
          </w:p>
        </w:tc>
        <w:tc>
          <w:tcPr>
            <w:tcW w:w="673" w:type="pct"/>
          </w:tcPr>
          <w:p w14:paraId="45A4CFE3" w14:textId="77777777" w:rsidR="00317083" w:rsidRDefault="00317083" w:rsidP="008F05AE">
            <w:pPr>
              <w:cnfStyle w:val="000000010000" w:firstRow="0" w:lastRow="0" w:firstColumn="0" w:lastColumn="0" w:oddVBand="0" w:evenVBand="0" w:oddHBand="0" w:evenHBand="1" w:firstRowFirstColumn="0" w:firstRowLastColumn="0" w:lastRowFirstColumn="0" w:lastRowLastColumn="0"/>
              <w:rPr>
                <w:b/>
              </w:rPr>
            </w:pPr>
            <w:r>
              <w:rPr>
                <w:b/>
              </w:rPr>
              <w:t xml:space="preserve">Building SAF literacy and social licence workstream – </w:t>
            </w:r>
          </w:p>
          <w:p w14:paraId="5EC8241C" w14:textId="77777777" w:rsidR="00317083" w:rsidRDefault="00317083" w:rsidP="008F05AE">
            <w:pPr>
              <w:cnfStyle w:val="000000010000" w:firstRow="0" w:lastRow="0" w:firstColumn="0" w:lastColumn="0" w:oddVBand="0" w:evenVBand="0" w:oddHBand="0" w:evenHBand="1" w:firstRowFirstColumn="0" w:firstRowLastColumn="0" w:lastRowFirstColumn="0" w:lastRowLastColumn="0"/>
              <w:rPr>
                <w:b/>
              </w:rPr>
            </w:pPr>
            <w:r w:rsidRPr="00D60879">
              <w:rPr>
                <w:b/>
              </w:rPr>
              <w:t>Delivery of the SAF literacy centre</w:t>
            </w:r>
          </w:p>
        </w:tc>
        <w:tc>
          <w:tcPr>
            <w:tcW w:w="494" w:type="pct"/>
          </w:tcPr>
          <w:p w14:paraId="3F1E2E8C" w14:textId="77777777" w:rsidR="00317083" w:rsidRPr="0025083E" w:rsidRDefault="00317083" w:rsidP="0025083E">
            <w:pPr>
              <w:cnfStyle w:val="000000010000" w:firstRow="0" w:lastRow="0" w:firstColumn="0" w:lastColumn="0" w:oddVBand="0" w:evenVBand="0" w:oddHBand="0" w:evenHBand="1" w:firstRowFirstColumn="0" w:firstRowLastColumn="0" w:lastRowFirstColumn="0" w:lastRowLastColumn="0"/>
            </w:pPr>
            <w:r>
              <w:t>CSIRO</w:t>
            </w:r>
          </w:p>
        </w:tc>
        <w:tc>
          <w:tcPr>
            <w:tcW w:w="2900" w:type="pct"/>
          </w:tcPr>
          <w:p w14:paraId="03EC8BAD" w14:textId="77777777" w:rsidR="00317083" w:rsidRDefault="00317083" w:rsidP="00317083">
            <w:pPr>
              <w:pStyle w:val="ListParagraph"/>
              <w:numPr>
                <w:ilvl w:val="0"/>
                <w:numId w:val="28"/>
              </w:numPr>
              <w:cnfStyle w:val="000000010000" w:firstRow="0" w:lastRow="0" w:firstColumn="0" w:lastColumn="0" w:oddVBand="0" w:evenVBand="0" w:oddHBand="0" w:evenHBand="1" w:firstRowFirstColumn="0" w:firstRowLastColumn="0" w:lastRowFirstColumn="0" w:lastRowLastColumn="0"/>
            </w:pPr>
            <w:r>
              <w:t>Combine work item number 2 from original workplan</w:t>
            </w:r>
          </w:p>
          <w:p w14:paraId="24B72505" w14:textId="77777777" w:rsidR="00317083" w:rsidRPr="00865433" w:rsidRDefault="00317083" w:rsidP="00317083">
            <w:pPr>
              <w:pStyle w:val="ListParagraph"/>
              <w:numPr>
                <w:ilvl w:val="0"/>
                <w:numId w:val="28"/>
              </w:numPr>
              <w:cnfStyle w:val="000000010000" w:firstRow="0" w:lastRow="0" w:firstColumn="0" w:lastColumn="0" w:oddVBand="0" w:evenVBand="0" w:oddHBand="0" w:evenHBand="1" w:firstRowFirstColumn="0" w:firstRowLastColumn="0" w:lastRowFirstColumn="0" w:lastRowLastColumn="0"/>
            </w:pPr>
            <w:r w:rsidRPr="00865433">
              <w:t>CSIRO to lead development of the SAF literacy centre, with industry to assist with funding and education activities.</w:t>
            </w:r>
          </w:p>
          <w:p w14:paraId="2113FAFF" w14:textId="77777777" w:rsidR="00317083" w:rsidRPr="0040528B" w:rsidRDefault="00317083" w:rsidP="008F05AE">
            <w:pPr>
              <w:pStyle w:val="ListParagraph"/>
              <w:ind w:left="360"/>
              <w:cnfStyle w:val="000000010000" w:firstRow="0" w:lastRow="0" w:firstColumn="0" w:lastColumn="0" w:oddVBand="0" w:evenVBand="0" w:oddHBand="0" w:evenHBand="1" w:firstRowFirstColumn="0" w:firstRowLastColumn="0" w:lastRowFirstColumn="0" w:lastRowLastColumn="0"/>
            </w:pPr>
          </w:p>
        </w:tc>
        <w:tc>
          <w:tcPr>
            <w:tcW w:w="798" w:type="pct"/>
          </w:tcPr>
          <w:p w14:paraId="1690DBBC" w14:textId="0BF21ACF" w:rsidR="00317083" w:rsidRPr="0025083E" w:rsidRDefault="00317083" w:rsidP="008F05AE">
            <w:pPr>
              <w:jc w:val="center"/>
              <w:cnfStyle w:val="000000010000" w:firstRow="0" w:lastRow="0" w:firstColumn="0" w:lastColumn="0" w:oddVBand="0" w:evenVBand="0" w:oddHBand="0" w:evenHBand="1" w:firstRowFirstColumn="0" w:firstRowLastColumn="0" w:lastRowFirstColumn="0" w:lastRowLastColumn="0"/>
            </w:pPr>
            <w:r w:rsidRPr="0025083E">
              <w:t>Work item 2</w:t>
            </w:r>
          </w:p>
        </w:tc>
      </w:tr>
      <w:tr w:rsidR="00317083" w:rsidRPr="007C6C87" w14:paraId="37F1E05B" w14:textId="77777777" w:rsidTr="00317083">
        <w:trPr>
          <w:cantSplit/>
        </w:trPr>
        <w:tc>
          <w:tcPr>
            <w:cnfStyle w:val="001000000000" w:firstRow="0" w:lastRow="0" w:firstColumn="1" w:lastColumn="0" w:oddVBand="0" w:evenVBand="0" w:oddHBand="0" w:evenHBand="0" w:firstRowFirstColumn="0" w:firstRowLastColumn="0" w:lastRowFirstColumn="0" w:lastRowLastColumn="0"/>
            <w:tcW w:w="135" w:type="pct"/>
          </w:tcPr>
          <w:p w14:paraId="1B0F3681" w14:textId="77777777" w:rsidR="00317083" w:rsidRDefault="00317083" w:rsidP="008F05AE">
            <w:pPr>
              <w:jc w:val="center"/>
            </w:pPr>
            <w:r>
              <w:t xml:space="preserve">3 </w:t>
            </w:r>
          </w:p>
        </w:tc>
        <w:tc>
          <w:tcPr>
            <w:tcW w:w="673" w:type="pct"/>
          </w:tcPr>
          <w:p w14:paraId="31AAC5BC" w14:textId="77777777" w:rsidR="00317083" w:rsidRDefault="00317083" w:rsidP="008F05AE">
            <w:pPr>
              <w:cnfStyle w:val="000000000000" w:firstRow="0" w:lastRow="0" w:firstColumn="0" w:lastColumn="0" w:oddVBand="0" w:evenVBand="0" w:oddHBand="0" w:evenHBand="0" w:firstRowFirstColumn="0" w:firstRowLastColumn="0" w:lastRowFirstColumn="0" w:lastRowLastColumn="0"/>
              <w:rPr>
                <w:b/>
              </w:rPr>
            </w:pPr>
            <w:r>
              <w:rPr>
                <w:b/>
              </w:rPr>
              <w:t>SAF Accounting and framework for voluntary purchasing of SAF (combined workstream)</w:t>
            </w:r>
          </w:p>
        </w:tc>
        <w:tc>
          <w:tcPr>
            <w:tcW w:w="494" w:type="pct"/>
          </w:tcPr>
          <w:p w14:paraId="7F709316" w14:textId="77777777" w:rsidR="00317083" w:rsidRDefault="00317083" w:rsidP="008F05AE">
            <w:pPr>
              <w:cnfStyle w:val="000000000000" w:firstRow="0" w:lastRow="0" w:firstColumn="0" w:lastColumn="0" w:oddVBand="0" w:evenVBand="0" w:oddHBand="0" w:evenHBand="0" w:firstRowFirstColumn="0" w:firstRowLastColumn="0" w:lastRowFirstColumn="0" w:lastRowLastColumn="0"/>
            </w:pPr>
            <w:r>
              <w:t>Boeing</w:t>
            </w:r>
          </w:p>
          <w:p w14:paraId="1CC7B25F" w14:textId="77777777" w:rsidR="00317083" w:rsidRDefault="00317083" w:rsidP="008F05AE">
            <w:pPr>
              <w:cnfStyle w:val="000000000000" w:firstRow="0" w:lastRow="0" w:firstColumn="0" w:lastColumn="0" w:oddVBand="0" w:evenVBand="0" w:oddHBand="0" w:evenHBand="0" w:firstRowFirstColumn="0" w:firstRowLastColumn="0" w:lastRowFirstColumn="0" w:lastRowLastColumn="0"/>
            </w:pPr>
            <w:r>
              <w:t>Qantas</w:t>
            </w:r>
          </w:p>
          <w:p w14:paraId="3412B842" w14:textId="77777777" w:rsidR="00317083" w:rsidRDefault="00317083" w:rsidP="008F05AE">
            <w:pPr>
              <w:cnfStyle w:val="000000000000" w:firstRow="0" w:lastRow="0" w:firstColumn="0" w:lastColumn="0" w:oddVBand="0" w:evenVBand="0" w:oddHBand="0" w:evenHBand="0" w:firstRowFirstColumn="0" w:firstRowLastColumn="0" w:lastRowFirstColumn="0" w:lastRowLastColumn="0"/>
            </w:pPr>
            <w:r>
              <w:t>Virgin Australia</w:t>
            </w:r>
          </w:p>
        </w:tc>
        <w:tc>
          <w:tcPr>
            <w:tcW w:w="2900" w:type="pct"/>
          </w:tcPr>
          <w:p w14:paraId="4D339C55" w14:textId="77777777" w:rsidR="00317083" w:rsidRDefault="00317083" w:rsidP="00317083">
            <w:pPr>
              <w:numPr>
                <w:ilvl w:val="0"/>
                <w:numId w:val="30"/>
              </w:numPr>
              <w:spacing w:after="0"/>
              <w:cnfStyle w:val="000000000000" w:firstRow="0" w:lastRow="0" w:firstColumn="0" w:lastColumn="0" w:oddVBand="0" w:evenVBand="0" w:oddHBand="0" w:evenHBand="0" w:firstRowFirstColumn="0" w:firstRowLastColumn="0" w:lastRowFirstColumn="0" w:lastRowLastColumn="0"/>
              <w:rPr>
                <w:rFonts w:ascii="Aptos" w:eastAsia="Times New Roman" w:hAnsi="Aptos"/>
              </w:rPr>
            </w:pPr>
            <w:r>
              <w:rPr>
                <w:rFonts w:ascii="Aptos" w:eastAsia="Times New Roman" w:hAnsi="Aptos"/>
              </w:rPr>
              <w:t>Delivery of barriers to book and claim accounting paper.</w:t>
            </w:r>
          </w:p>
          <w:p w14:paraId="50015958" w14:textId="77777777" w:rsidR="00317083" w:rsidRDefault="00317083" w:rsidP="00317083">
            <w:pPr>
              <w:numPr>
                <w:ilvl w:val="0"/>
                <w:numId w:val="30"/>
              </w:numPr>
              <w:spacing w:after="0"/>
              <w:cnfStyle w:val="000000000000" w:firstRow="0" w:lastRow="0" w:firstColumn="0" w:lastColumn="0" w:oddVBand="0" w:evenVBand="0" w:oddHBand="0" w:evenHBand="0" w:firstRowFirstColumn="0" w:firstRowLastColumn="0" w:lastRowFirstColumn="0" w:lastRowLastColumn="0"/>
              <w:rPr>
                <w:rFonts w:ascii="Aptos" w:eastAsia="Times New Roman" w:hAnsi="Aptos"/>
              </w:rPr>
            </w:pPr>
            <w:r>
              <w:rPr>
                <w:rFonts w:eastAsia="Times New Roman"/>
                <w:lang w:val="en-US"/>
              </w:rPr>
              <w:t>Identifying collaboration opportunities with ICAO and IATA and ensure interoperability and alignment with their activities</w:t>
            </w:r>
            <w:r>
              <w:rPr>
                <w:rFonts w:ascii="Aptos" w:eastAsia="Times New Roman" w:hAnsi="Aptos"/>
              </w:rPr>
              <w:t>.</w:t>
            </w:r>
          </w:p>
          <w:p w14:paraId="5ECD7775" w14:textId="77777777" w:rsidR="00317083" w:rsidRDefault="00317083" w:rsidP="00317083">
            <w:pPr>
              <w:pStyle w:val="ListParagraph"/>
              <w:numPr>
                <w:ilvl w:val="0"/>
                <w:numId w:val="30"/>
              </w:numPr>
              <w:spacing w:after="0"/>
              <w:contextualSpacing w:val="0"/>
              <w:cnfStyle w:val="000000000000" w:firstRow="0" w:lastRow="0" w:firstColumn="0" w:lastColumn="0" w:oddVBand="0" w:evenVBand="0" w:oddHBand="0" w:evenHBand="0" w:firstRowFirstColumn="0" w:firstRowLastColumn="0" w:lastRowFirstColumn="0" w:lastRowLastColumn="0"/>
              <w:rPr>
                <w:rFonts w:ascii="Aptos" w:eastAsia="Times New Roman" w:hAnsi="Aptos"/>
              </w:rPr>
            </w:pPr>
            <w:r>
              <w:rPr>
                <w:rFonts w:eastAsia="Times New Roman"/>
                <w:lang w:val="en-US"/>
              </w:rPr>
              <w:t>Delivery of agreed identified priority actions with regards to SAF accounting with a focus on supporting activities relating to book and claim for scope 1 and scope 3 emissions</w:t>
            </w:r>
          </w:p>
          <w:p w14:paraId="0B6CB254" w14:textId="77777777" w:rsidR="00317083" w:rsidRPr="0040528B" w:rsidRDefault="00317083" w:rsidP="00EF76B4">
            <w:pPr>
              <w:pStyle w:val="ListParagraph"/>
              <w:numPr>
                <w:ilvl w:val="0"/>
                <w:numId w:val="0"/>
              </w:numPr>
              <w:ind w:left="360"/>
              <w:cnfStyle w:val="000000000000" w:firstRow="0" w:lastRow="0" w:firstColumn="0" w:lastColumn="0" w:oddVBand="0" w:evenVBand="0" w:oddHBand="0" w:evenHBand="0" w:firstRowFirstColumn="0" w:firstRowLastColumn="0" w:lastRowFirstColumn="0" w:lastRowLastColumn="0"/>
            </w:pPr>
          </w:p>
        </w:tc>
        <w:tc>
          <w:tcPr>
            <w:tcW w:w="798" w:type="pct"/>
          </w:tcPr>
          <w:p w14:paraId="6401E66D" w14:textId="0A2095DF" w:rsidR="00317083" w:rsidRPr="0025083E" w:rsidRDefault="00317083" w:rsidP="009E1515">
            <w:pPr>
              <w:jc w:val="center"/>
              <w:cnfStyle w:val="000000000000" w:firstRow="0" w:lastRow="0" w:firstColumn="0" w:lastColumn="0" w:oddVBand="0" w:evenVBand="0" w:oddHBand="0" w:evenHBand="0" w:firstRowFirstColumn="0" w:firstRowLastColumn="0" w:lastRowFirstColumn="0" w:lastRowLastColumn="0"/>
            </w:pPr>
            <w:r w:rsidRPr="0025083E">
              <w:t>Work item 3 and 4</w:t>
            </w:r>
          </w:p>
        </w:tc>
      </w:tr>
      <w:tr w:rsidR="00317083" w:rsidRPr="00F26D1F" w14:paraId="5B5BAE2A" w14:textId="77777777" w:rsidTr="0031708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 w:type="pct"/>
          </w:tcPr>
          <w:p w14:paraId="5538C718" w14:textId="77777777" w:rsidR="00317083" w:rsidRPr="00F26D1F" w:rsidRDefault="00317083" w:rsidP="008F05AE">
            <w:r>
              <w:t>4</w:t>
            </w:r>
          </w:p>
        </w:tc>
        <w:tc>
          <w:tcPr>
            <w:tcW w:w="673" w:type="pct"/>
          </w:tcPr>
          <w:p w14:paraId="7E3ABADB" w14:textId="77777777" w:rsidR="00317083" w:rsidRPr="00D60879" w:rsidRDefault="00317083" w:rsidP="008F05AE">
            <w:pPr>
              <w:cnfStyle w:val="000000010000" w:firstRow="0" w:lastRow="0" w:firstColumn="0" w:lastColumn="0" w:oddVBand="0" w:evenVBand="0" w:oddHBand="0" w:evenHBand="1" w:firstRowFirstColumn="0" w:firstRowLastColumn="0" w:lastRowFirstColumn="0" w:lastRowLastColumn="0"/>
              <w:rPr>
                <w:b/>
              </w:rPr>
            </w:pPr>
            <w:r>
              <w:rPr>
                <w:b/>
              </w:rPr>
              <w:t xml:space="preserve">Supporting regional aviation decarbonisation in </w:t>
            </w:r>
            <w:proofErr w:type="gramStart"/>
            <w:r>
              <w:rPr>
                <w:b/>
              </w:rPr>
              <w:t>Australia  -</w:t>
            </w:r>
            <w:proofErr w:type="gramEnd"/>
            <w:r>
              <w:rPr>
                <w:b/>
              </w:rPr>
              <w:t xml:space="preserve"> Hydrogen in aviation.</w:t>
            </w:r>
          </w:p>
        </w:tc>
        <w:tc>
          <w:tcPr>
            <w:tcW w:w="494" w:type="pct"/>
          </w:tcPr>
          <w:p w14:paraId="2E1F6D47" w14:textId="77777777" w:rsidR="00317083" w:rsidRPr="0025083E" w:rsidRDefault="00317083" w:rsidP="008F05AE">
            <w:pPr>
              <w:cnfStyle w:val="000000010000" w:firstRow="0" w:lastRow="0" w:firstColumn="0" w:lastColumn="0" w:oddVBand="0" w:evenVBand="0" w:oddHBand="0" w:evenHBand="1" w:firstRowFirstColumn="0" w:firstRowLastColumn="0" w:lastRowFirstColumn="0" w:lastRowLastColumn="0"/>
            </w:pPr>
            <w:r w:rsidRPr="0025083E">
              <w:t>RAAA</w:t>
            </w:r>
          </w:p>
        </w:tc>
        <w:tc>
          <w:tcPr>
            <w:tcW w:w="2900" w:type="pct"/>
          </w:tcPr>
          <w:p w14:paraId="06B0113E" w14:textId="77777777" w:rsidR="00317083" w:rsidRPr="00001185" w:rsidRDefault="00317083" w:rsidP="00317083">
            <w:pPr>
              <w:pStyle w:val="ListParagraph"/>
              <w:numPr>
                <w:ilvl w:val="0"/>
                <w:numId w:val="29"/>
              </w:numPr>
              <w:cnfStyle w:val="000000010000" w:firstRow="0" w:lastRow="0" w:firstColumn="0" w:lastColumn="0" w:oddVBand="0" w:evenVBand="0" w:oddHBand="0" w:evenHBand="1" w:firstRowFirstColumn="0" w:firstRowLastColumn="0" w:lastRowFirstColumn="0" w:lastRowLastColumn="0"/>
            </w:pPr>
            <w:r w:rsidRPr="00001185">
              <w:t xml:space="preserve">Hydrogen flight alliance to present to council and identify barriers to hydrogen flight in Australia. </w:t>
            </w:r>
          </w:p>
          <w:p w14:paraId="2B921FD6" w14:textId="77777777" w:rsidR="00317083" w:rsidRPr="000745EC" w:rsidRDefault="00317083" w:rsidP="00317083">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b/>
              </w:rPr>
            </w:pPr>
            <w:r>
              <w:t>Scoping out the opportunities and barriers to the uptake and manufacturing of hydrogen powered flight in Australia’s regions.</w:t>
            </w:r>
          </w:p>
        </w:tc>
        <w:tc>
          <w:tcPr>
            <w:tcW w:w="798" w:type="pct"/>
          </w:tcPr>
          <w:p w14:paraId="1FDC23F2" w14:textId="70C824BA" w:rsidR="00317083" w:rsidRPr="0025083E" w:rsidRDefault="00317083" w:rsidP="008F05AE">
            <w:pPr>
              <w:jc w:val="center"/>
              <w:cnfStyle w:val="000000010000" w:firstRow="0" w:lastRow="0" w:firstColumn="0" w:lastColumn="0" w:oddVBand="0" w:evenVBand="0" w:oddHBand="0" w:evenHBand="1" w:firstRowFirstColumn="0" w:firstRowLastColumn="0" w:lastRowFirstColumn="0" w:lastRowLastColumn="0"/>
            </w:pPr>
            <w:r w:rsidRPr="0025083E">
              <w:t>Work item 7</w:t>
            </w:r>
          </w:p>
        </w:tc>
      </w:tr>
      <w:tr w:rsidR="00317083" w:rsidRPr="00F26D1F" w14:paraId="6E2E0F8C" w14:textId="77777777" w:rsidTr="00317083">
        <w:trPr>
          <w:cantSplit/>
        </w:trPr>
        <w:tc>
          <w:tcPr>
            <w:cnfStyle w:val="001000000000" w:firstRow="0" w:lastRow="0" w:firstColumn="1" w:lastColumn="0" w:oddVBand="0" w:evenVBand="0" w:oddHBand="0" w:evenHBand="0" w:firstRowFirstColumn="0" w:firstRowLastColumn="0" w:lastRowFirstColumn="0" w:lastRowLastColumn="0"/>
            <w:tcW w:w="135" w:type="pct"/>
          </w:tcPr>
          <w:p w14:paraId="67356463" w14:textId="77777777" w:rsidR="00317083" w:rsidRPr="00F26D1F" w:rsidRDefault="00317083" w:rsidP="008F05AE">
            <w:r>
              <w:t>5</w:t>
            </w:r>
          </w:p>
        </w:tc>
        <w:tc>
          <w:tcPr>
            <w:tcW w:w="673" w:type="pct"/>
          </w:tcPr>
          <w:p w14:paraId="06590FB9" w14:textId="77777777" w:rsidR="00317083" w:rsidRPr="00D60879" w:rsidRDefault="00317083" w:rsidP="008F05AE">
            <w:pPr>
              <w:cnfStyle w:val="000000000000" w:firstRow="0" w:lastRow="0" w:firstColumn="0" w:lastColumn="0" w:oddVBand="0" w:evenVBand="0" w:oddHBand="0" w:evenHBand="0" w:firstRowFirstColumn="0" w:firstRowLastColumn="0" w:lastRowFirstColumn="0" w:lastRowLastColumn="0"/>
              <w:rPr>
                <w:b/>
              </w:rPr>
            </w:pPr>
            <w:proofErr w:type="spellStart"/>
            <w:r w:rsidRPr="00D60879">
              <w:rPr>
                <w:b/>
              </w:rPr>
              <w:t>Investability</w:t>
            </w:r>
            <w:proofErr w:type="spellEnd"/>
            <w:r w:rsidRPr="00D60879">
              <w:rPr>
                <w:b/>
              </w:rPr>
              <w:t xml:space="preserve"> barriers to </w:t>
            </w:r>
            <w:proofErr w:type="spellStart"/>
            <w:r w:rsidRPr="00D60879">
              <w:rPr>
                <w:b/>
              </w:rPr>
              <w:t>LCLF</w:t>
            </w:r>
            <w:proofErr w:type="spellEnd"/>
            <w:r w:rsidRPr="00D60879">
              <w:rPr>
                <w:b/>
              </w:rPr>
              <w:t xml:space="preserve"> facilities</w:t>
            </w:r>
          </w:p>
        </w:tc>
        <w:tc>
          <w:tcPr>
            <w:tcW w:w="494" w:type="pct"/>
          </w:tcPr>
          <w:p w14:paraId="21BCD2F2" w14:textId="77777777" w:rsidR="00317083" w:rsidRPr="00F26D1F" w:rsidRDefault="00317083" w:rsidP="008F05AE">
            <w:pPr>
              <w:cnfStyle w:val="000000000000" w:firstRow="0" w:lastRow="0" w:firstColumn="0" w:lastColumn="0" w:oddVBand="0" w:evenVBand="0" w:oddHBand="0" w:evenHBand="0" w:firstRowFirstColumn="0" w:firstRowLastColumn="0" w:lastRowFirstColumn="0" w:lastRowLastColumn="0"/>
            </w:pPr>
            <w:r>
              <w:t>CEFC</w:t>
            </w:r>
          </w:p>
        </w:tc>
        <w:tc>
          <w:tcPr>
            <w:tcW w:w="2900" w:type="pct"/>
          </w:tcPr>
          <w:p w14:paraId="63F5643B" w14:textId="71AC5C22" w:rsidR="00317083" w:rsidRPr="00227C97" w:rsidRDefault="00317083" w:rsidP="00317083">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Development of a report that outlines the current investment barriers for LCLF production in Australia that can improve financial literacy of Australian and international investors considering investing in Australian production.</w:t>
            </w:r>
          </w:p>
        </w:tc>
        <w:tc>
          <w:tcPr>
            <w:tcW w:w="798" w:type="pct"/>
          </w:tcPr>
          <w:p w14:paraId="58130EDD" w14:textId="79E6D309" w:rsidR="00317083" w:rsidRPr="0025083E" w:rsidRDefault="00317083" w:rsidP="008F05AE">
            <w:pPr>
              <w:jc w:val="center"/>
              <w:cnfStyle w:val="000000000000" w:firstRow="0" w:lastRow="0" w:firstColumn="0" w:lastColumn="0" w:oddVBand="0" w:evenVBand="0" w:oddHBand="0" w:evenHBand="0" w:firstRowFirstColumn="0" w:firstRowLastColumn="0" w:lastRowFirstColumn="0" w:lastRowLastColumn="0"/>
            </w:pPr>
            <w:r w:rsidRPr="0025083E">
              <w:t>New work ite</w:t>
            </w:r>
            <w:r w:rsidR="009E1515">
              <w:t>m</w:t>
            </w:r>
          </w:p>
        </w:tc>
      </w:tr>
      <w:tr w:rsidR="00317083" w:rsidRPr="00F26D1F" w14:paraId="4732096D" w14:textId="77777777" w:rsidTr="0031708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 w:type="pct"/>
          </w:tcPr>
          <w:p w14:paraId="781750D6" w14:textId="77777777" w:rsidR="00317083" w:rsidRPr="00F26D1F" w:rsidRDefault="00317083" w:rsidP="008F05AE">
            <w:r>
              <w:lastRenderedPageBreak/>
              <w:t>6</w:t>
            </w:r>
          </w:p>
        </w:tc>
        <w:tc>
          <w:tcPr>
            <w:tcW w:w="673" w:type="pct"/>
          </w:tcPr>
          <w:p w14:paraId="31851FFF" w14:textId="77777777" w:rsidR="00317083" w:rsidRPr="00D60879" w:rsidRDefault="00317083" w:rsidP="008F05AE">
            <w:pPr>
              <w:cnfStyle w:val="000000010000" w:firstRow="0" w:lastRow="0" w:firstColumn="0" w:lastColumn="0" w:oddVBand="0" w:evenVBand="0" w:oddHBand="0" w:evenHBand="1" w:firstRowFirstColumn="0" w:firstRowLastColumn="0" w:lastRowFirstColumn="0" w:lastRowLastColumn="0"/>
              <w:rPr>
                <w:b/>
              </w:rPr>
            </w:pPr>
            <w:r w:rsidRPr="00D60879">
              <w:rPr>
                <w:b/>
              </w:rPr>
              <w:t>Regional i</w:t>
            </w:r>
            <w:r>
              <w:rPr>
                <w:b/>
              </w:rPr>
              <w:t>ntegration</w:t>
            </w:r>
            <w:r w:rsidRPr="00D60879">
              <w:rPr>
                <w:b/>
              </w:rPr>
              <w:t xml:space="preserve"> – </w:t>
            </w:r>
          </w:p>
          <w:p w14:paraId="5B295606" w14:textId="77777777" w:rsidR="00317083" w:rsidRDefault="00317083" w:rsidP="008F05AE">
            <w:pPr>
              <w:cnfStyle w:val="000000010000" w:firstRow="0" w:lastRow="0" w:firstColumn="0" w:lastColumn="0" w:oddVBand="0" w:evenVBand="0" w:oddHBand="0" w:evenHBand="1" w:firstRowFirstColumn="0" w:firstRowLastColumn="0" w:lastRowFirstColumn="0" w:lastRowLastColumn="0"/>
              <w:rPr>
                <w:b/>
              </w:rPr>
            </w:pPr>
            <w:r w:rsidRPr="00D60879">
              <w:rPr>
                <w:b/>
              </w:rPr>
              <w:t>Activating supply and use of SAF across the region</w:t>
            </w:r>
          </w:p>
          <w:p w14:paraId="542BA3E0" w14:textId="77777777" w:rsidR="00317083" w:rsidRPr="00D60879" w:rsidRDefault="00317083" w:rsidP="00DF1A1F">
            <w:pPr>
              <w:cnfStyle w:val="000000010000" w:firstRow="0" w:lastRow="0" w:firstColumn="0" w:lastColumn="0" w:oddVBand="0" w:evenVBand="0" w:oddHBand="0" w:evenHBand="1" w:firstRowFirstColumn="0" w:firstRowLastColumn="0" w:lastRowFirstColumn="0" w:lastRowLastColumn="0"/>
              <w:rPr>
                <w:b/>
              </w:rPr>
            </w:pPr>
          </w:p>
        </w:tc>
        <w:tc>
          <w:tcPr>
            <w:tcW w:w="494" w:type="pct"/>
          </w:tcPr>
          <w:p w14:paraId="293A9926" w14:textId="77777777" w:rsidR="00317083" w:rsidRPr="0025083E" w:rsidRDefault="00317083" w:rsidP="008F05AE">
            <w:pPr>
              <w:cnfStyle w:val="000000010000" w:firstRow="0" w:lastRow="0" w:firstColumn="0" w:lastColumn="0" w:oddVBand="0" w:evenVBand="0" w:oddHBand="0" w:evenHBand="1" w:firstRowFirstColumn="0" w:firstRowLastColumn="0" w:lastRowFirstColumn="0" w:lastRowLastColumn="0"/>
            </w:pPr>
            <w:r w:rsidRPr="0025083E">
              <w:t>Low Carbon Fuel Alliance of Australia and New Zealand</w:t>
            </w:r>
          </w:p>
        </w:tc>
        <w:tc>
          <w:tcPr>
            <w:tcW w:w="2900" w:type="pct"/>
          </w:tcPr>
          <w:p w14:paraId="4812194D" w14:textId="77777777" w:rsidR="00317083" w:rsidRPr="00871B83" w:rsidRDefault="00317083" w:rsidP="00317083">
            <w:pPr>
              <w:pStyle w:val="ListParagraph"/>
              <w:numPr>
                <w:ilvl w:val="0"/>
                <w:numId w:val="27"/>
              </w:numPr>
              <w:cnfStyle w:val="000000010000" w:firstRow="0" w:lastRow="0" w:firstColumn="0" w:lastColumn="0" w:oddVBand="0" w:evenVBand="0" w:oddHBand="0" w:evenHBand="1" w:firstRowFirstColumn="0" w:firstRowLastColumn="0" w:lastRowFirstColumn="0" w:lastRowLastColumn="0"/>
            </w:pPr>
            <w:r>
              <w:t>Facilitate collaboration across the Asia Pacific region to address critical aspects of SAF development.</w:t>
            </w:r>
          </w:p>
          <w:p w14:paraId="79617849" w14:textId="77777777" w:rsidR="00317083" w:rsidRPr="00871B83" w:rsidRDefault="00317083" w:rsidP="00317083">
            <w:pPr>
              <w:pStyle w:val="ListParagraph"/>
              <w:numPr>
                <w:ilvl w:val="0"/>
                <w:numId w:val="27"/>
              </w:numPr>
              <w:cnfStyle w:val="000000010000" w:firstRow="0" w:lastRow="0" w:firstColumn="0" w:lastColumn="0" w:oddVBand="0" w:evenVBand="0" w:oddHBand="0" w:evenHBand="1" w:firstRowFirstColumn="0" w:firstRowLastColumn="0" w:lastRowFirstColumn="0" w:lastRowLastColumn="0"/>
            </w:pPr>
            <w:r>
              <w:t xml:space="preserve">Facilitate a collaborative approach to cultivating social license, raising awareness and education for SAF across the Asia-Pacific region. </w:t>
            </w:r>
          </w:p>
          <w:p w14:paraId="17D3C61E" w14:textId="369F4800" w:rsidR="00317083" w:rsidRPr="00F26D1F" w:rsidRDefault="00317083" w:rsidP="00DF1A1F">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b/>
              </w:rPr>
            </w:pPr>
            <w:r>
              <w:t>Initial review of review of domestic policy approaches to certification of SAF, SAF accounting and other regulatory issues across key Asia Pacific countries.</w:t>
            </w:r>
          </w:p>
        </w:tc>
        <w:tc>
          <w:tcPr>
            <w:tcW w:w="798" w:type="pct"/>
          </w:tcPr>
          <w:p w14:paraId="326426D2" w14:textId="77777777" w:rsidR="00317083" w:rsidRPr="0025083E" w:rsidRDefault="00317083" w:rsidP="008F05AE">
            <w:pPr>
              <w:jc w:val="center"/>
              <w:cnfStyle w:val="000000010000" w:firstRow="0" w:lastRow="0" w:firstColumn="0" w:lastColumn="0" w:oddVBand="0" w:evenVBand="0" w:oddHBand="0" w:evenHBand="1" w:firstRowFirstColumn="0" w:firstRowLastColumn="0" w:lastRowFirstColumn="0" w:lastRowLastColumn="0"/>
            </w:pPr>
            <w:r w:rsidRPr="0025083E">
              <w:t>New work item</w:t>
            </w:r>
            <w:r w:rsidR="0025083E">
              <w:t>.</w:t>
            </w:r>
          </w:p>
        </w:tc>
      </w:tr>
      <w:tr w:rsidR="00317083" w:rsidRPr="00F26D1F" w14:paraId="5202BE58" w14:textId="77777777" w:rsidTr="00317083">
        <w:trPr>
          <w:cantSplit/>
        </w:trPr>
        <w:tc>
          <w:tcPr>
            <w:cnfStyle w:val="001000000000" w:firstRow="0" w:lastRow="0" w:firstColumn="1" w:lastColumn="0" w:oddVBand="0" w:evenVBand="0" w:oddHBand="0" w:evenHBand="0" w:firstRowFirstColumn="0" w:firstRowLastColumn="0" w:lastRowFirstColumn="0" w:lastRowLastColumn="0"/>
            <w:tcW w:w="135" w:type="pct"/>
          </w:tcPr>
          <w:p w14:paraId="65A06AD8" w14:textId="77777777" w:rsidR="00317083" w:rsidRPr="00F26D1F" w:rsidRDefault="00317083" w:rsidP="008F05AE">
            <w:r>
              <w:t>7</w:t>
            </w:r>
          </w:p>
        </w:tc>
        <w:tc>
          <w:tcPr>
            <w:tcW w:w="673" w:type="pct"/>
          </w:tcPr>
          <w:p w14:paraId="562FCEE9" w14:textId="77777777" w:rsidR="00317083" w:rsidRPr="00D60879" w:rsidRDefault="00317083" w:rsidP="008F05AE">
            <w:pPr>
              <w:cnfStyle w:val="000000000000" w:firstRow="0" w:lastRow="0" w:firstColumn="0" w:lastColumn="0" w:oddVBand="0" w:evenVBand="0" w:oddHBand="0" w:evenHBand="0" w:firstRowFirstColumn="0" w:firstRowLastColumn="0" w:lastRowFirstColumn="0" w:lastRowLastColumn="0"/>
              <w:rPr>
                <w:b/>
              </w:rPr>
            </w:pPr>
            <w:r w:rsidRPr="00D60879">
              <w:rPr>
                <w:b/>
              </w:rPr>
              <w:t>Feedstock market development –</w:t>
            </w:r>
            <w:r>
              <w:rPr>
                <w:b/>
              </w:rPr>
              <w:t xml:space="preserve"> (new workstream)</w:t>
            </w:r>
          </w:p>
        </w:tc>
        <w:tc>
          <w:tcPr>
            <w:tcW w:w="494" w:type="pct"/>
          </w:tcPr>
          <w:p w14:paraId="0321B6CF" w14:textId="77777777" w:rsidR="00317083" w:rsidRDefault="00317083" w:rsidP="008F05AE">
            <w:pPr>
              <w:cnfStyle w:val="000000000000" w:firstRow="0" w:lastRow="0" w:firstColumn="0" w:lastColumn="0" w:oddVBand="0" w:evenVBand="0" w:oddHBand="0" w:evenHBand="0" w:firstRowFirstColumn="0" w:firstRowLastColumn="0" w:lastRowFirstColumn="0" w:lastRowLastColumn="0"/>
            </w:pPr>
            <w:proofErr w:type="spellStart"/>
            <w:r>
              <w:t>Graincorp</w:t>
            </w:r>
            <w:proofErr w:type="spellEnd"/>
          </w:p>
        </w:tc>
        <w:tc>
          <w:tcPr>
            <w:tcW w:w="2900" w:type="pct"/>
          </w:tcPr>
          <w:p w14:paraId="3F6EE7D5" w14:textId="77777777" w:rsidR="00317083" w:rsidRPr="00DE3EE2" w:rsidRDefault="00317083" w:rsidP="00317083">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Pr>
                <w:rFonts w:cstheme="minorHAnsi"/>
                <w:color w:val="auto"/>
              </w:rPr>
              <w:t>Barriers and opportunities in developing the feedstock supply chain to support domestic SAF production, including:</w:t>
            </w:r>
          </w:p>
          <w:p w14:paraId="1CC0BEE9" w14:textId="77777777" w:rsidR="00317083" w:rsidRDefault="00317083" w:rsidP="00317083">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p>
          <w:p w14:paraId="2968A3AC" w14:textId="77777777" w:rsidR="00317083" w:rsidRDefault="00317083" w:rsidP="00317083">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t>Analysis of feedstock collection pinch points and supporting infrastructure.</w:t>
            </w:r>
          </w:p>
          <w:p w14:paraId="2E5BCBB6" w14:textId="77777777" w:rsidR="00317083" w:rsidRDefault="00317083" w:rsidP="00317083">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t>Supporting growth in feedstock production, including pathways for new feedstock development.</w:t>
            </w:r>
          </w:p>
          <w:p w14:paraId="12A2D0DF" w14:textId="77777777" w:rsidR="00317083" w:rsidRDefault="00317083" w:rsidP="00317083">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t>Potential data updates for Bioenergy Roadmap and SAF Roadmap</w:t>
            </w:r>
          </w:p>
          <w:p w14:paraId="0B33C6FE" w14:textId="77777777" w:rsidR="00317083" w:rsidRDefault="00317083" w:rsidP="00317083">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t>Advice and information for agricultural producers on emissions calculations processes.</w:t>
            </w:r>
          </w:p>
          <w:p w14:paraId="5C65B8CB" w14:textId="77777777" w:rsidR="00317083" w:rsidRDefault="00317083" w:rsidP="00317083">
            <w:pPr>
              <w:pStyle w:val="ListParagraph"/>
              <w:numPr>
                <w:ilvl w:val="1"/>
                <w:numId w:val="28"/>
              </w:numPr>
              <w:cnfStyle w:val="000000000000" w:firstRow="0" w:lastRow="0" w:firstColumn="0" w:lastColumn="0" w:oddVBand="0" w:evenVBand="0" w:oddHBand="0" w:evenHBand="0" w:firstRowFirstColumn="0" w:firstRowLastColumn="0" w:lastRowFirstColumn="0" w:lastRowLastColumn="0"/>
            </w:pPr>
            <w:r>
              <w:t>Variability in price and seasonal production – advice on how to address.</w:t>
            </w:r>
          </w:p>
        </w:tc>
        <w:tc>
          <w:tcPr>
            <w:tcW w:w="798" w:type="pct"/>
          </w:tcPr>
          <w:p w14:paraId="456F1844" w14:textId="77777777" w:rsidR="00317083" w:rsidRPr="0025083E" w:rsidRDefault="00317083" w:rsidP="008F05AE">
            <w:pPr>
              <w:jc w:val="center"/>
              <w:cnfStyle w:val="000000000000" w:firstRow="0" w:lastRow="0" w:firstColumn="0" w:lastColumn="0" w:oddVBand="0" w:evenVBand="0" w:oddHBand="0" w:evenHBand="0" w:firstRowFirstColumn="0" w:firstRowLastColumn="0" w:lastRowFirstColumn="0" w:lastRowLastColumn="0"/>
            </w:pPr>
            <w:r w:rsidRPr="0025083E">
              <w:t>New work item</w:t>
            </w:r>
            <w:r w:rsidR="0025083E">
              <w:t>.</w:t>
            </w:r>
          </w:p>
        </w:tc>
      </w:tr>
      <w:tr w:rsidR="00317083" w:rsidRPr="00F26D1F" w14:paraId="718ECFED" w14:textId="77777777" w:rsidTr="0031708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5" w:type="pct"/>
          </w:tcPr>
          <w:p w14:paraId="4E4D2769" w14:textId="77777777" w:rsidR="00317083" w:rsidRPr="00F26D1F" w:rsidRDefault="00317083" w:rsidP="008F05AE">
            <w:r>
              <w:t>8</w:t>
            </w:r>
          </w:p>
        </w:tc>
        <w:tc>
          <w:tcPr>
            <w:tcW w:w="673" w:type="pct"/>
          </w:tcPr>
          <w:p w14:paraId="00EDC123" w14:textId="77777777" w:rsidR="00317083" w:rsidRPr="00D60879" w:rsidRDefault="00317083" w:rsidP="008F05AE">
            <w:pPr>
              <w:cnfStyle w:val="000000010000" w:firstRow="0" w:lastRow="0" w:firstColumn="0" w:lastColumn="0" w:oddVBand="0" w:evenVBand="0" w:oddHBand="0" w:evenHBand="1" w:firstRowFirstColumn="0" w:firstRowLastColumn="0" w:lastRowFirstColumn="0" w:lastRowLastColumn="0"/>
              <w:rPr>
                <w:b/>
              </w:rPr>
            </w:pPr>
            <w:r>
              <w:rPr>
                <w:b/>
                <w:color w:val="auto"/>
              </w:rPr>
              <w:t>Identifying changes required to airport operations and infrastructure that will support decarbonising aviation</w:t>
            </w:r>
          </w:p>
        </w:tc>
        <w:tc>
          <w:tcPr>
            <w:tcW w:w="494" w:type="pct"/>
          </w:tcPr>
          <w:p w14:paraId="3C1714F6" w14:textId="77777777" w:rsidR="00317083" w:rsidRDefault="00317083" w:rsidP="008F05AE">
            <w:pPr>
              <w:cnfStyle w:val="000000010000" w:firstRow="0" w:lastRow="0" w:firstColumn="0" w:lastColumn="0" w:oddVBand="0" w:evenVBand="0" w:oddHBand="0" w:evenHBand="1" w:firstRowFirstColumn="0" w:firstRowLastColumn="0" w:lastRowFirstColumn="0" w:lastRowLastColumn="0"/>
            </w:pPr>
            <w:r>
              <w:t xml:space="preserve">Brisbane Airport </w:t>
            </w:r>
          </w:p>
        </w:tc>
        <w:tc>
          <w:tcPr>
            <w:tcW w:w="2900" w:type="pct"/>
          </w:tcPr>
          <w:p w14:paraId="5C8BF284" w14:textId="77777777" w:rsidR="00317083" w:rsidRPr="00926292" w:rsidRDefault="00317083" w:rsidP="00317083">
            <w:pPr>
              <w:pStyle w:val="ListParagraph"/>
              <w:numPr>
                <w:ilvl w:val="0"/>
                <w:numId w:val="28"/>
              </w:numPr>
              <w:cnfStyle w:val="000000010000" w:firstRow="0" w:lastRow="0" w:firstColumn="0" w:lastColumn="0" w:oddVBand="0" w:evenVBand="0" w:oddHBand="0" w:evenHBand="1" w:firstRowFirstColumn="0" w:firstRowLastColumn="0" w:lastRowFirstColumn="0" w:lastRowLastColumn="0"/>
            </w:pPr>
            <w:r w:rsidRPr="00926292">
              <w:t>Identify better practices at leading airports, and showcase and promulgate those practices.</w:t>
            </w:r>
          </w:p>
          <w:p w14:paraId="7FE38C63" w14:textId="77777777" w:rsidR="00317083" w:rsidRPr="00926292" w:rsidRDefault="00317083" w:rsidP="00317083">
            <w:pPr>
              <w:pStyle w:val="ListParagraph"/>
              <w:numPr>
                <w:ilvl w:val="0"/>
                <w:numId w:val="28"/>
              </w:numPr>
              <w:cnfStyle w:val="000000010000" w:firstRow="0" w:lastRow="0" w:firstColumn="0" w:lastColumn="0" w:oddVBand="0" w:evenVBand="0" w:oddHBand="0" w:evenHBand="1" w:firstRowFirstColumn="0" w:firstRowLastColumn="0" w:lastRowFirstColumn="0" w:lastRowLastColumn="0"/>
            </w:pPr>
            <w:r w:rsidRPr="00926292">
              <w:t xml:space="preserve">Develop advice for the Council’s consideration on how best-practice airport measures to decarbonise aviation can be more broadly supported and taken up. </w:t>
            </w:r>
          </w:p>
          <w:p w14:paraId="578DBB62" w14:textId="77777777" w:rsidR="00317083" w:rsidRDefault="00317083" w:rsidP="00317083">
            <w:pPr>
              <w:pStyle w:val="ListParagraph"/>
              <w:numPr>
                <w:ilvl w:val="0"/>
                <w:numId w:val="28"/>
              </w:numPr>
              <w:cnfStyle w:val="000000010000" w:firstRow="0" w:lastRow="0" w:firstColumn="0" w:lastColumn="0" w:oddVBand="0" w:evenVBand="0" w:oddHBand="0" w:evenHBand="1" w:firstRowFirstColumn="0" w:firstRowLastColumn="0" w:lastRowFirstColumn="0" w:lastRowLastColumn="0"/>
            </w:pPr>
            <w:r w:rsidRPr="00D40E5A">
              <w:rPr>
                <w:color w:val="auto"/>
              </w:rPr>
              <w:t>What are the implications of these developments for our international, major domestic and regional airports? What are implications for airport infrastructure development plans?</w:t>
            </w:r>
            <w:r>
              <w:rPr>
                <w:color w:val="auto"/>
              </w:rPr>
              <w:t xml:space="preserve"> </w:t>
            </w:r>
          </w:p>
        </w:tc>
        <w:tc>
          <w:tcPr>
            <w:tcW w:w="798" w:type="pct"/>
          </w:tcPr>
          <w:p w14:paraId="735A7D88" w14:textId="77777777" w:rsidR="00317083" w:rsidRPr="0025083E" w:rsidRDefault="00317083" w:rsidP="008F05AE">
            <w:pPr>
              <w:jc w:val="center"/>
              <w:cnfStyle w:val="000000010000" w:firstRow="0" w:lastRow="0" w:firstColumn="0" w:lastColumn="0" w:oddVBand="0" w:evenVBand="0" w:oddHBand="0" w:evenHBand="1" w:firstRowFirstColumn="0" w:firstRowLastColumn="0" w:lastRowFirstColumn="0" w:lastRowLastColumn="0"/>
            </w:pPr>
            <w:r w:rsidRPr="0025083E">
              <w:t xml:space="preserve">Work item 5. </w:t>
            </w:r>
          </w:p>
        </w:tc>
      </w:tr>
    </w:tbl>
    <w:p w14:paraId="0ECBAB51" w14:textId="77777777" w:rsidR="00CD670F" w:rsidRPr="00F525F3" w:rsidRDefault="00CD670F" w:rsidP="00317083">
      <w:pPr>
        <w:pStyle w:val="Listparagraphbullets"/>
        <w:numPr>
          <w:ilvl w:val="0"/>
          <w:numId w:val="0"/>
        </w:numPr>
        <w:ind w:left="567" w:hanging="567"/>
      </w:pPr>
    </w:p>
    <w:sectPr w:rsidR="00CD670F" w:rsidRPr="00F525F3" w:rsidSect="00317083">
      <w:footerReference w:type="default" r:id="rId12"/>
      <w:footerReference w:type="first" r:id="rId13"/>
      <w:pgSz w:w="16838" w:h="11906" w:orient="landscape"/>
      <w:pgMar w:top="991" w:right="1276" w:bottom="1440"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7418D" w14:textId="77777777" w:rsidR="00A11ACF" w:rsidRDefault="00A11ACF" w:rsidP="00FC413F">
      <w:pPr>
        <w:spacing w:after="0"/>
      </w:pPr>
      <w:r>
        <w:separator/>
      </w:r>
    </w:p>
  </w:endnote>
  <w:endnote w:type="continuationSeparator" w:id="0">
    <w:p w14:paraId="524AA4B9" w14:textId="77777777" w:rsidR="00A11ACF" w:rsidRDefault="00A11ACF"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pto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B7F9" w14:textId="4BC390D8" w:rsidR="00A11ACF" w:rsidRDefault="00A11ACF"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459A8">
      <w:rPr>
        <w:rFonts w:cs="Segoe UI"/>
        <w:noProof/>
        <w:szCs w:val="18"/>
      </w:rPr>
      <w:t>Australian Jet Zero Council—Workplan</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85CA7EC" w14:textId="77777777" w:rsidR="00A11ACF" w:rsidRPr="00FC413F" w:rsidRDefault="00A11ACF"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FEBB8" w14:textId="448FF5B1" w:rsidR="00A11ACF" w:rsidRDefault="00A11ACF"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459A8">
      <w:rPr>
        <w:rFonts w:cs="Segoe UI"/>
        <w:noProof/>
        <w:szCs w:val="18"/>
      </w:rPr>
      <w:t>Australian Jet Zero Council—Workplan</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4232CD2E" w14:textId="77777777" w:rsidR="00A11ACF" w:rsidRPr="00FC413F" w:rsidRDefault="00A11ACF"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6BD4F" w14:textId="58769DA7" w:rsidR="00A459A8" w:rsidRDefault="00A459A8" w:rsidP="00A459A8">
    <w:pPr>
      <w:pStyle w:val="Footer"/>
      <w:tabs>
        <w:tab w:val="clear" w:pos="4513"/>
        <w:tab w:val="clear" w:pos="9026"/>
        <w:tab w:val="right" w:pos="141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Australian Jet Zero Council—Workplan</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6ED7C79B" w14:textId="57A7BF6B" w:rsidR="00A459A8" w:rsidRPr="00A459A8" w:rsidRDefault="00A459A8" w:rsidP="00A459A8">
    <w:pPr>
      <w:pStyle w:val="Footer"/>
      <w:ind w:left="-1276"/>
    </w:pPr>
    <w:r>
      <w:rPr>
        <w:noProof/>
        <w:lang w:eastAsia="en-AU"/>
      </w:rPr>
      <w:drawing>
        <wp:inline distT="0" distB="0" distL="0" distR="0" wp14:anchorId="59675AB0" wp14:editId="35CB484D">
          <wp:extent cx="13200683" cy="190800"/>
          <wp:effectExtent l="0" t="0" r="0" b="0"/>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0683" cy="1908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AAC90" w14:textId="44B5EB0F" w:rsidR="00A459A8" w:rsidRDefault="00A459A8" w:rsidP="00A459A8">
    <w:pPr>
      <w:pStyle w:val="Footer"/>
      <w:tabs>
        <w:tab w:val="clear" w:pos="4513"/>
        <w:tab w:val="clear" w:pos="9026"/>
        <w:tab w:val="right" w:pos="141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Australian Jet Zero Council—Workplan</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695AD1F3" w14:textId="77777777" w:rsidR="00A459A8" w:rsidRPr="00FC413F" w:rsidRDefault="00A459A8" w:rsidP="00113A03">
    <w:pPr>
      <w:pStyle w:val="Footer"/>
      <w:tabs>
        <w:tab w:val="clear" w:pos="4513"/>
        <w:tab w:val="clear" w:pos="9026"/>
      </w:tabs>
      <w:ind w:left="-1418"/>
      <w:rPr>
        <w:rFonts w:cs="Segoe UI"/>
        <w:szCs w:val="18"/>
      </w:rPr>
    </w:pPr>
    <w:r>
      <w:rPr>
        <w:noProof/>
        <w:lang w:eastAsia="en-AU"/>
      </w:rPr>
      <w:drawing>
        <wp:inline distT="0" distB="0" distL="0" distR="0" wp14:anchorId="5C35359C" wp14:editId="6A5699CC">
          <wp:extent cx="10780411" cy="189230"/>
          <wp:effectExtent l="0" t="0" r="1905" b="1270"/>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98222" cy="2264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7EB6A" w14:textId="77777777" w:rsidR="00A11ACF" w:rsidRDefault="00A11ACF" w:rsidP="00FC413F">
      <w:pPr>
        <w:spacing w:after="0"/>
      </w:pPr>
      <w:r>
        <w:separator/>
      </w:r>
    </w:p>
  </w:footnote>
  <w:footnote w:type="continuationSeparator" w:id="0">
    <w:p w14:paraId="318F02B2" w14:textId="77777777" w:rsidR="00A11ACF" w:rsidRDefault="00A11ACF"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77A2" w14:textId="3854B614" w:rsidR="00A11ACF" w:rsidRPr="00D56936" w:rsidRDefault="00A11ACF"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A459A8">
      <w:rPr>
        <w:rFonts w:cs="Segoe UI Light"/>
        <w:noProof/>
        <w:color w:val="001C40"/>
        <w:sz w:val="20"/>
        <w:szCs w:val="20"/>
      </w:rPr>
      <w:t>Introduction</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52001"/>
    <w:multiLevelType w:val="hybridMultilevel"/>
    <w:tmpl w:val="EB50E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1756647"/>
    <w:multiLevelType w:val="hybridMultilevel"/>
    <w:tmpl w:val="5F1C4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160F9B"/>
    <w:multiLevelType w:val="hybridMultilevel"/>
    <w:tmpl w:val="DD06E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20215E"/>
    <w:multiLevelType w:val="hybridMultilevel"/>
    <w:tmpl w:val="9F04D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247C43"/>
    <w:multiLevelType w:val="hybridMultilevel"/>
    <w:tmpl w:val="E7786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AC10C9"/>
    <w:multiLevelType w:val="hybridMultilevel"/>
    <w:tmpl w:val="3A2AC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2E3D1A"/>
    <w:multiLevelType w:val="hybridMultilevel"/>
    <w:tmpl w:val="9B5A4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FD1B8D"/>
    <w:multiLevelType w:val="hybridMultilevel"/>
    <w:tmpl w:val="5074F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6C5349D"/>
    <w:multiLevelType w:val="hybridMultilevel"/>
    <w:tmpl w:val="3D205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80103F"/>
    <w:multiLevelType w:val="hybridMultilevel"/>
    <w:tmpl w:val="F19A6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76E2A9B"/>
    <w:multiLevelType w:val="hybridMultilevel"/>
    <w:tmpl w:val="8CCE26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BF0FCD"/>
    <w:multiLevelType w:val="hybridMultilevel"/>
    <w:tmpl w:val="8ADA4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F8729C6"/>
    <w:multiLevelType w:val="hybridMultilevel"/>
    <w:tmpl w:val="8ADA4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5"/>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20"/>
  </w:num>
  <w:num w:numId="19">
    <w:abstractNumId w:val="12"/>
  </w:num>
  <w:num w:numId="20">
    <w:abstractNumId w:val="26"/>
  </w:num>
  <w:num w:numId="21">
    <w:abstractNumId w:val="28"/>
  </w:num>
  <w:num w:numId="22">
    <w:abstractNumId w:val="19"/>
  </w:num>
  <w:num w:numId="23">
    <w:abstractNumId w:val="13"/>
  </w:num>
  <w:num w:numId="24">
    <w:abstractNumId w:val="16"/>
  </w:num>
  <w:num w:numId="25">
    <w:abstractNumId w:val="17"/>
  </w:num>
  <w:num w:numId="26">
    <w:abstractNumId w:val="14"/>
  </w:num>
  <w:num w:numId="27">
    <w:abstractNumId w:val="18"/>
  </w:num>
  <w:num w:numId="28">
    <w:abstractNumId w:val="24"/>
  </w:num>
  <w:num w:numId="29">
    <w:abstractNumId w:val="21"/>
  </w:num>
  <w:num w:numId="30">
    <w:abstractNumId w:val="2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5083E"/>
    <w:rsid w:val="00261FFA"/>
    <w:rsid w:val="00272982"/>
    <w:rsid w:val="00287C7E"/>
    <w:rsid w:val="0029453A"/>
    <w:rsid w:val="002A5AB5"/>
    <w:rsid w:val="002F1A23"/>
    <w:rsid w:val="00300077"/>
    <w:rsid w:val="00310148"/>
    <w:rsid w:val="00317083"/>
    <w:rsid w:val="00323710"/>
    <w:rsid w:val="00342348"/>
    <w:rsid w:val="003508A8"/>
    <w:rsid w:val="00381BDA"/>
    <w:rsid w:val="003B6D01"/>
    <w:rsid w:val="003C575A"/>
    <w:rsid w:val="003D71C5"/>
    <w:rsid w:val="003F3CB7"/>
    <w:rsid w:val="00416734"/>
    <w:rsid w:val="00445017"/>
    <w:rsid w:val="004A3207"/>
    <w:rsid w:val="005413E7"/>
    <w:rsid w:val="00543D99"/>
    <w:rsid w:val="005C0459"/>
    <w:rsid w:val="005C37D2"/>
    <w:rsid w:val="005D038B"/>
    <w:rsid w:val="005E55BD"/>
    <w:rsid w:val="00610225"/>
    <w:rsid w:val="00630D43"/>
    <w:rsid w:val="006452B1"/>
    <w:rsid w:val="006542FA"/>
    <w:rsid w:val="00654F9E"/>
    <w:rsid w:val="00691FA2"/>
    <w:rsid w:val="006D43C7"/>
    <w:rsid w:val="00731351"/>
    <w:rsid w:val="00744CD2"/>
    <w:rsid w:val="00754169"/>
    <w:rsid w:val="00772C27"/>
    <w:rsid w:val="00790F25"/>
    <w:rsid w:val="00793843"/>
    <w:rsid w:val="0079788A"/>
    <w:rsid w:val="007B68AB"/>
    <w:rsid w:val="00822DBF"/>
    <w:rsid w:val="00844881"/>
    <w:rsid w:val="008A7B93"/>
    <w:rsid w:val="008B7158"/>
    <w:rsid w:val="008C6CB9"/>
    <w:rsid w:val="008D4156"/>
    <w:rsid w:val="008E534F"/>
    <w:rsid w:val="008F24DE"/>
    <w:rsid w:val="00906533"/>
    <w:rsid w:val="00912D17"/>
    <w:rsid w:val="009276A3"/>
    <w:rsid w:val="009279AE"/>
    <w:rsid w:val="00935A30"/>
    <w:rsid w:val="00953CCD"/>
    <w:rsid w:val="00985DD5"/>
    <w:rsid w:val="009C3D4E"/>
    <w:rsid w:val="009E1515"/>
    <w:rsid w:val="009F6CDD"/>
    <w:rsid w:val="00A11ACF"/>
    <w:rsid w:val="00A24200"/>
    <w:rsid w:val="00A44E4B"/>
    <w:rsid w:val="00A459A8"/>
    <w:rsid w:val="00A46349"/>
    <w:rsid w:val="00A4759C"/>
    <w:rsid w:val="00A5600C"/>
    <w:rsid w:val="00A63390"/>
    <w:rsid w:val="00A82DAF"/>
    <w:rsid w:val="00A86AF3"/>
    <w:rsid w:val="00AA69E5"/>
    <w:rsid w:val="00AC34ED"/>
    <w:rsid w:val="00AC6195"/>
    <w:rsid w:val="00AE61A6"/>
    <w:rsid w:val="00B041CB"/>
    <w:rsid w:val="00B12FC1"/>
    <w:rsid w:val="00B3785F"/>
    <w:rsid w:val="00B43F55"/>
    <w:rsid w:val="00B5393D"/>
    <w:rsid w:val="00B74715"/>
    <w:rsid w:val="00B76D03"/>
    <w:rsid w:val="00B86B45"/>
    <w:rsid w:val="00BB3D46"/>
    <w:rsid w:val="00BC0598"/>
    <w:rsid w:val="00C02452"/>
    <w:rsid w:val="00C36E40"/>
    <w:rsid w:val="00C62177"/>
    <w:rsid w:val="00CA5147"/>
    <w:rsid w:val="00CD0046"/>
    <w:rsid w:val="00CD670F"/>
    <w:rsid w:val="00D11EF6"/>
    <w:rsid w:val="00D13C03"/>
    <w:rsid w:val="00D47BFD"/>
    <w:rsid w:val="00D56936"/>
    <w:rsid w:val="00D64922"/>
    <w:rsid w:val="00DC5DC8"/>
    <w:rsid w:val="00DF1A1F"/>
    <w:rsid w:val="00E554C4"/>
    <w:rsid w:val="00E67FC2"/>
    <w:rsid w:val="00E7227D"/>
    <w:rsid w:val="00E76BC6"/>
    <w:rsid w:val="00E80E04"/>
    <w:rsid w:val="00EA415A"/>
    <w:rsid w:val="00EE6EE8"/>
    <w:rsid w:val="00EF5B98"/>
    <w:rsid w:val="00EF76B4"/>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694869"/>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numbered,列出段落,列出段落1"/>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qFormat/>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styleId="CommentText">
    <w:name w:val="annotation text"/>
    <w:basedOn w:val="Normal"/>
    <w:link w:val="CommentTextChar"/>
    <w:uiPriority w:val="99"/>
    <w:unhideWhenUsed/>
    <w:rsid w:val="00CD670F"/>
    <w:pPr>
      <w:suppressAutoHyphens/>
      <w:spacing w:before="160" w:after="80"/>
    </w:pPr>
    <w:rPr>
      <w:rFonts w:asciiTheme="minorHAnsi" w:hAnsiTheme="minorHAnsi"/>
      <w:color w:val="000000" w:themeColor="text1"/>
      <w:sz w:val="20"/>
      <w:szCs w:val="20"/>
    </w:rPr>
  </w:style>
  <w:style w:type="character" w:customStyle="1" w:styleId="CommentTextChar">
    <w:name w:val="Comment Text Char"/>
    <w:basedOn w:val="DefaultParagraphFont"/>
    <w:link w:val="CommentText"/>
    <w:uiPriority w:val="99"/>
    <w:rsid w:val="00CD670F"/>
    <w:rPr>
      <w:color w:val="000000" w:themeColor="text1"/>
      <w:sz w:val="20"/>
      <w:szCs w:val="20"/>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CD670F"/>
    <w:rPr>
      <w:rFonts w:ascii="Calibri" w:hAnsi="Calibri"/>
    </w:rPr>
  </w:style>
  <w:style w:type="paragraph" w:styleId="Caption">
    <w:name w:val="caption"/>
    <w:basedOn w:val="Normal"/>
    <w:next w:val="Normal"/>
    <w:uiPriority w:val="14"/>
    <w:qFormat/>
    <w:rsid w:val="00CD670F"/>
    <w:pPr>
      <w:suppressAutoHyphens/>
      <w:spacing w:before="240"/>
    </w:pPr>
    <w:rPr>
      <w:rFonts w:asciiTheme="minorHAnsi" w:hAnsiTheme="minorHAnsi"/>
      <w:b/>
      <w:iCs/>
      <w:color w:val="000000" w:themeColor="text1"/>
      <w:szCs w:val="18"/>
    </w:rPr>
  </w:style>
  <w:style w:type="table" w:customStyle="1" w:styleId="DefaultTable111">
    <w:name w:val="Default Table 111"/>
    <w:basedOn w:val="TableNormal"/>
    <w:uiPriority w:val="99"/>
    <w:rsid w:val="00317083"/>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48089-E55E-4BB5-B66B-8E6BF803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642</Words>
  <Characters>3968</Characters>
  <Application>Microsoft Office Word</Application>
  <DocSecurity>0</DocSecurity>
  <Lines>283</Lines>
  <Paragraphs>307</Paragraphs>
  <ScaleCrop>false</ScaleCrop>
  <HeadingPairs>
    <vt:vector size="2" baseType="variant">
      <vt:variant>
        <vt:lpstr>Title</vt:lpstr>
      </vt:variant>
      <vt:variant>
        <vt:i4>1</vt:i4>
      </vt:variant>
    </vt:vector>
  </HeadingPairs>
  <TitlesOfParts>
    <vt:vector size="1" baseType="lpstr">
      <vt:lpstr>Australian Jet Zero Council—Workplan—Version 1—December 2023</vt:lpstr>
    </vt:vector>
  </TitlesOfParts>
  <Company>Department of Infrastructure, Transport, Regional Development, Communications and the Arts</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Jet Zero Council—Workplan—Version 2—March 2025</dc:title>
  <dc:subject/>
  <dc:creator>Department of Infrastructure, Transport, Regional Development, Communications and the Arts</dc:creator>
  <cp:keywords/>
  <dc:description>27 March 2025</dc:description>
  <cp:lastModifiedBy>Hall, Theresa</cp:lastModifiedBy>
  <cp:revision>4</cp:revision>
  <dcterms:created xsi:type="dcterms:W3CDTF">2025-03-19T21:48:00Z</dcterms:created>
  <dcterms:modified xsi:type="dcterms:W3CDTF">2025-03-27T06:11:00Z</dcterms:modified>
</cp:coreProperties>
</file>