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19D" w:rsidRDefault="002A619D" w:rsidP="002A619D">
      <w:pPr>
        <w:jc w:val="center"/>
      </w:pPr>
      <w:bookmarkStart w:id="0" w:name="_GoBack"/>
      <w:r>
        <w:rPr>
          <w:noProof/>
          <w:lang w:eastAsia="en-AU"/>
        </w:rPr>
        <w:drawing>
          <wp:inline distT="0" distB="0" distL="0" distR="0" wp14:anchorId="3A77C76F" wp14:editId="3A77C770">
            <wp:extent cx="2470150" cy="1371600"/>
            <wp:effectExtent l="0" t="0" r="6350" b="0"/>
            <wp:docPr id="1" name="Picture 1" descr="Logo: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ustralian Government 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0150" cy="1371600"/>
                    </a:xfrm>
                    <a:prstGeom prst="rect">
                      <a:avLst/>
                    </a:prstGeom>
                    <a:noFill/>
                    <a:ln>
                      <a:noFill/>
                    </a:ln>
                  </pic:spPr>
                </pic:pic>
              </a:graphicData>
            </a:graphic>
          </wp:inline>
        </w:drawing>
      </w:r>
      <w:bookmarkEnd w:id="0"/>
    </w:p>
    <w:p w:rsidR="002A619D" w:rsidRDefault="002A619D" w:rsidP="002A619D">
      <w:pPr>
        <w:spacing w:after="0"/>
        <w:sectPr w:rsidR="002A619D">
          <w:pgSz w:w="11906" w:h="16838"/>
          <w:pgMar w:top="1418" w:right="1440" w:bottom="1440" w:left="1440" w:header="0" w:footer="346" w:gutter="0"/>
          <w:cols w:space="720"/>
        </w:sectPr>
      </w:pPr>
    </w:p>
    <w:p w:rsidR="002A619D" w:rsidRDefault="002A619D" w:rsidP="002A619D">
      <w:pPr>
        <w:pStyle w:val="Heading1"/>
      </w:pPr>
      <w:r>
        <w:t xml:space="preserve">Australian Government response to the </w:t>
      </w:r>
      <w:r w:rsidR="00247E9A" w:rsidRPr="00247E9A">
        <w:t>Senate Standing Committees on Environment and Communications Legislation Committee</w:t>
      </w:r>
      <w:r>
        <w:t xml:space="preserve"> report:</w:t>
      </w:r>
    </w:p>
    <w:p w:rsidR="002A619D" w:rsidRDefault="00247E9A" w:rsidP="002A619D">
      <w:pPr>
        <w:pStyle w:val="reporttitle"/>
        <w:rPr>
          <w:rFonts w:asciiTheme="majorHAnsi" w:hAnsiTheme="majorHAnsi"/>
        </w:rPr>
      </w:pPr>
      <w:r w:rsidRPr="00247E9A">
        <w:t>Interactive Gambling Amendment (Credit and Other Measures) Bill 2023 [Provisions</w:t>
      </w:r>
      <w:r>
        <w:t>]</w:t>
      </w:r>
    </w:p>
    <w:p w:rsidR="002A619D" w:rsidRDefault="003B185A" w:rsidP="002A619D">
      <w:pPr>
        <w:pStyle w:val="monthyearoncover"/>
      </w:pPr>
      <w:r>
        <w:t>February</w:t>
      </w:r>
      <w:r w:rsidR="002A619D" w:rsidRPr="00550EB8">
        <w:t xml:space="preserve"> 202</w:t>
      </w:r>
      <w:r>
        <w:t>5</w:t>
      </w:r>
    </w:p>
    <w:p w:rsidR="002A619D" w:rsidRDefault="002A619D" w:rsidP="002A619D">
      <w:pPr>
        <w:rPr>
          <w:lang w:eastAsia="en-US"/>
        </w:rPr>
      </w:pPr>
      <w:r>
        <w:rPr>
          <w:lang w:eastAsia="en-US"/>
        </w:rPr>
        <w:br w:type="page"/>
      </w:r>
    </w:p>
    <w:p w:rsidR="002A619D" w:rsidRDefault="002A619D" w:rsidP="002A619D">
      <w:pPr>
        <w:spacing w:after="0"/>
        <w:rPr>
          <w:lang w:eastAsia="en-US"/>
        </w:rPr>
        <w:sectPr w:rsidR="002A619D">
          <w:type w:val="continuous"/>
          <w:pgSz w:w="11906" w:h="16838"/>
          <w:pgMar w:top="1418" w:right="1133" w:bottom="1440" w:left="1440" w:header="510" w:footer="510" w:gutter="0"/>
          <w:pgNumType w:fmt="lowerRoman" w:start="1"/>
          <w:cols w:space="720"/>
        </w:sectPr>
      </w:pPr>
    </w:p>
    <w:p w:rsidR="002A619D" w:rsidRDefault="002A619D" w:rsidP="002A619D">
      <w:pPr>
        <w:pStyle w:val="Heading2"/>
      </w:pPr>
      <w:bookmarkStart w:id="1" w:name="_Toc129340689"/>
      <w:bookmarkStart w:id="2" w:name="_Toc499905942"/>
      <w:bookmarkStart w:id="3" w:name="_Toc412126163"/>
      <w:bookmarkStart w:id="4" w:name="_Toc382493211"/>
      <w:r>
        <w:lastRenderedPageBreak/>
        <w:t>Overview</w:t>
      </w:r>
      <w:bookmarkEnd w:id="1"/>
      <w:bookmarkEnd w:id="2"/>
    </w:p>
    <w:p w:rsidR="00251FEA" w:rsidRDefault="00251FEA" w:rsidP="002A619D">
      <w:r w:rsidRPr="00360828">
        <w:t xml:space="preserve">The Australian Government is committed to online gambling </w:t>
      </w:r>
      <w:r w:rsidR="000829EF" w:rsidRPr="00360828">
        <w:t xml:space="preserve">taking place under </w:t>
      </w:r>
      <w:r w:rsidRPr="00360828">
        <w:t>a robust legislative framework with strong consumer protections.</w:t>
      </w:r>
      <w:r>
        <w:t xml:space="preserve"> </w:t>
      </w:r>
    </w:p>
    <w:p w:rsidR="002A619D" w:rsidRDefault="002A619D" w:rsidP="002A619D">
      <w:r>
        <w:t xml:space="preserve">The Australian Government </w:t>
      </w:r>
      <w:r w:rsidR="00251FEA">
        <w:t>welcomes</w:t>
      </w:r>
      <w:r>
        <w:t xml:space="preserve"> the report by the </w:t>
      </w:r>
      <w:r w:rsidR="00247E9A" w:rsidRPr="00247E9A">
        <w:t xml:space="preserve">Senate Standing Committees on Environment and Communications Legislation Committee </w:t>
      </w:r>
      <w:r>
        <w:t>(the committee) into</w:t>
      </w:r>
      <w:r w:rsidR="00247E9A">
        <w:t xml:space="preserve"> the</w:t>
      </w:r>
      <w:r>
        <w:t xml:space="preserve"> </w:t>
      </w:r>
      <w:r w:rsidR="00247E9A" w:rsidRPr="00247E9A">
        <w:t>Interactive Gambling Amendment (Credit and Other Measures) Bill 2023</w:t>
      </w:r>
      <w:r w:rsidR="00AA7F8F">
        <w:t xml:space="preserve"> [provisions]</w:t>
      </w:r>
      <w:r w:rsidR="00247E9A">
        <w:t>, which was tabled on 12</w:t>
      </w:r>
      <w:r w:rsidR="00360828">
        <w:t> </w:t>
      </w:r>
      <w:r w:rsidR="00247E9A">
        <w:t>October 2023</w:t>
      </w:r>
      <w:r>
        <w:t>.</w:t>
      </w:r>
    </w:p>
    <w:p w:rsidR="00281120" w:rsidRDefault="00AA7F8F" w:rsidP="002A619D">
      <w:r>
        <w:t xml:space="preserve">The </w:t>
      </w:r>
      <w:r w:rsidRPr="00AA7F8F">
        <w:rPr>
          <w:i/>
        </w:rPr>
        <w:t>Interactive Gambling Amendment (Credit and Other Measures) Act 2023</w:t>
      </w:r>
      <w:r>
        <w:t xml:space="preserve"> passed the Parliament on 6 December 2023, and commenced in full on 11 June 2024.</w:t>
      </w:r>
      <w:r w:rsidR="00251FEA">
        <w:t xml:space="preserve"> The legislation </w:t>
      </w:r>
      <w:r w:rsidR="00251FEA" w:rsidRPr="00251FEA">
        <w:t xml:space="preserve">amends the </w:t>
      </w:r>
      <w:r w:rsidR="00251FEA" w:rsidRPr="00251FEA">
        <w:rPr>
          <w:i/>
        </w:rPr>
        <w:t>Interactive Gambling Act 2001</w:t>
      </w:r>
      <w:r w:rsidR="00251FEA" w:rsidRPr="00251FEA">
        <w:t xml:space="preserve"> (the IGA) to prohibit the use of credit cards, credit-related products and digital currency as payment methods for interactive wagering services</w:t>
      </w:r>
      <w:r w:rsidR="00251FEA">
        <w:t>.</w:t>
      </w:r>
      <w:r w:rsidR="00311C36">
        <w:t xml:space="preserve"> </w:t>
      </w:r>
      <w:bookmarkStart w:id="5" w:name="_Hlk184288908"/>
      <w:r w:rsidR="00281120" w:rsidRPr="00281120">
        <w:t>The ban does not capture lottery services, which, together with keno-type lotteries, are not included in the definition of ‘wagering services’ (betting on racing and sports)</w:t>
      </w:r>
      <w:r w:rsidR="000B4150">
        <w:t xml:space="preserve"> under the IGA</w:t>
      </w:r>
      <w:bookmarkEnd w:id="5"/>
      <w:r w:rsidR="00281120" w:rsidRPr="00281120">
        <w:t>.</w:t>
      </w:r>
    </w:p>
    <w:p w:rsidR="00AA7F8F" w:rsidRDefault="00311C36" w:rsidP="002A619D">
      <w:r w:rsidRPr="00311C36">
        <w:t>The Government also legislate</w:t>
      </w:r>
      <w:r>
        <w:t>d</w:t>
      </w:r>
      <w:r w:rsidRPr="00311C36">
        <w:t xml:space="preserve"> to provide the Australian Communications and Media Authority with enforceable undertakings and remedial directions powers to enforce the credit card prohibition and other online gambling offences.</w:t>
      </w:r>
    </w:p>
    <w:p w:rsidR="00251FEA" w:rsidRDefault="00251FEA" w:rsidP="002A619D">
      <w:r>
        <w:t xml:space="preserve">The ban is consistent with the Government’s </w:t>
      </w:r>
      <w:r w:rsidR="007B7A61">
        <w:t>online gambling harm reduction initiatives, including:</w:t>
      </w:r>
    </w:p>
    <w:p w:rsidR="007B7A61" w:rsidRDefault="007B7A61" w:rsidP="007B7A61">
      <w:pPr>
        <w:pStyle w:val="ListParagraph"/>
        <w:numPr>
          <w:ilvl w:val="0"/>
          <w:numId w:val="2"/>
        </w:numPr>
      </w:pPr>
      <w:r>
        <w:t>Implementing monthly activity statements so Australians who gamble online can clearly see their wins and losses each month;</w:t>
      </w:r>
    </w:p>
    <w:p w:rsidR="007B7A61" w:rsidRDefault="007B7A61" w:rsidP="007B7A61">
      <w:pPr>
        <w:pStyle w:val="ListParagraph"/>
        <w:numPr>
          <w:ilvl w:val="0"/>
          <w:numId w:val="2"/>
        </w:numPr>
      </w:pPr>
      <w:r>
        <w:t>Requiring all staff who work in online gambling companies to have appropriate training to create a culture of safer gambling;</w:t>
      </w:r>
    </w:p>
    <w:p w:rsidR="007B7A61" w:rsidRDefault="007B7A61" w:rsidP="007B7A61">
      <w:pPr>
        <w:pStyle w:val="ListParagraph"/>
        <w:numPr>
          <w:ilvl w:val="0"/>
          <w:numId w:val="2"/>
        </w:numPr>
      </w:pPr>
      <w:r>
        <w:t>Introducing new evidence-based taglines with stronger messages about the risks and harms of online gambling;</w:t>
      </w:r>
    </w:p>
    <w:p w:rsidR="007B7A61" w:rsidRDefault="007B7A61" w:rsidP="007B7A61">
      <w:pPr>
        <w:pStyle w:val="ListParagraph"/>
        <w:numPr>
          <w:ilvl w:val="0"/>
          <w:numId w:val="2"/>
        </w:numPr>
      </w:pPr>
      <w:r>
        <w:t xml:space="preserve">Strengthening classification of gambling-like features in video games to better protect children; </w:t>
      </w:r>
    </w:p>
    <w:p w:rsidR="007B7A61" w:rsidRDefault="007B7A61" w:rsidP="007B7A61">
      <w:pPr>
        <w:pStyle w:val="ListParagraph"/>
        <w:numPr>
          <w:ilvl w:val="0"/>
          <w:numId w:val="2"/>
        </w:numPr>
      </w:pPr>
      <w:r>
        <w:t xml:space="preserve">Establishing mandatory pre-verification to prevent children and people who have self-excluded to place an online bet; and </w:t>
      </w:r>
    </w:p>
    <w:p w:rsidR="007B7A61" w:rsidRDefault="007B7A61" w:rsidP="007B7A61">
      <w:pPr>
        <w:pStyle w:val="ListParagraph"/>
        <w:numPr>
          <w:ilvl w:val="0"/>
          <w:numId w:val="2"/>
        </w:numPr>
      </w:pPr>
      <w:r>
        <w:t>Launching the National Self-Exclusion Register</w:t>
      </w:r>
      <w:r w:rsidR="00450C28">
        <w:t xml:space="preserve"> (</w:t>
      </w:r>
      <w:proofErr w:type="spellStart"/>
      <w:r w:rsidR="00450C28">
        <w:t>BetStop</w:t>
      </w:r>
      <w:proofErr w:type="spellEnd"/>
      <w:r w:rsidR="00450C28">
        <w:t>)</w:t>
      </w:r>
      <w:r>
        <w:t xml:space="preserve">, which </w:t>
      </w:r>
      <w:r w:rsidR="00450C28">
        <w:t xml:space="preserve">has been used by </w:t>
      </w:r>
      <w:r>
        <w:t xml:space="preserve">more than </w:t>
      </w:r>
      <w:r w:rsidR="000829EF">
        <w:t>3</w:t>
      </w:r>
      <w:r w:rsidR="007D2F32">
        <w:t>7</w:t>
      </w:r>
      <w:r>
        <w:t xml:space="preserve">,000 Australians (as at </w:t>
      </w:r>
      <w:r w:rsidR="007D2F32">
        <w:t>January 2025</w:t>
      </w:r>
      <w:r>
        <w:t xml:space="preserve">), with </w:t>
      </w:r>
      <w:r w:rsidR="00450C28">
        <w:t>40</w:t>
      </w:r>
      <w:r>
        <w:t>% of those opting for self-imposed lifetime bans.</w:t>
      </w:r>
    </w:p>
    <w:p w:rsidR="002A619D" w:rsidRDefault="002A619D" w:rsidP="002A619D">
      <w:pPr>
        <w:pStyle w:val="Heading2"/>
      </w:pPr>
      <w:bookmarkStart w:id="6" w:name="_Toc129340690"/>
      <w:bookmarkStart w:id="7" w:name="_Toc499905943"/>
      <w:r>
        <w:t>Australian Government response</w:t>
      </w:r>
      <w:bookmarkEnd w:id="6"/>
      <w:bookmarkEnd w:id="7"/>
    </w:p>
    <w:p w:rsidR="002A619D" w:rsidRDefault="002A619D" w:rsidP="002A619D">
      <w:r>
        <w:t>The Australian Government’s response to</w:t>
      </w:r>
      <w:r w:rsidR="00AA7F8F">
        <w:t xml:space="preserve"> the committee’s report </w:t>
      </w:r>
      <w:r>
        <w:t>is set out in detail below.</w:t>
      </w:r>
    </w:p>
    <w:p w:rsidR="002A619D" w:rsidRDefault="002A619D" w:rsidP="002A619D">
      <w:pPr>
        <w:pStyle w:val="Heading3"/>
        <w:pBdr>
          <w:top w:val="single" w:sz="4" w:space="1" w:color="auto"/>
          <w:left w:val="single" w:sz="4" w:space="4" w:color="auto"/>
          <w:bottom w:val="single" w:sz="4" w:space="1" w:color="auto"/>
          <w:right w:val="single" w:sz="4" w:space="4" w:color="auto"/>
        </w:pBdr>
      </w:pPr>
      <w:bookmarkStart w:id="8" w:name="_Toc129340693"/>
      <w:r>
        <w:t>Recommendation 2:</w:t>
      </w:r>
      <w:bookmarkEnd w:id="8"/>
    </w:p>
    <w:p w:rsidR="002A619D" w:rsidRDefault="00AA7F8F" w:rsidP="00AA7F8F">
      <w:pPr>
        <w:pBdr>
          <w:top w:val="single" w:sz="4" w:space="1" w:color="auto"/>
          <w:left w:val="single" w:sz="4" w:space="4" w:color="auto"/>
          <w:bottom w:val="single" w:sz="4" w:space="1" w:color="auto"/>
          <w:right w:val="single" w:sz="4" w:space="4" w:color="auto"/>
        </w:pBdr>
        <w:shd w:val="clear" w:color="auto" w:fill="E4E4E4"/>
        <w:ind w:left="567" w:hanging="567"/>
      </w:pPr>
      <w:r>
        <w:t>2</w:t>
      </w:r>
      <w:r w:rsidR="002A619D">
        <w:t>.</w:t>
      </w:r>
      <w:r>
        <w:t>64</w:t>
      </w:r>
      <w:r w:rsidR="002A619D">
        <w:tab/>
      </w:r>
      <w:r>
        <w:t>The committee recommends that the Minister for Communications undertake a review over the next 12 months into the regulation of keno-type lotteries under the Interactive Gambling Act 2001. The review should consider the potential for how credit and digital payment bans and other harm reduction policies may be applied to keno-type lotteries</w:t>
      </w:r>
      <w:r w:rsidR="00721188">
        <w:t>.</w:t>
      </w:r>
    </w:p>
    <w:p w:rsidR="002A619D" w:rsidRDefault="002A619D" w:rsidP="002A619D">
      <w:r>
        <w:t xml:space="preserve">The Government </w:t>
      </w:r>
      <w:r>
        <w:rPr>
          <w:b/>
        </w:rPr>
        <w:t>supports</w:t>
      </w:r>
      <w:r>
        <w:t xml:space="preserve"> this recommendation.</w:t>
      </w:r>
    </w:p>
    <w:bookmarkEnd w:id="3"/>
    <w:bookmarkEnd w:id="4"/>
    <w:p w:rsidR="00D71BFD" w:rsidRDefault="00D71BFD" w:rsidP="00D71BFD">
      <w:r>
        <w:t xml:space="preserve">The Australian Government, through the Department of Infrastructure, Transport, Regional Development, Communications and the Arts (the department) commenced a review into the regulation of online keno under the </w:t>
      </w:r>
      <w:r w:rsidR="00251FEA">
        <w:t xml:space="preserve">IGA </w:t>
      </w:r>
      <w:r>
        <w:t>on 15 July 2024</w:t>
      </w:r>
      <w:r>
        <w:rPr>
          <w:i/>
        </w:rPr>
        <w:t>.</w:t>
      </w:r>
      <w:r>
        <w:t xml:space="preserve"> </w:t>
      </w:r>
    </w:p>
    <w:p w:rsidR="00281120" w:rsidRDefault="00281120" w:rsidP="00D71BFD">
      <w:r w:rsidRPr="00281120">
        <w:lastRenderedPageBreak/>
        <w:t xml:space="preserve">Online keno is a game of chance, drawn every 3 minutes that offers players the opportunity to win prizes by selecting numbers and matching them with the drawn numbers. It is considered to be a type of lottery under the </w:t>
      </w:r>
      <w:r>
        <w:t>IGA.</w:t>
      </w:r>
    </w:p>
    <w:p w:rsidR="00D71BFD" w:rsidRDefault="00D71BFD" w:rsidP="00D71BFD">
      <w:r w:rsidRPr="00D71BFD">
        <w:t xml:space="preserve">The department also </w:t>
      </w:r>
      <w:r w:rsidR="00251FEA">
        <w:t>us</w:t>
      </w:r>
      <w:r w:rsidR="00860D76">
        <w:t>ed</w:t>
      </w:r>
      <w:r w:rsidR="00251FEA">
        <w:t xml:space="preserve"> the opportunity to s</w:t>
      </w:r>
      <w:r w:rsidRPr="00D71BFD">
        <w:t xml:space="preserve">eek </w:t>
      </w:r>
      <w:r w:rsidR="00251FEA">
        <w:t>feedback from stakeholders</w:t>
      </w:r>
      <w:r w:rsidRPr="00D71BFD">
        <w:t xml:space="preserve"> on </w:t>
      </w:r>
      <w:r w:rsidR="00251FEA">
        <w:t xml:space="preserve">the regulation of </w:t>
      </w:r>
      <w:r w:rsidRPr="00D71BFD">
        <w:t xml:space="preserve">another </w:t>
      </w:r>
      <w:r w:rsidR="00281120">
        <w:t>emerging</w:t>
      </w:r>
      <w:r w:rsidRPr="00D71BFD">
        <w:t xml:space="preserve"> online lottery service</w:t>
      </w:r>
      <w:r w:rsidR="00251FEA">
        <w:t xml:space="preserve"> under the IGA</w:t>
      </w:r>
      <w:r w:rsidRPr="00D71BFD">
        <w:t xml:space="preserve"> – foreign matched lotteries – </w:t>
      </w:r>
      <w:r w:rsidR="00251FEA">
        <w:t>which</w:t>
      </w:r>
      <w:r w:rsidRPr="00D71BFD">
        <w:t xml:space="preserve"> </w:t>
      </w:r>
      <w:r w:rsidR="00281120" w:rsidRPr="00281120">
        <w:t xml:space="preserve">allows </w:t>
      </w:r>
      <w:r w:rsidR="00281120">
        <w:t>Australians</w:t>
      </w:r>
      <w:r w:rsidR="00281120" w:rsidRPr="00281120">
        <w:t xml:space="preserve"> to access international lottery draws</w:t>
      </w:r>
      <w:r w:rsidR="00281120">
        <w:t xml:space="preserve">, </w:t>
      </w:r>
      <w:r w:rsidR="00281120" w:rsidRPr="00281120">
        <w:t>when they would otherwise be ineligible to do so</w:t>
      </w:r>
      <w:r w:rsidR="00281120">
        <w:t xml:space="preserve">. These overseas lotteries </w:t>
      </w:r>
      <w:r w:rsidR="00281120" w:rsidRPr="00281120">
        <w:t xml:space="preserve">offer large jackpots, sometimes </w:t>
      </w:r>
      <w:r w:rsidR="00281120">
        <w:t>worth</w:t>
      </w:r>
      <w:r w:rsidR="00281120" w:rsidRPr="00281120">
        <w:t xml:space="preserve"> hundreds of millions of dollars</w:t>
      </w:r>
      <w:r w:rsidR="00281120">
        <w:t>.</w:t>
      </w:r>
    </w:p>
    <w:p w:rsidR="00281120" w:rsidRDefault="00281120" w:rsidP="00D71BFD">
      <w:r w:rsidRPr="00281120">
        <w:t>Foreign matched lotteries, along with some online keno products are currently promoted to Australians via a variety of mediums including direct marketing (e.g. emails), out of home (e.g. billboards), television, radio, social media, sporting ground advertising and sports sponsorship.</w:t>
      </w:r>
    </w:p>
    <w:p w:rsidR="007B7A61" w:rsidRDefault="00D71BFD" w:rsidP="007B7A61">
      <w:r>
        <w:t>The review include</w:t>
      </w:r>
      <w:r w:rsidR="00860D76">
        <w:t>d</w:t>
      </w:r>
      <w:r>
        <w:t xml:space="preserve"> targeted consultation with stakeholders from the wagering, lottery and harm minimisation advocates, community and charity peak bodies, academics</w:t>
      </w:r>
      <w:r w:rsidR="00860D76">
        <w:t>,</w:t>
      </w:r>
      <w:r>
        <w:t xml:space="preserve"> states and territories</w:t>
      </w:r>
      <w:r w:rsidR="00860D76">
        <w:t xml:space="preserve"> and Commonwealth agencies</w:t>
      </w:r>
      <w:r>
        <w:t xml:space="preserve">. </w:t>
      </w:r>
    </w:p>
    <w:p w:rsidR="007B7A61" w:rsidRDefault="007B7A61" w:rsidP="007B7A61">
      <w:r>
        <w:t xml:space="preserve">Stakeholders </w:t>
      </w:r>
      <w:r w:rsidR="00860D76">
        <w:t>were</w:t>
      </w:r>
      <w:r>
        <w:t xml:space="preserve"> asked to provide feedback to a series of questions</w:t>
      </w:r>
      <w:r w:rsidR="00281120">
        <w:t>,</w:t>
      </w:r>
      <w:r>
        <w:t xml:space="preserve"> including </w:t>
      </w:r>
      <w:r w:rsidR="00281120">
        <w:t xml:space="preserve">whether the current </w:t>
      </w:r>
      <w:r w:rsidR="00281120" w:rsidRPr="00281120">
        <w:t>definition of an ‘excluded lottery service’ under the IGA is fit for purpose</w:t>
      </w:r>
      <w:r w:rsidR="00281120">
        <w:t xml:space="preserve">, and </w:t>
      </w:r>
      <w:r>
        <w:t xml:space="preserve">whether harm reduction policy options, including credit and digital payment bans, or other restrictions, should be applied to these </w:t>
      </w:r>
      <w:r w:rsidR="00281120">
        <w:t xml:space="preserve">types of online lottery </w:t>
      </w:r>
      <w:r>
        <w:t>products.</w:t>
      </w:r>
    </w:p>
    <w:p w:rsidR="00D71BFD" w:rsidRDefault="00D71BFD" w:rsidP="00D71BFD">
      <w:r>
        <w:t xml:space="preserve">The review </w:t>
      </w:r>
      <w:r w:rsidR="00870240">
        <w:t>has been</w:t>
      </w:r>
      <w:r>
        <w:t xml:space="preserve"> completed</w:t>
      </w:r>
      <w:r w:rsidR="007B7A61">
        <w:t>, and the Government will consider the final recommendations</w:t>
      </w:r>
      <w:r>
        <w:t>.</w:t>
      </w:r>
    </w:p>
    <w:p w:rsidR="00D71BFD" w:rsidRDefault="00D71BFD" w:rsidP="00D71BFD"/>
    <w:p w:rsidR="002A619D" w:rsidRDefault="002A619D" w:rsidP="002A619D">
      <w:pPr>
        <w:spacing w:after="160" w:line="256" w:lineRule="auto"/>
      </w:pPr>
    </w:p>
    <w:p w:rsidR="00254271" w:rsidRDefault="0043066A"/>
    <w:sectPr w:rsidR="002542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webHidden w:val="0"/>
        <w:color w:val="0F293A"/>
        <w:sz w:val="22"/>
        <w:szCs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621F7BBA"/>
    <w:multiLevelType w:val="hybridMultilevel"/>
    <w:tmpl w:val="A22E2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19D"/>
    <w:rsid w:val="000829EF"/>
    <w:rsid w:val="000B4150"/>
    <w:rsid w:val="001A0BEC"/>
    <w:rsid w:val="001C08D0"/>
    <w:rsid w:val="001C7905"/>
    <w:rsid w:val="00247E9A"/>
    <w:rsid w:val="00251FEA"/>
    <w:rsid w:val="00281120"/>
    <w:rsid w:val="002A619D"/>
    <w:rsid w:val="00311C36"/>
    <w:rsid w:val="00360828"/>
    <w:rsid w:val="003B185A"/>
    <w:rsid w:val="003B6F18"/>
    <w:rsid w:val="0043066A"/>
    <w:rsid w:val="00450C28"/>
    <w:rsid w:val="004B66AC"/>
    <w:rsid w:val="00550EB8"/>
    <w:rsid w:val="006004A9"/>
    <w:rsid w:val="00670B64"/>
    <w:rsid w:val="00721188"/>
    <w:rsid w:val="00754040"/>
    <w:rsid w:val="007B7A61"/>
    <w:rsid w:val="007D2F32"/>
    <w:rsid w:val="00860D76"/>
    <w:rsid w:val="00870240"/>
    <w:rsid w:val="00907921"/>
    <w:rsid w:val="009A3D4A"/>
    <w:rsid w:val="00A44423"/>
    <w:rsid w:val="00AA7F8F"/>
    <w:rsid w:val="00AF5D6D"/>
    <w:rsid w:val="00B47A1E"/>
    <w:rsid w:val="00BC0AAF"/>
    <w:rsid w:val="00BC5BCF"/>
    <w:rsid w:val="00CF7DB4"/>
    <w:rsid w:val="00D71BFD"/>
    <w:rsid w:val="00E0579B"/>
    <w:rsid w:val="00E713AC"/>
    <w:rsid w:val="00F217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79424-E24C-471B-92B5-49CF5811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19D"/>
    <w:pPr>
      <w:spacing w:after="200" w:line="240" w:lineRule="auto"/>
    </w:pPr>
    <w:rPr>
      <w:rFonts w:eastAsiaTheme="minorEastAsia"/>
      <w:lang w:eastAsia="zh-TW"/>
    </w:rPr>
  </w:style>
  <w:style w:type="paragraph" w:styleId="Heading1">
    <w:name w:val="heading 1"/>
    <w:basedOn w:val="Normal"/>
    <w:next w:val="Normal"/>
    <w:link w:val="Heading1Char"/>
    <w:uiPriority w:val="9"/>
    <w:qFormat/>
    <w:rsid w:val="002A619D"/>
    <w:pPr>
      <w:keepNext/>
      <w:spacing w:before="3000" w:after="1080"/>
      <w:jc w:val="center"/>
      <w:outlineLvl w:val="0"/>
    </w:pPr>
    <w:rPr>
      <w:rFonts w:asciiTheme="majorHAnsi" w:eastAsiaTheme="majorEastAsia" w:hAnsiTheme="majorHAnsi" w:cstheme="majorBidi"/>
      <w:b/>
      <w:sz w:val="48"/>
      <w:szCs w:val="32"/>
      <w:lang w:eastAsia="en-US"/>
    </w:rPr>
  </w:style>
  <w:style w:type="paragraph" w:styleId="Heading2">
    <w:name w:val="heading 2"/>
    <w:basedOn w:val="Normal"/>
    <w:next w:val="Normal"/>
    <w:link w:val="Heading2Char"/>
    <w:uiPriority w:val="9"/>
    <w:semiHidden/>
    <w:unhideWhenUsed/>
    <w:qFormat/>
    <w:rsid w:val="002A619D"/>
    <w:pPr>
      <w:keepNext/>
      <w:outlineLvl w:val="1"/>
    </w:pPr>
    <w:rPr>
      <w:rFonts w:asciiTheme="majorHAnsi" w:eastAsiaTheme="majorEastAsia" w:hAnsiTheme="majorHAnsi" w:cstheme="majorBidi"/>
      <w:b/>
      <w:sz w:val="36"/>
      <w:szCs w:val="26"/>
      <w:lang w:eastAsia="en-US"/>
    </w:rPr>
  </w:style>
  <w:style w:type="paragraph" w:styleId="Heading3">
    <w:name w:val="heading 3"/>
    <w:basedOn w:val="Normal"/>
    <w:next w:val="Normal"/>
    <w:link w:val="Heading3Char"/>
    <w:uiPriority w:val="9"/>
    <w:semiHidden/>
    <w:unhideWhenUsed/>
    <w:qFormat/>
    <w:rsid w:val="002A619D"/>
    <w:pPr>
      <w:keepNext/>
      <w:spacing w:after="120"/>
      <w:outlineLvl w:val="2"/>
    </w:pPr>
    <w:rPr>
      <w:rFonts w:asciiTheme="majorHAnsi" w:eastAsiaTheme="majorEastAsia" w:hAnsiTheme="majorHAnsi" w:cstheme="majorBidi"/>
      <w:b/>
      <w:sz w:val="3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19D"/>
    <w:rPr>
      <w:rFonts w:asciiTheme="majorHAnsi" w:eastAsiaTheme="majorEastAsia" w:hAnsiTheme="majorHAnsi" w:cstheme="majorBidi"/>
      <w:b/>
      <w:sz w:val="48"/>
      <w:szCs w:val="32"/>
    </w:rPr>
  </w:style>
  <w:style w:type="character" w:customStyle="1" w:styleId="Heading2Char">
    <w:name w:val="Heading 2 Char"/>
    <w:basedOn w:val="DefaultParagraphFont"/>
    <w:link w:val="Heading2"/>
    <w:uiPriority w:val="9"/>
    <w:semiHidden/>
    <w:rsid w:val="002A619D"/>
    <w:rPr>
      <w:rFonts w:asciiTheme="majorHAnsi" w:eastAsiaTheme="majorEastAsia" w:hAnsiTheme="majorHAnsi" w:cstheme="majorBidi"/>
      <w:b/>
      <w:sz w:val="36"/>
      <w:szCs w:val="26"/>
    </w:rPr>
  </w:style>
  <w:style w:type="character" w:customStyle="1" w:styleId="Heading3Char">
    <w:name w:val="Heading 3 Char"/>
    <w:basedOn w:val="DefaultParagraphFont"/>
    <w:link w:val="Heading3"/>
    <w:uiPriority w:val="9"/>
    <w:semiHidden/>
    <w:rsid w:val="002A619D"/>
    <w:rPr>
      <w:rFonts w:asciiTheme="majorHAnsi" w:eastAsiaTheme="majorEastAsia" w:hAnsiTheme="majorHAnsi" w:cstheme="majorBidi"/>
      <w:b/>
      <w:sz w:val="30"/>
      <w:szCs w:val="24"/>
    </w:rPr>
  </w:style>
  <w:style w:type="character" w:styleId="Hyperlink">
    <w:name w:val="Hyperlink"/>
    <w:basedOn w:val="DefaultParagraphFont"/>
    <w:uiPriority w:val="99"/>
    <w:semiHidden/>
    <w:unhideWhenUsed/>
    <w:rsid w:val="002A619D"/>
    <w:rPr>
      <w:color w:val="FFC000" w:themeColor="accent4"/>
      <w:u w:val="single"/>
    </w:rPr>
  </w:style>
  <w:style w:type="paragraph" w:styleId="TOC1">
    <w:name w:val="toc 1"/>
    <w:basedOn w:val="Normal"/>
    <w:next w:val="Normal"/>
    <w:autoRedefine/>
    <w:uiPriority w:val="39"/>
    <w:semiHidden/>
    <w:unhideWhenUsed/>
    <w:rsid w:val="002A619D"/>
    <w:pPr>
      <w:tabs>
        <w:tab w:val="right" w:leader="dot" w:pos="9072"/>
      </w:tabs>
      <w:spacing w:before="120" w:after="0"/>
    </w:pPr>
    <w:rPr>
      <w:b/>
      <w:sz w:val="24"/>
    </w:rPr>
  </w:style>
  <w:style w:type="paragraph" w:styleId="TOC2">
    <w:name w:val="toc 2"/>
    <w:basedOn w:val="Normal"/>
    <w:next w:val="Normal"/>
    <w:autoRedefine/>
    <w:uiPriority w:val="39"/>
    <w:semiHidden/>
    <w:unhideWhenUsed/>
    <w:rsid w:val="002A619D"/>
    <w:pPr>
      <w:tabs>
        <w:tab w:val="right" w:leader="dot" w:pos="9072"/>
      </w:tabs>
      <w:spacing w:after="0"/>
      <w:ind w:left="567"/>
    </w:pPr>
  </w:style>
  <w:style w:type="paragraph" w:customStyle="1" w:styleId="Bulletlevel1">
    <w:name w:val="Bullet level 1"/>
    <w:basedOn w:val="Normal"/>
    <w:qFormat/>
    <w:rsid w:val="002A619D"/>
    <w:pPr>
      <w:numPr>
        <w:numId w:val="1"/>
      </w:numPr>
      <w:ind w:left="567" w:hanging="567"/>
      <w:contextualSpacing/>
    </w:pPr>
    <w:rPr>
      <w:rFonts w:eastAsiaTheme="minorHAnsi"/>
      <w:lang w:eastAsia="en-US"/>
    </w:rPr>
  </w:style>
  <w:style w:type="paragraph" w:customStyle="1" w:styleId="Heading2-notshowing">
    <w:name w:val="Heading 2 - not showing"/>
    <w:basedOn w:val="Heading2"/>
    <w:qFormat/>
    <w:rsid w:val="002A619D"/>
    <w:pPr>
      <w:spacing w:after="120"/>
    </w:pPr>
    <w:rPr>
      <w:sz w:val="32"/>
    </w:rPr>
  </w:style>
  <w:style w:type="paragraph" w:customStyle="1" w:styleId="reporttitle">
    <w:name w:val="report title"/>
    <w:basedOn w:val="Normal"/>
    <w:qFormat/>
    <w:rsid w:val="002A619D"/>
    <w:pPr>
      <w:spacing w:after="4080"/>
      <w:jc w:val="center"/>
    </w:pPr>
    <w:rPr>
      <w:sz w:val="44"/>
      <w:szCs w:val="44"/>
    </w:rPr>
  </w:style>
  <w:style w:type="paragraph" w:customStyle="1" w:styleId="monthyearoncover">
    <w:name w:val="month/year on cover"/>
    <w:basedOn w:val="Normal"/>
    <w:qFormat/>
    <w:rsid w:val="002A619D"/>
    <w:pPr>
      <w:spacing w:after="0"/>
      <w:jc w:val="right"/>
    </w:pPr>
    <w:rPr>
      <w:lang w:eastAsia="en-US"/>
    </w:rPr>
  </w:style>
  <w:style w:type="paragraph" w:styleId="ListParagraph">
    <w:name w:val="List Paragraph"/>
    <w:basedOn w:val="Normal"/>
    <w:uiPriority w:val="34"/>
    <w:qFormat/>
    <w:rsid w:val="007B7A61"/>
    <w:pPr>
      <w:ind w:left="720"/>
      <w:contextualSpacing/>
    </w:pPr>
  </w:style>
  <w:style w:type="character" w:styleId="CommentReference">
    <w:name w:val="annotation reference"/>
    <w:basedOn w:val="DefaultParagraphFont"/>
    <w:uiPriority w:val="99"/>
    <w:semiHidden/>
    <w:unhideWhenUsed/>
    <w:rsid w:val="000829EF"/>
    <w:rPr>
      <w:sz w:val="16"/>
      <w:szCs w:val="16"/>
    </w:rPr>
  </w:style>
  <w:style w:type="paragraph" w:styleId="CommentText">
    <w:name w:val="annotation text"/>
    <w:basedOn w:val="Normal"/>
    <w:link w:val="CommentTextChar"/>
    <w:uiPriority w:val="99"/>
    <w:semiHidden/>
    <w:unhideWhenUsed/>
    <w:rsid w:val="000829EF"/>
    <w:rPr>
      <w:sz w:val="20"/>
      <w:szCs w:val="20"/>
    </w:rPr>
  </w:style>
  <w:style w:type="character" w:customStyle="1" w:styleId="CommentTextChar">
    <w:name w:val="Comment Text Char"/>
    <w:basedOn w:val="DefaultParagraphFont"/>
    <w:link w:val="CommentText"/>
    <w:uiPriority w:val="99"/>
    <w:semiHidden/>
    <w:rsid w:val="000829EF"/>
    <w:rPr>
      <w:rFonts w:eastAsiaTheme="minorEastAsia"/>
      <w:sz w:val="20"/>
      <w:szCs w:val="20"/>
      <w:lang w:eastAsia="zh-TW"/>
    </w:rPr>
  </w:style>
  <w:style w:type="paragraph" w:styleId="CommentSubject">
    <w:name w:val="annotation subject"/>
    <w:basedOn w:val="CommentText"/>
    <w:next w:val="CommentText"/>
    <w:link w:val="CommentSubjectChar"/>
    <w:uiPriority w:val="99"/>
    <w:semiHidden/>
    <w:unhideWhenUsed/>
    <w:rsid w:val="000829EF"/>
    <w:rPr>
      <w:b/>
      <w:bCs/>
    </w:rPr>
  </w:style>
  <w:style w:type="character" w:customStyle="1" w:styleId="CommentSubjectChar">
    <w:name w:val="Comment Subject Char"/>
    <w:basedOn w:val="CommentTextChar"/>
    <w:link w:val="CommentSubject"/>
    <w:uiPriority w:val="99"/>
    <w:semiHidden/>
    <w:rsid w:val="000829EF"/>
    <w:rPr>
      <w:rFonts w:eastAsiaTheme="minorEastAsia"/>
      <w:b/>
      <w:bCs/>
      <w:sz w:val="20"/>
      <w:szCs w:val="20"/>
      <w:lang w:eastAsia="zh-TW"/>
    </w:rPr>
  </w:style>
  <w:style w:type="paragraph" w:styleId="BalloonText">
    <w:name w:val="Balloon Text"/>
    <w:basedOn w:val="Normal"/>
    <w:link w:val="BalloonTextChar"/>
    <w:uiPriority w:val="99"/>
    <w:semiHidden/>
    <w:unhideWhenUsed/>
    <w:rsid w:val="000829E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9EF"/>
    <w:rPr>
      <w:rFonts w:ascii="Segoe UI" w:eastAsiaTheme="minorEastAsia" w:hAnsi="Segoe UI" w:cs="Segoe U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52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D84DA4D-80F3-460A-BFB6-3B56CEBA2E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0D6569FD5CBE7408034CFA2F527BB12" ma:contentTypeVersion="" ma:contentTypeDescription="PDMS Document Site Content Type" ma:contentTypeScope="" ma:versionID="116c5635ae5b1a99c0987e5b8dee5fbb">
  <xsd:schema xmlns:xsd="http://www.w3.org/2001/XMLSchema" xmlns:xs="http://www.w3.org/2001/XMLSchema" xmlns:p="http://schemas.microsoft.com/office/2006/metadata/properties" xmlns:ns2="1D84DA4D-80F3-460A-BFB6-3B56CEBA2E57" targetNamespace="http://schemas.microsoft.com/office/2006/metadata/properties" ma:root="true" ma:fieldsID="0db540af9a9f37d16e1ddb990a537b66" ns2:_="">
    <xsd:import namespace="1D84DA4D-80F3-460A-BFB6-3B56CEBA2E5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4DA4D-80F3-460A-BFB6-3B56CEBA2E5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E2433-C4DB-4314-8782-498094273C54}">
  <ds:schemaRefs>
    <ds:schemaRef ds:uri="http://schemas.microsoft.com/sharepoint/v3/contenttype/forms"/>
  </ds:schemaRefs>
</ds:datastoreItem>
</file>

<file path=customXml/itemProps2.xml><?xml version="1.0" encoding="utf-8"?>
<ds:datastoreItem xmlns:ds="http://schemas.openxmlformats.org/officeDocument/2006/customXml" ds:itemID="{9E505B6A-4689-4C0D-9EA5-713DDAA471D6}">
  <ds:schemaRefs>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1D84DA4D-80F3-460A-BFB6-3B56CEBA2E57"/>
    <ds:schemaRef ds:uri="http://purl.org/dc/dcmitype/"/>
  </ds:schemaRefs>
</ds:datastoreItem>
</file>

<file path=customXml/itemProps3.xml><?xml version="1.0" encoding="utf-8"?>
<ds:datastoreItem xmlns:ds="http://schemas.openxmlformats.org/officeDocument/2006/customXml" ds:itemID="{39181BD0-33F4-4005-BF3A-230A6499A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4DA4D-80F3-460A-BFB6-3B56CEBA2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85950A-316A-4AF0-B123-4EC3DB413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4007</Characters>
  <Application>Microsoft Office Word</Application>
  <DocSecurity>4</DocSecurity>
  <Lines>364</Lines>
  <Paragraphs>231</Paragraphs>
  <ScaleCrop>false</ScaleCrop>
  <HeadingPairs>
    <vt:vector size="2" baseType="variant">
      <vt:variant>
        <vt:lpstr>Title</vt:lpstr>
      </vt:variant>
      <vt:variant>
        <vt:i4>1</vt:i4>
      </vt:variant>
    </vt:vector>
  </HeadingPairs>
  <TitlesOfParts>
    <vt:vector size="1" baseType="lpstr">
      <vt:lpstr>Australian Government response to the Senate Standing Committees on Environment and Communications Legislation Committee report: Interactive Gambling Amendment (Credit and Other Measures) Bill 2023 [Provisions]</vt:lpstr>
    </vt:vector>
  </TitlesOfParts>
  <Company>Australian Government, Department of Infrastructure, Transport, Regional Development, Communications and the Arts</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Standing Committees on Environment and Communications Legislation Committee report: Interactive Gambling Amendment (Credit and Other Measures) Bill 2023 [Provisions]</dc:title>
  <dc:subject/>
  <dc:creator>Australian Government, Department of Infrastructure, Transport, Regional Development, Communications and the Arts</dc:creator>
  <cp:keywords/>
  <dc:description/>
  <cp:lastModifiedBy>Hall, Theresa</cp:lastModifiedBy>
  <cp:revision>2</cp:revision>
  <dcterms:created xsi:type="dcterms:W3CDTF">2025-02-12T02:14:00Z</dcterms:created>
  <dcterms:modified xsi:type="dcterms:W3CDTF">2025-02-12T02:14:00Z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0x010100266966F133664895A6EE3632470D45F500F0D6569FD5CBE7408034CFA2F527BB12</vt:lpwstr>
  </property>
  <property fmtid="{D5CDD505-2E9C-101B-9397-08002B2CF9AE}" pid="3" name="TrimRevisionNumber">
    <vt:i4>6</vt:i4>
  </property>
</Properties>
</file>