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media/image3.jpg" ContentType="image/png"/>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EA6B1" w14:textId="77777777" w:rsidR="00C31967" w:rsidRDefault="00EB1F41" w:rsidP="00EB1F41">
      <w:pPr>
        <w:pStyle w:val="Title"/>
        <w:rPr>
          <w:rFonts w:ascii="Arial" w:hAnsi="Arial" w:cs="Arial"/>
          <w:sz w:val="36"/>
        </w:rPr>
      </w:pPr>
      <w:r w:rsidRPr="00C31967">
        <w:rPr>
          <w:rFonts w:ascii="Arial" w:hAnsi="Arial" w:cs="Arial"/>
          <w:sz w:val="36"/>
        </w:rPr>
        <w:t xml:space="preserve">Tasmanian Freight Equalisation Scheme </w:t>
      </w:r>
    </w:p>
    <w:p w14:paraId="0A869CE1" w14:textId="50393CCF" w:rsidR="00EB1F41" w:rsidRPr="00C31967" w:rsidRDefault="00EB1F41" w:rsidP="00EB1F41">
      <w:pPr>
        <w:pStyle w:val="Title"/>
        <w:rPr>
          <w:rFonts w:ascii="Arial" w:hAnsi="Arial" w:cs="Arial"/>
          <w:sz w:val="36"/>
        </w:rPr>
      </w:pPr>
      <w:bookmarkStart w:id="0" w:name="_GoBack"/>
      <w:bookmarkEnd w:id="0"/>
      <w:r w:rsidRPr="00C31967">
        <w:rPr>
          <w:rFonts w:ascii="Arial" w:hAnsi="Arial" w:cs="Arial"/>
          <w:sz w:val="36"/>
        </w:rPr>
        <w:t>Information Paper</w:t>
      </w:r>
    </w:p>
    <w:p w14:paraId="693D29A5" w14:textId="77777777" w:rsidR="007E26C6" w:rsidRDefault="007E26C6" w:rsidP="0007097F">
      <w:pPr>
        <w:pStyle w:val="Heading4"/>
      </w:pPr>
    </w:p>
    <w:p w14:paraId="6A738AD6" w14:textId="77777777" w:rsidR="00EB1F41" w:rsidRDefault="00EB1F41" w:rsidP="00EB1F41">
      <w:r>
        <w:t xml:space="preserve">This information paper is made under subclause 8.3.1 of the Ministerial Directions (MDs) for the Tasmanian Freight Equalisation Scheme (TFES). </w:t>
      </w:r>
    </w:p>
    <w:p w14:paraId="6DA22328" w14:textId="77777777" w:rsidR="00EB1F41" w:rsidRDefault="00EB1F41" w:rsidP="00EB1F41">
      <w:pPr>
        <w:pStyle w:val="Heading1"/>
      </w:pPr>
      <w:r>
        <w:t>Australian New Zealand Standard Industrial Classification (ANZSIC) 2006</w:t>
      </w:r>
    </w:p>
    <w:p w14:paraId="002BB98F" w14:textId="77777777" w:rsidR="00EB1F41" w:rsidRPr="00E70518" w:rsidRDefault="00EB1F41" w:rsidP="00EB1F41">
      <w:pPr>
        <w:rPr>
          <w:b/>
          <w:sz w:val="24"/>
        </w:rPr>
      </w:pPr>
      <w:r w:rsidRPr="00E70518">
        <w:rPr>
          <w:b/>
          <w:sz w:val="24"/>
        </w:rPr>
        <w:t xml:space="preserve">For Southbound </w:t>
      </w:r>
      <w:r w:rsidR="00F76FF9">
        <w:rPr>
          <w:b/>
          <w:sz w:val="24"/>
        </w:rPr>
        <w:t>and Intrastate Assistance</w:t>
      </w:r>
      <w:r w:rsidRPr="00E70518">
        <w:rPr>
          <w:b/>
          <w:sz w:val="24"/>
        </w:rPr>
        <w:t xml:space="preserve"> Only</w:t>
      </w:r>
    </w:p>
    <w:p w14:paraId="287A5886" w14:textId="4A4757A4" w:rsidR="00EB1F41" w:rsidRDefault="00EB1F41" w:rsidP="00EB1F41">
      <w:r>
        <w:t xml:space="preserve">The TFES Ministerial Directions (MDs) refer to the </w:t>
      </w:r>
      <w:r w:rsidRPr="00557D6A">
        <w:t>Australian and New Zealand Standard Industrial Classification 2006,</w:t>
      </w:r>
      <w:r>
        <w:t xml:space="preserve"> (ANZSIC) as amended from time to time. A copy of the ANZSIC can be obtained from the Australian Bureau of Statistics website: </w:t>
      </w:r>
      <w:hyperlink r:id="rId8" w:history="1">
        <w:r w:rsidRPr="004026A7">
          <w:rPr>
            <w:color w:val="0000FF"/>
            <w:u w:val="single"/>
          </w:rPr>
          <w:t>https://www.abs.gov.au/ausstats/abs@.nsf/mf/1292.0</w:t>
        </w:r>
      </w:hyperlink>
    </w:p>
    <w:p w14:paraId="78A2E1A6" w14:textId="77777777" w:rsidR="00EB1F41" w:rsidRDefault="00EB1F41" w:rsidP="00EB1F41">
      <w:r>
        <w:t>References to the ANZSIC are contained in clauses 1.5.1, 1.6.1</w:t>
      </w:r>
      <w:r w:rsidR="00E003B2">
        <w:t xml:space="preserve">,2.9.2 and 2.13.2 </w:t>
      </w:r>
      <w:r>
        <w:t>of the TFES MDs, and refer to a manufacturing, mining</w:t>
      </w:r>
      <w:r w:rsidR="00547A66">
        <w:t xml:space="preserve"> or</w:t>
      </w:r>
      <w:r w:rsidR="0037323C">
        <w:t xml:space="preserve"> agriculture, forestry and</w:t>
      </w:r>
      <w:r>
        <w:t xml:space="preserve"> fishery </w:t>
      </w:r>
      <w:r w:rsidR="00547A66">
        <w:t>industry</w:t>
      </w:r>
      <w:r>
        <w:t xml:space="preserve">, and is taken to be a reference as described by Division A, B or C of ANZSIC (see below). </w:t>
      </w:r>
    </w:p>
    <w:p w14:paraId="1BB784C9" w14:textId="346BC43F" w:rsidR="00EB1F41" w:rsidRDefault="00D15BEB" w:rsidP="00EB1F41">
      <w:r>
        <w:t>D</w:t>
      </w:r>
      <w:r w:rsidR="00EB1F41">
        <w:t xml:space="preserve">ecisions on eligibility are based on a claimant’s main business activity as listed in the class of ANZSIC to which the claimant has been assigned. In accordance with ANZSIC, each business is assigned a class which reflects the ‘predominant industry of its economic activities’. </w:t>
      </w:r>
    </w:p>
    <w:p w14:paraId="6A6DC0A6" w14:textId="77777777" w:rsidR="00EB1F41" w:rsidRDefault="00EB1F41" w:rsidP="00EB1F41">
      <w:r>
        <w:t>To determine the predominant economic activity undertaken by a business, Services Australia may request that you undertake a short questionnaire to determine eligibility for Southbound TFES assistance.  Once the eligibility of the claimant has been determined, goods shipped will undergo a separate assessment of eligibility for assistance.</w:t>
      </w:r>
    </w:p>
    <w:p w14:paraId="0F8491E6" w14:textId="77777777" w:rsidR="00EB1F41" w:rsidRDefault="00EB1F41" w:rsidP="00EB1F41">
      <w:pPr>
        <w:spacing w:before="0" w:after="0" w:line="240" w:lineRule="auto"/>
      </w:pPr>
      <w:r>
        <w:t>For further information please contact:</w:t>
      </w:r>
    </w:p>
    <w:p w14:paraId="6BDDE61D" w14:textId="77777777" w:rsidR="00EB1F41" w:rsidRDefault="00EB1F41" w:rsidP="00EB1F41">
      <w:pPr>
        <w:spacing w:before="0" w:after="0" w:line="240" w:lineRule="auto"/>
      </w:pPr>
    </w:p>
    <w:p w14:paraId="3AD1E444" w14:textId="77777777" w:rsidR="00EB1F41" w:rsidRDefault="00EB1F41" w:rsidP="00EB1F41">
      <w:pPr>
        <w:spacing w:before="0" w:after="0" w:line="240" w:lineRule="auto"/>
      </w:pPr>
      <w:r>
        <w:t xml:space="preserve">Tasmanian Transport Programs </w:t>
      </w:r>
    </w:p>
    <w:p w14:paraId="212ED6C0" w14:textId="77777777" w:rsidR="00EB1F41" w:rsidRDefault="00EB1F41" w:rsidP="00EB1F41">
      <w:pPr>
        <w:spacing w:before="0" w:after="0" w:line="240" w:lineRule="auto"/>
      </w:pPr>
      <w:r>
        <w:t xml:space="preserve">Services Australia  </w:t>
      </w:r>
    </w:p>
    <w:p w14:paraId="1CF1599F" w14:textId="77777777" w:rsidR="00EB1F41" w:rsidRDefault="00EB1F41" w:rsidP="00EB1F41">
      <w:pPr>
        <w:spacing w:before="0" w:after="0" w:line="240" w:lineRule="auto"/>
      </w:pPr>
      <w:r>
        <w:t xml:space="preserve">GPO Box 1269 </w:t>
      </w:r>
    </w:p>
    <w:p w14:paraId="7207E261" w14:textId="77777777" w:rsidR="00EB1F41" w:rsidRDefault="00EB1F41" w:rsidP="00EB1F41">
      <w:pPr>
        <w:spacing w:before="0" w:after="0" w:line="240" w:lineRule="auto"/>
      </w:pPr>
      <w:r>
        <w:t xml:space="preserve">HOBART TAS 7001 </w:t>
      </w:r>
    </w:p>
    <w:p w14:paraId="3384973A" w14:textId="77777777" w:rsidR="00EB1F41" w:rsidRDefault="00EB1F41" w:rsidP="00EB1F41">
      <w:pPr>
        <w:spacing w:before="0" w:after="0" w:line="240" w:lineRule="auto"/>
      </w:pPr>
      <w:r>
        <w:t>Phone: 13 11 58</w:t>
      </w:r>
    </w:p>
    <w:p w14:paraId="00AA6CCF" w14:textId="32D116CC" w:rsidR="00EB1F41" w:rsidRDefault="00EB1F41" w:rsidP="00EB1F41">
      <w:pPr>
        <w:spacing w:before="0" w:after="0" w:line="240" w:lineRule="auto"/>
      </w:pPr>
      <w:r>
        <w:t>Fax: (03) 6</w:t>
      </w:r>
      <w:r w:rsidR="00E719FE">
        <w:t>208 9976</w:t>
      </w:r>
      <w:r>
        <w:t xml:space="preserve"> </w:t>
      </w:r>
    </w:p>
    <w:p w14:paraId="251CE16C" w14:textId="2DFA1B13" w:rsidR="00EB1F41" w:rsidRDefault="00EB1F41" w:rsidP="00EB1F41">
      <w:pPr>
        <w:spacing w:before="0" w:after="0" w:line="240" w:lineRule="auto"/>
      </w:pPr>
      <w:r>
        <w:t xml:space="preserve">Email: </w:t>
      </w:r>
      <w:hyperlink r:id="rId9" w:history="1">
        <w:r w:rsidR="00DC392A" w:rsidRPr="00E1381F">
          <w:rPr>
            <w:rStyle w:val="Hyperlink"/>
          </w:rPr>
          <w:t>tfes.support@servicesaustralia.gov.au</w:t>
        </w:r>
      </w:hyperlink>
      <w:r w:rsidR="00DC392A">
        <w:t xml:space="preserve"> </w:t>
      </w:r>
    </w:p>
    <w:p w14:paraId="6000A3C1" w14:textId="77777777" w:rsidR="00EB1F41" w:rsidRDefault="00EB1F41" w:rsidP="00EB1F41">
      <w:pPr>
        <w:pStyle w:val="Heading3"/>
      </w:pPr>
      <w:r>
        <w:lastRenderedPageBreak/>
        <w:t>Agriculture, Forestry and Fishing – Division A of ANZSIC 2006</w:t>
      </w:r>
    </w:p>
    <w:p w14:paraId="13971F4F" w14:textId="77777777" w:rsidR="00EB1F41" w:rsidRDefault="00EB1F41" w:rsidP="00EB1F41">
      <w:r w:rsidRPr="00A05CCA">
        <w:t>The Agriculture, Forestry and Fishing Division includes</w:t>
      </w:r>
      <w:r>
        <w:t xml:space="preserve"> businesses mainly engaged in growing crops, raising animals, growing and harvesting timber, and harvesting fish and other animals from farms or their natural habitats. </w:t>
      </w:r>
    </w:p>
    <w:p w14:paraId="2798E2FB" w14:textId="77777777" w:rsidR="00EB1F41" w:rsidRDefault="00EB1F41" w:rsidP="00EB1F41">
      <w:r>
        <w:t>It includes production activities such as horticulture, livestock production, aquaculture, forestry and logging, and fishing, hunting and trapping.</w:t>
      </w:r>
    </w:p>
    <w:p w14:paraId="2F488363" w14:textId="77777777" w:rsidR="00EB1F41" w:rsidRDefault="00EB1F41" w:rsidP="00EB1F41">
      <w:r>
        <w:t xml:space="preserve">The Division includes agricultural activities such as the growing and cultivation of horticultural and other crops, and the controlled breeding, raising or farming of animals. </w:t>
      </w:r>
    </w:p>
    <w:p w14:paraId="0BE53C64" w14:textId="77777777" w:rsidR="00EB1F41" w:rsidRDefault="00EB1F41" w:rsidP="00EB1F41">
      <w:r>
        <w:t>Forestry and logging activities include growing, maintaining and harvesting forests, as well as gathering forest products.</w:t>
      </w:r>
    </w:p>
    <w:p w14:paraId="744A907B" w14:textId="77777777" w:rsidR="00EB1F41" w:rsidRDefault="00EB1F41" w:rsidP="00EB1F41">
      <w:r>
        <w:t>Fishing, hunting and trapping includes gathering or catching marine life such as fish or shellfish, or other animals, from their uncontrolled natural environments in water or on land.</w:t>
      </w:r>
    </w:p>
    <w:p w14:paraId="6B95BBD0" w14:textId="77777777" w:rsidR="00EB1F41" w:rsidRDefault="00EB1F41" w:rsidP="00EB1F41">
      <w:r>
        <w:t>Businesses engaged in providing support services to the units engaged in production activities are included.</w:t>
      </w:r>
    </w:p>
    <w:p w14:paraId="6A530196" w14:textId="77777777" w:rsidR="00EB1F41" w:rsidRDefault="00EB1F41" w:rsidP="00EB1F41">
      <w:pPr>
        <w:pStyle w:val="Heading3"/>
      </w:pPr>
      <w:r>
        <w:t>Mining – Division B of ANZSIC 2006</w:t>
      </w:r>
    </w:p>
    <w:p w14:paraId="0D70CE68" w14:textId="77777777" w:rsidR="00EB1F41" w:rsidRDefault="00EB1F41" w:rsidP="00EB1F41">
      <w:r>
        <w:t>The Mining Division includes businesses that mainly extract naturally occurring mineral solids, such as coal and ores; liquid minerals, such as crude petroleum; and gases, such as natural gas. It includes underground or open cut mining; dredging; quarrying; well operations or evaporation pans; recovery from ore dumps or tailings as well as beneficiation activities (i.e. preparing, including crushing, screening, washing and flotation) and other preparation work customarily performed at the mine site, or as a part of mining activity.</w:t>
      </w:r>
    </w:p>
    <w:p w14:paraId="3BAB295F" w14:textId="77777777" w:rsidR="00EB1F41" w:rsidRDefault="00EB1F41" w:rsidP="00EB1F41">
      <w:r>
        <w:t>The following mine operation and mining support activities are included:</w:t>
      </w:r>
    </w:p>
    <w:p w14:paraId="305F0731" w14:textId="77777777" w:rsidR="00EB1F41" w:rsidRDefault="00EB1F41" w:rsidP="00EB1F41">
      <w:pPr>
        <w:pStyle w:val="ListParagraph"/>
        <w:numPr>
          <w:ilvl w:val="0"/>
          <w:numId w:val="7"/>
        </w:numPr>
        <w:spacing w:before="120" w:after="200" w:line="312" w:lineRule="auto"/>
      </w:pPr>
      <w:r>
        <w:t>operating mines, quarries, or oil and gas wells on their own account;</w:t>
      </w:r>
    </w:p>
    <w:p w14:paraId="48A3A8EF" w14:textId="77777777" w:rsidR="00EB1F41" w:rsidRDefault="00EB1F41" w:rsidP="00EB1F41">
      <w:pPr>
        <w:pStyle w:val="ListParagraph"/>
        <w:numPr>
          <w:ilvl w:val="0"/>
          <w:numId w:val="7"/>
        </w:numPr>
        <w:spacing w:before="120" w:after="200" w:line="312" w:lineRule="auto"/>
      </w:pPr>
      <w:r>
        <w:t>operating mines, quarries, or oil and gas wells for others on a contract or fee basis;</w:t>
      </w:r>
    </w:p>
    <w:p w14:paraId="4994B343" w14:textId="77777777" w:rsidR="00EB1F41" w:rsidRDefault="00EB1F41" w:rsidP="00EB1F41">
      <w:pPr>
        <w:pStyle w:val="ListParagraph"/>
        <w:numPr>
          <w:ilvl w:val="0"/>
          <w:numId w:val="7"/>
        </w:numPr>
        <w:spacing w:before="120" w:after="200" w:line="312" w:lineRule="auto"/>
      </w:pPr>
      <w:r>
        <w:t>mining sites under development;</w:t>
      </w:r>
    </w:p>
    <w:p w14:paraId="68ADF465" w14:textId="77777777" w:rsidR="00EB1F41" w:rsidRDefault="00EB1F41" w:rsidP="00EB1F41">
      <w:pPr>
        <w:pStyle w:val="ListParagraph"/>
        <w:numPr>
          <w:ilvl w:val="0"/>
          <w:numId w:val="7"/>
        </w:numPr>
        <w:spacing w:before="120" w:after="200" w:line="312" w:lineRule="auto"/>
      </w:pPr>
      <w:r>
        <w:t>mining services on a contract or fee basis; and</w:t>
      </w:r>
    </w:p>
    <w:p w14:paraId="7485A579" w14:textId="77777777" w:rsidR="00EB1F41" w:rsidRDefault="00EB1F41" w:rsidP="00EB1F41">
      <w:pPr>
        <w:pStyle w:val="ListParagraph"/>
        <w:numPr>
          <w:ilvl w:val="0"/>
          <w:numId w:val="7"/>
        </w:numPr>
        <w:spacing w:before="120" w:after="200" w:line="312" w:lineRule="auto"/>
      </w:pPr>
      <w:r>
        <w:t>exploration (except geophysical surveying).</w:t>
      </w:r>
    </w:p>
    <w:p w14:paraId="462A0A8B" w14:textId="77777777" w:rsidR="00EB1F41" w:rsidRDefault="00EB1F41" w:rsidP="00EB1F41">
      <w:r>
        <w:t>It includes businesses that extract natural resources, and/or those that beneficiate the mineral mined. Beneficiation is the process whereby the extracted material is reduced to particles that can be separated into mineral and waste, the former suitable for further processing or direct use. These processes are primarily mechanical, such as grinding, washing, magnetic separation, and centrifugal separation. In contrast, manufacturing operations primarily use chemical and electro-chemical processes, such as electrolysis and distillation.</w:t>
      </w:r>
    </w:p>
    <w:p w14:paraId="55E34C70" w14:textId="77777777" w:rsidR="00EB1F41" w:rsidRDefault="00EB1F41" w:rsidP="00EB1F41">
      <w:r>
        <w:br w:type="page"/>
      </w:r>
    </w:p>
    <w:p w14:paraId="0BF84BA4" w14:textId="77777777" w:rsidR="00EB1F41" w:rsidRDefault="00EB1F41" w:rsidP="00EB1F41"/>
    <w:p w14:paraId="4F7A9C15" w14:textId="77777777" w:rsidR="00EB1F41" w:rsidRDefault="00EB1F41" w:rsidP="00EB1F41">
      <w:pPr>
        <w:pStyle w:val="Heading3"/>
      </w:pPr>
      <w:r>
        <w:t>Manufacturing Process – Division C of ANZSIC 2006</w:t>
      </w:r>
    </w:p>
    <w:p w14:paraId="2DC2B2BD" w14:textId="77777777" w:rsidR="00EB1F41" w:rsidRPr="00A05CCA" w:rsidRDefault="00EB1F41" w:rsidP="00EB1F41">
      <w:pPr>
        <w:rPr>
          <w:lang w:val="en-US"/>
        </w:rPr>
      </w:pPr>
      <w:r w:rsidRPr="00A05CCA">
        <w:rPr>
          <w:lang w:val="en-US"/>
        </w:rPr>
        <w:t>The Ma</w:t>
      </w:r>
      <w:r>
        <w:rPr>
          <w:lang w:val="en-US"/>
        </w:rPr>
        <w:t xml:space="preserve">nufacturing Division includes businesses </w:t>
      </w:r>
      <w:r w:rsidRPr="00A05CCA">
        <w:rPr>
          <w:lang w:val="en-US"/>
        </w:rPr>
        <w:t>mainly engaged in the physical or chemical transformation of materials, substances or components into new products (except agriculture and construction). The materials, substances or components transformed are raw materials that are products of agriculture, forestry, fishing and mining, or products of other manufacturing units.</w:t>
      </w:r>
    </w:p>
    <w:p w14:paraId="214FBFB9" w14:textId="77777777" w:rsidR="00EB1F41" w:rsidRPr="00A05CCA" w:rsidRDefault="00EB1F41" w:rsidP="00EB1F41">
      <w:pPr>
        <w:rPr>
          <w:lang w:val="en-US"/>
        </w:rPr>
      </w:pPr>
      <w:r>
        <w:rPr>
          <w:lang w:val="en-US"/>
        </w:rPr>
        <w:t xml:space="preserve">Businesses </w:t>
      </w:r>
      <w:r w:rsidRPr="00A05CCA">
        <w:rPr>
          <w:lang w:val="en-US"/>
        </w:rPr>
        <w:t xml:space="preserve">in the Manufacturing Division are often described as plants, factories or mills and characteristically use power-driven machines and other materials-handling equipment. However, </w:t>
      </w:r>
      <w:r>
        <w:rPr>
          <w:lang w:val="en-US"/>
        </w:rPr>
        <w:t xml:space="preserve">businesses </w:t>
      </w:r>
      <w:r w:rsidRPr="00A05CCA">
        <w:rPr>
          <w:lang w:val="en-US"/>
        </w:rPr>
        <w:t xml:space="preserve">that transform materials, substances or components into </w:t>
      </w:r>
      <w:r>
        <w:rPr>
          <w:lang w:val="en-US"/>
        </w:rPr>
        <w:t>new products by hand, or in the</w:t>
      </w:r>
      <w:r w:rsidRPr="00A05CCA">
        <w:rPr>
          <w:lang w:val="en-US"/>
        </w:rPr>
        <w:t xml:space="preserve"> home, are also included. Activities undertaken </w:t>
      </w:r>
      <w:r>
        <w:rPr>
          <w:lang w:val="en-US"/>
        </w:rPr>
        <w:t>which are incidental to the</w:t>
      </w:r>
      <w:r w:rsidRPr="00A05CCA">
        <w:rPr>
          <w:lang w:val="en-US"/>
        </w:rPr>
        <w:t xml:space="preserve"> manufacturing activity, such as selling directly to the consumer products manufactured on the same premises from which they are sold, such as bakeries and cust</w:t>
      </w:r>
      <w:r>
        <w:rPr>
          <w:lang w:val="en-US"/>
        </w:rPr>
        <w:t>om tailors, are also included</w:t>
      </w:r>
      <w:r w:rsidRPr="00A05CCA">
        <w:rPr>
          <w:lang w:val="en-US"/>
        </w:rPr>
        <w:t xml:space="preserve">. If, in addition to self-produced products, other products that are not manufactured by the same </w:t>
      </w:r>
      <w:r>
        <w:rPr>
          <w:lang w:val="en-US"/>
        </w:rPr>
        <w:t>business</w:t>
      </w:r>
      <w:r w:rsidRPr="00A05CCA">
        <w:rPr>
          <w:lang w:val="en-US"/>
        </w:rPr>
        <w:t xml:space="preserve"> are also sold, the rules for the treatment of mixed activit</w:t>
      </w:r>
      <w:r>
        <w:rPr>
          <w:lang w:val="en-US"/>
        </w:rPr>
        <w:t>ies have to be applied and businesses are</w:t>
      </w:r>
      <w:r w:rsidRPr="00A05CCA">
        <w:rPr>
          <w:lang w:val="en-US"/>
        </w:rPr>
        <w:t xml:space="preserve"> classified according to their predominant activity.</w:t>
      </w:r>
    </w:p>
    <w:p w14:paraId="0B7AE57E" w14:textId="77777777" w:rsidR="00EB1F41" w:rsidRPr="00A05CCA" w:rsidRDefault="00EB1F41" w:rsidP="00EB1F41">
      <w:pPr>
        <w:rPr>
          <w:lang w:val="en-US"/>
        </w:rPr>
      </w:pPr>
      <w:r w:rsidRPr="00A05CCA">
        <w:rPr>
          <w:lang w:val="en-US"/>
        </w:rPr>
        <w:t>Assembly of the component parts of manufactured products, either self-pr</w:t>
      </w:r>
      <w:r>
        <w:rPr>
          <w:lang w:val="en-US"/>
        </w:rPr>
        <w:t>oduced or purchased from other businesses</w:t>
      </w:r>
      <w:r w:rsidRPr="00A05CCA">
        <w:rPr>
          <w:lang w:val="en-US"/>
        </w:rPr>
        <w:t>, is considered manufacturing. For example, assembly of self-manufactured prefabricated components at a construction site is considered manufacturing, as the assembly is incidental to the manufacturing activity. Conversely, when undertaken as a primary activity, the on-site assembly of components manufactured by others is considered to be construction.</w:t>
      </w:r>
    </w:p>
    <w:p w14:paraId="04C2B89E" w14:textId="77777777" w:rsidR="00EB1F41" w:rsidRDefault="00EB1F41" w:rsidP="00EB1F41">
      <w:pPr>
        <w:rPr>
          <w:lang w:val="en-US"/>
        </w:rPr>
      </w:pPr>
      <w:r w:rsidRPr="00A05CCA">
        <w:rPr>
          <w:lang w:val="en-US"/>
        </w:rPr>
        <w:t xml:space="preserve">The boundaries between the Manufacturing Division and other divisions in ANZSIC can sometimes be unclear. The </w:t>
      </w:r>
      <w:r>
        <w:rPr>
          <w:lang w:val="en-US"/>
        </w:rPr>
        <w:t xml:space="preserve">businesses </w:t>
      </w:r>
      <w:r w:rsidRPr="00A05CCA">
        <w:rPr>
          <w:lang w:val="en-US"/>
        </w:rPr>
        <w:t xml:space="preserve">in the Manufacturing Division are engaged in the transformation of materials into new products. Their output is a new product. </w:t>
      </w:r>
    </w:p>
    <w:p w14:paraId="3D312E76" w14:textId="77777777" w:rsidR="00EB1F41" w:rsidRPr="00A05CCA" w:rsidRDefault="00EB1F41" w:rsidP="00EB1F41">
      <w:pPr>
        <w:rPr>
          <w:lang w:val="en-US"/>
        </w:rPr>
      </w:pPr>
      <w:r>
        <w:rPr>
          <w:lang w:val="en-US"/>
        </w:rPr>
        <w:t>T</w:t>
      </w:r>
      <w:r w:rsidRPr="00A05CCA">
        <w:rPr>
          <w:lang w:val="en-US"/>
        </w:rPr>
        <w:t xml:space="preserve">he following activities are </w:t>
      </w:r>
      <w:r>
        <w:rPr>
          <w:lang w:val="en-US"/>
        </w:rPr>
        <w:t xml:space="preserve">included: </w:t>
      </w:r>
    </w:p>
    <w:p w14:paraId="22D02D06" w14:textId="77777777" w:rsidR="00EB1F41" w:rsidRPr="005B132A" w:rsidRDefault="00EB1F41" w:rsidP="00EB1F41">
      <w:pPr>
        <w:pStyle w:val="ListParagraph"/>
        <w:numPr>
          <w:ilvl w:val="0"/>
          <w:numId w:val="5"/>
        </w:numPr>
        <w:spacing w:before="120" w:after="200" w:line="312" w:lineRule="auto"/>
        <w:rPr>
          <w:lang w:val="en-US"/>
        </w:rPr>
      </w:pPr>
      <w:r w:rsidRPr="005B132A">
        <w:rPr>
          <w:lang w:val="en-US"/>
        </w:rPr>
        <w:t xml:space="preserve">Milk bottling and </w:t>
      </w:r>
      <w:proofErr w:type="spellStart"/>
      <w:r w:rsidRPr="005B132A">
        <w:rPr>
          <w:lang w:val="en-US"/>
        </w:rPr>
        <w:t>pasteurising</w:t>
      </w:r>
      <w:proofErr w:type="spellEnd"/>
      <w:r w:rsidRPr="005B132A">
        <w:rPr>
          <w:lang w:val="en-US"/>
        </w:rPr>
        <w:t>;</w:t>
      </w:r>
    </w:p>
    <w:p w14:paraId="275C15F3" w14:textId="77777777" w:rsidR="00EB1F41" w:rsidRPr="005B132A" w:rsidRDefault="00EB1F41" w:rsidP="00EB1F41">
      <w:pPr>
        <w:pStyle w:val="ListParagraph"/>
        <w:numPr>
          <w:ilvl w:val="0"/>
          <w:numId w:val="5"/>
        </w:numPr>
        <w:spacing w:before="120" w:after="200" w:line="312" w:lineRule="auto"/>
        <w:rPr>
          <w:lang w:val="en-US"/>
        </w:rPr>
      </w:pPr>
      <w:r w:rsidRPr="005B132A">
        <w:rPr>
          <w:lang w:val="en-US"/>
        </w:rPr>
        <w:t>Both processing and canning or bottling;</w:t>
      </w:r>
    </w:p>
    <w:p w14:paraId="12C2CBCB" w14:textId="77777777" w:rsidR="00EB1F41" w:rsidRPr="005B132A" w:rsidRDefault="00EB1F41" w:rsidP="00EB1F41">
      <w:pPr>
        <w:pStyle w:val="ListParagraph"/>
        <w:numPr>
          <w:ilvl w:val="0"/>
          <w:numId w:val="5"/>
        </w:numPr>
        <w:spacing w:before="120" w:after="200" w:line="312" w:lineRule="auto"/>
        <w:rPr>
          <w:lang w:val="en-US"/>
        </w:rPr>
      </w:pPr>
      <w:r w:rsidRPr="005B132A">
        <w:rPr>
          <w:lang w:val="en-US"/>
        </w:rPr>
        <w:t>Fresh fish packaging (including oyster shucking, fish filleting);</w:t>
      </w:r>
    </w:p>
    <w:p w14:paraId="5610ED48" w14:textId="77777777" w:rsidR="00EB1F41" w:rsidRPr="005B132A" w:rsidRDefault="00EB1F41" w:rsidP="00EB1F41">
      <w:pPr>
        <w:pStyle w:val="ListParagraph"/>
        <w:numPr>
          <w:ilvl w:val="0"/>
          <w:numId w:val="5"/>
        </w:numPr>
        <w:spacing w:before="120" w:after="200" w:line="312" w:lineRule="auto"/>
        <w:rPr>
          <w:lang w:val="en-US"/>
        </w:rPr>
      </w:pPr>
      <w:r w:rsidRPr="005B132A">
        <w:rPr>
          <w:lang w:val="en-US"/>
        </w:rPr>
        <w:t>Printing and related support activities;</w:t>
      </w:r>
    </w:p>
    <w:p w14:paraId="626BC862" w14:textId="77777777" w:rsidR="00EB1F41" w:rsidRPr="005B132A" w:rsidRDefault="00EB1F41" w:rsidP="00EB1F41">
      <w:pPr>
        <w:pStyle w:val="ListParagraph"/>
        <w:numPr>
          <w:ilvl w:val="0"/>
          <w:numId w:val="5"/>
        </w:numPr>
        <w:spacing w:before="120" w:after="200" w:line="312" w:lineRule="auto"/>
        <w:rPr>
          <w:lang w:val="en-US"/>
        </w:rPr>
      </w:pPr>
      <w:r w:rsidRPr="005B132A">
        <w:rPr>
          <w:lang w:val="en-US"/>
        </w:rPr>
        <w:t>Ready-mixed concrete production;</w:t>
      </w:r>
    </w:p>
    <w:p w14:paraId="5BF340A6" w14:textId="77777777" w:rsidR="00EB1F41" w:rsidRPr="005B132A" w:rsidRDefault="00EB1F41" w:rsidP="00EB1F41">
      <w:pPr>
        <w:pStyle w:val="ListParagraph"/>
        <w:numPr>
          <w:ilvl w:val="0"/>
          <w:numId w:val="5"/>
        </w:numPr>
        <w:spacing w:before="120" w:after="200" w:line="312" w:lineRule="auto"/>
        <w:rPr>
          <w:lang w:val="en-US"/>
        </w:rPr>
      </w:pPr>
      <w:r w:rsidRPr="005B132A">
        <w:rPr>
          <w:lang w:val="en-US"/>
        </w:rPr>
        <w:t>Leather tanning and dressing;</w:t>
      </w:r>
    </w:p>
    <w:p w14:paraId="1E041379" w14:textId="77777777" w:rsidR="00EB1F41" w:rsidRPr="005B132A" w:rsidRDefault="00EB1F41" w:rsidP="00EB1F41">
      <w:pPr>
        <w:pStyle w:val="ListParagraph"/>
        <w:numPr>
          <w:ilvl w:val="0"/>
          <w:numId w:val="5"/>
        </w:numPr>
        <w:spacing w:before="120" w:after="200" w:line="312" w:lineRule="auto"/>
        <w:rPr>
          <w:lang w:val="en-US"/>
        </w:rPr>
      </w:pPr>
      <w:r w:rsidRPr="005B132A">
        <w:rPr>
          <w:lang w:val="en-US"/>
        </w:rPr>
        <w:t>Grinding of lenses to prescription;</w:t>
      </w:r>
    </w:p>
    <w:p w14:paraId="1D6BC367" w14:textId="77777777" w:rsidR="00EB1F41" w:rsidRPr="005B132A" w:rsidRDefault="00EB1F41" w:rsidP="00EB1F41">
      <w:pPr>
        <w:pStyle w:val="ListParagraph"/>
        <w:numPr>
          <w:ilvl w:val="0"/>
          <w:numId w:val="5"/>
        </w:numPr>
        <w:spacing w:before="120" w:after="200" w:line="312" w:lineRule="auto"/>
        <w:rPr>
          <w:lang w:val="en-US"/>
        </w:rPr>
      </w:pPr>
      <w:r w:rsidRPr="005B132A">
        <w:rPr>
          <w:lang w:val="en-US"/>
        </w:rPr>
        <w:t>Wood preserving and treatment;</w:t>
      </w:r>
    </w:p>
    <w:p w14:paraId="4A3413F8" w14:textId="77777777" w:rsidR="00EB1F41" w:rsidRPr="005B132A" w:rsidRDefault="00EB1F41" w:rsidP="00EB1F41">
      <w:pPr>
        <w:pStyle w:val="ListParagraph"/>
        <w:numPr>
          <w:ilvl w:val="0"/>
          <w:numId w:val="5"/>
        </w:numPr>
        <w:spacing w:before="120" w:after="200" w:line="312" w:lineRule="auto"/>
        <w:rPr>
          <w:lang w:val="en-US"/>
        </w:rPr>
      </w:pPr>
      <w:r w:rsidRPr="005B132A">
        <w:rPr>
          <w:lang w:val="en-US"/>
        </w:rPr>
        <w:t>Electroplating, plating, metal heat treating, and polishing;</w:t>
      </w:r>
    </w:p>
    <w:p w14:paraId="4AEEEADC" w14:textId="77777777" w:rsidR="00EB1F41" w:rsidRPr="005B132A" w:rsidRDefault="00EB1F41" w:rsidP="00EB1F41">
      <w:pPr>
        <w:pStyle w:val="ListParagraph"/>
        <w:numPr>
          <w:ilvl w:val="0"/>
          <w:numId w:val="5"/>
        </w:numPr>
        <w:spacing w:before="120" w:after="200" w:line="312" w:lineRule="auto"/>
        <w:rPr>
          <w:lang w:val="en-US"/>
        </w:rPr>
      </w:pPr>
      <w:r w:rsidRPr="005B132A">
        <w:rPr>
          <w:lang w:val="en-US"/>
        </w:rPr>
        <w:t>Fabricating signs and advertising displays;</w:t>
      </w:r>
    </w:p>
    <w:p w14:paraId="4AB4C4A0" w14:textId="77777777" w:rsidR="00EB1F41" w:rsidRPr="005B132A" w:rsidRDefault="00EB1F41" w:rsidP="00EB1F41">
      <w:pPr>
        <w:pStyle w:val="ListParagraph"/>
        <w:numPr>
          <w:ilvl w:val="0"/>
          <w:numId w:val="5"/>
        </w:numPr>
        <w:spacing w:before="120" w:after="200" w:line="312" w:lineRule="auto"/>
        <w:rPr>
          <w:lang w:val="en-US"/>
        </w:rPr>
      </w:pPr>
      <w:proofErr w:type="spellStart"/>
      <w:r w:rsidRPr="005B132A">
        <w:rPr>
          <w:lang w:val="en-US"/>
        </w:rPr>
        <w:t>Tyre</w:t>
      </w:r>
      <w:proofErr w:type="spellEnd"/>
      <w:r w:rsidRPr="005B132A">
        <w:rPr>
          <w:lang w:val="en-US"/>
        </w:rPr>
        <w:t xml:space="preserve"> retreading;</w:t>
      </w:r>
    </w:p>
    <w:p w14:paraId="13E80BA3" w14:textId="77777777" w:rsidR="00EB1F41" w:rsidRPr="005B132A" w:rsidRDefault="00EB1F41" w:rsidP="00EB1F41">
      <w:pPr>
        <w:pStyle w:val="ListParagraph"/>
        <w:numPr>
          <w:ilvl w:val="0"/>
          <w:numId w:val="5"/>
        </w:numPr>
        <w:spacing w:before="120" w:after="200" w:line="312" w:lineRule="auto"/>
        <w:rPr>
          <w:lang w:val="en-US"/>
        </w:rPr>
      </w:pPr>
      <w:r w:rsidRPr="005B132A">
        <w:rPr>
          <w:lang w:val="en-US"/>
        </w:rPr>
        <w:t>Ship, boat, railway rolling stock and aircraft repair and maintenance; and</w:t>
      </w:r>
    </w:p>
    <w:p w14:paraId="48133A11" w14:textId="77777777" w:rsidR="00EB1F41" w:rsidRPr="005B132A" w:rsidRDefault="00EB1F41" w:rsidP="00EB1F41">
      <w:pPr>
        <w:pStyle w:val="ListParagraph"/>
        <w:numPr>
          <w:ilvl w:val="0"/>
          <w:numId w:val="5"/>
        </w:numPr>
        <w:spacing w:before="120" w:after="200" w:line="312" w:lineRule="auto"/>
        <w:rPr>
          <w:lang w:val="en-US"/>
        </w:rPr>
      </w:pPr>
      <w:r w:rsidRPr="005B132A">
        <w:rPr>
          <w:lang w:val="en-US"/>
        </w:rPr>
        <w:t>Substantial alteration, renovation or reconstruction of goods such as transport equipment.</w:t>
      </w:r>
    </w:p>
    <w:p w14:paraId="24A76D74" w14:textId="77777777" w:rsidR="00EB1F41" w:rsidRDefault="00EB1F41" w:rsidP="00EB1F41">
      <w:pPr>
        <w:rPr>
          <w:lang w:val="en-US"/>
        </w:rPr>
      </w:pPr>
      <w:r>
        <w:rPr>
          <w:lang w:val="en-US"/>
        </w:rPr>
        <w:lastRenderedPageBreak/>
        <w:t xml:space="preserve">The following activities are NOT included: </w:t>
      </w:r>
    </w:p>
    <w:p w14:paraId="461EB55C" w14:textId="77777777" w:rsidR="00EB1F41" w:rsidRPr="005B132A" w:rsidRDefault="00EB1F41" w:rsidP="00EB1F41">
      <w:pPr>
        <w:pStyle w:val="ListParagraph"/>
        <w:numPr>
          <w:ilvl w:val="0"/>
          <w:numId w:val="6"/>
        </w:numPr>
        <w:spacing w:before="120" w:after="200" w:line="312" w:lineRule="auto"/>
        <w:rPr>
          <w:lang w:val="en-US"/>
        </w:rPr>
      </w:pPr>
      <w:r w:rsidRPr="005B132A">
        <w:rPr>
          <w:lang w:val="en-US"/>
        </w:rPr>
        <w:t xml:space="preserve">Logging and </w:t>
      </w:r>
      <w:r>
        <w:rPr>
          <w:lang w:val="en-US"/>
        </w:rPr>
        <w:t>production of crops or livestock</w:t>
      </w:r>
      <w:r w:rsidRPr="005B132A">
        <w:rPr>
          <w:lang w:val="en-US"/>
        </w:rPr>
        <w:t>;</w:t>
      </w:r>
    </w:p>
    <w:p w14:paraId="2320696F" w14:textId="77777777" w:rsidR="00EB1F41" w:rsidRPr="005B132A" w:rsidRDefault="00EB1F41" w:rsidP="00EB1F41">
      <w:pPr>
        <w:pStyle w:val="ListParagraph"/>
        <w:numPr>
          <w:ilvl w:val="0"/>
          <w:numId w:val="6"/>
        </w:numPr>
        <w:spacing w:before="120" w:after="200" w:line="312" w:lineRule="auto"/>
        <w:rPr>
          <w:lang w:val="en-US"/>
        </w:rPr>
      </w:pPr>
      <w:r w:rsidRPr="005B132A">
        <w:rPr>
          <w:lang w:val="en-US"/>
        </w:rPr>
        <w:t xml:space="preserve">Construction of structures and fabricating operations performed at the site </w:t>
      </w:r>
      <w:r>
        <w:rPr>
          <w:lang w:val="en-US"/>
        </w:rPr>
        <w:t>of construction by contractors;</w:t>
      </w:r>
    </w:p>
    <w:p w14:paraId="2D798717" w14:textId="77777777" w:rsidR="00EB1F41" w:rsidRPr="005B132A" w:rsidRDefault="00EB1F41" w:rsidP="00EB1F41">
      <w:pPr>
        <w:pStyle w:val="ListParagraph"/>
        <w:numPr>
          <w:ilvl w:val="0"/>
          <w:numId w:val="6"/>
        </w:numPr>
        <w:spacing w:before="120" w:after="200" w:line="312" w:lineRule="auto"/>
        <w:rPr>
          <w:lang w:val="en-US"/>
        </w:rPr>
      </w:pPr>
      <w:r w:rsidRPr="005B132A">
        <w:rPr>
          <w:lang w:val="en-US"/>
        </w:rPr>
        <w:t>Publishing and the combined activ</w:t>
      </w:r>
      <w:r>
        <w:rPr>
          <w:lang w:val="en-US"/>
        </w:rPr>
        <w:t>ity of publishing and printing</w:t>
      </w:r>
      <w:r w:rsidRPr="005B132A">
        <w:rPr>
          <w:lang w:val="en-US"/>
        </w:rPr>
        <w:t>; and</w:t>
      </w:r>
    </w:p>
    <w:p w14:paraId="2A4046F0" w14:textId="77777777" w:rsidR="00EB1F41" w:rsidRPr="005B132A" w:rsidRDefault="00EB1F41" w:rsidP="00EB1F41">
      <w:pPr>
        <w:pStyle w:val="ListParagraph"/>
        <w:numPr>
          <w:ilvl w:val="0"/>
          <w:numId w:val="6"/>
        </w:numPr>
        <w:spacing w:before="120" w:after="200" w:line="312" w:lineRule="auto"/>
        <w:rPr>
          <w:lang w:val="en-US"/>
        </w:rPr>
      </w:pPr>
      <w:r>
        <w:rPr>
          <w:lang w:val="en-US"/>
        </w:rPr>
        <w:t>Beneficiation</w:t>
      </w:r>
      <w:r w:rsidRPr="005B132A">
        <w:rPr>
          <w:lang w:val="en-US"/>
        </w:rPr>
        <w:t>.</w:t>
      </w:r>
    </w:p>
    <w:p w14:paraId="7EEE26E5" w14:textId="1A6693C3" w:rsidR="00AD6E3F" w:rsidRPr="00EB1F41" w:rsidRDefault="00EB1F41" w:rsidP="00EB1F41">
      <w:pPr>
        <w:rPr>
          <w:i/>
          <w:lang w:val="en-US"/>
        </w:rPr>
      </w:pPr>
      <w:r w:rsidRPr="00EB1F41">
        <w:rPr>
          <w:i/>
          <w:lang w:val="en-US"/>
        </w:rPr>
        <w:t>This information papers provides a summary of the current ANZSIC 2006</w:t>
      </w:r>
      <w:r w:rsidR="0037323C">
        <w:rPr>
          <w:i/>
          <w:lang w:val="en-US"/>
        </w:rPr>
        <w:t xml:space="preserve"> version 2</w:t>
      </w:r>
      <w:r w:rsidRPr="00EB1F41">
        <w:rPr>
          <w:i/>
          <w:lang w:val="en-US"/>
        </w:rPr>
        <w:t xml:space="preserve">, which is the latest version at the time of writing. This information paper </w:t>
      </w:r>
      <w:r w:rsidR="006048D8">
        <w:rPr>
          <w:i/>
          <w:lang w:val="en-US"/>
        </w:rPr>
        <w:t xml:space="preserve">should be used as a guide only and not a substitute for ANZSIC 2006. </w:t>
      </w:r>
      <w:r w:rsidRPr="00EB1F41">
        <w:rPr>
          <w:i/>
          <w:lang w:val="en-US"/>
        </w:rPr>
        <w:t xml:space="preserve"> </w:t>
      </w:r>
      <w:r w:rsidR="006048D8">
        <w:rPr>
          <w:i/>
          <w:lang w:val="en-US"/>
        </w:rPr>
        <w:t>T</w:t>
      </w:r>
      <w:r w:rsidRPr="00EB1F41">
        <w:rPr>
          <w:i/>
          <w:lang w:val="en-US"/>
        </w:rPr>
        <w:t xml:space="preserve">he latest version of ANZSIC should be used as </w:t>
      </w:r>
      <w:r w:rsidR="006048D8">
        <w:rPr>
          <w:i/>
          <w:lang w:val="en-US"/>
        </w:rPr>
        <w:t xml:space="preserve">it is </w:t>
      </w:r>
      <w:r w:rsidRPr="00EB1F41">
        <w:rPr>
          <w:i/>
          <w:lang w:val="en-US"/>
        </w:rPr>
        <w:t>amended from time to time.</w:t>
      </w:r>
    </w:p>
    <w:p w14:paraId="11572ADC" w14:textId="77777777" w:rsidR="00664E54" w:rsidRPr="00866E23" w:rsidRDefault="00664E54" w:rsidP="00BF771A">
      <w:pPr>
        <w:pStyle w:val="Bullet"/>
        <w:numPr>
          <w:ilvl w:val="0"/>
          <w:numId w:val="0"/>
        </w:numPr>
      </w:pPr>
    </w:p>
    <w:sectPr w:rsidR="00664E54" w:rsidRPr="00866E23" w:rsidSect="003B2073">
      <w:headerReference w:type="default" r:id="rId10"/>
      <w:footerReference w:type="default" r:id="rId11"/>
      <w:headerReference w:type="first" r:id="rId12"/>
      <w:footerReference w:type="first" r:id="rId13"/>
      <w:type w:val="continuous"/>
      <w:pgSz w:w="11906" w:h="16838" w:code="9"/>
      <w:pgMar w:top="2835" w:right="1049" w:bottom="1259" w:left="1049"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761EC" w14:textId="77777777" w:rsidR="007D306C" w:rsidRDefault="007D306C" w:rsidP="003C4540">
      <w:pPr>
        <w:spacing w:after="0" w:line="240" w:lineRule="auto"/>
      </w:pPr>
      <w:r>
        <w:separator/>
      </w:r>
    </w:p>
  </w:endnote>
  <w:endnote w:type="continuationSeparator" w:id="0">
    <w:p w14:paraId="31D25962" w14:textId="77777777" w:rsidR="007D306C" w:rsidRDefault="007D306C" w:rsidP="003C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7DB54" w14:textId="4E6EC5C1" w:rsidR="00260630" w:rsidRDefault="00C31967" w:rsidP="00260630">
    <w:pPr>
      <w:pStyle w:val="Footer"/>
      <w:tabs>
        <w:tab w:val="clear" w:pos="4513"/>
        <w:tab w:val="clear" w:pos="9026"/>
        <w:tab w:val="left" w:pos="2550"/>
      </w:tabs>
    </w:pPr>
    <w:sdt>
      <w:sdtPr>
        <w:id w:val="258406250"/>
        <w:docPartObj>
          <w:docPartGallery w:val="Page Numbers (Bottom of Page)"/>
          <w:docPartUnique/>
        </w:docPartObj>
      </w:sdtPr>
      <w:sdtEndPr>
        <w:rPr>
          <w:noProof/>
        </w:rPr>
      </w:sdtEndPr>
      <w:sdtContent>
        <w:r w:rsidR="00260630">
          <w:fldChar w:fldCharType="begin"/>
        </w:r>
        <w:r w:rsidR="00260630">
          <w:instrText xml:space="preserve"> PAGE   \* MERGEFORMAT </w:instrText>
        </w:r>
        <w:r w:rsidR="00260630">
          <w:fldChar w:fldCharType="separate"/>
        </w:r>
        <w:r w:rsidR="00A516DD">
          <w:rPr>
            <w:noProof/>
          </w:rPr>
          <w:t>4</w:t>
        </w:r>
        <w:r w:rsidR="00260630">
          <w:rPr>
            <w:noProof/>
          </w:rPr>
          <w:fldChar w:fldCharType="end"/>
        </w:r>
      </w:sdtContent>
    </w:sdt>
    <w:r w:rsidR="00260630">
      <w:rPr>
        <w:noProof/>
      </w:rPr>
      <w:tab/>
    </w:r>
  </w:p>
  <w:p w14:paraId="7565E5BA" w14:textId="77777777" w:rsidR="00AD6E3F" w:rsidRDefault="00AD6E3F" w:rsidP="00EF5353">
    <w:pPr>
      <w:pStyle w:val="Footer"/>
      <w:ind w:right="-1562"/>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3748049"/>
      <w:docPartObj>
        <w:docPartGallery w:val="Page Numbers (Bottom of Page)"/>
        <w:docPartUnique/>
      </w:docPartObj>
    </w:sdtPr>
    <w:sdtEndPr>
      <w:rPr>
        <w:noProof/>
      </w:rPr>
    </w:sdtEndPr>
    <w:sdtContent>
      <w:p w14:paraId="4857ACCB" w14:textId="0A81DA73" w:rsidR="00260630" w:rsidRDefault="00260630">
        <w:pPr>
          <w:pStyle w:val="Footer"/>
        </w:pPr>
        <w:r>
          <w:fldChar w:fldCharType="begin"/>
        </w:r>
        <w:r>
          <w:instrText xml:space="preserve"> PAGE   \* MERGEFORMAT </w:instrText>
        </w:r>
        <w:r>
          <w:fldChar w:fldCharType="separate"/>
        </w:r>
        <w:r w:rsidR="00A516DD">
          <w:rPr>
            <w:noProof/>
          </w:rPr>
          <w:t>1</w:t>
        </w:r>
        <w:r>
          <w:rPr>
            <w:noProof/>
          </w:rPr>
          <w:fldChar w:fldCharType="end"/>
        </w:r>
      </w:p>
    </w:sdtContent>
  </w:sdt>
  <w:p w14:paraId="668CCE3F" w14:textId="77777777" w:rsidR="00AD6E3F" w:rsidRDefault="00AD6E3F" w:rsidP="00260630">
    <w:pPr>
      <w:pStyle w:val="Footer"/>
      <w:tabs>
        <w:tab w:val="clear" w:pos="4513"/>
        <w:tab w:val="clear" w:pos="9026"/>
        <w:tab w:val="left" w:pos="72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444ED" w14:textId="77777777" w:rsidR="007D306C" w:rsidRDefault="007D306C" w:rsidP="003C4540">
      <w:pPr>
        <w:spacing w:after="0" w:line="240" w:lineRule="auto"/>
      </w:pPr>
      <w:r>
        <w:separator/>
      </w:r>
    </w:p>
  </w:footnote>
  <w:footnote w:type="continuationSeparator" w:id="0">
    <w:p w14:paraId="30C0ECBC" w14:textId="77777777" w:rsidR="007D306C" w:rsidRDefault="007D306C" w:rsidP="003C4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0576C" w14:textId="77777777" w:rsidR="00AD6E3F" w:rsidRPr="00AD6E3F" w:rsidRDefault="005F13A8" w:rsidP="00AD6E3F">
    <w:pPr>
      <w:pStyle w:val="Header"/>
    </w:pPr>
    <w:r>
      <w:rPr>
        <w:noProof/>
        <w:lang w:eastAsia="en-AU"/>
      </w:rPr>
      <w:drawing>
        <wp:anchor distT="0" distB="0" distL="114300" distR="114300" simplePos="0" relativeHeight="251688960" behindDoc="1" locked="0" layoutInCell="1" allowOverlap="1" wp14:anchorId="122D25CD" wp14:editId="690FE197">
          <wp:simplePos x="666750" y="523875"/>
          <wp:positionH relativeFrom="page">
            <wp:align>left</wp:align>
          </wp:positionH>
          <wp:positionV relativeFrom="page">
            <wp:align>top</wp:align>
          </wp:positionV>
          <wp:extent cx="7549200" cy="1515600"/>
          <wp:effectExtent l="0" t="0" r="0" b="8890"/>
          <wp:wrapNone/>
          <wp:docPr id="2" name="Picture 2" descr="Header image"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_FOOTER.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51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3C3B7" w14:textId="2491EFAF" w:rsidR="00AD6E3F" w:rsidRDefault="00C31967">
    <w:pPr>
      <w:pStyle w:val="Header"/>
    </w:pPr>
    <w:r>
      <w:rPr>
        <w:noProof/>
      </w:rPr>
      <w:drawing>
        <wp:inline distT="0" distB="0" distL="0" distR="0" wp14:anchorId="0DA4D243" wp14:editId="072304F9">
          <wp:extent cx="4401567" cy="8096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64892" cy="821273"/>
                  </a:xfrm>
                  <a:prstGeom prst="rect">
                    <a:avLst/>
                  </a:prstGeom>
                  <a:noFill/>
                </pic:spPr>
              </pic:pic>
            </a:graphicData>
          </a:graphic>
        </wp:inline>
      </w:drawing>
    </w:r>
    <w:r>
      <w:rPr>
        <w:noProof/>
        <w:lang w:eastAsia="en-AU"/>
      </w:rPr>
      <w:drawing>
        <wp:anchor distT="0" distB="0" distL="114300" distR="114300" simplePos="0" relativeHeight="251691008" behindDoc="1" locked="1" layoutInCell="1" allowOverlap="1" wp14:anchorId="2860FBCD" wp14:editId="3A1ECD35">
          <wp:simplePos x="0" y="0"/>
          <wp:positionH relativeFrom="page">
            <wp:posOffset>40005</wp:posOffset>
          </wp:positionH>
          <wp:positionV relativeFrom="page">
            <wp:posOffset>20320</wp:posOffset>
          </wp:positionV>
          <wp:extent cx="7543800" cy="2438400"/>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43800" cy="243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C0DF9"/>
    <w:multiLevelType w:val="hybridMultilevel"/>
    <w:tmpl w:val="59A44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D16E2D"/>
    <w:multiLevelType w:val="hybridMultilevel"/>
    <w:tmpl w:val="405672BC"/>
    <w:lvl w:ilvl="0" w:tplc="A1F0203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A5144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50B36BF"/>
    <w:multiLevelType w:val="hybridMultilevel"/>
    <w:tmpl w:val="15F6C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31108CD"/>
    <w:multiLevelType w:val="hybridMultilevel"/>
    <w:tmpl w:val="DD42C7BA"/>
    <w:lvl w:ilvl="0" w:tplc="39305420">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57C32C04"/>
    <w:multiLevelType w:val="hybridMultilevel"/>
    <w:tmpl w:val="B5562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E8752CF"/>
    <w:multiLevelType w:val="hybridMultilevel"/>
    <w:tmpl w:val="58869B58"/>
    <w:lvl w:ilvl="0" w:tplc="FFD8A4B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20"/>
  <w:characterSpacingControl w:val="doNotCompress"/>
  <w:hdrShapeDefaults>
    <o:shapedefaults v:ext="edit" spidmax="28673"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F41"/>
    <w:rsid w:val="00000347"/>
    <w:rsid w:val="00027916"/>
    <w:rsid w:val="00040EE5"/>
    <w:rsid w:val="000509D9"/>
    <w:rsid w:val="00062565"/>
    <w:rsid w:val="0007097F"/>
    <w:rsid w:val="000741A5"/>
    <w:rsid w:val="00077AD9"/>
    <w:rsid w:val="00097F0B"/>
    <w:rsid w:val="000A5BFC"/>
    <w:rsid w:val="000A6511"/>
    <w:rsid w:val="000C4BB9"/>
    <w:rsid w:val="000D442C"/>
    <w:rsid w:val="000F7A71"/>
    <w:rsid w:val="0010261D"/>
    <w:rsid w:val="0010698A"/>
    <w:rsid w:val="00116590"/>
    <w:rsid w:val="001263EF"/>
    <w:rsid w:val="0014717E"/>
    <w:rsid w:val="00160ABF"/>
    <w:rsid w:val="00170F56"/>
    <w:rsid w:val="0017583F"/>
    <w:rsid w:val="00175D27"/>
    <w:rsid w:val="00176A93"/>
    <w:rsid w:val="00177325"/>
    <w:rsid w:val="001B4B39"/>
    <w:rsid w:val="001B73C8"/>
    <w:rsid w:val="001C0577"/>
    <w:rsid w:val="001D070E"/>
    <w:rsid w:val="001E3F05"/>
    <w:rsid w:val="001F743A"/>
    <w:rsid w:val="002132DA"/>
    <w:rsid w:val="002550D5"/>
    <w:rsid w:val="00260630"/>
    <w:rsid w:val="00260D1B"/>
    <w:rsid w:val="002921B3"/>
    <w:rsid w:val="0029638A"/>
    <w:rsid w:val="002B7AC4"/>
    <w:rsid w:val="002D44FC"/>
    <w:rsid w:val="00303798"/>
    <w:rsid w:val="003211EF"/>
    <w:rsid w:val="0034724B"/>
    <w:rsid w:val="003656CA"/>
    <w:rsid w:val="00367D07"/>
    <w:rsid w:val="00371748"/>
    <w:rsid w:val="0037323C"/>
    <w:rsid w:val="00384150"/>
    <w:rsid w:val="003A4160"/>
    <w:rsid w:val="003B2073"/>
    <w:rsid w:val="003B4672"/>
    <w:rsid w:val="003B6CDC"/>
    <w:rsid w:val="003C0B1E"/>
    <w:rsid w:val="003C4540"/>
    <w:rsid w:val="003D2F37"/>
    <w:rsid w:val="003D50C7"/>
    <w:rsid w:val="003E7C3D"/>
    <w:rsid w:val="003F0910"/>
    <w:rsid w:val="003F4A1A"/>
    <w:rsid w:val="0040033F"/>
    <w:rsid w:val="004030BD"/>
    <w:rsid w:val="00415078"/>
    <w:rsid w:val="0043382B"/>
    <w:rsid w:val="00434037"/>
    <w:rsid w:val="004346CD"/>
    <w:rsid w:val="00441328"/>
    <w:rsid w:val="00442C82"/>
    <w:rsid w:val="004974BF"/>
    <w:rsid w:val="004A1099"/>
    <w:rsid w:val="004A76E9"/>
    <w:rsid w:val="004B3900"/>
    <w:rsid w:val="004C0DD4"/>
    <w:rsid w:val="004F0F5E"/>
    <w:rsid w:val="004F4230"/>
    <w:rsid w:val="004F4431"/>
    <w:rsid w:val="004F4D80"/>
    <w:rsid w:val="004F7DCC"/>
    <w:rsid w:val="00515B6B"/>
    <w:rsid w:val="005364CD"/>
    <w:rsid w:val="0054543D"/>
    <w:rsid w:val="00547A66"/>
    <w:rsid w:val="0055088A"/>
    <w:rsid w:val="00580831"/>
    <w:rsid w:val="005929EF"/>
    <w:rsid w:val="005A25BE"/>
    <w:rsid w:val="005A3576"/>
    <w:rsid w:val="005A3C04"/>
    <w:rsid w:val="005B17EC"/>
    <w:rsid w:val="005B3BE2"/>
    <w:rsid w:val="005B6B59"/>
    <w:rsid w:val="005D6DAB"/>
    <w:rsid w:val="005F13A8"/>
    <w:rsid w:val="005F23FF"/>
    <w:rsid w:val="00603D91"/>
    <w:rsid w:val="006042FA"/>
    <w:rsid w:val="006048D8"/>
    <w:rsid w:val="006069CB"/>
    <w:rsid w:val="00633A2E"/>
    <w:rsid w:val="00635ADF"/>
    <w:rsid w:val="006473EF"/>
    <w:rsid w:val="006571C8"/>
    <w:rsid w:val="00664E54"/>
    <w:rsid w:val="00665F5D"/>
    <w:rsid w:val="00676C0B"/>
    <w:rsid w:val="00685B4F"/>
    <w:rsid w:val="006A2636"/>
    <w:rsid w:val="006B2575"/>
    <w:rsid w:val="006C0536"/>
    <w:rsid w:val="006D698A"/>
    <w:rsid w:val="006D6DF2"/>
    <w:rsid w:val="006E7909"/>
    <w:rsid w:val="006F7964"/>
    <w:rsid w:val="00712E9D"/>
    <w:rsid w:val="00715DF9"/>
    <w:rsid w:val="0071721F"/>
    <w:rsid w:val="0075240F"/>
    <w:rsid w:val="00777F40"/>
    <w:rsid w:val="00780EB4"/>
    <w:rsid w:val="007A0C18"/>
    <w:rsid w:val="007A2265"/>
    <w:rsid w:val="007A4BC0"/>
    <w:rsid w:val="007B6277"/>
    <w:rsid w:val="007D306C"/>
    <w:rsid w:val="007E26C6"/>
    <w:rsid w:val="007F255E"/>
    <w:rsid w:val="00815531"/>
    <w:rsid w:val="00825E1A"/>
    <w:rsid w:val="00840964"/>
    <w:rsid w:val="00842CA8"/>
    <w:rsid w:val="00853BC3"/>
    <w:rsid w:val="00860D96"/>
    <w:rsid w:val="00866E23"/>
    <w:rsid w:val="00875593"/>
    <w:rsid w:val="008813D9"/>
    <w:rsid w:val="00895AF8"/>
    <w:rsid w:val="00896E15"/>
    <w:rsid w:val="008B3270"/>
    <w:rsid w:val="008C0BE1"/>
    <w:rsid w:val="008C3520"/>
    <w:rsid w:val="008C7909"/>
    <w:rsid w:val="008D38D7"/>
    <w:rsid w:val="008F5D8D"/>
    <w:rsid w:val="008F73C8"/>
    <w:rsid w:val="009072FA"/>
    <w:rsid w:val="00914D45"/>
    <w:rsid w:val="00930A2B"/>
    <w:rsid w:val="00942D9F"/>
    <w:rsid w:val="0094338E"/>
    <w:rsid w:val="00945366"/>
    <w:rsid w:val="009707D5"/>
    <w:rsid w:val="009A5661"/>
    <w:rsid w:val="009B6A5F"/>
    <w:rsid w:val="009D7307"/>
    <w:rsid w:val="00A30127"/>
    <w:rsid w:val="00A3734F"/>
    <w:rsid w:val="00A41FE4"/>
    <w:rsid w:val="00A45D11"/>
    <w:rsid w:val="00A47179"/>
    <w:rsid w:val="00A516DD"/>
    <w:rsid w:val="00A54505"/>
    <w:rsid w:val="00A64956"/>
    <w:rsid w:val="00A727B5"/>
    <w:rsid w:val="00A732AF"/>
    <w:rsid w:val="00A742A4"/>
    <w:rsid w:val="00A77F3A"/>
    <w:rsid w:val="00A8301E"/>
    <w:rsid w:val="00A831CD"/>
    <w:rsid w:val="00A83B6C"/>
    <w:rsid w:val="00A908D6"/>
    <w:rsid w:val="00A94ECE"/>
    <w:rsid w:val="00AA3280"/>
    <w:rsid w:val="00AA64A9"/>
    <w:rsid w:val="00AB406F"/>
    <w:rsid w:val="00AB42A5"/>
    <w:rsid w:val="00AB4D7D"/>
    <w:rsid w:val="00AC17D0"/>
    <w:rsid w:val="00AC1BAB"/>
    <w:rsid w:val="00AC63F6"/>
    <w:rsid w:val="00AC76DC"/>
    <w:rsid w:val="00AD6E3F"/>
    <w:rsid w:val="00AE7935"/>
    <w:rsid w:val="00AF2086"/>
    <w:rsid w:val="00AF63C3"/>
    <w:rsid w:val="00B2506A"/>
    <w:rsid w:val="00B3405B"/>
    <w:rsid w:val="00B356FB"/>
    <w:rsid w:val="00B402B9"/>
    <w:rsid w:val="00B41B88"/>
    <w:rsid w:val="00B53344"/>
    <w:rsid w:val="00B70742"/>
    <w:rsid w:val="00B81BB9"/>
    <w:rsid w:val="00B82387"/>
    <w:rsid w:val="00B96273"/>
    <w:rsid w:val="00BC7EB6"/>
    <w:rsid w:val="00BD3B92"/>
    <w:rsid w:val="00BD48AB"/>
    <w:rsid w:val="00BD6CE0"/>
    <w:rsid w:val="00BF5D00"/>
    <w:rsid w:val="00BF771A"/>
    <w:rsid w:val="00C17BEE"/>
    <w:rsid w:val="00C313B0"/>
    <w:rsid w:val="00C31967"/>
    <w:rsid w:val="00C33DF9"/>
    <w:rsid w:val="00C470FF"/>
    <w:rsid w:val="00C62D4C"/>
    <w:rsid w:val="00C72E9F"/>
    <w:rsid w:val="00C82185"/>
    <w:rsid w:val="00C90DDF"/>
    <w:rsid w:val="00CA4D92"/>
    <w:rsid w:val="00CC0BAD"/>
    <w:rsid w:val="00CC1493"/>
    <w:rsid w:val="00CC275A"/>
    <w:rsid w:val="00CD3D74"/>
    <w:rsid w:val="00CD7C3B"/>
    <w:rsid w:val="00CE1A39"/>
    <w:rsid w:val="00CF3284"/>
    <w:rsid w:val="00CF378A"/>
    <w:rsid w:val="00D15BEB"/>
    <w:rsid w:val="00D766D1"/>
    <w:rsid w:val="00D91192"/>
    <w:rsid w:val="00DB0ECB"/>
    <w:rsid w:val="00DC2970"/>
    <w:rsid w:val="00DC392A"/>
    <w:rsid w:val="00DC7660"/>
    <w:rsid w:val="00DD1D42"/>
    <w:rsid w:val="00DD3951"/>
    <w:rsid w:val="00DD79A2"/>
    <w:rsid w:val="00DE6D2B"/>
    <w:rsid w:val="00E003B2"/>
    <w:rsid w:val="00E160CA"/>
    <w:rsid w:val="00E46E36"/>
    <w:rsid w:val="00E63EAE"/>
    <w:rsid w:val="00E719FE"/>
    <w:rsid w:val="00E77C84"/>
    <w:rsid w:val="00E87A36"/>
    <w:rsid w:val="00EB1F41"/>
    <w:rsid w:val="00EF5353"/>
    <w:rsid w:val="00F22F63"/>
    <w:rsid w:val="00F25C8D"/>
    <w:rsid w:val="00F47424"/>
    <w:rsid w:val="00F723EA"/>
    <w:rsid w:val="00F76FF9"/>
    <w:rsid w:val="00F86541"/>
    <w:rsid w:val="00F94767"/>
    <w:rsid w:val="00F962D2"/>
    <w:rsid w:val="00F97314"/>
    <w:rsid w:val="00FA11A4"/>
    <w:rsid w:val="00FA5DAC"/>
    <w:rsid w:val="00FC797E"/>
    <w:rsid w:val="00FD7048"/>
    <w:rsid w:val="00FE3174"/>
    <w:rsid w:val="00FE3690"/>
    <w:rsid w:val="00FE394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style="mso-width-relative:margin;mso-height-relative:margin" fillcolor="white">
      <v:fill color="white"/>
    </o:shapedefaults>
    <o:shapelayout v:ext="edit">
      <o:idmap v:ext="edit" data="1"/>
    </o:shapelayout>
  </w:shapeDefaults>
  <w:decimalSymbol w:val="."/>
  <w:listSeparator w:val=","/>
  <w14:docId w14:val="43019EF6"/>
  <w15:docId w15:val="{BFFCD18F-AC3F-4908-AE66-4AE7143E8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771A"/>
    <w:pPr>
      <w:spacing w:before="100" w:after="100" w:line="288" w:lineRule="auto"/>
    </w:pPr>
    <w:rPr>
      <w:sz w:val="20"/>
    </w:rPr>
  </w:style>
  <w:style w:type="paragraph" w:styleId="Heading1">
    <w:name w:val="heading 1"/>
    <w:basedOn w:val="Normal"/>
    <w:next w:val="Normal"/>
    <w:link w:val="Heading1Char"/>
    <w:uiPriority w:val="9"/>
    <w:qFormat/>
    <w:rsid w:val="007A4BC0"/>
    <w:pPr>
      <w:keepNext/>
      <w:keepLines/>
      <w:spacing w:before="400" w:line="240" w:lineRule="auto"/>
      <w:outlineLvl w:val="0"/>
    </w:pPr>
    <w:rPr>
      <w:rFonts w:asciiTheme="majorHAnsi" w:eastAsiaTheme="majorEastAsia" w:hAnsiTheme="majorHAnsi" w:cstheme="majorBidi"/>
      <w:bCs/>
      <w:color w:val="002D72"/>
      <w:sz w:val="44"/>
      <w:szCs w:val="28"/>
    </w:rPr>
  </w:style>
  <w:style w:type="paragraph" w:styleId="Heading2">
    <w:name w:val="heading 2"/>
    <w:basedOn w:val="Normal"/>
    <w:next w:val="Normal"/>
    <w:link w:val="Heading2Char"/>
    <w:uiPriority w:val="9"/>
    <w:unhideWhenUsed/>
    <w:qFormat/>
    <w:rsid w:val="00712E9D"/>
    <w:pPr>
      <w:keepNext/>
      <w:keepLines/>
      <w:spacing w:before="200" w:line="240" w:lineRule="auto"/>
      <w:outlineLvl w:val="1"/>
    </w:pPr>
    <w:rPr>
      <w:rFonts w:asciiTheme="majorHAnsi" w:eastAsiaTheme="majorEastAsia" w:hAnsiTheme="majorHAnsi" w:cstheme="majorBidi"/>
      <w:bCs/>
      <w:color w:val="002D72"/>
      <w:sz w:val="36"/>
      <w:szCs w:val="26"/>
    </w:rPr>
  </w:style>
  <w:style w:type="paragraph" w:styleId="Heading3">
    <w:name w:val="heading 3"/>
    <w:basedOn w:val="Normal"/>
    <w:next w:val="Normal"/>
    <w:link w:val="Heading3Char"/>
    <w:uiPriority w:val="9"/>
    <w:unhideWhenUsed/>
    <w:qFormat/>
    <w:rsid w:val="00712E9D"/>
    <w:pPr>
      <w:keepNext/>
      <w:keepLines/>
      <w:spacing w:before="200" w:after="0" w:line="240" w:lineRule="auto"/>
      <w:outlineLvl w:val="2"/>
    </w:pPr>
    <w:rPr>
      <w:rFonts w:ascii="Segoe UI Semibold" w:eastAsiaTheme="majorEastAsia" w:hAnsi="Segoe UI Semibold" w:cstheme="majorBidi"/>
      <w:bCs/>
      <w:color w:val="7C878E"/>
      <w:sz w:val="28"/>
    </w:rPr>
  </w:style>
  <w:style w:type="paragraph" w:styleId="Heading4">
    <w:name w:val="heading 4"/>
    <w:aliases w:val="******"/>
    <w:basedOn w:val="Normal"/>
    <w:next w:val="Normal"/>
    <w:link w:val="Heading4Char"/>
    <w:uiPriority w:val="9"/>
    <w:unhideWhenUsed/>
    <w:qFormat/>
    <w:rsid w:val="00D91192"/>
    <w:pPr>
      <w:keepNext/>
      <w:keepLines/>
      <w:spacing w:before="200" w:after="0" w:line="240" w:lineRule="auto"/>
      <w:outlineLvl w:val="3"/>
    </w:pPr>
    <w:rPr>
      <w:rFonts w:ascii="Segoe UI Semibold" w:eastAsiaTheme="majorEastAsia" w:hAnsi="Segoe UI Semibold" w:cstheme="majorBidi"/>
      <w:bCs/>
      <w:iCs/>
      <w:color w:val="7C878E"/>
      <w:sz w:val="22"/>
    </w:rPr>
  </w:style>
  <w:style w:type="paragraph" w:styleId="Heading5">
    <w:name w:val="heading 5"/>
    <w:basedOn w:val="Normal"/>
    <w:next w:val="Normal"/>
    <w:link w:val="Heading5Char"/>
    <w:uiPriority w:val="9"/>
    <w:unhideWhenUsed/>
    <w:rsid w:val="00062565"/>
    <w:pPr>
      <w:keepNext/>
      <w:keepLines/>
      <w:spacing w:beforeAutospacing="1" w:after="0" w:line="240" w:lineRule="auto"/>
      <w:outlineLvl w:val="4"/>
    </w:pPr>
    <w:rPr>
      <w:rFonts w:asciiTheme="majorHAnsi" w:eastAsiaTheme="majorEastAsia" w:hAnsiTheme="majorHAnsi" w:cstheme="majorBidi"/>
      <w:color w:val="002D72" w:themeColor="text1"/>
      <w:sz w:val="22"/>
    </w:rPr>
  </w:style>
  <w:style w:type="paragraph" w:styleId="Heading6">
    <w:name w:val="heading 6"/>
    <w:basedOn w:val="Normal"/>
    <w:next w:val="Normal"/>
    <w:link w:val="Heading6Char"/>
    <w:uiPriority w:val="9"/>
    <w:unhideWhenUsed/>
    <w:rsid w:val="00062565"/>
    <w:pPr>
      <w:keepNext/>
      <w:keepLines/>
      <w:spacing w:before="40" w:after="0"/>
      <w:outlineLvl w:val="5"/>
    </w:pPr>
    <w:rPr>
      <w:rFonts w:asciiTheme="majorHAnsi" w:eastAsiaTheme="majorEastAsia" w:hAnsiTheme="majorHAnsi" w:cstheme="majorBidi"/>
      <w:i/>
      <w:color w:val="002D72" w:themeColor="text1"/>
      <w:sz w:val="22"/>
    </w:rPr>
  </w:style>
  <w:style w:type="paragraph" w:styleId="Heading7">
    <w:name w:val="heading 7"/>
    <w:basedOn w:val="Normal"/>
    <w:next w:val="Normal"/>
    <w:link w:val="Heading7Char"/>
    <w:uiPriority w:val="9"/>
    <w:unhideWhenUsed/>
    <w:rsid w:val="00062565"/>
    <w:pPr>
      <w:keepNext/>
      <w:keepLines/>
      <w:spacing w:before="40" w:after="0"/>
      <w:outlineLvl w:val="6"/>
    </w:pPr>
    <w:rPr>
      <w:rFonts w:asciiTheme="majorHAnsi" w:eastAsiaTheme="majorEastAsia" w:hAnsiTheme="majorHAnsi" w:cstheme="majorBidi"/>
      <w:iCs/>
      <w:color w:val="002D72" w:themeColor="text1"/>
    </w:rPr>
  </w:style>
  <w:style w:type="paragraph" w:styleId="Heading8">
    <w:name w:val="heading 8"/>
    <w:basedOn w:val="Normal"/>
    <w:next w:val="Normal"/>
    <w:link w:val="Heading8Char"/>
    <w:uiPriority w:val="9"/>
    <w:unhideWhenUsed/>
    <w:rsid w:val="00062565"/>
    <w:pPr>
      <w:keepNext/>
      <w:keepLines/>
      <w:spacing w:before="40" w:after="0"/>
      <w:outlineLvl w:val="7"/>
    </w:pPr>
    <w:rPr>
      <w:rFonts w:asciiTheme="majorHAnsi" w:eastAsiaTheme="majorEastAsia" w:hAnsiTheme="majorHAnsi" w:cstheme="majorBidi"/>
      <w:i/>
      <w:color w:val="002D72"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5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540"/>
  </w:style>
  <w:style w:type="paragraph" w:styleId="Footer">
    <w:name w:val="footer"/>
    <w:basedOn w:val="Normal"/>
    <w:link w:val="FooterChar"/>
    <w:uiPriority w:val="99"/>
    <w:unhideWhenUsed/>
    <w:rsid w:val="003C45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540"/>
  </w:style>
  <w:style w:type="paragraph" w:styleId="BalloonText">
    <w:name w:val="Balloon Text"/>
    <w:basedOn w:val="Normal"/>
    <w:link w:val="BalloonTextChar"/>
    <w:uiPriority w:val="99"/>
    <w:semiHidden/>
    <w:unhideWhenUsed/>
    <w:rsid w:val="003C4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540"/>
    <w:rPr>
      <w:rFonts w:ascii="Tahoma" w:hAnsi="Tahoma" w:cs="Tahoma"/>
      <w:sz w:val="16"/>
      <w:szCs w:val="16"/>
    </w:rPr>
  </w:style>
  <w:style w:type="paragraph" w:customStyle="1" w:styleId="BasicParagraph">
    <w:name w:val="[Basic Paragraph]"/>
    <w:basedOn w:val="Normal"/>
    <w:uiPriority w:val="99"/>
    <w:rsid w:val="007A4BC0"/>
    <w:pPr>
      <w:autoSpaceDE w:val="0"/>
      <w:autoSpaceDN w:val="0"/>
      <w:adjustRightInd w:val="0"/>
      <w:spacing w:after="0"/>
      <w:textAlignment w:val="center"/>
    </w:pPr>
    <w:rPr>
      <w:rFonts w:cs="MinionPro-Regular"/>
      <w:color w:val="000000"/>
      <w:szCs w:val="24"/>
      <w:lang w:val="en-GB"/>
    </w:rPr>
  </w:style>
  <w:style w:type="paragraph" w:styleId="Subtitle">
    <w:name w:val="Subtitle"/>
    <w:aliases w:val="Issue No"/>
    <w:basedOn w:val="Normal"/>
    <w:next w:val="Normal"/>
    <w:link w:val="SubtitleChar"/>
    <w:uiPriority w:val="11"/>
    <w:rsid w:val="00AC63F6"/>
    <w:pPr>
      <w:numPr>
        <w:ilvl w:val="1"/>
      </w:numPr>
      <w:spacing w:after="120" w:line="240" w:lineRule="auto"/>
      <w:jc w:val="right"/>
    </w:pPr>
    <w:rPr>
      <w:rFonts w:eastAsiaTheme="majorEastAsia" w:cstheme="majorBidi"/>
      <w:iCs/>
      <w:color w:val="FFFFFF" w:themeColor="background1"/>
      <w:spacing w:val="20"/>
      <w:szCs w:val="24"/>
    </w:rPr>
  </w:style>
  <w:style w:type="character" w:customStyle="1" w:styleId="SubtitleChar">
    <w:name w:val="Subtitle Char"/>
    <w:aliases w:val="Issue No Char"/>
    <w:basedOn w:val="DefaultParagraphFont"/>
    <w:link w:val="Subtitle"/>
    <w:uiPriority w:val="11"/>
    <w:rsid w:val="00AC63F6"/>
    <w:rPr>
      <w:rFonts w:ascii="Arial" w:eastAsiaTheme="majorEastAsia" w:hAnsi="Arial" w:cstheme="majorBidi"/>
      <w:iCs/>
      <w:color w:val="FFFFFF" w:themeColor="background1"/>
      <w:spacing w:val="20"/>
      <w:sz w:val="20"/>
      <w:szCs w:val="24"/>
    </w:rPr>
  </w:style>
  <w:style w:type="paragraph" w:styleId="NoSpacing">
    <w:name w:val="No Spacing"/>
    <w:uiPriority w:val="1"/>
    <w:qFormat/>
    <w:rsid w:val="001E3F05"/>
    <w:pPr>
      <w:spacing w:after="0" w:line="240" w:lineRule="auto"/>
    </w:pPr>
    <w:rPr>
      <w:sz w:val="20"/>
    </w:rPr>
  </w:style>
  <w:style w:type="character" w:styleId="SubtleEmphasis">
    <w:name w:val="Subtle Emphasis"/>
    <w:basedOn w:val="DefaultParagraphFont"/>
    <w:uiPriority w:val="19"/>
    <w:qFormat/>
    <w:rsid w:val="007A4BC0"/>
    <w:rPr>
      <w:rFonts w:ascii="Segoe UI Semibold" w:hAnsi="Segoe UI Semibold"/>
      <w:b w:val="0"/>
      <w:i w:val="0"/>
      <w:iCs/>
      <w:color w:val="auto"/>
    </w:rPr>
  </w:style>
  <w:style w:type="character" w:styleId="Emphasis">
    <w:name w:val="Emphasis"/>
    <w:basedOn w:val="DefaultParagraphFont"/>
    <w:uiPriority w:val="20"/>
    <w:qFormat/>
    <w:rsid w:val="007A4BC0"/>
    <w:rPr>
      <w:b/>
      <w:i w:val="0"/>
      <w:iCs/>
    </w:rPr>
  </w:style>
  <w:style w:type="paragraph" w:styleId="Quote">
    <w:name w:val="Quote"/>
    <w:aliases w:val="Classification"/>
    <w:basedOn w:val="Normal"/>
    <w:next w:val="Normal"/>
    <w:link w:val="QuoteChar"/>
    <w:uiPriority w:val="29"/>
    <w:rsid w:val="00B3405B"/>
    <w:pPr>
      <w:spacing w:after="0"/>
      <w:jc w:val="center"/>
    </w:pPr>
    <w:rPr>
      <w:rFonts w:ascii="Arial Narrow" w:hAnsi="Arial Narrow"/>
      <w:iCs/>
      <w:color w:val="FFFFFF" w:themeColor="background1"/>
      <w:sz w:val="28"/>
    </w:rPr>
  </w:style>
  <w:style w:type="character" w:customStyle="1" w:styleId="QuoteChar">
    <w:name w:val="Quote Char"/>
    <w:aliases w:val="Classification Char"/>
    <w:basedOn w:val="DefaultParagraphFont"/>
    <w:link w:val="Quote"/>
    <w:uiPriority w:val="29"/>
    <w:rsid w:val="00B3405B"/>
    <w:rPr>
      <w:rFonts w:ascii="Arial Narrow" w:hAnsi="Arial Narrow"/>
      <w:iCs/>
      <w:color w:val="FFFFFF" w:themeColor="background1"/>
      <w:sz w:val="28"/>
    </w:rPr>
  </w:style>
  <w:style w:type="character" w:customStyle="1" w:styleId="Heading1Char">
    <w:name w:val="Heading 1 Char"/>
    <w:basedOn w:val="DefaultParagraphFont"/>
    <w:link w:val="Heading1"/>
    <w:uiPriority w:val="9"/>
    <w:rsid w:val="007A4BC0"/>
    <w:rPr>
      <w:rFonts w:asciiTheme="majorHAnsi" w:eastAsiaTheme="majorEastAsia" w:hAnsiTheme="majorHAnsi" w:cstheme="majorBidi"/>
      <w:bCs/>
      <w:color w:val="002D72"/>
      <w:sz w:val="44"/>
      <w:szCs w:val="28"/>
    </w:rPr>
  </w:style>
  <w:style w:type="character" w:customStyle="1" w:styleId="Heading2Char">
    <w:name w:val="Heading 2 Char"/>
    <w:basedOn w:val="DefaultParagraphFont"/>
    <w:link w:val="Heading2"/>
    <w:uiPriority w:val="9"/>
    <w:rsid w:val="00712E9D"/>
    <w:rPr>
      <w:rFonts w:asciiTheme="majorHAnsi" w:eastAsiaTheme="majorEastAsia" w:hAnsiTheme="majorHAnsi" w:cstheme="majorBidi"/>
      <w:bCs/>
      <w:color w:val="002D72"/>
      <w:sz w:val="36"/>
      <w:szCs w:val="26"/>
    </w:rPr>
  </w:style>
  <w:style w:type="character" w:customStyle="1" w:styleId="Heading3Char">
    <w:name w:val="Heading 3 Char"/>
    <w:basedOn w:val="DefaultParagraphFont"/>
    <w:link w:val="Heading3"/>
    <w:uiPriority w:val="9"/>
    <w:rsid w:val="00712E9D"/>
    <w:rPr>
      <w:rFonts w:ascii="Segoe UI Semibold" w:eastAsiaTheme="majorEastAsia" w:hAnsi="Segoe UI Semibold" w:cstheme="majorBidi"/>
      <w:bCs/>
      <w:color w:val="7C878E"/>
      <w:sz w:val="28"/>
    </w:rPr>
  </w:style>
  <w:style w:type="paragraph" w:styleId="ListParagraph">
    <w:name w:val="List Paragraph"/>
    <w:aliases w:val="Bullets"/>
    <w:basedOn w:val="Normal"/>
    <w:uiPriority w:val="34"/>
    <w:qFormat/>
    <w:rsid w:val="00BF771A"/>
    <w:pPr>
      <w:numPr>
        <w:numId w:val="2"/>
      </w:numPr>
      <w:ind w:left="284" w:hanging="284"/>
      <w:contextualSpacing/>
    </w:pPr>
  </w:style>
  <w:style w:type="character" w:customStyle="1" w:styleId="Heading4Char">
    <w:name w:val="Heading 4 Char"/>
    <w:aliases w:val="****** Char"/>
    <w:basedOn w:val="DefaultParagraphFont"/>
    <w:link w:val="Heading4"/>
    <w:uiPriority w:val="9"/>
    <w:rsid w:val="00D91192"/>
    <w:rPr>
      <w:rFonts w:ascii="Segoe UI Semibold" w:eastAsiaTheme="majorEastAsia" w:hAnsi="Segoe UI Semibold" w:cstheme="majorBidi"/>
      <w:bCs/>
      <w:iCs/>
      <w:color w:val="7C878E"/>
    </w:rPr>
  </w:style>
  <w:style w:type="character" w:customStyle="1" w:styleId="Heading5Char">
    <w:name w:val="Heading 5 Char"/>
    <w:basedOn w:val="DefaultParagraphFont"/>
    <w:link w:val="Heading5"/>
    <w:uiPriority w:val="9"/>
    <w:rsid w:val="00062565"/>
    <w:rPr>
      <w:rFonts w:asciiTheme="majorHAnsi" w:eastAsiaTheme="majorEastAsia" w:hAnsiTheme="majorHAnsi" w:cstheme="majorBidi"/>
      <w:color w:val="002D72" w:themeColor="text1"/>
    </w:rPr>
  </w:style>
  <w:style w:type="paragraph" w:styleId="Title">
    <w:name w:val="Title"/>
    <w:basedOn w:val="Normal"/>
    <w:next w:val="Normal"/>
    <w:link w:val="TitleChar"/>
    <w:uiPriority w:val="10"/>
    <w:qFormat/>
    <w:rsid w:val="000A5BFC"/>
    <w:pPr>
      <w:spacing w:before="0" w:after="120" w:line="440" w:lineRule="exact"/>
      <w:contextualSpacing/>
    </w:pPr>
    <w:rPr>
      <w:rFonts w:eastAsiaTheme="majorEastAsia" w:cstheme="majorBidi"/>
      <w:color w:val="FFFFFF" w:themeColor="background1"/>
      <w:spacing w:val="5"/>
      <w:kern w:val="28"/>
      <w:sz w:val="44"/>
      <w:szCs w:val="52"/>
    </w:rPr>
  </w:style>
  <w:style w:type="character" w:customStyle="1" w:styleId="TitleChar">
    <w:name w:val="Title Char"/>
    <w:basedOn w:val="DefaultParagraphFont"/>
    <w:link w:val="Title"/>
    <w:uiPriority w:val="10"/>
    <w:rsid w:val="000A5BFC"/>
    <w:rPr>
      <w:rFonts w:eastAsiaTheme="majorEastAsia" w:cstheme="majorBidi"/>
      <w:color w:val="FFFFFF" w:themeColor="background1"/>
      <w:spacing w:val="5"/>
      <w:kern w:val="28"/>
      <w:sz w:val="44"/>
      <w:szCs w:val="52"/>
    </w:rPr>
  </w:style>
  <w:style w:type="character" w:styleId="BookTitle">
    <w:name w:val="Book Title"/>
    <w:basedOn w:val="DefaultParagraphFont"/>
    <w:uiPriority w:val="33"/>
    <w:rsid w:val="003C0B1E"/>
    <w:rPr>
      <w:rFonts w:ascii="Arial" w:hAnsi="Arial"/>
      <w:b/>
      <w:bCs/>
      <w:color w:val="FFFFFF" w:themeColor="background1"/>
      <w:spacing w:val="5"/>
      <w:sz w:val="34"/>
    </w:rPr>
  </w:style>
  <w:style w:type="table" w:styleId="TableGrid">
    <w:name w:val="Table Grid"/>
    <w:basedOn w:val="TableNormal"/>
    <w:uiPriority w:val="59"/>
    <w:rsid w:val="006B2575"/>
    <w:pPr>
      <w:spacing w:after="0" w:line="240" w:lineRule="auto"/>
    </w:pPr>
    <w:tblPr>
      <w:tblBorders>
        <w:top w:val="single" w:sz="4" w:space="0" w:color="002D72" w:themeColor="text1"/>
        <w:left w:val="single" w:sz="4" w:space="0" w:color="002D72" w:themeColor="text1"/>
        <w:bottom w:val="single" w:sz="4" w:space="0" w:color="002D72" w:themeColor="text1"/>
        <w:right w:val="single" w:sz="4" w:space="0" w:color="002D72" w:themeColor="text1"/>
        <w:insideH w:val="single" w:sz="4" w:space="0" w:color="002D72" w:themeColor="text1"/>
        <w:insideV w:val="single" w:sz="4" w:space="0" w:color="002D72" w:themeColor="text1"/>
      </w:tblBorders>
    </w:tblPr>
  </w:style>
  <w:style w:type="table" w:customStyle="1" w:styleId="LightShading-Accent11">
    <w:name w:val="Light Shading - Accent 11"/>
    <w:basedOn w:val="TableNormal"/>
    <w:uiPriority w:val="60"/>
    <w:rsid w:val="002D44FC"/>
    <w:pPr>
      <w:spacing w:after="0" w:line="240" w:lineRule="auto"/>
    </w:pPr>
    <w:rPr>
      <w:color w:val="002155" w:themeColor="accent1" w:themeShade="BF"/>
    </w:rPr>
    <w:tblPr>
      <w:tblStyleRowBandSize w:val="1"/>
      <w:tblStyleColBandSize w:val="1"/>
      <w:tblBorders>
        <w:top w:val="single" w:sz="8" w:space="0" w:color="002D72" w:themeColor="accent1"/>
        <w:bottom w:val="single" w:sz="8" w:space="0" w:color="002D72" w:themeColor="accent1"/>
      </w:tblBorders>
    </w:tblPr>
    <w:tblStylePr w:type="firstRow">
      <w:pPr>
        <w:spacing w:before="0" w:after="0" w:line="240" w:lineRule="auto"/>
      </w:pPr>
      <w:rPr>
        <w:b/>
        <w:bCs/>
      </w:rPr>
      <w:tblPr/>
      <w:tcPr>
        <w:tcBorders>
          <w:top w:val="single" w:sz="8" w:space="0" w:color="002D72" w:themeColor="accent1"/>
          <w:left w:val="nil"/>
          <w:bottom w:val="single" w:sz="8" w:space="0" w:color="002D72" w:themeColor="accent1"/>
          <w:right w:val="nil"/>
          <w:insideH w:val="nil"/>
          <w:insideV w:val="nil"/>
        </w:tcBorders>
      </w:tcPr>
    </w:tblStylePr>
    <w:tblStylePr w:type="lastRow">
      <w:pPr>
        <w:spacing w:before="0" w:after="0" w:line="240" w:lineRule="auto"/>
      </w:pPr>
      <w:rPr>
        <w:b/>
        <w:bCs/>
      </w:rPr>
      <w:tblPr/>
      <w:tcPr>
        <w:tcBorders>
          <w:top w:val="single" w:sz="8" w:space="0" w:color="002D72" w:themeColor="accent1"/>
          <w:left w:val="nil"/>
          <w:bottom w:val="single" w:sz="8" w:space="0" w:color="002D7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DC3FF" w:themeFill="accent1" w:themeFillTint="3F"/>
      </w:tcPr>
    </w:tblStylePr>
    <w:tblStylePr w:type="band1Horz">
      <w:tblPr/>
      <w:tcPr>
        <w:tcBorders>
          <w:left w:val="nil"/>
          <w:right w:val="nil"/>
          <w:insideH w:val="nil"/>
          <w:insideV w:val="nil"/>
        </w:tcBorders>
        <w:shd w:val="clear" w:color="auto" w:fill="9DC3FF" w:themeFill="accent1" w:themeFillTint="3F"/>
      </w:tcPr>
    </w:tblStylePr>
  </w:style>
  <w:style w:type="table" w:customStyle="1" w:styleId="LightShading1">
    <w:name w:val="Light Shading1"/>
    <w:basedOn w:val="TableNormal"/>
    <w:uiPriority w:val="60"/>
    <w:rsid w:val="006B2575"/>
    <w:pPr>
      <w:spacing w:after="0" w:line="240" w:lineRule="auto"/>
    </w:pPr>
    <w:rPr>
      <w:color w:val="002155" w:themeColor="text1" w:themeShade="BF"/>
    </w:rPr>
    <w:tblPr>
      <w:tblStyleRowBandSize w:val="1"/>
      <w:tblStyleColBandSize w:val="1"/>
      <w:tblBorders>
        <w:top w:val="single" w:sz="8" w:space="0" w:color="002D72" w:themeColor="text1"/>
        <w:bottom w:val="single" w:sz="8" w:space="0" w:color="002D72" w:themeColor="text1"/>
      </w:tblBorders>
    </w:tblPr>
    <w:tblStylePr w:type="firstRow">
      <w:pPr>
        <w:spacing w:before="0" w:after="0" w:line="240" w:lineRule="auto"/>
      </w:pPr>
      <w:rPr>
        <w:b/>
        <w:bCs/>
      </w:rPr>
      <w:tblPr/>
      <w:tcPr>
        <w:tcBorders>
          <w:top w:val="single" w:sz="8" w:space="0" w:color="002D72" w:themeColor="text1"/>
          <w:left w:val="nil"/>
          <w:bottom w:val="single" w:sz="8" w:space="0" w:color="002D72" w:themeColor="text1"/>
          <w:right w:val="nil"/>
          <w:insideH w:val="nil"/>
          <w:insideV w:val="nil"/>
        </w:tcBorders>
      </w:tcPr>
    </w:tblStylePr>
    <w:tblStylePr w:type="lastRow">
      <w:pPr>
        <w:spacing w:before="0" w:after="0" w:line="240" w:lineRule="auto"/>
      </w:pPr>
      <w:rPr>
        <w:b/>
        <w:bCs/>
      </w:rPr>
      <w:tblPr/>
      <w:tcPr>
        <w:tcBorders>
          <w:top w:val="single" w:sz="8" w:space="0" w:color="002D72" w:themeColor="text1"/>
          <w:left w:val="nil"/>
          <w:bottom w:val="single" w:sz="8" w:space="0" w:color="002D7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DC3FF" w:themeFill="text1" w:themeFillTint="3F"/>
      </w:tcPr>
    </w:tblStylePr>
    <w:tblStylePr w:type="band1Horz">
      <w:tblPr/>
      <w:tcPr>
        <w:tcBorders>
          <w:left w:val="nil"/>
          <w:right w:val="nil"/>
          <w:insideH w:val="nil"/>
          <w:insideV w:val="nil"/>
        </w:tcBorders>
        <w:shd w:val="clear" w:color="auto" w:fill="9DC3FF" w:themeFill="text1" w:themeFillTint="3F"/>
      </w:tcPr>
    </w:tblStylePr>
  </w:style>
  <w:style w:type="table" w:styleId="LightShading-Accent5">
    <w:name w:val="Light Shading Accent 5"/>
    <w:basedOn w:val="TableNormal"/>
    <w:uiPriority w:val="60"/>
    <w:rsid w:val="006B2575"/>
    <w:pPr>
      <w:spacing w:after="0" w:line="240" w:lineRule="auto"/>
    </w:pPr>
    <w:rPr>
      <w:rFonts w:ascii="Arial" w:hAnsi="Arial"/>
      <w:color w:val="0043AD" w:themeColor="text1" w:themeTint="D9"/>
    </w:rPr>
    <w:tblPr>
      <w:tblStyleRowBandSize w:val="1"/>
      <w:tblStyleColBandSize w:val="1"/>
      <w:tblBorders>
        <w:top w:val="single" w:sz="8" w:space="0" w:color="007DC3"/>
        <w:bottom w:val="single" w:sz="8" w:space="0" w:color="007DC3"/>
      </w:tblBorders>
    </w:tblPr>
    <w:tcPr>
      <w:shd w:val="clear" w:color="auto" w:fill="auto"/>
    </w:tcPr>
    <w:tblStylePr w:type="firstRow">
      <w:pPr>
        <w:spacing w:before="0" w:after="0" w:line="240" w:lineRule="auto"/>
      </w:pPr>
      <w:rPr>
        <w:b/>
        <w:bCs/>
      </w:rPr>
      <w:tblPr/>
      <w:tcPr>
        <w:tcBorders>
          <w:top w:val="single" w:sz="8" w:space="0" w:color="FA4616" w:themeColor="accent5"/>
          <w:left w:val="nil"/>
          <w:bottom w:val="single" w:sz="8" w:space="0" w:color="FA4616" w:themeColor="accent5"/>
          <w:right w:val="nil"/>
          <w:insideH w:val="nil"/>
          <w:insideV w:val="nil"/>
        </w:tcBorders>
      </w:tcPr>
    </w:tblStylePr>
    <w:tblStylePr w:type="lastRow">
      <w:pPr>
        <w:spacing w:before="0" w:after="0" w:line="240" w:lineRule="auto"/>
      </w:pPr>
      <w:rPr>
        <w:b/>
        <w:bCs/>
      </w:rPr>
      <w:tblPr/>
      <w:tcPr>
        <w:tcBorders>
          <w:top w:val="single" w:sz="8" w:space="0" w:color="FA4616" w:themeColor="accent5"/>
          <w:left w:val="nil"/>
          <w:bottom w:val="single" w:sz="8" w:space="0" w:color="FA461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0C5" w:themeFill="accent5" w:themeFillTint="3F"/>
      </w:tcPr>
    </w:tblStylePr>
    <w:tblStylePr w:type="band1Horz">
      <w:tblPr/>
      <w:tcPr>
        <w:tcBorders>
          <w:left w:val="nil"/>
          <w:right w:val="nil"/>
          <w:insideH w:val="nil"/>
          <w:insideV w:val="nil"/>
        </w:tcBorders>
        <w:shd w:val="clear" w:color="auto" w:fill="FDD0C5" w:themeFill="accent5" w:themeFillTint="3F"/>
      </w:tcPr>
    </w:tblStylePr>
  </w:style>
  <w:style w:type="paragraph" w:customStyle="1" w:styleId="Tabletext">
    <w:name w:val="Table text"/>
    <w:basedOn w:val="Normal"/>
    <w:qFormat/>
    <w:rsid w:val="00C90DDF"/>
    <w:pPr>
      <w:spacing w:before="80" w:after="40" w:line="240" w:lineRule="auto"/>
    </w:pPr>
    <w:rPr>
      <w:bCs/>
      <w:sz w:val="18"/>
    </w:rPr>
  </w:style>
  <w:style w:type="paragraph" w:customStyle="1" w:styleId="Note">
    <w:name w:val="Note:"/>
    <w:basedOn w:val="Normal"/>
    <w:qFormat/>
    <w:rsid w:val="00942D9F"/>
    <w:pPr>
      <w:spacing w:before="0" w:after="160"/>
    </w:pPr>
    <w:rPr>
      <w:sz w:val="14"/>
    </w:rPr>
  </w:style>
  <w:style w:type="paragraph" w:customStyle="1" w:styleId="NormalRule">
    <w:name w:val="Normal Rule"/>
    <w:basedOn w:val="Normal"/>
    <w:qFormat/>
    <w:rsid w:val="00A727B5"/>
    <w:pPr>
      <w:pBdr>
        <w:bottom w:val="single" w:sz="2" w:space="1" w:color="808080" w:themeColor="background1" w:themeShade="80"/>
      </w:pBdr>
      <w:spacing w:after="240"/>
    </w:pPr>
  </w:style>
  <w:style w:type="paragraph" w:customStyle="1" w:styleId="Bullet">
    <w:name w:val="Bullet"/>
    <w:basedOn w:val="ListParagraph"/>
    <w:rsid w:val="00BF771A"/>
    <w:pPr>
      <w:numPr>
        <w:numId w:val="3"/>
      </w:numPr>
      <w:spacing w:before="60" w:after="60"/>
      <w:ind w:left="284" w:hanging="284"/>
    </w:pPr>
  </w:style>
  <w:style w:type="character" w:customStyle="1" w:styleId="Heading6Char">
    <w:name w:val="Heading 6 Char"/>
    <w:basedOn w:val="DefaultParagraphFont"/>
    <w:link w:val="Heading6"/>
    <w:uiPriority w:val="9"/>
    <w:rsid w:val="00062565"/>
    <w:rPr>
      <w:rFonts w:asciiTheme="majorHAnsi" w:eastAsiaTheme="majorEastAsia" w:hAnsiTheme="majorHAnsi" w:cstheme="majorBidi"/>
      <w:i/>
      <w:color w:val="002D72" w:themeColor="text1"/>
    </w:rPr>
  </w:style>
  <w:style w:type="table" w:styleId="LightShading-Accent3">
    <w:name w:val="Light Shading Accent 3"/>
    <w:basedOn w:val="TableNormal"/>
    <w:uiPriority w:val="60"/>
    <w:rsid w:val="00F47424"/>
    <w:pPr>
      <w:spacing w:after="0" w:line="240" w:lineRule="auto"/>
    </w:pPr>
    <w:rPr>
      <w:color w:val="628D00" w:themeColor="accent3" w:themeShade="BF"/>
    </w:rPr>
    <w:tblPr>
      <w:tblStyleRowBandSize w:val="1"/>
      <w:tblStyleColBandSize w:val="1"/>
      <w:tblBorders>
        <w:top w:val="single" w:sz="8" w:space="0" w:color="84BD00" w:themeColor="accent3"/>
        <w:bottom w:val="single" w:sz="8" w:space="0" w:color="84BD00" w:themeColor="accent3"/>
      </w:tblBorders>
    </w:tblPr>
    <w:tblStylePr w:type="firstRow">
      <w:pPr>
        <w:spacing w:before="0" w:after="0" w:line="240" w:lineRule="auto"/>
      </w:pPr>
      <w:rPr>
        <w:b/>
        <w:bCs/>
      </w:rPr>
      <w:tblPr/>
      <w:tcPr>
        <w:tcBorders>
          <w:top w:val="single" w:sz="8" w:space="0" w:color="84BD00" w:themeColor="accent3"/>
          <w:left w:val="nil"/>
          <w:bottom w:val="single" w:sz="8" w:space="0" w:color="84BD00" w:themeColor="accent3"/>
          <w:right w:val="nil"/>
          <w:insideH w:val="nil"/>
          <w:insideV w:val="nil"/>
        </w:tcBorders>
      </w:tcPr>
    </w:tblStylePr>
    <w:tblStylePr w:type="lastRow">
      <w:pPr>
        <w:spacing w:before="0" w:after="0" w:line="240" w:lineRule="auto"/>
      </w:pPr>
      <w:rPr>
        <w:b/>
        <w:bCs/>
      </w:rPr>
      <w:tblPr/>
      <w:tcPr>
        <w:tcBorders>
          <w:top w:val="single" w:sz="8" w:space="0" w:color="84BD00" w:themeColor="accent3"/>
          <w:left w:val="nil"/>
          <w:bottom w:val="single" w:sz="8" w:space="0" w:color="84BD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FAF" w:themeFill="accent3" w:themeFillTint="3F"/>
      </w:tcPr>
    </w:tblStylePr>
    <w:tblStylePr w:type="band1Horz">
      <w:tblPr/>
      <w:tcPr>
        <w:tcBorders>
          <w:left w:val="nil"/>
          <w:right w:val="nil"/>
          <w:insideH w:val="nil"/>
          <w:insideV w:val="nil"/>
        </w:tcBorders>
        <w:shd w:val="clear" w:color="auto" w:fill="E7FFAF" w:themeFill="accent3" w:themeFillTint="3F"/>
      </w:tcPr>
    </w:tblStylePr>
  </w:style>
  <w:style w:type="table" w:styleId="LightShading-Accent1">
    <w:name w:val="Light Shading Accent 1"/>
    <w:basedOn w:val="TableNormal"/>
    <w:uiPriority w:val="60"/>
    <w:rsid w:val="00AD6E3F"/>
    <w:pPr>
      <w:spacing w:after="0" w:line="240" w:lineRule="auto"/>
    </w:pPr>
    <w:rPr>
      <w:color w:val="002155" w:themeColor="accent1" w:themeShade="BF"/>
    </w:rPr>
    <w:tblPr>
      <w:tblStyleRowBandSize w:val="1"/>
      <w:tblStyleColBandSize w:val="1"/>
      <w:tblBorders>
        <w:top w:val="single" w:sz="8" w:space="0" w:color="002D72" w:themeColor="accent1"/>
        <w:bottom w:val="single" w:sz="8" w:space="0" w:color="002D72" w:themeColor="accent1"/>
      </w:tblBorders>
    </w:tblPr>
    <w:tblStylePr w:type="firstRow">
      <w:pPr>
        <w:spacing w:before="0" w:after="0" w:line="240" w:lineRule="auto"/>
      </w:pPr>
      <w:rPr>
        <w:b/>
        <w:bCs/>
      </w:rPr>
      <w:tblPr/>
      <w:tcPr>
        <w:tcBorders>
          <w:top w:val="single" w:sz="8" w:space="0" w:color="002D72" w:themeColor="accent1"/>
          <w:left w:val="nil"/>
          <w:bottom w:val="single" w:sz="8" w:space="0" w:color="002D72" w:themeColor="accent1"/>
          <w:right w:val="nil"/>
          <w:insideH w:val="nil"/>
          <w:insideV w:val="nil"/>
        </w:tcBorders>
      </w:tcPr>
    </w:tblStylePr>
    <w:tblStylePr w:type="lastRow">
      <w:pPr>
        <w:spacing w:before="0" w:after="0" w:line="240" w:lineRule="auto"/>
      </w:pPr>
      <w:rPr>
        <w:b/>
        <w:bCs/>
      </w:rPr>
      <w:tblPr/>
      <w:tcPr>
        <w:tcBorders>
          <w:top w:val="single" w:sz="8" w:space="0" w:color="002D72" w:themeColor="accent1"/>
          <w:left w:val="nil"/>
          <w:bottom w:val="single" w:sz="8" w:space="0" w:color="002D7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DC3FF" w:themeFill="accent1" w:themeFillTint="3F"/>
      </w:tcPr>
    </w:tblStylePr>
    <w:tblStylePr w:type="band1Horz">
      <w:tblPr/>
      <w:tcPr>
        <w:tcBorders>
          <w:left w:val="nil"/>
          <w:right w:val="nil"/>
          <w:insideH w:val="nil"/>
          <w:insideV w:val="nil"/>
        </w:tcBorders>
        <w:shd w:val="clear" w:color="auto" w:fill="9DC3FF" w:themeFill="accent1" w:themeFillTint="3F"/>
      </w:tcPr>
    </w:tblStylePr>
  </w:style>
  <w:style w:type="paragraph" w:customStyle="1" w:styleId="Listfiguretableheading">
    <w:name w:val="List/figure/table heading"/>
    <w:basedOn w:val="Heading2"/>
    <w:qFormat/>
    <w:rsid w:val="000A5BFC"/>
    <w:rPr>
      <w:sz w:val="24"/>
    </w:rPr>
  </w:style>
  <w:style w:type="paragraph" w:customStyle="1" w:styleId="TableHeading">
    <w:name w:val="Table Heading"/>
    <w:basedOn w:val="Tabletext"/>
    <w:qFormat/>
    <w:rsid w:val="00A727B5"/>
    <w:rPr>
      <w:b/>
      <w:bCs w:val="0"/>
      <w:color w:val="002D72"/>
    </w:rPr>
  </w:style>
  <w:style w:type="character" w:styleId="Hyperlink">
    <w:name w:val="Hyperlink"/>
    <w:basedOn w:val="DefaultParagraphFont"/>
    <w:uiPriority w:val="99"/>
    <w:rsid w:val="008C0BE1"/>
    <w:rPr>
      <w:color w:val="0000FF"/>
      <w:u w:val="single"/>
    </w:rPr>
  </w:style>
  <w:style w:type="paragraph" w:styleId="MessageHeader">
    <w:name w:val="Message Header"/>
    <w:aliases w:val="Boxed text"/>
    <w:basedOn w:val="Normal"/>
    <w:next w:val="Normal"/>
    <w:link w:val="MessageHeaderChar"/>
    <w:uiPriority w:val="99"/>
    <w:unhideWhenUsed/>
    <w:qFormat/>
    <w:rsid w:val="008C0BE1"/>
    <w:pPr>
      <w:pBdr>
        <w:top w:val="single" w:sz="48" w:space="4" w:color="E4E6E8" w:themeColor="text2" w:themeTint="33"/>
        <w:left w:val="single" w:sz="48" w:space="4" w:color="E4E6E8" w:themeColor="text2" w:themeTint="33"/>
        <w:bottom w:val="single" w:sz="48" w:space="5" w:color="E4E6E8" w:themeColor="text2" w:themeTint="33"/>
        <w:right w:val="single" w:sz="48" w:space="4" w:color="E4E6E8" w:themeColor="text2" w:themeTint="33"/>
      </w:pBdr>
      <w:shd w:val="solid" w:color="E4E6E8" w:themeColor="text2" w:themeTint="33" w:fill="auto"/>
      <w:suppressAutoHyphens/>
      <w:autoSpaceDE w:val="0"/>
      <w:autoSpaceDN w:val="0"/>
      <w:adjustRightInd w:val="0"/>
      <w:spacing w:before="240" w:after="240" w:line="240" w:lineRule="auto"/>
      <w:ind w:left="80" w:right="80"/>
      <w:textAlignment w:val="center"/>
    </w:pPr>
    <w:rPr>
      <w:rFonts w:eastAsiaTheme="majorEastAsia" w:cstheme="majorBidi"/>
      <w:color w:val="000000"/>
      <w:szCs w:val="24"/>
      <w:lang w:val="en-US"/>
    </w:rPr>
  </w:style>
  <w:style w:type="character" w:customStyle="1" w:styleId="MessageHeaderChar">
    <w:name w:val="Message Header Char"/>
    <w:aliases w:val="Boxed text Char"/>
    <w:basedOn w:val="DefaultParagraphFont"/>
    <w:link w:val="MessageHeader"/>
    <w:uiPriority w:val="99"/>
    <w:rsid w:val="008C0BE1"/>
    <w:rPr>
      <w:rFonts w:ascii="Arial" w:eastAsiaTheme="majorEastAsia" w:hAnsi="Arial" w:cstheme="majorBidi"/>
      <w:color w:val="000000"/>
      <w:sz w:val="20"/>
      <w:szCs w:val="24"/>
      <w:shd w:val="solid" w:color="E4E6E8" w:themeColor="text2" w:themeTint="33" w:fill="auto"/>
      <w:lang w:val="en-US"/>
    </w:rPr>
  </w:style>
  <w:style w:type="character" w:styleId="FollowedHyperlink">
    <w:name w:val="FollowedHyperlink"/>
    <w:basedOn w:val="DefaultParagraphFont"/>
    <w:uiPriority w:val="99"/>
    <w:semiHidden/>
    <w:unhideWhenUsed/>
    <w:rsid w:val="00AF63C3"/>
    <w:rPr>
      <w:color w:val="7C878E" w:themeColor="followedHyperlink"/>
      <w:u w:val="single"/>
    </w:rPr>
  </w:style>
  <w:style w:type="table" w:styleId="TableGridLight">
    <w:name w:val="Grid Table Light"/>
    <w:basedOn w:val="TableNormal"/>
    <w:uiPriority w:val="40"/>
    <w:rsid w:val="002D44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D44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2D44FC"/>
    <w:pPr>
      <w:spacing w:after="0" w:line="240" w:lineRule="auto"/>
    </w:pPr>
    <w:tblPr>
      <w:tblStyleRowBandSize w:val="1"/>
      <w:tblStyleColBandSize w:val="1"/>
    </w:tblPr>
    <w:tblStylePr w:type="firstRow">
      <w:rPr>
        <w:b/>
        <w:bCs/>
        <w:caps/>
      </w:rPr>
      <w:tblPr/>
      <w:tcPr>
        <w:tcBorders>
          <w:bottom w:val="single" w:sz="4" w:space="0" w:color="3886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886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2D44FC"/>
    <w:pPr>
      <w:spacing w:after="0" w:line="240" w:lineRule="auto"/>
    </w:pPr>
    <w:tblPr>
      <w:tblStyleRowBandSize w:val="1"/>
      <w:tblStyleColBandSize w:val="1"/>
      <w:tblBorders>
        <w:top w:val="single" w:sz="4" w:space="0" w:color="3886FF" w:themeColor="text1" w:themeTint="80"/>
        <w:bottom w:val="single" w:sz="4" w:space="0" w:color="3886FF" w:themeColor="text1" w:themeTint="80"/>
      </w:tblBorders>
    </w:tblPr>
    <w:tblStylePr w:type="firstRow">
      <w:rPr>
        <w:b/>
        <w:bCs/>
      </w:rPr>
      <w:tblPr/>
      <w:tcPr>
        <w:tcBorders>
          <w:bottom w:val="single" w:sz="4" w:space="0" w:color="3886FF" w:themeColor="text1" w:themeTint="80"/>
        </w:tcBorders>
      </w:tcPr>
    </w:tblStylePr>
    <w:tblStylePr w:type="lastRow">
      <w:rPr>
        <w:b/>
        <w:bCs/>
      </w:rPr>
      <w:tblPr/>
      <w:tcPr>
        <w:tcBorders>
          <w:top w:val="single" w:sz="4" w:space="0" w:color="3886FF" w:themeColor="text1" w:themeTint="80"/>
        </w:tcBorders>
      </w:tcPr>
    </w:tblStylePr>
    <w:tblStylePr w:type="firstCol">
      <w:rPr>
        <w:b/>
        <w:bCs/>
      </w:rPr>
    </w:tblStylePr>
    <w:tblStylePr w:type="lastCol">
      <w:rPr>
        <w:b/>
        <w:bCs/>
      </w:rPr>
    </w:tblStylePr>
    <w:tblStylePr w:type="band1Vert">
      <w:tblPr/>
      <w:tcPr>
        <w:tcBorders>
          <w:left w:val="single" w:sz="4" w:space="0" w:color="3886FF" w:themeColor="text1" w:themeTint="80"/>
          <w:right w:val="single" w:sz="4" w:space="0" w:color="3886FF" w:themeColor="text1" w:themeTint="80"/>
        </w:tcBorders>
      </w:tcPr>
    </w:tblStylePr>
    <w:tblStylePr w:type="band2Vert">
      <w:tblPr/>
      <w:tcPr>
        <w:tcBorders>
          <w:left w:val="single" w:sz="4" w:space="0" w:color="3886FF" w:themeColor="text1" w:themeTint="80"/>
          <w:right w:val="single" w:sz="4" w:space="0" w:color="3886FF" w:themeColor="text1" w:themeTint="80"/>
        </w:tcBorders>
      </w:tcPr>
    </w:tblStylePr>
    <w:tblStylePr w:type="band1Horz">
      <w:tblPr/>
      <w:tcPr>
        <w:tcBorders>
          <w:top w:val="single" w:sz="4" w:space="0" w:color="3886FF" w:themeColor="text1" w:themeTint="80"/>
          <w:bottom w:val="single" w:sz="4" w:space="0" w:color="3886FF" w:themeColor="text1" w:themeTint="80"/>
        </w:tcBorders>
      </w:tcPr>
    </w:tblStylePr>
  </w:style>
  <w:style w:type="table" w:styleId="PlainTable4">
    <w:name w:val="Plain Table 4"/>
    <w:basedOn w:val="TableNormal"/>
    <w:uiPriority w:val="44"/>
    <w:rsid w:val="002D44F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3">
    <w:name w:val="List Table 3"/>
    <w:basedOn w:val="TableNormal"/>
    <w:uiPriority w:val="48"/>
    <w:rsid w:val="002D44FC"/>
    <w:pPr>
      <w:spacing w:after="0" w:line="240" w:lineRule="auto"/>
    </w:pPr>
    <w:tblPr>
      <w:tblStyleRowBandSize w:val="1"/>
      <w:tblStyleColBandSize w:val="1"/>
      <w:tblBorders>
        <w:top w:val="single" w:sz="4" w:space="0" w:color="002D72" w:themeColor="text1"/>
        <w:left w:val="single" w:sz="4" w:space="0" w:color="002D72" w:themeColor="text1"/>
        <w:bottom w:val="single" w:sz="4" w:space="0" w:color="002D72" w:themeColor="text1"/>
        <w:right w:val="single" w:sz="4" w:space="0" w:color="002D72" w:themeColor="text1"/>
      </w:tblBorders>
    </w:tblPr>
    <w:tblStylePr w:type="firstRow">
      <w:rPr>
        <w:b/>
        <w:bCs/>
        <w:color w:val="FFFFFF" w:themeColor="background1"/>
      </w:rPr>
      <w:tblPr/>
      <w:tcPr>
        <w:shd w:val="clear" w:color="auto" w:fill="002D72" w:themeFill="text1"/>
      </w:tcPr>
    </w:tblStylePr>
    <w:tblStylePr w:type="lastRow">
      <w:rPr>
        <w:b/>
        <w:bCs/>
      </w:rPr>
      <w:tblPr/>
      <w:tcPr>
        <w:tcBorders>
          <w:top w:val="double" w:sz="4" w:space="0" w:color="002D7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D72" w:themeColor="text1"/>
          <w:right w:val="single" w:sz="4" w:space="0" w:color="002D72" w:themeColor="text1"/>
        </w:tcBorders>
      </w:tcPr>
    </w:tblStylePr>
    <w:tblStylePr w:type="band1Horz">
      <w:tblPr/>
      <w:tcPr>
        <w:tcBorders>
          <w:top w:val="single" w:sz="4" w:space="0" w:color="002D72" w:themeColor="text1"/>
          <w:bottom w:val="single" w:sz="4" w:space="0" w:color="002D7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D72" w:themeColor="text1"/>
          <w:left w:val="nil"/>
        </w:tcBorders>
      </w:tcPr>
    </w:tblStylePr>
    <w:tblStylePr w:type="swCell">
      <w:tblPr/>
      <w:tcPr>
        <w:tcBorders>
          <w:top w:val="double" w:sz="4" w:space="0" w:color="002D72" w:themeColor="text1"/>
          <w:right w:val="nil"/>
        </w:tcBorders>
      </w:tcPr>
    </w:tblStylePr>
  </w:style>
  <w:style w:type="character" w:customStyle="1" w:styleId="Heading7Char">
    <w:name w:val="Heading 7 Char"/>
    <w:basedOn w:val="DefaultParagraphFont"/>
    <w:link w:val="Heading7"/>
    <w:uiPriority w:val="9"/>
    <w:rsid w:val="00062565"/>
    <w:rPr>
      <w:rFonts w:asciiTheme="majorHAnsi" w:eastAsiaTheme="majorEastAsia" w:hAnsiTheme="majorHAnsi" w:cstheme="majorBidi"/>
      <w:iCs/>
      <w:color w:val="002D72" w:themeColor="text1"/>
      <w:sz w:val="20"/>
    </w:rPr>
  </w:style>
  <w:style w:type="character" w:customStyle="1" w:styleId="Heading8Char">
    <w:name w:val="Heading 8 Char"/>
    <w:basedOn w:val="DefaultParagraphFont"/>
    <w:link w:val="Heading8"/>
    <w:uiPriority w:val="9"/>
    <w:rsid w:val="00062565"/>
    <w:rPr>
      <w:rFonts w:asciiTheme="majorHAnsi" w:eastAsiaTheme="majorEastAsia" w:hAnsiTheme="majorHAnsi" w:cstheme="majorBidi"/>
      <w:i/>
      <w:color w:val="002D72" w:themeColor="text1"/>
      <w:sz w:val="21"/>
      <w:szCs w:val="21"/>
    </w:rPr>
  </w:style>
  <w:style w:type="character" w:styleId="CommentReference">
    <w:name w:val="annotation reference"/>
    <w:basedOn w:val="DefaultParagraphFont"/>
    <w:uiPriority w:val="99"/>
    <w:semiHidden/>
    <w:unhideWhenUsed/>
    <w:rsid w:val="00CC0BAD"/>
    <w:rPr>
      <w:sz w:val="16"/>
      <w:szCs w:val="16"/>
    </w:rPr>
  </w:style>
  <w:style w:type="paragraph" w:styleId="CommentText">
    <w:name w:val="annotation text"/>
    <w:basedOn w:val="Normal"/>
    <w:link w:val="CommentTextChar"/>
    <w:uiPriority w:val="99"/>
    <w:semiHidden/>
    <w:unhideWhenUsed/>
    <w:rsid w:val="00CC0BAD"/>
    <w:pPr>
      <w:spacing w:line="240" w:lineRule="auto"/>
    </w:pPr>
    <w:rPr>
      <w:szCs w:val="20"/>
    </w:rPr>
  </w:style>
  <w:style w:type="character" w:customStyle="1" w:styleId="CommentTextChar">
    <w:name w:val="Comment Text Char"/>
    <w:basedOn w:val="DefaultParagraphFont"/>
    <w:link w:val="CommentText"/>
    <w:uiPriority w:val="99"/>
    <w:semiHidden/>
    <w:rsid w:val="00CC0BAD"/>
    <w:rPr>
      <w:sz w:val="20"/>
      <w:szCs w:val="20"/>
    </w:rPr>
  </w:style>
  <w:style w:type="paragraph" w:styleId="CommentSubject">
    <w:name w:val="annotation subject"/>
    <w:basedOn w:val="CommentText"/>
    <w:next w:val="CommentText"/>
    <w:link w:val="CommentSubjectChar"/>
    <w:uiPriority w:val="99"/>
    <w:semiHidden/>
    <w:unhideWhenUsed/>
    <w:rsid w:val="00CC0BAD"/>
    <w:rPr>
      <w:b/>
      <w:bCs/>
    </w:rPr>
  </w:style>
  <w:style w:type="character" w:customStyle="1" w:styleId="CommentSubjectChar">
    <w:name w:val="Comment Subject Char"/>
    <w:basedOn w:val="CommentTextChar"/>
    <w:link w:val="CommentSubject"/>
    <w:uiPriority w:val="99"/>
    <w:semiHidden/>
    <w:rsid w:val="00CC0B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bs.gov.au/ausstats/abs@.nsf/mf/129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fes.support@servicesaustralia.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factsheet%20newsletter.dotx" TargetMode="External"/></Relationships>
</file>

<file path=word/theme/theme1.xml><?xml version="1.0" encoding="utf-8"?>
<a:theme xmlns:a="http://schemas.openxmlformats.org/drawingml/2006/main" name="DoITCRD">
  <a:themeElements>
    <a:clrScheme name="Custom 1">
      <a:dk1>
        <a:srgbClr val="002D72"/>
      </a:dk1>
      <a:lt1>
        <a:sysClr val="window" lastClr="FFFFFF"/>
      </a:lt1>
      <a:dk2>
        <a:srgbClr val="7C878E"/>
      </a:dk2>
      <a:lt2>
        <a:srgbClr val="DEE9F1"/>
      </a:lt2>
      <a:accent1>
        <a:srgbClr val="002D72"/>
      </a:accent1>
      <a:accent2>
        <a:srgbClr val="009CBD"/>
      </a:accent2>
      <a:accent3>
        <a:srgbClr val="84BD00"/>
      </a:accent3>
      <a:accent4>
        <a:srgbClr val="485CC7"/>
      </a:accent4>
      <a:accent5>
        <a:srgbClr val="FA4616"/>
      </a:accent5>
      <a:accent6>
        <a:srgbClr val="FFA300"/>
      </a:accent6>
      <a:hlink>
        <a:srgbClr val="002D72"/>
      </a:hlink>
      <a:folHlink>
        <a:srgbClr val="7C878E"/>
      </a:folHlink>
    </a:clrScheme>
    <a:fontScheme name="DoITCRD 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ITCRD" id="{5A257436-6D80-4E63-B74C-390E67994A5E}" vid="{8063BDD6-2E75-4593-999F-27F6CC842E0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9AFB2-A4FB-4FEA-A4F9-488F964D0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factsheet newsletter.dotx</Template>
  <TotalTime>2</TotalTime>
  <Pages>4</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Factsheet</vt:lpstr>
    </vt:vector>
  </TitlesOfParts>
  <Company>Department of Infrastructure and Regional Development</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dc:title>
  <dc:creator>BERNEY Jon</dc:creator>
  <cp:lastModifiedBy>BERNEY Jon</cp:lastModifiedBy>
  <cp:revision>4</cp:revision>
  <cp:lastPrinted>2020-10-27T00:22:00Z</cp:lastPrinted>
  <dcterms:created xsi:type="dcterms:W3CDTF">2020-10-19T05:45:00Z</dcterms:created>
  <dcterms:modified xsi:type="dcterms:W3CDTF">2024-01-15T22:34:00Z</dcterms:modified>
</cp:coreProperties>
</file>