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520BA" w14:textId="2EAE5256" w:rsidR="00BA24FB" w:rsidRPr="00EB6AD5" w:rsidRDefault="00BA24FB" w:rsidP="00BA24FB">
      <w:pPr>
        <w:pStyle w:val="SecurityMarker"/>
        <w:ind w:left="-1247"/>
      </w:pPr>
      <w:bookmarkStart w:id="0" w:name="_Hlk140067421"/>
      <w:bookmarkStart w:id="1" w:name="_Hlk140831260"/>
      <w:bookmarkStart w:id="2" w:name="_Hlk141105699"/>
      <w:bookmarkStart w:id="3" w:name="_GoBack"/>
      <w:bookmarkEnd w:id="3"/>
    </w:p>
    <w:p w14:paraId="0C454029" w14:textId="77777777" w:rsidR="008456D5" w:rsidRPr="00EB6AD5" w:rsidRDefault="00845C59" w:rsidP="00BA24FB">
      <w:pPr>
        <w:spacing w:before="360"/>
        <w:ind w:left="-1247"/>
      </w:pPr>
      <w:r w:rsidRPr="00EB6AD5">
        <w:rPr>
          <w:noProof/>
          <w:lang w:eastAsia="en-AU"/>
        </w:rPr>
        <mc:AlternateContent>
          <mc:Choice Requires="wps">
            <w:drawing>
              <wp:anchor distT="0" distB="0" distL="114300" distR="114300" simplePos="0" relativeHeight="251658241" behindDoc="0" locked="1" layoutInCell="1" allowOverlap="1" wp14:anchorId="19656408" wp14:editId="61BB580D">
                <wp:simplePos x="0" y="0"/>
                <wp:positionH relativeFrom="page">
                  <wp:align>center</wp:align>
                </wp:positionH>
                <wp:positionV relativeFrom="page">
                  <wp:align>bottom</wp:align>
                </wp:positionV>
                <wp:extent cx="10691640" cy="71964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0691640" cy="719640"/>
                        </a:xfrm>
                        <a:prstGeom prst="rect">
                          <a:avLst/>
                        </a:prstGeom>
                        <a:noFill/>
                        <a:ln w="6350">
                          <a:noFill/>
                        </a:ln>
                      </wps:spPr>
                      <wps:txbx>
                        <w:txbxContent>
                          <w:p w14:paraId="0BD00913" w14:textId="1B0A00A3" w:rsidR="00682B65" w:rsidRDefault="00682B65" w:rsidP="00845C59">
                            <w:pPr>
                              <w:pStyle w:val="SecurityMarker"/>
                            </w:pPr>
                          </w:p>
                        </w:txbxContent>
                      </wps:txbx>
                      <wps:bodyPr rot="0" spcFirstLastPara="0" vertOverflow="overflow" horzOverflow="overflow" vert="horz" wrap="square" lIns="64800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56408" id="_x0000_t202" coordsize="21600,21600" o:spt="202" path="m,l,21600r21600,l21600,xe">
                <v:stroke joinstyle="miter"/>
                <v:path gradientshapeok="t" o:connecttype="rect"/>
              </v:shapetype>
              <v:shape id="Text Box 22" o:spid="_x0000_s1026" type="#_x0000_t202" style="position:absolute;left:0;text-align:left;margin-left:0;margin-top:0;width:841.85pt;height:56.65pt;z-index:251658241;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" filled="f" stroked="f" strokeweight=".5pt">
                <v:textbox inset="18mm,0,18mm,7mm">
                  <w:txbxContent>
                    <w:p w14:paraId="0BD00913" w14:textId="1B0A00A3" w:rsidR="00682B65" w:rsidRDefault="00682B65" w:rsidP="00845C59">
                      <w:pPr>
                        <w:pStyle w:val="SecurityMarker"/>
                      </w:pPr>
                    </w:p>
                  </w:txbxContent>
                </v:textbox>
                <w10:wrap anchorx="page" anchory="page"/>
                <w10:anchorlock/>
              </v:shape>
            </w:pict>
          </mc:Fallback>
        </mc:AlternateContent>
      </w:r>
      <w:r w:rsidR="00546218" w:rsidRPr="00EB6AD5">
        <w:rPr>
          <w:noProof/>
          <w:lang w:eastAsia="en-AU"/>
        </w:rPr>
        <w:drawing>
          <wp:anchor distT="0" distB="0" distL="114300" distR="114300" simplePos="0" relativeHeight="251658240" behindDoc="0" locked="1" layoutInCell="1" allowOverlap="1" wp14:anchorId="6B2DE00F" wp14:editId="59F98A85">
            <wp:simplePos x="0" y="0"/>
            <wp:positionH relativeFrom="page">
              <wp:align>center</wp:align>
            </wp:positionH>
            <wp:positionV relativeFrom="page">
              <wp:align>bottom</wp:align>
            </wp:positionV>
            <wp:extent cx="11694240" cy="3931200"/>
            <wp:effectExtent l="0" t="0" r="2540" b="0"/>
            <wp:wrapNone/>
            <wp:docPr id="14" name="Picture 14"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94240" cy="3931200"/>
                    </a:xfrm>
                    <a:prstGeom prst="rect">
                      <a:avLst/>
                    </a:prstGeom>
                  </pic:spPr>
                </pic:pic>
              </a:graphicData>
            </a:graphic>
            <wp14:sizeRelH relativeFrom="margin">
              <wp14:pctWidth>0</wp14:pctWidth>
            </wp14:sizeRelH>
            <wp14:sizeRelV relativeFrom="margin">
              <wp14:pctHeight>0</wp14:pctHeight>
            </wp14:sizeRelV>
          </wp:anchor>
        </w:drawing>
      </w:r>
      <w:r w:rsidR="007A05BE" w:rsidRPr="00EB6AD5">
        <w:rPr>
          <w:noProof/>
          <w:lang w:eastAsia="en-AU"/>
        </w:rPr>
        <w:drawing>
          <wp:inline distT="0" distB="0" distL="0" distR="0" wp14:anchorId="5543FFE2" wp14:editId="2CBC6CB3">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46F8C3BE" w14:textId="77777777" w:rsidR="003261CF" w:rsidRDefault="003261CF" w:rsidP="003261CF">
      <w:pPr>
        <w:pStyle w:val="AreaHeading"/>
        <w:spacing w:before="960" w:after="120"/>
      </w:pPr>
    </w:p>
    <w:p w14:paraId="507A1F72" w14:textId="77777777" w:rsidR="007736F8" w:rsidRPr="00EB6AD5" w:rsidRDefault="007736F8" w:rsidP="003261CF">
      <w:pPr>
        <w:pStyle w:val="AreaHeading"/>
        <w:spacing w:before="960" w:after="120"/>
      </w:pPr>
    </w:p>
    <w:p w14:paraId="781546EE" w14:textId="77777777" w:rsidR="00485A57" w:rsidRPr="00EB6AD5" w:rsidRDefault="00F155FC" w:rsidP="003261CF">
      <w:pPr>
        <w:pStyle w:val="Title"/>
        <w:spacing w:before="600"/>
      </w:pPr>
      <w:bookmarkStart w:id="4" w:name="_Hlk139633355"/>
      <w:r>
        <w:t>Anti-siphoning review</w:t>
      </w:r>
      <w:r w:rsidR="00B2647D" w:rsidRPr="00EB6AD5">
        <w:t xml:space="preserve"> </w:t>
      </w:r>
    </w:p>
    <w:p w14:paraId="634F1597" w14:textId="77777777" w:rsidR="00DE4FE2" w:rsidRPr="00EB6AD5" w:rsidRDefault="00B2647D" w:rsidP="00DE4FE2">
      <w:pPr>
        <w:pStyle w:val="Subtitle"/>
      </w:pPr>
      <w:r w:rsidRPr="00EB6AD5">
        <w:t>Proposals paper</w:t>
      </w:r>
    </w:p>
    <w:bookmarkEnd w:id="4"/>
    <w:p w14:paraId="6BFC28E1" w14:textId="1A723B16" w:rsidR="00DE4FE2" w:rsidRPr="00EB6AD5" w:rsidRDefault="003060A8" w:rsidP="00DE4FE2">
      <w:pPr>
        <w:pStyle w:val="CoverDate"/>
      </w:pPr>
      <w:r>
        <w:t xml:space="preserve">August </w:t>
      </w:r>
      <w:r w:rsidR="00546218" w:rsidRPr="00EB6AD5">
        <w:t>202</w:t>
      </w:r>
      <w:r w:rsidR="00B2647D" w:rsidRPr="00EB6AD5">
        <w:t>3</w:t>
      </w:r>
    </w:p>
    <w:p w14:paraId="336F828A" w14:textId="77777777" w:rsidR="00DE4FE2" w:rsidRPr="00EB6AD5" w:rsidRDefault="00DE4FE2"/>
    <w:p w14:paraId="15611710" w14:textId="77777777" w:rsidR="00DE4FE2" w:rsidRPr="00EB6AD5" w:rsidRDefault="00DE4FE2">
      <w:pPr>
        <w:sectPr w:rsidR="00DE4FE2" w:rsidRPr="00EB6AD5" w:rsidSect="00DC2F3E">
          <w:headerReference w:type="even" r:id="rId14"/>
          <w:headerReference w:type="default" r:id="rId15"/>
          <w:footerReference w:type="even" r:id="rId16"/>
          <w:footerReference w:type="default" r:id="rId17"/>
          <w:headerReference w:type="first" r:id="rId18"/>
          <w:footerReference w:type="first" r:id="rId19"/>
          <w:pgSz w:w="11906" w:h="16838" w:code="9"/>
          <w:pgMar w:top="340" w:right="1021" w:bottom="1021" w:left="2268" w:header="0" w:footer="397" w:gutter="0"/>
          <w:cols w:space="708"/>
          <w:titlePg/>
          <w:docGrid w:linePitch="360"/>
        </w:sectPr>
      </w:pPr>
    </w:p>
    <w:p w14:paraId="48BE73B0" w14:textId="77777777" w:rsidR="002679BD" w:rsidRPr="00056164" w:rsidRDefault="002679BD" w:rsidP="002679BD">
      <w:pPr>
        <w:spacing w:after="120" w:line="256" w:lineRule="auto"/>
        <w:rPr>
          <w:rFonts w:asciiTheme="majorHAnsi" w:hAnsiTheme="majorHAnsi" w:cstheme="majorHAnsi"/>
        </w:rPr>
      </w:pPr>
      <w:bookmarkStart w:id="5" w:name="_Hlk140067439"/>
      <w:bookmarkStart w:id="6" w:name="_Hlk140846850"/>
      <w:bookmarkEnd w:id="0"/>
      <w:r w:rsidRPr="00056164">
        <w:rPr>
          <w:rFonts w:asciiTheme="majorHAnsi" w:hAnsiTheme="majorHAnsi" w:cstheme="majorHAnsi"/>
        </w:rPr>
        <w:lastRenderedPageBreak/>
        <w:t>© Commonwealth of Australia 2023</w:t>
      </w:r>
    </w:p>
    <w:p w14:paraId="4D690D97" w14:textId="77777777" w:rsidR="002679BD" w:rsidRPr="00056164" w:rsidRDefault="002679BD" w:rsidP="00CE295F">
      <w:pPr>
        <w:rPr>
          <w:rFonts w:asciiTheme="majorHAnsi" w:hAnsiTheme="majorHAnsi" w:cstheme="majorHAnsi"/>
          <w:sz w:val="32"/>
          <w:szCs w:val="32"/>
        </w:rPr>
      </w:pPr>
      <w:bookmarkStart w:id="7" w:name="_Toc105156702"/>
      <w:bookmarkStart w:id="8" w:name="_Toc105157522"/>
      <w:bookmarkStart w:id="9" w:name="_Toc105769850"/>
      <w:bookmarkStart w:id="10" w:name="_Toc106198532"/>
      <w:bookmarkStart w:id="11" w:name="_Toc106270275"/>
      <w:bookmarkStart w:id="12" w:name="_Toc106270318"/>
      <w:bookmarkStart w:id="13" w:name="_Toc106350432"/>
      <w:bookmarkStart w:id="14" w:name="_Toc106635397"/>
      <w:bookmarkStart w:id="15" w:name="_Toc108611453"/>
      <w:r w:rsidRPr="00056164">
        <w:rPr>
          <w:rFonts w:asciiTheme="majorHAnsi" w:hAnsiTheme="majorHAnsi" w:cstheme="majorHAnsi"/>
          <w:sz w:val="32"/>
          <w:szCs w:val="32"/>
        </w:rPr>
        <w:t>Ownership of intellectual property rights in this publication</w:t>
      </w:r>
      <w:bookmarkEnd w:id="7"/>
      <w:bookmarkEnd w:id="8"/>
      <w:bookmarkEnd w:id="9"/>
      <w:bookmarkEnd w:id="10"/>
      <w:bookmarkEnd w:id="11"/>
      <w:bookmarkEnd w:id="12"/>
      <w:bookmarkEnd w:id="13"/>
      <w:bookmarkEnd w:id="14"/>
      <w:bookmarkEnd w:id="15"/>
    </w:p>
    <w:p w14:paraId="523B2DD9" w14:textId="77777777" w:rsidR="002679BD" w:rsidRPr="00056164" w:rsidRDefault="002679BD" w:rsidP="002679BD">
      <w:pPr>
        <w:pStyle w:val="Normaldisclaimerpage"/>
        <w:rPr>
          <w:rFonts w:asciiTheme="majorHAnsi" w:hAnsiTheme="majorHAnsi" w:cstheme="majorHAnsi"/>
          <w:sz w:val="22"/>
          <w:szCs w:val="22"/>
        </w:rPr>
      </w:pPr>
      <w:r w:rsidRPr="00056164">
        <w:rPr>
          <w:rFonts w:asciiTheme="majorHAnsi" w:hAnsiTheme="majorHAnsi" w:cstheme="majorHAnsi"/>
          <w:sz w:val="22"/>
          <w:szCs w:val="22"/>
        </w:rPr>
        <w:t>Unless otherwise noted, copyright (and any other intellectual property rights, if any) in this publication is owned by the Commonwealth of Australia (referred to below as the Commonwealth).</w:t>
      </w:r>
    </w:p>
    <w:p w14:paraId="435ACF6C" w14:textId="77777777" w:rsidR="002679BD" w:rsidRPr="00056164" w:rsidRDefault="002679BD" w:rsidP="00CE295F">
      <w:pPr>
        <w:rPr>
          <w:rFonts w:asciiTheme="majorHAnsi" w:hAnsiTheme="majorHAnsi" w:cstheme="majorHAnsi"/>
          <w:sz w:val="32"/>
          <w:szCs w:val="32"/>
        </w:rPr>
      </w:pPr>
      <w:bookmarkStart w:id="16" w:name="_Toc105156703"/>
      <w:bookmarkStart w:id="17" w:name="_Toc105157523"/>
      <w:bookmarkStart w:id="18" w:name="_Toc105769851"/>
      <w:bookmarkStart w:id="19" w:name="_Toc106198533"/>
      <w:bookmarkStart w:id="20" w:name="_Toc106270276"/>
      <w:bookmarkStart w:id="21" w:name="_Toc106270319"/>
      <w:bookmarkStart w:id="22" w:name="_Toc106350433"/>
      <w:bookmarkStart w:id="23" w:name="_Toc106635398"/>
      <w:bookmarkStart w:id="24" w:name="_Toc108611454"/>
      <w:r w:rsidRPr="00056164">
        <w:rPr>
          <w:rFonts w:asciiTheme="majorHAnsi" w:hAnsiTheme="majorHAnsi" w:cstheme="majorHAnsi"/>
          <w:sz w:val="32"/>
          <w:szCs w:val="32"/>
        </w:rPr>
        <w:t>Disclaimer</w:t>
      </w:r>
      <w:bookmarkEnd w:id="16"/>
      <w:bookmarkEnd w:id="17"/>
      <w:bookmarkEnd w:id="18"/>
      <w:bookmarkEnd w:id="19"/>
      <w:bookmarkEnd w:id="20"/>
      <w:bookmarkEnd w:id="21"/>
      <w:bookmarkEnd w:id="22"/>
      <w:bookmarkEnd w:id="23"/>
      <w:bookmarkEnd w:id="24"/>
    </w:p>
    <w:p w14:paraId="0DD44A2A" w14:textId="77777777" w:rsidR="002679BD" w:rsidRPr="00056164" w:rsidRDefault="002679BD" w:rsidP="002679BD">
      <w:pPr>
        <w:pStyle w:val="Normaldisclaimerpage"/>
        <w:rPr>
          <w:rFonts w:asciiTheme="majorHAnsi" w:hAnsiTheme="majorHAnsi" w:cstheme="majorHAnsi"/>
          <w:sz w:val="22"/>
          <w:szCs w:val="22"/>
        </w:rPr>
      </w:pPr>
      <w:r w:rsidRPr="00056164">
        <w:rPr>
          <w:rFonts w:asciiTheme="majorHAnsi" w:hAnsiTheme="majorHAnsi" w:cstheme="majorHAnsi"/>
          <w:sz w:val="22"/>
          <w:szCs w:val="22"/>
        </w:rPr>
        <w:t>The material contained in this publication is made available on the understanding that the Commonwealth is not providing professional advice, and that users exercise their own skill and care with respect to its use, and seek independent advice if necessary.</w:t>
      </w:r>
    </w:p>
    <w:p w14:paraId="242DDE43" w14:textId="77777777" w:rsidR="002679BD" w:rsidRPr="00056164" w:rsidRDefault="002679BD" w:rsidP="002679BD">
      <w:pPr>
        <w:pStyle w:val="Normaldisclaimerpage"/>
        <w:rPr>
          <w:rFonts w:asciiTheme="majorHAnsi" w:hAnsiTheme="majorHAnsi" w:cstheme="majorHAnsi"/>
          <w:sz w:val="22"/>
          <w:szCs w:val="22"/>
        </w:rPr>
      </w:pPr>
      <w:r w:rsidRPr="00056164">
        <w:rPr>
          <w:rFonts w:asciiTheme="majorHAnsi" w:hAnsiTheme="majorHAnsi" w:cstheme="majorHAnsi"/>
          <w:sz w:val="22"/>
          <w:szCs w:val="22"/>
        </w:rP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EB4823D" w14:textId="77777777" w:rsidR="002679BD" w:rsidRPr="00056164" w:rsidRDefault="002679BD" w:rsidP="00CE295F">
      <w:pPr>
        <w:rPr>
          <w:rFonts w:asciiTheme="majorHAnsi" w:hAnsiTheme="majorHAnsi" w:cstheme="majorHAnsi"/>
          <w:sz w:val="32"/>
          <w:szCs w:val="32"/>
        </w:rPr>
      </w:pPr>
      <w:bookmarkStart w:id="25" w:name="_Toc105156704"/>
      <w:bookmarkStart w:id="26" w:name="_Toc105157524"/>
      <w:bookmarkStart w:id="27" w:name="_Toc105769852"/>
      <w:bookmarkStart w:id="28" w:name="_Toc106198534"/>
      <w:bookmarkStart w:id="29" w:name="_Toc106270277"/>
      <w:bookmarkStart w:id="30" w:name="_Toc106270320"/>
      <w:bookmarkStart w:id="31" w:name="_Toc106350434"/>
      <w:bookmarkStart w:id="32" w:name="_Toc106635399"/>
      <w:bookmarkStart w:id="33" w:name="_Toc108611455"/>
      <w:r w:rsidRPr="00056164">
        <w:rPr>
          <w:rFonts w:asciiTheme="majorHAnsi" w:hAnsiTheme="majorHAnsi" w:cstheme="majorHAnsi"/>
          <w:sz w:val="32"/>
          <w:szCs w:val="32"/>
        </w:rPr>
        <w:t>Creative Commons licence</w:t>
      </w:r>
      <w:bookmarkEnd w:id="25"/>
      <w:bookmarkEnd w:id="26"/>
      <w:bookmarkEnd w:id="27"/>
      <w:bookmarkEnd w:id="28"/>
      <w:bookmarkEnd w:id="29"/>
      <w:bookmarkEnd w:id="30"/>
      <w:bookmarkEnd w:id="31"/>
      <w:bookmarkEnd w:id="32"/>
      <w:bookmarkEnd w:id="33"/>
    </w:p>
    <w:p w14:paraId="3DF52617" w14:textId="77777777" w:rsidR="002679BD" w:rsidRPr="00056164" w:rsidRDefault="002679BD" w:rsidP="002679BD">
      <w:pPr>
        <w:pStyle w:val="Normaldisclaimerpage"/>
        <w:rPr>
          <w:rFonts w:asciiTheme="majorHAnsi" w:hAnsiTheme="majorHAnsi" w:cstheme="majorHAnsi"/>
          <w:sz w:val="22"/>
          <w:szCs w:val="22"/>
        </w:rPr>
      </w:pPr>
      <w:r w:rsidRPr="00056164">
        <w:rPr>
          <w:rFonts w:asciiTheme="majorHAnsi" w:hAnsiTheme="majorHAnsi" w:cstheme="majorHAnsi"/>
          <w:sz w:val="22"/>
          <w:szCs w:val="22"/>
        </w:rPr>
        <w:t>With the exception of (a) the Coat of Arms; (b) the Department of Infrastructure, Transport, Regional Development, Communications and the Arts photos and graphics</w:t>
      </w:r>
      <w:r w:rsidR="004D3A3B" w:rsidRPr="00056164">
        <w:rPr>
          <w:rFonts w:asciiTheme="majorHAnsi" w:hAnsiTheme="majorHAnsi" w:cstheme="majorHAnsi"/>
          <w:sz w:val="22"/>
          <w:szCs w:val="22"/>
        </w:rPr>
        <w:t xml:space="preserve">; (c) </w:t>
      </w:r>
      <w:r w:rsidR="001165C9" w:rsidRPr="00056164">
        <w:rPr>
          <w:rFonts w:asciiTheme="majorHAnsi" w:hAnsiTheme="majorHAnsi" w:cstheme="majorHAnsi"/>
          <w:sz w:val="22"/>
          <w:szCs w:val="22"/>
        </w:rPr>
        <w:t>third party data and graphics</w:t>
      </w:r>
      <w:r w:rsidRPr="00056164">
        <w:rPr>
          <w:rFonts w:asciiTheme="majorHAnsi" w:hAnsiTheme="majorHAnsi" w:cstheme="majorHAnsi"/>
          <w:sz w:val="22"/>
          <w:szCs w:val="22"/>
        </w:rPr>
        <w:t>, copyright in this publication is licensed under a Creative Commons Attribution 4.0 Australia Licence.</w:t>
      </w:r>
    </w:p>
    <w:p w14:paraId="00C32896" w14:textId="77777777" w:rsidR="002679BD" w:rsidRDefault="002679BD" w:rsidP="002679BD">
      <w:pPr>
        <w:pStyle w:val="Normaldisclaimerpage"/>
        <w:rPr>
          <w:rFonts w:asciiTheme="majorHAnsi" w:hAnsiTheme="majorHAnsi" w:cstheme="majorHAnsi"/>
          <w:sz w:val="22"/>
          <w:szCs w:val="22"/>
        </w:rPr>
      </w:pPr>
      <w:r w:rsidRPr="00056164">
        <w:rPr>
          <w:rFonts w:asciiTheme="majorHAnsi" w:hAnsiTheme="majorHAnsi" w:cstheme="majorHAnsi"/>
          <w:sz w:val="22"/>
          <w:szCs w:val="22"/>
        </w:rPr>
        <w:t>Creative Commons Attribution 4.0 Australia Licence is a standard form licence agreement that allows you to copy, communicate and adapt this publication provided that you attribute the work to the Commonwealth and abide by the other licence terms.</w:t>
      </w:r>
    </w:p>
    <w:p w14:paraId="54C58FA1" w14:textId="3A240681" w:rsidR="000B0DE9" w:rsidRPr="00056164" w:rsidRDefault="000B0DE9" w:rsidP="002679BD">
      <w:pPr>
        <w:pStyle w:val="Normaldisclaimerpage"/>
        <w:rPr>
          <w:rFonts w:asciiTheme="majorHAnsi" w:hAnsiTheme="majorHAnsi" w:cstheme="majorHAnsi"/>
          <w:sz w:val="22"/>
          <w:szCs w:val="22"/>
        </w:rPr>
      </w:pPr>
      <w:r w:rsidRPr="00B0504A">
        <w:rPr>
          <w:rFonts w:asciiTheme="majorHAnsi" w:hAnsiTheme="majorHAnsi" w:cstheme="majorHAnsi"/>
          <w:sz w:val="22"/>
          <w:szCs w:val="22"/>
        </w:rPr>
        <w:t>All other rights are reserved, including in relation to any departmental logos or trademarks which may exist.</w:t>
      </w:r>
    </w:p>
    <w:p w14:paraId="59F8A901" w14:textId="7E397049" w:rsidR="002679BD" w:rsidRPr="00056164" w:rsidRDefault="002679BD" w:rsidP="002679BD">
      <w:pPr>
        <w:pStyle w:val="Normaldisclaimerpage"/>
        <w:rPr>
          <w:rFonts w:asciiTheme="majorHAnsi" w:hAnsiTheme="majorHAnsi" w:cstheme="majorHAnsi"/>
          <w:sz w:val="22"/>
          <w:szCs w:val="22"/>
        </w:rPr>
      </w:pPr>
      <w:r w:rsidRPr="00056164">
        <w:rPr>
          <w:rFonts w:asciiTheme="majorHAnsi" w:hAnsiTheme="majorHAnsi" w:cstheme="majorHAnsi"/>
          <w:sz w:val="22"/>
          <w:szCs w:val="22"/>
        </w:rPr>
        <w:t xml:space="preserve">Further information on the licence terms is available from </w:t>
      </w:r>
      <w:hyperlink r:id="rId20" w:history="1">
        <w:r w:rsidRPr="00056164">
          <w:rPr>
            <w:rStyle w:val="Hyperlink"/>
            <w:rFonts w:asciiTheme="majorHAnsi" w:hAnsiTheme="majorHAnsi" w:cstheme="majorHAnsi"/>
            <w:sz w:val="22"/>
            <w:szCs w:val="22"/>
          </w:rPr>
          <w:t>https://creativecommons.org/licenses/by/4.0/</w:t>
        </w:r>
      </w:hyperlink>
      <w:r w:rsidRPr="00056164">
        <w:rPr>
          <w:rFonts w:asciiTheme="majorHAnsi" w:hAnsiTheme="majorHAnsi" w:cstheme="majorHAnsi"/>
          <w:sz w:val="22"/>
          <w:szCs w:val="22"/>
        </w:rPr>
        <w:t>.</w:t>
      </w:r>
      <w:r w:rsidRPr="00056164">
        <w:rPr>
          <w:rFonts w:asciiTheme="majorHAnsi" w:hAnsiTheme="majorHAnsi" w:cstheme="majorHAnsi"/>
          <w:sz w:val="22"/>
          <w:szCs w:val="22"/>
        </w:rPr>
        <w:br/>
        <w:t xml:space="preserve">This publication should be attributed in the following way: © Commonwealth of Australia </w:t>
      </w:r>
      <w:r w:rsidR="004E021B" w:rsidRPr="00056164">
        <w:rPr>
          <w:rFonts w:asciiTheme="majorHAnsi" w:hAnsiTheme="majorHAnsi" w:cstheme="majorHAnsi"/>
          <w:sz w:val="22"/>
          <w:szCs w:val="22"/>
        </w:rPr>
        <w:t>2023</w:t>
      </w:r>
      <w:r w:rsidRPr="00056164">
        <w:rPr>
          <w:rFonts w:asciiTheme="majorHAnsi" w:hAnsiTheme="majorHAnsi" w:cstheme="majorHAnsi"/>
          <w:sz w:val="22"/>
          <w:szCs w:val="22"/>
        </w:rPr>
        <w:t>.</w:t>
      </w:r>
    </w:p>
    <w:p w14:paraId="33787324" w14:textId="77777777" w:rsidR="002679BD" w:rsidRPr="00056164" w:rsidRDefault="002679BD" w:rsidP="00CE295F">
      <w:pPr>
        <w:rPr>
          <w:rFonts w:asciiTheme="majorHAnsi" w:hAnsiTheme="majorHAnsi" w:cstheme="majorHAnsi"/>
          <w:sz w:val="32"/>
          <w:szCs w:val="32"/>
        </w:rPr>
      </w:pPr>
      <w:bookmarkStart w:id="34" w:name="_Toc105156705"/>
      <w:bookmarkStart w:id="35" w:name="_Toc105157525"/>
      <w:bookmarkStart w:id="36" w:name="_Toc105769853"/>
      <w:bookmarkStart w:id="37" w:name="_Toc106198535"/>
      <w:bookmarkStart w:id="38" w:name="_Toc106270278"/>
      <w:bookmarkStart w:id="39" w:name="_Toc106270321"/>
      <w:bookmarkStart w:id="40" w:name="_Toc106350435"/>
      <w:bookmarkStart w:id="41" w:name="_Toc106635400"/>
      <w:bookmarkStart w:id="42" w:name="_Toc108611456"/>
      <w:r w:rsidRPr="00056164">
        <w:rPr>
          <w:rFonts w:asciiTheme="majorHAnsi" w:hAnsiTheme="majorHAnsi" w:cstheme="majorHAnsi"/>
          <w:sz w:val="32"/>
          <w:szCs w:val="32"/>
        </w:rPr>
        <w:t>Use of the Coat of Arms</w:t>
      </w:r>
      <w:bookmarkEnd w:id="34"/>
      <w:bookmarkEnd w:id="35"/>
      <w:bookmarkEnd w:id="36"/>
      <w:bookmarkEnd w:id="37"/>
      <w:bookmarkEnd w:id="38"/>
      <w:bookmarkEnd w:id="39"/>
      <w:bookmarkEnd w:id="40"/>
      <w:bookmarkEnd w:id="41"/>
      <w:bookmarkEnd w:id="42"/>
    </w:p>
    <w:p w14:paraId="2EE600F9" w14:textId="7C95A6CA" w:rsidR="002679BD" w:rsidRPr="00056164" w:rsidRDefault="002679BD" w:rsidP="002679BD">
      <w:pPr>
        <w:pStyle w:val="Normaldisclaimerpage"/>
        <w:rPr>
          <w:rFonts w:asciiTheme="majorHAnsi" w:hAnsiTheme="majorHAnsi" w:cstheme="majorHAnsi"/>
          <w:sz w:val="22"/>
          <w:szCs w:val="22"/>
        </w:rPr>
      </w:pPr>
      <w:r w:rsidRPr="00056164">
        <w:rPr>
          <w:rFonts w:asciiTheme="majorHAnsi" w:hAnsiTheme="majorHAnsi" w:cstheme="majorHAnsi"/>
          <w:sz w:val="22"/>
          <w:szCs w:val="22"/>
        </w:rPr>
        <w:t xml:space="preserve">The Department of the Prime Minister and Cabinet sets the terms under which the Coat of Arms is used. Please refer to the Commonwealth Coat of Arms — Information and Guidelines publication available at </w:t>
      </w:r>
      <w:hyperlink r:id="rId21" w:history="1">
        <w:r w:rsidRPr="00056164">
          <w:rPr>
            <w:rStyle w:val="Hyperlink"/>
            <w:rFonts w:asciiTheme="majorHAnsi" w:hAnsiTheme="majorHAnsi" w:cstheme="majorHAnsi"/>
            <w:sz w:val="22"/>
            <w:szCs w:val="22"/>
          </w:rPr>
          <w:t>www.pmc.gov.au</w:t>
        </w:r>
      </w:hyperlink>
      <w:r w:rsidRPr="00056164">
        <w:rPr>
          <w:rFonts w:asciiTheme="majorHAnsi" w:hAnsiTheme="majorHAnsi" w:cstheme="majorHAnsi"/>
          <w:sz w:val="22"/>
          <w:szCs w:val="22"/>
        </w:rPr>
        <w:t>.</w:t>
      </w:r>
    </w:p>
    <w:p w14:paraId="48C02294" w14:textId="77777777" w:rsidR="002679BD" w:rsidRPr="00056164" w:rsidRDefault="002679BD" w:rsidP="00CE295F">
      <w:pPr>
        <w:rPr>
          <w:rFonts w:asciiTheme="majorHAnsi" w:hAnsiTheme="majorHAnsi" w:cstheme="majorHAnsi"/>
          <w:sz w:val="32"/>
          <w:szCs w:val="32"/>
        </w:rPr>
      </w:pPr>
      <w:bookmarkStart w:id="43" w:name="_Toc105156706"/>
      <w:bookmarkStart w:id="44" w:name="_Toc105157526"/>
      <w:bookmarkStart w:id="45" w:name="_Toc105769854"/>
      <w:bookmarkStart w:id="46" w:name="_Toc106198536"/>
      <w:bookmarkStart w:id="47" w:name="_Toc106270279"/>
      <w:bookmarkStart w:id="48" w:name="_Toc106270322"/>
      <w:bookmarkStart w:id="49" w:name="_Toc106350436"/>
      <w:bookmarkStart w:id="50" w:name="_Toc106635401"/>
      <w:bookmarkStart w:id="51" w:name="_Toc108611457"/>
      <w:r w:rsidRPr="00056164">
        <w:rPr>
          <w:rFonts w:asciiTheme="majorHAnsi" w:hAnsiTheme="majorHAnsi" w:cstheme="majorHAnsi"/>
          <w:sz w:val="32"/>
          <w:szCs w:val="32"/>
        </w:rPr>
        <w:t>Contact us</w:t>
      </w:r>
      <w:bookmarkEnd w:id="43"/>
      <w:bookmarkEnd w:id="44"/>
      <w:bookmarkEnd w:id="45"/>
      <w:bookmarkEnd w:id="46"/>
      <w:bookmarkEnd w:id="47"/>
      <w:bookmarkEnd w:id="48"/>
      <w:bookmarkEnd w:id="49"/>
      <w:bookmarkEnd w:id="50"/>
      <w:bookmarkEnd w:id="51"/>
    </w:p>
    <w:p w14:paraId="0DFB649B" w14:textId="7E39E4E9" w:rsidR="002679BD" w:rsidRPr="00056164" w:rsidRDefault="002679BD" w:rsidP="002679BD">
      <w:pPr>
        <w:pStyle w:val="Normaldisclaimerpage"/>
        <w:rPr>
          <w:rFonts w:asciiTheme="majorHAnsi" w:hAnsiTheme="majorHAnsi" w:cstheme="majorHAnsi"/>
          <w:sz w:val="22"/>
          <w:szCs w:val="22"/>
        </w:rPr>
      </w:pPr>
      <w:r w:rsidRPr="00056164">
        <w:rPr>
          <w:rFonts w:asciiTheme="majorHAnsi" w:hAnsiTheme="majorHAnsi" w:cstheme="majorHAnsi"/>
          <w:sz w:val="22"/>
          <w:szCs w:val="22"/>
        </w:rPr>
        <w:t>For enquiries regarding the licence and any use of this publication, please contact:</w:t>
      </w:r>
    </w:p>
    <w:p w14:paraId="004F43D0" w14:textId="77777777" w:rsidR="002679BD" w:rsidRPr="00056164" w:rsidRDefault="002679BD" w:rsidP="002679BD">
      <w:pPr>
        <w:pStyle w:val="Normaldisclaimerpage"/>
        <w:ind w:left="567"/>
        <w:rPr>
          <w:rFonts w:asciiTheme="majorHAnsi" w:hAnsiTheme="majorHAnsi" w:cstheme="majorHAnsi"/>
          <w:sz w:val="22"/>
          <w:szCs w:val="22"/>
        </w:rPr>
      </w:pPr>
      <w:r w:rsidRPr="00056164">
        <w:rPr>
          <w:rFonts w:asciiTheme="majorHAnsi" w:hAnsiTheme="majorHAnsi" w:cstheme="majorHAnsi"/>
          <w:sz w:val="22"/>
          <w:szCs w:val="22"/>
        </w:rPr>
        <w:t>Director—Publishing and Communications</w:t>
      </w:r>
      <w:r w:rsidRPr="00056164">
        <w:rPr>
          <w:rFonts w:asciiTheme="majorHAnsi" w:hAnsiTheme="majorHAnsi" w:cstheme="majorHAnsi"/>
          <w:sz w:val="22"/>
          <w:szCs w:val="22"/>
        </w:rPr>
        <w:br/>
        <w:t>Communication Branch</w:t>
      </w:r>
      <w:r w:rsidRPr="00056164">
        <w:rPr>
          <w:rFonts w:asciiTheme="majorHAnsi" w:hAnsiTheme="majorHAnsi" w:cstheme="majorHAnsi"/>
          <w:sz w:val="22"/>
          <w:szCs w:val="22"/>
        </w:rPr>
        <w:br/>
        <w:t>Department of Infrastructure, Transport, Regional Development, Communications and the Arts</w:t>
      </w:r>
      <w:r w:rsidRPr="00056164">
        <w:rPr>
          <w:rFonts w:asciiTheme="majorHAnsi" w:hAnsiTheme="majorHAnsi" w:cstheme="majorHAnsi"/>
          <w:sz w:val="22"/>
          <w:szCs w:val="22"/>
        </w:rPr>
        <w:br/>
        <w:t>GPO Box 594</w:t>
      </w:r>
      <w:r w:rsidRPr="00056164">
        <w:rPr>
          <w:rFonts w:asciiTheme="majorHAnsi" w:hAnsiTheme="majorHAnsi" w:cstheme="majorHAnsi"/>
          <w:sz w:val="22"/>
          <w:szCs w:val="22"/>
        </w:rPr>
        <w:br/>
        <w:t>Canberra ACT 2601</w:t>
      </w:r>
      <w:r w:rsidRPr="00056164">
        <w:rPr>
          <w:rFonts w:asciiTheme="majorHAnsi" w:hAnsiTheme="majorHAnsi" w:cstheme="majorHAnsi"/>
          <w:sz w:val="22"/>
          <w:szCs w:val="22"/>
        </w:rPr>
        <w:br/>
        <w:t>Australia</w:t>
      </w:r>
    </w:p>
    <w:p w14:paraId="7BE92A32" w14:textId="142C8068" w:rsidR="002679BD" w:rsidRPr="00056164" w:rsidRDefault="002679BD" w:rsidP="002679BD">
      <w:pPr>
        <w:pStyle w:val="Normaldisclaimerpage"/>
        <w:ind w:left="567"/>
        <w:rPr>
          <w:rFonts w:asciiTheme="majorHAnsi" w:hAnsiTheme="majorHAnsi" w:cstheme="majorHAnsi"/>
          <w:sz w:val="22"/>
          <w:szCs w:val="22"/>
        </w:rPr>
      </w:pPr>
      <w:r w:rsidRPr="00056164">
        <w:rPr>
          <w:rFonts w:asciiTheme="majorHAnsi" w:hAnsiTheme="majorHAnsi" w:cstheme="majorHAnsi"/>
          <w:sz w:val="22"/>
          <w:szCs w:val="22"/>
        </w:rPr>
        <w:t xml:space="preserve">Email: </w:t>
      </w:r>
      <w:hyperlink r:id="rId22" w:history="1">
        <w:r w:rsidRPr="00056164">
          <w:rPr>
            <w:rStyle w:val="Hyperlink"/>
            <w:rFonts w:asciiTheme="majorHAnsi" w:hAnsiTheme="majorHAnsi" w:cstheme="majorHAnsi"/>
            <w:sz w:val="22"/>
            <w:szCs w:val="22"/>
          </w:rPr>
          <w:t>publishing@communications.gov.au</w:t>
        </w:r>
      </w:hyperlink>
    </w:p>
    <w:p w14:paraId="3B04C3BD" w14:textId="5CF18383" w:rsidR="002679BD" w:rsidRPr="00056164" w:rsidRDefault="002679BD" w:rsidP="002679BD">
      <w:pPr>
        <w:pStyle w:val="Normaldisclaimerpage"/>
        <w:ind w:firstLine="567"/>
        <w:rPr>
          <w:rFonts w:asciiTheme="majorHAnsi" w:hAnsiTheme="majorHAnsi" w:cstheme="majorHAnsi"/>
          <w:sz w:val="22"/>
          <w:szCs w:val="22"/>
        </w:rPr>
      </w:pPr>
      <w:r w:rsidRPr="00056164">
        <w:rPr>
          <w:rFonts w:asciiTheme="majorHAnsi" w:hAnsiTheme="majorHAnsi" w:cstheme="majorHAnsi"/>
          <w:sz w:val="22"/>
          <w:szCs w:val="22"/>
        </w:rPr>
        <w:t xml:space="preserve">Websites: </w:t>
      </w:r>
      <w:hyperlink r:id="rId23" w:history="1">
        <w:r w:rsidRPr="00056164">
          <w:rPr>
            <w:rStyle w:val="Hyperlink"/>
            <w:rFonts w:asciiTheme="majorHAnsi" w:hAnsiTheme="majorHAnsi" w:cstheme="majorHAnsi"/>
            <w:sz w:val="22"/>
            <w:szCs w:val="22"/>
          </w:rPr>
          <w:t>www.infrastructure.gov.au</w:t>
        </w:r>
      </w:hyperlink>
      <w:r w:rsidRPr="00056164">
        <w:rPr>
          <w:rFonts w:asciiTheme="majorHAnsi" w:hAnsiTheme="majorHAnsi" w:cstheme="majorHAnsi"/>
          <w:sz w:val="22"/>
          <w:szCs w:val="22"/>
        </w:rPr>
        <w:t xml:space="preserve"> | </w:t>
      </w:r>
      <w:hyperlink r:id="rId24" w:history="1">
        <w:r w:rsidRPr="00056164">
          <w:rPr>
            <w:rStyle w:val="Hyperlink"/>
            <w:rFonts w:asciiTheme="majorHAnsi" w:hAnsiTheme="majorHAnsi" w:cstheme="majorHAnsi"/>
            <w:sz w:val="22"/>
            <w:szCs w:val="22"/>
          </w:rPr>
          <w:t>www.communications.gov.au</w:t>
        </w:r>
      </w:hyperlink>
      <w:r w:rsidRPr="00056164">
        <w:rPr>
          <w:rFonts w:asciiTheme="majorHAnsi" w:hAnsiTheme="majorHAnsi" w:cstheme="majorHAnsi"/>
          <w:sz w:val="22"/>
          <w:szCs w:val="22"/>
        </w:rPr>
        <w:t xml:space="preserve"> | </w:t>
      </w:r>
      <w:hyperlink r:id="rId25" w:history="1">
        <w:r w:rsidRPr="00056164">
          <w:rPr>
            <w:rStyle w:val="Hyperlink"/>
            <w:rFonts w:asciiTheme="majorHAnsi" w:hAnsiTheme="majorHAnsi" w:cstheme="majorHAnsi"/>
            <w:sz w:val="22"/>
            <w:szCs w:val="22"/>
          </w:rPr>
          <w:t>www.arts.gov.au</w:t>
        </w:r>
      </w:hyperlink>
      <w:r w:rsidRPr="00056164">
        <w:rPr>
          <w:rFonts w:asciiTheme="majorHAnsi" w:hAnsiTheme="majorHAnsi" w:cstheme="majorHAnsi"/>
          <w:sz w:val="22"/>
          <w:szCs w:val="22"/>
        </w:rPr>
        <w:t>.</w:t>
      </w:r>
    </w:p>
    <w:bookmarkStart w:id="52" w:name="_Toc141172063" w:displacedByCustomXml="next"/>
    <w:bookmarkStart w:id="53" w:name="_Hlk141436965" w:displacedByCustomXml="next"/>
    <w:sdt>
      <w:sdtPr>
        <w:rPr>
          <w:rFonts w:asciiTheme="minorHAnsi" w:eastAsiaTheme="minorHAnsi" w:hAnsiTheme="minorHAnsi" w:cstheme="minorBidi"/>
          <w:color w:val="000000" w:themeColor="text1"/>
          <w:sz w:val="22"/>
          <w:szCs w:val="22"/>
        </w:rPr>
        <w:id w:val="1834797763"/>
        <w:docPartObj>
          <w:docPartGallery w:val="Table of Contents"/>
          <w:docPartUnique/>
        </w:docPartObj>
      </w:sdtPr>
      <w:sdtEndPr>
        <w:rPr>
          <w:b/>
          <w:bCs/>
          <w:noProof/>
        </w:rPr>
      </w:sdtEndPr>
      <w:sdtContent>
        <w:p w14:paraId="66DD300D" w14:textId="77777777" w:rsidR="0081686C" w:rsidRDefault="0081686C" w:rsidP="00CE295F">
          <w:pPr>
            <w:pStyle w:val="TOCHeading"/>
            <w:rPr>
              <w:rFonts w:asciiTheme="minorHAnsi" w:eastAsiaTheme="minorHAnsi" w:hAnsiTheme="minorHAnsi" w:cstheme="minorBidi"/>
              <w:color w:val="000000" w:themeColor="text1"/>
              <w:sz w:val="22"/>
              <w:szCs w:val="22"/>
            </w:rPr>
          </w:pPr>
        </w:p>
        <w:p w14:paraId="4E893D9C" w14:textId="77777777" w:rsidR="0081686C" w:rsidRDefault="0081686C">
          <w:r>
            <w:br w:type="page"/>
          </w:r>
        </w:p>
        <w:p w14:paraId="020D702E" w14:textId="77777777" w:rsidR="00EF60EA" w:rsidRPr="003A0AB1" w:rsidRDefault="006B364D" w:rsidP="002B5D18">
          <w:pPr>
            <w:pStyle w:val="Heading2notshowing"/>
          </w:pPr>
          <w:bookmarkStart w:id="54" w:name="_Toc141369795"/>
          <w:bookmarkStart w:id="55" w:name="_Toc143265585"/>
          <w:r w:rsidRPr="003A0AB1">
            <w:lastRenderedPageBreak/>
            <w:t>Table of Contents</w:t>
          </w:r>
          <w:bookmarkEnd w:id="54"/>
          <w:bookmarkEnd w:id="55"/>
        </w:p>
        <w:p w14:paraId="4DDFF7CC" w14:textId="3E67EFD6" w:rsidR="0042309A" w:rsidRPr="0042309A" w:rsidRDefault="006B364D" w:rsidP="0042309A">
          <w:pPr>
            <w:pStyle w:val="TOC2"/>
          </w:pPr>
          <w:r>
            <w:rPr>
              <w:b/>
              <w:sz w:val="24"/>
              <w:u w:color="008089" w:themeColor="accent2"/>
            </w:rPr>
            <w:fldChar w:fldCharType="begin"/>
          </w:r>
          <w:r>
            <w:instrText xml:space="preserve"> TOC \o "1-2" \h \z \u </w:instrText>
          </w:r>
          <w:r>
            <w:rPr>
              <w:b/>
              <w:sz w:val="24"/>
              <w:u w:color="008089" w:themeColor="accent2"/>
            </w:rPr>
            <w:fldChar w:fldCharType="separate"/>
          </w:r>
        </w:p>
        <w:p w14:paraId="24323EED" w14:textId="251C6AEB" w:rsidR="0042309A" w:rsidRDefault="00D56F15">
          <w:pPr>
            <w:pStyle w:val="TOC1"/>
            <w:rPr>
              <w:rFonts w:eastAsiaTheme="minorEastAsia"/>
              <w:b w:val="0"/>
              <w:noProof/>
              <w:color w:val="auto"/>
              <w:sz w:val="22"/>
              <w:lang w:eastAsia="en-AU"/>
            </w:rPr>
          </w:pPr>
          <w:hyperlink w:anchor="_Toc143265587" w:history="1">
            <w:r w:rsidR="0042309A" w:rsidRPr="002F72F9">
              <w:rPr>
                <w:rStyle w:val="Hyperlink"/>
                <w:noProof/>
              </w:rPr>
              <w:t>Chapter 1: Summary of the proposals paper</w:t>
            </w:r>
            <w:r w:rsidR="0042309A">
              <w:rPr>
                <w:noProof/>
                <w:webHidden/>
              </w:rPr>
              <w:tab/>
            </w:r>
            <w:r w:rsidR="0042309A">
              <w:rPr>
                <w:noProof/>
                <w:webHidden/>
              </w:rPr>
              <w:fldChar w:fldCharType="begin"/>
            </w:r>
            <w:r w:rsidR="0042309A">
              <w:rPr>
                <w:noProof/>
                <w:webHidden/>
              </w:rPr>
              <w:instrText xml:space="preserve"> PAGEREF _Toc143265587 \h </w:instrText>
            </w:r>
            <w:r w:rsidR="0042309A">
              <w:rPr>
                <w:noProof/>
                <w:webHidden/>
              </w:rPr>
            </w:r>
            <w:r w:rsidR="0042309A">
              <w:rPr>
                <w:noProof/>
                <w:webHidden/>
              </w:rPr>
              <w:fldChar w:fldCharType="separate"/>
            </w:r>
            <w:r w:rsidR="0042309A">
              <w:rPr>
                <w:noProof/>
                <w:webHidden/>
              </w:rPr>
              <w:t>4</w:t>
            </w:r>
            <w:r w:rsidR="0042309A">
              <w:rPr>
                <w:noProof/>
                <w:webHidden/>
              </w:rPr>
              <w:fldChar w:fldCharType="end"/>
            </w:r>
          </w:hyperlink>
        </w:p>
        <w:p w14:paraId="36A4E091" w14:textId="288C7E62" w:rsidR="0042309A" w:rsidRDefault="00D56F15">
          <w:pPr>
            <w:pStyle w:val="TOC1"/>
            <w:rPr>
              <w:rFonts w:eastAsiaTheme="minorEastAsia"/>
              <w:b w:val="0"/>
              <w:noProof/>
              <w:color w:val="auto"/>
              <w:sz w:val="22"/>
              <w:lang w:eastAsia="en-AU"/>
            </w:rPr>
          </w:pPr>
          <w:hyperlink w:anchor="_Toc143265588" w:history="1">
            <w:r w:rsidR="0042309A" w:rsidRPr="002F72F9">
              <w:rPr>
                <w:rStyle w:val="Hyperlink"/>
                <w:noProof/>
              </w:rPr>
              <w:t>Chapter 2: Making your views known</w:t>
            </w:r>
            <w:r w:rsidR="0042309A">
              <w:rPr>
                <w:noProof/>
                <w:webHidden/>
              </w:rPr>
              <w:tab/>
            </w:r>
            <w:r w:rsidR="0042309A">
              <w:rPr>
                <w:noProof/>
                <w:webHidden/>
              </w:rPr>
              <w:fldChar w:fldCharType="begin"/>
            </w:r>
            <w:r w:rsidR="0042309A">
              <w:rPr>
                <w:noProof/>
                <w:webHidden/>
              </w:rPr>
              <w:instrText xml:space="preserve"> PAGEREF _Toc143265588 \h </w:instrText>
            </w:r>
            <w:r w:rsidR="0042309A">
              <w:rPr>
                <w:noProof/>
                <w:webHidden/>
              </w:rPr>
            </w:r>
            <w:r w:rsidR="0042309A">
              <w:rPr>
                <w:noProof/>
                <w:webHidden/>
              </w:rPr>
              <w:fldChar w:fldCharType="separate"/>
            </w:r>
            <w:r w:rsidR="0042309A">
              <w:rPr>
                <w:noProof/>
                <w:webHidden/>
              </w:rPr>
              <w:t>9</w:t>
            </w:r>
            <w:r w:rsidR="0042309A">
              <w:rPr>
                <w:noProof/>
                <w:webHidden/>
              </w:rPr>
              <w:fldChar w:fldCharType="end"/>
            </w:r>
          </w:hyperlink>
        </w:p>
        <w:p w14:paraId="6E47E5AD" w14:textId="73F9E503" w:rsidR="0042309A" w:rsidRDefault="00D56F15">
          <w:pPr>
            <w:pStyle w:val="TOC1"/>
            <w:rPr>
              <w:rFonts w:eastAsiaTheme="minorEastAsia"/>
              <w:b w:val="0"/>
              <w:noProof/>
              <w:color w:val="auto"/>
              <w:sz w:val="22"/>
              <w:lang w:eastAsia="en-AU"/>
            </w:rPr>
          </w:pPr>
          <w:hyperlink w:anchor="_Toc143265589" w:history="1">
            <w:r w:rsidR="0042309A" w:rsidRPr="002F72F9">
              <w:rPr>
                <w:rStyle w:val="Hyperlink"/>
                <w:noProof/>
              </w:rPr>
              <w:t>Chapter 3: The purpose of this consultation</w:t>
            </w:r>
            <w:r w:rsidR="0042309A">
              <w:rPr>
                <w:noProof/>
                <w:webHidden/>
              </w:rPr>
              <w:tab/>
            </w:r>
            <w:r w:rsidR="0042309A">
              <w:rPr>
                <w:noProof/>
                <w:webHidden/>
              </w:rPr>
              <w:fldChar w:fldCharType="begin"/>
            </w:r>
            <w:r w:rsidR="0042309A">
              <w:rPr>
                <w:noProof/>
                <w:webHidden/>
              </w:rPr>
              <w:instrText xml:space="preserve"> PAGEREF _Toc143265589 \h </w:instrText>
            </w:r>
            <w:r w:rsidR="0042309A">
              <w:rPr>
                <w:noProof/>
                <w:webHidden/>
              </w:rPr>
            </w:r>
            <w:r w:rsidR="0042309A">
              <w:rPr>
                <w:noProof/>
                <w:webHidden/>
              </w:rPr>
              <w:fldChar w:fldCharType="separate"/>
            </w:r>
            <w:r w:rsidR="0042309A">
              <w:rPr>
                <w:noProof/>
                <w:webHidden/>
              </w:rPr>
              <w:t>10</w:t>
            </w:r>
            <w:r w:rsidR="0042309A">
              <w:rPr>
                <w:noProof/>
                <w:webHidden/>
              </w:rPr>
              <w:fldChar w:fldCharType="end"/>
            </w:r>
          </w:hyperlink>
        </w:p>
        <w:p w14:paraId="5743173B" w14:textId="55B1B2E4" w:rsidR="0042309A" w:rsidRDefault="00D56F15">
          <w:pPr>
            <w:pStyle w:val="TOC1"/>
            <w:rPr>
              <w:rFonts w:eastAsiaTheme="minorEastAsia"/>
              <w:b w:val="0"/>
              <w:noProof/>
              <w:color w:val="auto"/>
              <w:sz w:val="22"/>
              <w:lang w:eastAsia="en-AU"/>
            </w:rPr>
          </w:pPr>
          <w:hyperlink w:anchor="_Toc143265590" w:history="1">
            <w:r w:rsidR="0042309A" w:rsidRPr="002F72F9">
              <w:rPr>
                <w:rStyle w:val="Hyperlink"/>
                <w:noProof/>
              </w:rPr>
              <w:t>Chapter 4: Background</w:t>
            </w:r>
            <w:r w:rsidR="0042309A">
              <w:rPr>
                <w:noProof/>
                <w:webHidden/>
              </w:rPr>
              <w:tab/>
            </w:r>
            <w:r w:rsidR="0042309A">
              <w:rPr>
                <w:noProof/>
                <w:webHidden/>
              </w:rPr>
              <w:fldChar w:fldCharType="begin"/>
            </w:r>
            <w:r w:rsidR="0042309A">
              <w:rPr>
                <w:noProof/>
                <w:webHidden/>
              </w:rPr>
              <w:instrText xml:space="preserve"> PAGEREF _Toc143265590 \h </w:instrText>
            </w:r>
            <w:r w:rsidR="0042309A">
              <w:rPr>
                <w:noProof/>
                <w:webHidden/>
              </w:rPr>
            </w:r>
            <w:r w:rsidR="0042309A">
              <w:rPr>
                <w:noProof/>
                <w:webHidden/>
              </w:rPr>
              <w:fldChar w:fldCharType="separate"/>
            </w:r>
            <w:r w:rsidR="0042309A">
              <w:rPr>
                <w:noProof/>
                <w:webHidden/>
              </w:rPr>
              <w:t>12</w:t>
            </w:r>
            <w:r w:rsidR="0042309A">
              <w:rPr>
                <w:noProof/>
                <w:webHidden/>
              </w:rPr>
              <w:fldChar w:fldCharType="end"/>
            </w:r>
          </w:hyperlink>
        </w:p>
        <w:p w14:paraId="43DF162A" w14:textId="163BAF34" w:rsidR="0042309A" w:rsidRDefault="00D56F15">
          <w:pPr>
            <w:pStyle w:val="TOC1"/>
            <w:rPr>
              <w:rFonts w:eastAsiaTheme="minorEastAsia"/>
              <w:b w:val="0"/>
              <w:noProof/>
              <w:color w:val="auto"/>
              <w:sz w:val="22"/>
              <w:lang w:eastAsia="en-AU"/>
            </w:rPr>
          </w:pPr>
          <w:hyperlink w:anchor="_Toc143265591" w:history="1">
            <w:r w:rsidR="0042309A" w:rsidRPr="002F72F9">
              <w:rPr>
                <w:rStyle w:val="Hyperlink"/>
                <w:noProof/>
              </w:rPr>
              <w:t>Chapter 5: Preliminary findings of the review to date</w:t>
            </w:r>
            <w:r w:rsidR="0042309A">
              <w:rPr>
                <w:noProof/>
                <w:webHidden/>
              </w:rPr>
              <w:tab/>
            </w:r>
            <w:r w:rsidR="0042309A">
              <w:rPr>
                <w:noProof/>
                <w:webHidden/>
              </w:rPr>
              <w:fldChar w:fldCharType="begin"/>
            </w:r>
            <w:r w:rsidR="0042309A">
              <w:rPr>
                <w:noProof/>
                <w:webHidden/>
              </w:rPr>
              <w:instrText xml:space="preserve"> PAGEREF _Toc143265591 \h </w:instrText>
            </w:r>
            <w:r w:rsidR="0042309A">
              <w:rPr>
                <w:noProof/>
                <w:webHidden/>
              </w:rPr>
            </w:r>
            <w:r w:rsidR="0042309A">
              <w:rPr>
                <w:noProof/>
                <w:webHidden/>
              </w:rPr>
              <w:fldChar w:fldCharType="separate"/>
            </w:r>
            <w:r w:rsidR="0042309A">
              <w:rPr>
                <w:noProof/>
                <w:webHidden/>
              </w:rPr>
              <w:t>14</w:t>
            </w:r>
            <w:r w:rsidR="0042309A">
              <w:rPr>
                <w:noProof/>
                <w:webHidden/>
              </w:rPr>
              <w:fldChar w:fldCharType="end"/>
            </w:r>
          </w:hyperlink>
        </w:p>
        <w:p w14:paraId="60621A07" w14:textId="583636FF" w:rsidR="0042309A" w:rsidRDefault="00D56F15" w:rsidP="0042309A">
          <w:pPr>
            <w:pStyle w:val="TOC2"/>
          </w:pPr>
          <w:hyperlink w:anchor="_Toc143265592" w:history="1">
            <w:r w:rsidR="0042309A" w:rsidRPr="002F72F9">
              <w:rPr>
                <w:rStyle w:val="Hyperlink"/>
              </w:rPr>
              <w:t>Preliminary finding 1: the core objective of the anti-siphoning scheme remains relevant</w:t>
            </w:r>
            <w:r w:rsidR="0042309A">
              <w:rPr>
                <w:webHidden/>
              </w:rPr>
              <w:tab/>
            </w:r>
            <w:r w:rsidR="0042309A">
              <w:rPr>
                <w:webHidden/>
              </w:rPr>
              <w:fldChar w:fldCharType="begin"/>
            </w:r>
            <w:r w:rsidR="0042309A">
              <w:rPr>
                <w:webHidden/>
              </w:rPr>
              <w:instrText xml:space="preserve"> PAGEREF _Toc143265592 \h </w:instrText>
            </w:r>
            <w:r w:rsidR="0042309A">
              <w:rPr>
                <w:webHidden/>
              </w:rPr>
            </w:r>
            <w:r w:rsidR="0042309A">
              <w:rPr>
                <w:webHidden/>
              </w:rPr>
              <w:fldChar w:fldCharType="separate"/>
            </w:r>
            <w:r w:rsidR="0042309A">
              <w:rPr>
                <w:webHidden/>
              </w:rPr>
              <w:t>14</w:t>
            </w:r>
            <w:r w:rsidR="0042309A">
              <w:rPr>
                <w:webHidden/>
              </w:rPr>
              <w:fldChar w:fldCharType="end"/>
            </w:r>
          </w:hyperlink>
        </w:p>
        <w:p w14:paraId="2E8D7767" w14:textId="005951AD" w:rsidR="0042309A" w:rsidRDefault="00D56F15" w:rsidP="0042309A">
          <w:pPr>
            <w:pStyle w:val="TOC2"/>
          </w:pPr>
          <w:hyperlink w:anchor="_Toc143265593" w:history="1">
            <w:r w:rsidR="0042309A" w:rsidRPr="002F72F9">
              <w:rPr>
                <w:rStyle w:val="Hyperlink"/>
              </w:rPr>
              <w:t>Preliminary finding 2: the scheme has an ongoing role but needs to be broadened to incorporate online services</w:t>
            </w:r>
            <w:r w:rsidR="0042309A">
              <w:rPr>
                <w:webHidden/>
              </w:rPr>
              <w:tab/>
            </w:r>
            <w:r w:rsidR="0042309A">
              <w:rPr>
                <w:webHidden/>
              </w:rPr>
              <w:fldChar w:fldCharType="begin"/>
            </w:r>
            <w:r w:rsidR="0042309A">
              <w:rPr>
                <w:webHidden/>
              </w:rPr>
              <w:instrText xml:space="preserve"> PAGEREF _Toc143265593 \h </w:instrText>
            </w:r>
            <w:r w:rsidR="0042309A">
              <w:rPr>
                <w:webHidden/>
              </w:rPr>
            </w:r>
            <w:r w:rsidR="0042309A">
              <w:rPr>
                <w:webHidden/>
              </w:rPr>
              <w:fldChar w:fldCharType="separate"/>
            </w:r>
            <w:r w:rsidR="0042309A">
              <w:rPr>
                <w:webHidden/>
              </w:rPr>
              <w:t>17</w:t>
            </w:r>
            <w:r w:rsidR="0042309A">
              <w:rPr>
                <w:webHidden/>
              </w:rPr>
              <w:fldChar w:fldCharType="end"/>
            </w:r>
          </w:hyperlink>
        </w:p>
        <w:p w14:paraId="042A83BD" w14:textId="7F1B9644" w:rsidR="0042309A" w:rsidRDefault="00D56F15" w:rsidP="0042309A">
          <w:pPr>
            <w:pStyle w:val="TOC2"/>
          </w:pPr>
          <w:hyperlink w:anchor="_Toc143265594" w:history="1">
            <w:r w:rsidR="0042309A" w:rsidRPr="002F72F9">
              <w:rPr>
                <w:rStyle w:val="Hyperlink"/>
              </w:rPr>
              <w:t>Preliminary finding 3: the composition of the anti-siphoning list needs to be reconsidered</w:t>
            </w:r>
            <w:r w:rsidR="0042309A">
              <w:rPr>
                <w:webHidden/>
              </w:rPr>
              <w:tab/>
            </w:r>
            <w:r w:rsidR="0042309A">
              <w:rPr>
                <w:webHidden/>
              </w:rPr>
              <w:fldChar w:fldCharType="begin"/>
            </w:r>
            <w:r w:rsidR="0042309A">
              <w:rPr>
                <w:webHidden/>
              </w:rPr>
              <w:instrText xml:space="preserve"> PAGEREF _Toc143265594 \h </w:instrText>
            </w:r>
            <w:r w:rsidR="0042309A">
              <w:rPr>
                <w:webHidden/>
              </w:rPr>
            </w:r>
            <w:r w:rsidR="0042309A">
              <w:rPr>
                <w:webHidden/>
              </w:rPr>
              <w:fldChar w:fldCharType="separate"/>
            </w:r>
            <w:r w:rsidR="0042309A">
              <w:rPr>
                <w:webHidden/>
              </w:rPr>
              <w:t>22</w:t>
            </w:r>
            <w:r w:rsidR="0042309A">
              <w:rPr>
                <w:webHidden/>
              </w:rPr>
              <w:fldChar w:fldCharType="end"/>
            </w:r>
          </w:hyperlink>
        </w:p>
        <w:p w14:paraId="6E0C8A8D" w14:textId="15CF5DFA" w:rsidR="0042309A" w:rsidRDefault="00D56F15">
          <w:pPr>
            <w:pStyle w:val="TOC1"/>
            <w:rPr>
              <w:rFonts w:eastAsiaTheme="minorEastAsia"/>
              <w:b w:val="0"/>
              <w:noProof/>
              <w:color w:val="auto"/>
              <w:sz w:val="22"/>
              <w:lang w:eastAsia="en-AU"/>
            </w:rPr>
          </w:pPr>
          <w:hyperlink w:anchor="_Toc143265595" w:history="1">
            <w:r w:rsidR="0042309A" w:rsidRPr="002F72F9">
              <w:rPr>
                <w:rStyle w:val="Hyperlink"/>
                <w:noProof/>
              </w:rPr>
              <w:t>Chapter 6: Potential models for reforming the anti</w:t>
            </w:r>
            <w:r w:rsidR="0042309A" w:rsidRPr="002F72F9">
              <w:rPr>
                <w:rStyle w:val="Hyperlink"/>
                <w:noProof/>
              </w:rPr>
              <w:noBreakHyphen/>
              <w:t>siphoning scheme</w:t>
            </w:r>
            <w:r w:rsidR="0042309A">
              <w:rPr>
                <w:noProof/>
                <w:webHidden/>
              </w:rPr>
              <w:tab/>
            </w:r>
            <w:r w:rsidR="0042309A">
              <w:rPr>
                <w:noProof/>
                <w:webHidden/>
              </w:rPr>
              <w:fldChar w:fldCharType="begin"/>
            </w:r>
            <w:r w:rsidR="0042309A">
              <w:rPr>
                <w:noProof/>
                <w:webHidden/>
              </w:rPr>
              <w:instrText xml:space="preserve"> PAGEREF _Toc143265595 \h </w:instrText>
            </w:r>
            <w:r w:rsidR="0042309A">
              <w:rPr>
                <w:noProof/>
                <w:webHidden/>
              </w:rPr>
            </w:r>
            <w:r w:rsidR="0042309A">
              <w:rPr>
                <w:noProof/>
                <w:webHidden/>
              </w:rPr>
              <w:fldChar w:fldCharType="separate"/>
            </w:r>
            <w:r w:rsidR="0042309A">
              <w:rPr>
                <w:noProof/>
                <w:webHidden/>
              </w:rPr>
              <w:t>26</w:t>
            </w:r>
            <w:r w:rsidR="0042309A">
              <w:rPr>
                <w:noProof/>
                <w:webHidden/>
              </w:rPr>
              <w:fldChar w:fldCharType="end"/>
            </w:r>
          </w:hyperlink>
        </w:p>
        <w:p w14:paraId="722C3975" w14:textId="76CC6850" w:rsidR="0042309A" w:rsidRDefault="00D56F15" w:rsidP="0042309A">
          <w:pPr>
            <w:pStyle w:val="TOC2"/>
          </w:pPr>
          <w:hyperlink w:anchor="_Toc143265596" w:history="1">
            <w:r w:rsidR="0042309A" w:rsidRPr="002F72F9">
              <w:rPr>
                <w:rStyle w:val="Hyperlink"/>
              </w:rPr>
              <w:t>Model 1: Free-to-view</w:t>
            </w:r>
            <w:r w:rsidR="0042309A">
              <w:rPr>
                <w:webHidden/>
              </w:rPr>
              <w:tab/>
            </w:r>
            <w:r w:rsidR="0042309A">
              <w:rPr>
                <w:webHidden/>
              </w:rPr>
              <w:fldChar w:fldCharType="begin"/>
            </w:r>
            <w:r w:rsidR="0042309A">
              <w:rPr>
                <w:webHidden/>
              </w:rPr>
              <w:instrText xml:space="preserve"> PAGEREF _Toc143265596 \h </w:instrText>
            </w:r>
            <w:r w:rsidR="0042309A">
              <w:rPr>
                <w:webHidden/>
              </w:rPr>
            </w:r>
            <w:r w:rsidR="0042309A">
              <w:rPr>
                <w:webHidden/>
              </w:rPr>
              <w:fldChar w:fldCharType="separate"/>
            </w:r>
            <w:r w:rsidR="0042309A">
              <w:rPr>
                <w:webHidden/>
              </w:rPr>
              <w:t>27</w:t>
            </w:r>
            <w:r w:rsidR="0042309A">
              <w:rPr>
                <w:webHidden/>
              </w:rPr>
              <w:fldChar w:fldCharType="end"/>
            </w:r>
          </w:hyperlink>
        </w:p>
        <w:p w14:paraId="25A52F9F" w14:textId="7EFE701E" w:rsidR="0042309A" w:rsidRDefault="00D56F15" w:rsidP="0042309A">
          <w:pPr>
            <w:pStyle w:val="TOC2"/>
          </w:pPr>
          <w:hyperlink w:anchor="_Toc143265597" w:history="1">
            <w:r w:rsidR="0042309A" w:rsidRPr="002F72F9">
              <w:rPr>
                <w:rStyle w:val="Hyperlink"/>
              </w:rPr>
              <w:t>Model 2: Broadcasting safety net [Government preferred]</w:t>
            </w:r>
            <w:r w:rsidR="0042309A">
              <w:rPr>
                <w:webHidden/>
              </w:rPr>
              <w:tab/>
            </w:r>
            <w:r w:rsidR="0042309A">
              <w:rPr>
                <w:webHidden/>
              </w:rPr>
              <w:fldChar w:fldCharType="begin"/>
            </w:r>
            <w:r w:rsidR="0042309A">
              <w:rPr>
                <w:webHidden/>
              </w:rPr>
              <w:instrText xml:space="preserve"> PAGEREF _Toc143265597 \h </w:instrText>
            </w:r>
            <w:r w:rsidR="0042309A">
              <w:rPr>
                <w:webHidden/>
              </w:rPr>
            </w:r>
            <w:r w:rsidR="0042309A">
              <w:rPr>
                <w:webHidden/>
              </w:rPr>
              <w:fldChar w:fldCharType="separate"/>
            </w:r>
            <w:r w:rsidR="0042309A">
              <w:rPr>
                <w:webHidden/>
              </w:rPr>
              <w:t>36</w:t>
            </w:r>
            <w:r w:rsidR="0042309A">
              <w:rPr>
                <w:webHidden/>
              </w:rPr>
              <w:fldChar w:fldCharType="end"/>
            </w:r>
          </w:hyperlink>
        </w:p>
        <w:p w14:paraId="4D20B2D0" w14:textId="72816A20" w:rsidR="0042309A" w:rsidRDefault="00D56F15" w:rsidP="0042309A">
          <w:pPr>
            <w:pStyle w:val="TOC2"/>
          </w:pPr>
          <w:hyperlink w:anchor="_Toc143265598" w:history="1">
            <w:r w:rsidR="0042309A" w:rsidRPr="002F72F9">
              <w:rPr>
                <w:rStyle w:val="Hyperlink"/>
              </w:rPr>
              <w:t>Model 3: Free-to-air first</w:t>
            </w:r>
            <w:r w:rsidR="0042309A">
              <w:rPr>
                <w:webHidden/>
              </w:rPr>
              <w:tab/>
            </w:r>
            <w:r w:rsidR="0042309A">
              <w:rPr>
                <w:webHidden/>
              </w:rPr>
              <w:fldChar w:fldCharType="begin"/>
            </w:r>
            <w:r w:rsidR="0042309A">
              <w:rPr>
                <w:webHidden/>
              </w:rPr>
              <w:instrText xml:space="preserve"> PAGEREF _Toc143265598 \h </w:instrText>
            </w:r>
            <w:r w:rsidR="0042309A">
              <w:rPr>
                <w:webHidden/>
              </w:rPr>
            </w:r>
            <w:r w:rsidR="0042309A">
              <w:rPr>
                <w:webHidden/>
              </w:rPr>
              <w:fldChar w:fldCharType="separate"/>
            </w:r>
            <w:r w:rsidR="0042309A">
              <w:rPr>
                <w:webHidden/>
              </w:rPr>
              <w:t>41</w:t>
            </w:r>
            <w:r w:rsidR="0042309A">
              <w:rPr>
                <w:webHidden/>
              </w:rPr>
              <w:fldChar w:fldCharType="end"/>
            </w:r>
          </w:hyperlink>
        </w:p>
        <w:p w14:paraId="7A78BD69" w14:textId="43E2CE8A" w:rsidR="0042309A" w:rsidRDefault="00D56F15">
          <w:pPr>
            <w:pStyle w:val="TOC1"/>
            <w:rPr>
              <w:rFonts w:eastAsiaTheme="minorEastAsia"/>
              <w:b w:val="0"/>
              <w:noProof/>
              <w:color w:val="auto"/>
              <w:sz w:val="22"/>
              <w:lang w:eastAsia="en-AU"/>
            </w:rPr>
          </w:pPr>
          <w:hyperlink w:anchor="_Toc143265599" w:history="1">
            <w:r w:rsidR="0042309A" w:rsidRPr="002F72F9">
              <w:rPr>
                <w:rStyle w:val="Hyperlink"/>
                <w:noProof/>
              </w:rPr>
              <w:t>Chapter 7: Potential options for reforming the anti</w:t>
            </w:r>
            <w:r w:rsidR="0042309A" w:rsidRPr="002F72F9">
              <w:rPr>
                <w:rStyle w:val="Hyperlink"/>
                <w:noProof/>
              </w:rPr>
              <w:noBreakHyphen/>
              <w:t>siphoning list</w:t>
            </w:r>
            <w:r w:rsidR="0042309A">
              <w:rPr>
                <w:noProof/>
                <w:webHidden/>
              </w:rPr>
              <w:tab/>
            </w:r>
            <w:r w:rsidR="0042309A">
              <w:rPr>
                <w:noProof/>
                <w:webHidden/>
              </w:rPr>
              <w:fldChar w:fldCharType="begin"/>
            </w:r>
            <w:r w:rsidR="0042309A">
              <w:rPr>
                <w:noProof/>
                <w:webHidden/>
              </w:rPr>
              <w:instrText xml:space="preserve"> PAGEREF _Toc143265599 \h </w:instrText>
            </w:r>
            <w:r w:rsidR="0042309A">
              <w:rPr>
                <w:noProof/>
                <w:webHidden/>
              </w:rPr>
            </w:r>
            <w:r w:rsidR="0042309A">
              <w:rPr>
                <w:noProof/>
                <w:webHidden/>
              </w:rPr>
              <w:fldChar w:fldCharType="separate"/>
            </w:r>
            <w:r w:rsidR="0042309A">
              <w:rPr>
                <w:noProof/>
                <w:webHidden/>
              </w:rPr>
              <w:t>48</w:t>
            </w:r>
            <w:r w:rsidR="0042309A">
              <w:rPr>
                <w:noProof/>
                <w:webHidden/>
              </w:rPr>
              <w:fldChar w:fldCharType="end"/>
            </w:r>
          </w:hyperlink>
        </w:p>
        <w:p w14:paraId="05075BE9" w14:textId="0BDA8728" w:rsidR="0042309A" w:rsidRDefault="00D56F15" w:rsidP="0042309A">
          <w:pPr>
            <w:pStyle w:val="TOC2"/>
          </w:pPr>
          <w:hyperlink w:anchor="_Toc143265600" w:history="1">
            <w:r w:rsidR="0042309A" w:rsidRPr="002F72F9">
              <w:rPr>
                <w:rStyle w:val="Hyperlink"/>
              </w:rPr>
              <w:t>Option 1: The streamlined list</w:t>
            </w:r>
            <w:r w:rsidR="0042309A">
              <w:rPr>
                <w:webHidden/>
              </w:rPr>
              <w:tab/>
            </w:r>
            <w:r w:rsidR="0042309A">
              <w:rPr>
                <w:webHidden/>
              </w:rPr>
              <w:fldChar w:fldCharType="begin"/>
            </w:r>
            <w:r w:rsidR="0042309A">
              <w:rPr>
                <w:webHidden/>
              </w:rPr>
              <w:instrText xml:space="preserve"> PAGEREF _Toc143265600 \h </w:instrText>
            </w:r>
            <w:r w:rsidR="0042309A">
              <w:rPr>
                <w:webHidden/>
              </w:rPr>
            </w:r>
            <w:r w:rsidR="0042309A">
              <w:rPr>
                <w:webHidden/>
              </w:rPr>
              <w:fldChar w:fldCharType="separate"/>
            </w:r>
            <w:r w:rsidR="0042309A">
              <w:rPr>
                <w:webHidden/>
              </w:rPr>
              <w:t>50</w:t>
            </w:r>
            <w:r w:rsidR="0042309A">
              <w:rPr>
                <w:webHidden/>
              </w:rPr>
              <w:fldChar w:fldCharType="end"/>
            </w:r>
          </w:hyperlink>
        </w:p>
        <w:p w14:paraId="065DA961" w14:textId="664A32BE" w:rsidR="0042309A" w:rsidRDefault="00D56F15" w:rsidP="0042309A">
          <w:pPr>
            <w:pStyle w:val="TOC2"/>
          </w:pPr>
          <w:hyperlink w:anchor="_Toc143265601" w:history="1">
            <w:r w:rsidR="0042309A" w:rsidRPr="002F72F9">
              <w:rPr>
                <w:rStyle w:val="Hyperlink"/>
              </w:rPr>
              <w:t>Option 2: The modernised list [Government preferred]</w:t>
            </w:r>
            <w:r w:rsidR="0042309A">
              <w:rPr>
                <w:webHidden/>
              </w:rPr>
              <w:tab/>
            </w:r>
            <w:r w:rsidR="0042309A">
              <w:rPr>
                <w:webHidden/>
              </w:rPr>
              <w:fldChar w:fldCharType="begin"/>
            </w:r>
            <w:r w:rsidR="0042309A">
              <w:rPr>
                <w:webHidden/>
              </w:rPr>
              <w:instrText xml:space="preserve"> PAGEREF _Toc143265601 \h </w:instrText>
            </w:r>
            <w:r w:rsidR="0042309A">
              <w:rPr>
                <w:webHidden/>
              </w:rPr>
            </w:r>
            <w:r w:rsidR="0042309A">
              <w:rPr>
                <w:webHidden/>
              </w:rPr>
              <w:fldChar w:fldCharType="separate"/>
            </w:r>
            <w:r w:rsidR="0042309A">
              <w:rPr>
                <w:webHidden/>
              </w:rPr>
              <w:t>53</w:t>
            </w:r>
            <w:r w:rsidR="0042309A">
              <w:rPr>
                <w:webHidden/>
              </w:rPr>
              <w:fldChar w:fldCharType="end"/>
            </w:r>
          </w:hyperlink>
        </w:p>
        <w:p w14:paraId="52379666" w14:textId="55696640" w:rsidR="0042309A" w:rsidRDefault="00D56F15" w:rsidP="0042309A">
          <w:pPr>
            <w:pStyle w:val="TOC2"/>
          </w:pPr>
          <w:hyperlink w:anchor="_Toc143265602" w:history="1">
            <w:r w:rsidR="0042309A" w:rsidRPr="002F72F9">
              <w:rPr>
                <w:rStyle w:val="Hyperlink"/>
              </w:rPr>
              <w:t>Option 3: The expanded list</w:t>
            </w:r>
            <w:r w:rsidR="0042309A">
              <w:rPr>
                <w:webHidden/>
              </w:rPr>
              <w:tab/>
            </w:r>
            <w:r w:rsidR="0042309A">
              <w:rPr>
                <w:webHidden/>
              </w:rPr>
              <w:fldChar w:fldCharType="begin"/>
            </w:r>
            <w:r w:rsidR="0042309A">
              <w:rPr>
                <w:webHidden/>
              </w:rPr>
              <w:instrText xml:space="preserve"> PAGEREF _Toc143265602 \h </w:instrText>
            </w:r>
            <w:r w:rsidR="0042309A">
              <w:rPr>
                <w:webHidden/>
              </w:rPr>
            </w:r>
            <w:r w:rsidR="0042309A">
              <w:rPr>
                <w:webHidden/>
              </w:rPr>
              <w:fldChar w:fldCharType="separate"/>
            </w:r>
            <w:r w:rsidR="0042309A">
              <w:rPr>
                <w:webHidden/>
              </w:rPr>
              <w:t>56</w:t>
            </w:r>
            <w:r w:rsidR="0042309A">
              <w:rPr>
                <w:webHidden/>
              </w:rPr>
              <w:fldChar w:fldCharType="end"/>
            </w:r>
          </w:hyperlink>
        </w:p>
        <w:p w14:paraId="3991AEAE" w14:textId="295EAC33" w:rsidR="0042309A" w:rsidRDefault="00D56F15">
          <w:pPr>
            <w:pStyle w:val="TOC1"/>
            <w:rPr>
              <w:rFonts w:eastAsiaTheme="minorEastAsia"/>
              <w:b w:val="0"/>
              <w:noProof/>
              <w:color w:val="auto"/>
              <w:sz w:val="22"/>
              <w:lang w:eastAsia="en-AU"/>
            </w:rPr>
          </w:pPr>
          <w:hyperlink w:anchor="_Toc143265603" w:history="1">
            <w:r w:rsidR="0042309A" w:rsidRPr="002F72F9">
              <w:rPr>
                <w:rStyle w:val="Hyperlink"/>
                <w:noProof/>
              </w:rPr>
              <w:t>Attachment A</w:t>
            </w:r>
            <w:r w:rsidR="0042309A">
              <w:rPr>
                <w:noProof/>
                <w:webHidden/>
              </w:rPr>
              <w:tab/>
            </w:r>
            <w:r w:rsidR="0042309A">
              <w:rPr>
                <w:noProof/>
                <w:webHidden/>
              </w:rPr>
              <w:fldChar w:fldCharType="begin"/>
            </w:r>
            <w:r w:rsidR="0042309A">
              <w:rPr>
                <w:noProof/>
                <w:webHidden/>
              </w:rPr>
              <w:instrText xml:space="preserve"> PAGEREF _Toc143265603 \h </w:instrText>
            </w:r>
            <w:r w:rsidR="0042309A">
              <w:rPr>
                <w:noProof/>
                <w:webHidden/>
              </w:rPr>
            </w:r>
            <w:r w:rsidR="0042309A">
              <w:rPr>
                <w:noProof/>
                <w:webHidden/>
              </w:rPr>
              <w:fldChar w:fldCharType="separate"/>
            </w:r>
            <w:r w:rsidR="0042309A">
              <w:rPr>
                <w:noProof/>
                <w:webHidden/>
              </w:rPr>
              <w:t>60</w:t>
            </w:r>
            <w:r w:rsidR="0042309A">
              <w:rPr>
                <w:noProof/>
                <w:webHidden/>
              </w:rPr>
              <w:fldChar w:fldCharType="end"/>
            </w:r>
          </w:hyperlink>
        </w:p>
        <w:p w14:paraId="24E72B12" w14:textId="0A57DAF8" w:rsidR="0042309A" w:rsidRDefault="00D56F15">
          <w:pPr>
            <w:pStyle w:val="TOC1"/>
            <w:rPr>
              <w:rFonts w:eastAsiaTheme="minorEastAsia"/>
              <w:b w:val="0"/>
              <w:noProof/>
              <w:color w:val="auto"/>
              <w:sz w:val="22"/>
              <w:lang w:eastAsia="en-AU"/>
            </w:rPr>
          </w:pPr>
          <w:hyperlink w:anchor="_Toc143265604" w:history="1">
            <w:r w:rsidR="0042309A" w:rsidRPr="002F72F9">
              <w:rPr>
                <w:rStyle w:val="Hyperlink"/>
                <w:noProof/>
              </w:rPr>
              <w:t>List 1: the streamlined list</w:t>
            </w:r>
            <w:r w:rsidR="0042309A">
              <w:rPr>
                <w:noProof/>
                <w:webHidden/>
              </w:rPr>
              <w:tab/>
            </w:r>
            <w:r w:rsidR="0042309A">
              <w:rPr>
                <w:noProof/>
                <w:webHidden/>
              </w:rPr>
              <w:fldChar w:fldCharType="begin"/>
            </w:r>
            <w:r w:rsidR="0042309A">
              <w:rPr>
                <w:noProof/>
                <w:webHidden/>
              </w:rPr>
              <w:instrText xml:space="preserve"> PAGEREF _Toc143265604 \h </w:instrText>
            </w:r>
            <w:r w:rsidR="0042309A">
              <w:rPr>
                <w:noProof/>
                <w:webHidden/>
              </w:rPr>
            </w:r>
            <w:r w:rsidR="0042309A">
              <w:rPr>
                <w:noProof/>
                <w:webHidden/>
              </w:rPr>
              <w:fldChar w:fldCharType="separate"/>
            </w:r>
            <w:r w:rsidR="0042309A">
              <w:rPr>
                <w:noProof/>
                <w:webHidden/>
              </w:rPr>
              <w:t>60</w:t>
            </w:r>
            <w:r w:rsidR="0042309A">
              <w:rPr>
                <w:noProof/>
                <w:webHidden/>
              </w:rPr>
              <w:fldChar w:fldCharType="end"/>
            </w:r>
          </w:hyperlink>
        </w:p>
        <w:p w14:paraId="536C0D8E" w14:textId="731F77EF" w:rsidR="0042309A" w:rsidRDefault="00D56F15">
          <w:pPr>
            <w:pStyle w:val="TOC1"/>
            <w:rPr>
              <w:rFonts w:eastAsiaTheme="minorEastAsia"/>
              <w:b w:val="0"/>
              <w:noProof/>
              <w:color w:val="auto"/>
              <w:sz w:val="22"/>
              <w:lang w:eastAsia="en-AU"/>
            </w:rPr>
          </w:pPr>
          <w:hyperlink w:anchor="_Toc143265605" w:history="1">
            <w:r w:rsidR="0042309A" w:rsidRPr="002F72F9">
              <w:rPr>
                <w:rStyle w:val="Hyperlink"/>
                <w:noProof/>
              </w:rPr>
              <w:t>Attachment B</w:t>
            </w:r>
            <w:r w:rsidR="0042309A">
              <w:rPr>
                <w:noProof/>
                <w:webHidden/>
              </w:rPr>
              <w:tab/>
            </w:r>
            <w:r w:rsidR="0042309A">
              <w:rPr>
                <w:noProof/>
                <w:webHidden/>
              </w:rPr>
              <w:fldChar w:fldCharType="begin"/>
            </w:r>
            <w:r w:rsidR="0042309A">
              <w:rPr>
                <w:noProof/>
                <w:webHidden/>
              </w:rPr>
              <w:instrText xml:space="preserve"> PAGEREF _Toc143265605 \h </w:instrText>
            </w:r>
            <w:r w:rsidR="0042309A">
              <w:rPr>
                <w:noProof/>
                <w:webHidden/>
              </w:rPr>
            </w:r>
            <w:r w:rsidR="0042309A">
              <w:rPr>
                <w:noProof/>
                <w:webHidden/>
              </w:rPr>
              <w:fldChar w:fldCharType="separate"/>
            </w:r>
            <w:r w:rsidR="0042309A">
              <w:rPr>
                <w:noProof/>
                <w:webHidden/>
              </w:rPr>
              <w:t>64</w:t>
            </w:r>
            <w:r w:rsidR="0042309A">
              <w:rPr>
                <w:noProof/>
                <w:webHidden/>
              </w:rPr>
              <w:fldChar w:fldCharType="end"/>
            </w:r>
          </w:hyperlink>
        </w:p>
        <w:p w14:paraId="7350ED61" w14:textId="24AFD2F4" w:rsidR="0042309A" w:rsidRDefault="00D56F15">
          <w:pPr>
            <w:pStyle w:val="TOC1"/>
            <w:rPr>
              <w:rFonts w:eastAsiaTheme="minorEastAsia"/>
              <w:b w:val="0"/>
              <w:noProof/>
              <w:color w:val="auto"/>
              <w:sz w:val="22"/>
              <w:lang w:eastAsia="en-AU"/>
            </w:rPr>
          </w:pPr>
          <w:hyperlink w:anchor="_Toc143265606" w:history="1">
            <w:r w:rsidR="0042309A" w:rsidRPr="002F72F9">
              <w:rPr>
                <w:rStyle w:val="Hyperlink"/>
                <w:noProof/>
              </w:rPr>
              <w:t>List 2: the modernised list</w:t>
            </w:r>
            <w:r w:rsidR="0042309A">
              <w:rPr>
                <w:noProof/>
                <w:webHidden/>
              </w:rPr>
              <w:tab/>
            </w:r>
            <w:r w:rsidR="0042309A">
              <w:rPr>
                <w:noProof/>
                <w:webHidden/>
              </w:rPr>
              <w:fldChar w:fldCharType="begin"/>
            </w:r>
            <w:r w:rsidR="0042309A">
              <w:rPr>
                <w:noProof/>
                <w:webHidden/>
              </w:rPr>
              <w:instrText xml:space="preserve"> PAGEREF _Toc143265606 \h </w:instrText>
            </w:r>
            <w:r w:rsidR="0042309A">
              <w:rPr>
                <w:noProof/>
                <w:webHidden/>
              </w:rPr>
            </w:r>
            <w:r w:rsidR="0042309A">
              <w:rPr>
                <w:noProof/>
                <w:webHidden/>
              </w:rPr>
              <w:fldChar w:fldCharType="separate"/>
            </w:r>
            <w:r w:rsidR="0042309A">
              <w:rPr>
                <w:noProof/>
                <w:webHidden/>
              </w:rPr>
              <w:t>64</w:t>
            </w:r>
            <w:r w:rsidR="0042309A">
              <w:rPr>
                <w:noProof/>
                <w:webHidden/>
              </w:rPr>
              <w:fldChar w:fldCharType="end"/>
            </w:r>
          </w:hyperlink>
        </w:p>
        <w:p w14:paraId="02AF988E" w14:textId="020C33D4" w:rsidR="0042309A" w:rsidRDefault="00D56F15">
          <w:pPr>
            <w:pStyle w:val="TOC1"/>
            <w:rPr>
              <w:rFonts w:eastAsiaTheme="minorEastAsia"/>
              <w:b w:val="0"/>
              <w:noProof/>
              <w:color w:val="auto"/>
              <w:sz w:val="22"/>
              <w:lang w:eastAsia="en-AU"/>
            </w:rPr>
          </w:pPr>
          <w:hyperlink w:anchor="_Toc143265607" w:history="1">
            <w:r w:rsidR="0042309A" w:rsidRPr="002F72F9">
              <w:rPr>
                <w:rStyle w:val="Hyperlink"/>
                <w:noProof/>
              </w:rPr>
              <w:t>Attachment C</w:t>
            </w:r>
            <w:r w:rsidR="0042309A">
              <w:rPr>
                <w:noProof/>
                <w:webHidden/>
              </w:rPr>
              <w:tab/>
            </w:r>
            <w:r w:rsidR="0042309A">
              <w:rPr>
                <w:noProof/>
                <w:webHidden/>
              </w:rPr>
              <w:fldChar w:fldCharType="begin"/>
            </w:r>
            <w:r w:rsidR="0042309A">
              <w:rPr>
                <w:noProof/>
                <w:webHidden/>
              </w:rPr>
              <w:instrText xml:space="preserve"> PAGEREF _Toc143265607 \h </w:instrText>
            </w:r>
            <w:r w:rsidR="0042309A">
              <w:rPr>
                <w:noProof/>
                <w:webHidden/>
              </w:rPr>
            </w:r>
            <w:r w:rsidR="0042309A">
              <w:rPr>
                <w:noProof/>
                <w:webHidden/>
              </w:rPr>
              <w:fldChar w:fldCharType="separate"/>
            </w:r>
            <w:r w:rsidR="0042309A">
              <w:rPr>
                <w:noProof/>
                <w:webHidden/>
              </w:rPr>
              <w:t>68</w:t>
            </w:r>
            <w:r w:rsidR="0042309A">
              <w:rPr>
                <w:noProof/>
                <w:webHidden/>
              </w:rPr>
              <w:fldChar w:fldCharType="end"/>
            </w:r>
          </w:hyperlink>
        </w:p>
        <w:p w14:paraId="257C2BDF" w14:textId="058D732A" w:rsidR="0042309A" w:rsidRDefault="00D56F15">
          <w:pPr>
            <w:pStyle w:val="TOC1"/>
            <w:rPr>
              <w:rFonts w:eastAsiaTheme="minorEastAsia"/>
              <w:b w:val="0"/>
              <w:noProof/>
              <w:color w:val="auto"/>
              <w:sz w:val="22"/>
              <w:lang w:eastAsia="en-AU"/>
            </w:rPr>
          </w:pPr>
          <w:hyperlink w:anchor="_Toc143265608" w:history="1">
            <w:r w:rsidR="0042309A" w:rsidRPr="002F72F9">
              <w:rPr>
                <w:rStyle w:val="Hyperlink"/>
                <w:noProof/>
              </w:rPr>
              <w:t>List 3: the expanded list</w:t>
            </w:r>
            <w:r w:rsidR="0042309A">
              <w:rPr>
                <w:noProof/>
                <w:webHidden/>
              </w:rPr>
              <w:tab/>
            </w:r>
            <w:r w:rsidR="0042309A">
              <w:rPr>
                <w:noProof/>
                <w:webHidden/>
              </w:rPr>
              <w:fldChar w:fldCharType="begin"/>
            </w:r>
            <w:r w:rsidR="0042309A">
              <w:rPr>
                <w:noProof/>
                <w:webHidden/>
              </w:rPr>
              <w:instrText xml:space="preserve"> PAGEREF _Toc143265608 \h </w:instrText>
            </w:r>
            <w:r w:rsidR="0042309A">
              <w:rPr>
                <w:noProof/>
                <w:webHidden/>
              </w:rPr>
            </w:r>
            <w:r w:rsidR="0042309A">
              <w:rPr>
                <w:noProof/>
                <w:webHidden/>
              </w:rPr>
              <w:fldChar w:fldCharType="separate"/>
            </w:r>
            <w:r w:rsidR="0042309A">
              <w:rPr>
                <w:noProof/>
                <w:webHidden/>
              </w:rPr>
              <w:t>68</w:t>
            </w:r>
            <w:r w:rsidR="0042309A">
              <w:rPr>
                <w:noProof/>
                <w:webHidden/>
              </w:rPr>
              <w:fldChar w:fldCharType="end"/>
            </w:r>
          </w:hyperlink>
        </w:p>
        <w:p w14:paraId="5E7E32D5" w14:textId="75EF2499" w:rsidR="006B364D" w:rsidRDefault="006B364D">
          <w:r>
            <w:fldChar w:fldCharType="end"/>
          </w:r>
        </w:p>
        <w:bookmarkEnd w:id="52" w:displacedByCustomXml="next"/>
      </w:sdtContent>
    </w:sdt>
    <w:bookmarkEnd w:id="6" w:displacedByCustomXml="prev"/>
    <w:p w14:paraId="2A70F13E" w14:textId="77777777" w:rsidR="006B364D" w:rsidRPr="006B364D" w:rsidRDefault="006B364D" w:rsidP="006B364D"/>
    <w:p w14:paraId="46335384" w14:textId="77777777" w:rsidR="00957E44" w:rsidRPr="006E2C76" w:rsidRDefault="00957E44" w:rsidP="002B5D18">
      <w:pPr>
        <w:pStyle w:val="Heading2notshowing"/>
      </w:pPr>
      <w:bookmarkStart w:id="56" w:name="_Toc143265586"/>
      <w:bookmarkStart w:id="57" w:name="_Toc140842881"/>
      <w:bookmarkEnd w:id="1"/>
      <w:bookmarkEnd w:id="5"/>
      <w:r w:rsidRPr="006E2C76">
        <w:t>List of Figures and Tables</w:t>
      </w:r>
      <w:bookmarkEnd w:id="56"/>
    </w:p>
    <w:p w14:paraId="5C8E45AA" w14:textId="1D3B2FA7" w:rsidR="004500D4" w:rsidRDefault="00957E44">
      <w:pPr>
        <w:pStyle w:val="TableofFigures"/>
        <w:tabs>
          <w:tab w:val="right" w:pos="9854"/>
        </w:tabs>
        <w:rPr>
          <w:rFonts w:eastAsiaTheme="minorEastAsia"/>
          <w:noProof/>
          <w:color w:val="auto"/>
          <w:lang w:eastAsia="en-AU"/>
        </w:rPr>
      </w:pPr>
      <w:r>
        <w:fldChar w:fldCharType="begin"/>
      </w:r>
      <w:r>
        <w:instrText xml:space="preserve"> TOC \h \z \t "Caption" \c </w:instrText>
      </w:r>
      <w:r>
        <w:fldChar w:fldCharType="separate"/>
      </w:r>
      <w:hyperlink w:anchor="_Toc143250745" w:history="1">
        <w:r w:rsidR="004500D4" w:rsidRPr="00775551">
          <w:rPr>
            <w:rStyle w:val="Hyperlink"/>
            <w:noProof/>
          </w:rPr>
          <w:t>Table 1: Summary of models to reform the anti-siphoning scheme</w:t>
        </w:r>
        <w:r w:rsidR="004500D4">
          <w:rPr>
            <w:noProof/>
            <w:webHidden/>
          </w:rPr>
          <w:tab/>
        </w:r>
        <w:r w:rsidR="004500D4">
          <w:rPr>
            <w:noProof/>
            <w:webHidden/>
          </w:rPr>
          <w:fldChar w:fldCharType="begin"/>
        </w:r>
        <w:r w:rsidR="004500D4">
          <w:rPr>
            <w:noProof/>
            <w:webHidden/>
          </w:rPr>
          <w:instrText xml:space="preserve"> PAGEREF _Toc143250745 \h </w:instrText>
        </w:r>
        <w:r w:rsidR="004500D4">
          <w:rPr>
            <w:noProof/>
            <w:webHidden/>
          </w:rPr>
        </w:r>
        <w:r w:rsidR="004500D4">
          <w:rPr>
            <w:noProof/>
            <w:webHidden/>
          </w:rPr>
          <w:fldChar w:fldCharType="separate"/>
        </w:r>
        <w:r w:rsidR="009E6D13">
          <w:rPr>
            <w:noProof/>
            <w:webHidden/>
          </w:rPr>
          <w:t>6</w:t>
        </w:r>
        <w:r w:rsidR="004500D4">
          <w:rPr>
            <w:noProof/>
            <w:webHidden/>
          </w:rPr>
          <w:fldChar w:fldCharType="end"/>
        </w:r>
      </w:hyperlink>
    </w:p>
    <w:p w14:paraId="59137E85" w14:textId="2E7B0BC2" w:rsidR="004500D4" w:rsidRDefault="00D56F15">
      <w:pPr>
        <w:pStyle w:val="TableofFigures"/>
        <w:tabs>
          <w:tab w:val="right" w:pos="9854"/>
        </w:tabs>
        <w:rPr>
          <w:rFonts w:eastAsiaTheme="minorEastAsia"/>
          <w:noProof/>
          <w:color w:val="auto"/>
          <w:lang w:eastAsia="en-AU"/>
        </w:rPr>
      </w:pPr>
      <w:hyperlink w:anchor="_Toc143250746" w:history="1">
        <w:r w:rsidR="004500D4" w:rsidRPr="00775551">
          <w:rPr>
            <w:rStyle w:val="Hyperlink"/>
            <w:noProof/>
          </w:rPr>
          <w:t>Table 2: Summary of options to reform the anti-siphoning list</w:t>
        </w:r>
        <w:r w:rsidR="004500D4">
          <w:rPr>
            <w:noProof/>
            <w:webHidden/>
          </w:rPr>
          <w:tab/>
        </w:r>
        <w:r w:rsidR="004500D4">
          <w:rPr>
            <w:noProof/>
            <w:webHidden/>
          </w:rPr>
          <w:fldChar w:fldCharType="begin"/>
        </w:r>
        <w:r w:rsidR="004500D4">
          <w:rPr>
            <w:noProof/>
            <w:webHidden/>
          </w:rPr>
          <w:instrText xml:space="preserve"> PAGEREF _Toc143250746 \h </w:instrText>
        </w:r>
        <w:r w:rsidR="004500D4">
          <w:rPr>
            <w:noProof/>
            <w:webHidden/>
          </w:rPr>
        </w:r>
        <w:r w:rsidR="004500D4">
          <w:rPr>
            <w:noProof/>
            <w:webHidden/>
          </w:rPr>
          <w:fldChar w:fldCharType="separate"/>
        </w:r>
        <w:r w:rsidR="009E6D13">
          <w:rPr>
            <w:noProof/>
            <w:webHidden/>
          </w:rPr>
          <w:t>7</w:t>
        </w:r>
        <w:r w:rsidR="004500D4">
          <w:rPr>
            <w:noProof/>
            <w:webHidden/>
          </w:rPr>
          <w:fldChar w:fldCharType="end"/>
        </w:r>
      </w:hyperlink>
    </w:p>
    <w:p w14:paraId="5BE9A681" w14:textId="79EC9EE4" w:rsidR="004500D4" w:rsidRDefault="00D56F15">
      <w:pPr>
        <w:pStyle w:val="TableofFigures"/>
        <w:tabs>
          <w:tab w:val="right" w:pos="9854"/>
        </w:tabs>
        <w:rPr>
          <w:rFonts w:eastAsiaTheme="minorEastAsia"/>
          <w:noProof/>
          <w:color w:val="auto"/>
          <w:lang w:eastAsia="en-AU"/>
        </w:rPr>
      </w:pPr>
      <w:hyperlink w:anchor="_Toc143250747" w:history="1">
        <w:r w:rsidR="004500D4" w:rsidRPr="00775551">
          <w:rPr>
            <w:rStyle w:val="Hyperlink"/>
            <w:noProof/>
          </w:rPr>
          <w:t>Table 3: Summary of themes emerging from 2022 consultation process</w:t>
        </w:r>
        <w:r w:rsidR="004500D4">
          <w:rPr>
            <w:noProof/>
            <w:webHidden/>
          </w:rPr>
          <w:tab/>
        </w:r>
        <w:r w:rsidR="004500D4">
          <w:rPr>
            <w:noProof/>
            <w:webHidden/>
          </w:rPr>
          <w:fldChar w:fldCharType="begin"/>
        </w:r>
        <w:r w:rsidR="004500D4">
          <w:rPr>
            <w:noProof/>
            <w:webHidden/>
          </w:rPr>
          <w:instrText xml:space="preserve"> PAGEREF _Toc143250747 \h </w:instrText>
        </w:r>
        <w:r w:rsidR="004500D4">
          <w:rPr>
            <w:noProof/>
            <w:webHidden/>
          </w:rPr>
        </w:r>
        <w:r w:rsidR="004500D4">
          <w:rPr>
            <w:noProof/>
            <w:webHidden/>
          </w:rPr>
          <w:fldChar w:fldCharType="separate"/>
        </w:r>
        <w:r w:rsidR="009E6D13">
          <w:rPr>
            <w:noProof/>
            <w:webHidden/>
          </w:rPr>
          <w:t>10</w:t>
        </w:r>
        <w:r w:rsidR="004500D4">
          <w:rPr>
            <w:noProof/>
            <w:webHidden/>
          </w:rPr>
          <w:fldChar w:fldCharType="end"/>
        </w:r>
      </w:hyperlink>
    </w:p>
    <w:p w14:paraId="2DA59C2C" w14:textId="7BBBE34A" w:rsidR="004500D4" w:rsidRDefault="00D56F15">
      <w:pPr>
        <w:pStyle w:val="TableofFigures"/>
        <w:tabs>
          <w:tab w:val="right" w:pos="9854"/>
        </w:tabs>
        <w:rPr>
          <w:rFonts w:eastAsiaTheme="minorEastAsia"/>
          <w:noProof/>
          <w:color w:val="auto"/>
          <w:lang w:eastAsia="en-AU"/>
        </w:rPr>
      </w:pPr>
      <w:hyperlink w:anchor="_Toc143250748" w:history="1">
        <w:r w:rsidR="004500D4" w:rsidRPr="00775551">
          <w:rPr>
            <w:rStyle w:val="Hyperlink"/>
            <w:noProof/>
          </w:rPr>
          <w:t>Table 4: Summary of models to reform the anti-siphoning scheme</w:t>
        </w:r>
        <w:r w:rsidR="004500D4">
          <w:rPr>
            <w:noProof/>
            <w:webHidden/>
          </w:rPr>
          <w:tab/>
        </w:r>
        <w:r w:rsidR="004500D4">
          <w:rPr>
            <w:noProof/>
            <w:webHidden/>
          </w:rPr>
          <w:fldChar w:fldCharType="begin"/>
        </w:r>
        <w:r w:rsidR="004500D4">
          <w:rPr>
            <w:noProof/>
            <w:webHidden/>
          </w:rPr>
          <w:instrText xml:space="preserve"> PAGEREF _Toc143250748 \h </w:instrText>
        </w:r>
        <w:r w:rsidR="004500D4">
          <w:rPr>
            <w:noProof/>
            <w:webHidden/>
          </w:rPr>
        </w:r>
        <w:r w:rsidR="004500D4">
          <w:rPr>
            <w:noProof/>
            <w:webHidden/>
          </w:rPr>
          <w:fldChar w:fldCharType="separate"/>
        </w:r>
        <w:r w:rsidR="009E6D13">
          <w:rPr>
            <w:noProof/>
            <w:webHidden/>
          </w:rPr>
          <w:t>26</w:t>
        </w:r>
        <w:r w:rsidR="004500D4">
          <w:rPr>
            <w:noProof/>
            <w:webHidden/>
          </w:rPr>
          <w:fldChar w:fldCharType="end"/>
        </w:r>
      </w:hyperlink>
    </w:p>
    <w:p w14:paraId="456520BF" w14:textId="66C8B0C0" w:rsidR="004500D4" w:rsidRDefault="00D56F15">
      <w:pPr>
        <w:pStyle w:val="TableofFigures"/>
        <w:tabs>
          <w:tab w:val="right" w:pos="9854"/>
        </w:tabs>
        <w:rPr>
          <w:rFonts w:eastAsiaTheme="minorEastAsia"/>
          <w:noProof/>
          <w:color w:val="auto"/>
          <w:lang w:eastAsia="en-AU"/>
        </w:rPr>
      </w:pPr>
      <w:hyperlink w:anchor="_Toc143250749" w:history="1">
        <w:r w:rsidR="004500D4" w:rsidRPr="00775551">
          <w:rPr>
            <w:rStyle w:val="Hyperlink"/>
            <w:noProof/>
          </w:rPr>
          <w:t>Table 5: Summary of options to reform the anti-siphoning list</w:t>
        </w:r>
        <w:r w:rsidR="004500D4">
          <w:rPr>
            <w:noProof/>
            <w:webHidden/>
          </w:rPr>
          <w:tab/>
        </w:r>
        <w:r w:rsidR="004500D4">
          <w:rPr>
            <w:noProof/>
            <w:webHidden/>
          </w:rPr>
          <w:fldChar w:fldCharType="begin"/>
        </w:r>
        <w:r w:rsidR="004500D4">
          <w:rPr>
            <w:noProof/>
            <w:webHidden/>
          </w:rPr>
          <w:instrText xml:space="preserve"> PAGEREF _Toc143250749 \h </w:instrText>
        </w:r>
        <w:r w:rsidR="004500D4">
          <w:rPr>
            <w:noProof/>
            <w:webHidden/>
          </w:rPr>
        </w:r>
        <w:r w:rsidR="004500D4">
          <w:rPr>
            <w:noProof/>
            <w:webHidden/>
          </w:rPr>
          <w:fldChar w:fldCharType="separate"/>
        </w:r>
        <w:r w:rsidR="009E6D13">
          <w:rPr>
            <w:noProof/>
            <w:webHidden/>
          </w:rPr>
          <w:t>48</w:t>
        </w:r>
        <w:r w:rsidR="004500D4">
          <w:rPr>
            <w:noProof/>
            <w:webHidden/>
          </w:rPr>
          <w:fldChar w:fldCharType="end"/>
        </w:r>
      </w:hyperlink>
    </w:p>
    <w:p w14:paraId="49E3A586" w14:textId="2AF9BCCF" w:rsidR="009B2897" w:rsidRPr="00DC2F3E" w:rsidRDefault="00957E44">
      <w:pPr>
        <w:rPr>
          <w:rFonts w:asciiTheme="majorHAnsi" w:eastAsiaTheme="majorEastAsia" w:hAnsiTheme="majorHAnsi" w:cstheme="majorBidi"/>
          <w:b/>
          <w:color w:val="6D7989" w:themeColor="accent4" w:themeShade="BF"/>
          <w:sz w:val="36"/>
          <w:szCs w:val="26"/>
        </w:rPr>
      </w:pPr>
      <w:r>
        <w:fldChar w:fldCharType="end"/>
      </w:r>
      <w:r w:rsidR="002679BD">
        <w:br w:type="page"/>
      </w:r>
      <w:bookmarkEnd w:id="57"/>
    </w:p>
    <w:p w14:paraId="3D51E2E4" w14:textId="77777777" w:rsidR="00485A57" w:rsidRPr="00EB6AD5" w:rsidRDefault="00287A32" w:rsidP="00485A57">
      <w:pPr>
        <w:pStyle w:val="Heading1"/>
        <w:spacing w:before="0"/>
      </w:pPr>
      <w:bookmarkStart w:id="58" w:name="_Toc140842884"/>
      <w:bookmarkStart w:id="59" w:name="_Toc141369796"/>
      <w:bookmarkStart w:id="60" w:name="_Toc143265587"/>
      <w:bookmarkEnd w:id="53"/>
      <w:r>
        <w:lastRenderedPageBreak/>
        <w:t xml:space="preserve">Chapter 1: </w:t>
      </w:r>
      <w:r w:rsidR="00CE295F">
        <w:t>S</w:t>
      </w:r>
      <w:r w:rsidR="00485A57" w:rsidRPr="00EB6AD5">
        <w:t>ummary</w:t>
      </w:r>
      <w:bookmarkEnd w:id="58"/>
      <w:r w:rsidR="00CE295F">
        <w:t xml:space="preserve"> of the proposals paper</w:t>
      </w:r>
      <w:bookmarkEnd w:id="59"/>
      <w:bookmarkEnd w:id="60"/>
    </w:p>
    <w:p w14:paraId="097A1D2C" w14:textId="43F54292" w:rsidR="002679BD" w:rsidRDefault="002679BD" w:rsidP="002679BD">
      <w:pPr>
        <w:pStyle w:val="Introduction"/>
        <w:spacing w:before="120" w:after="120"/>
      </w:pPr>
      <w:r w:rsidRPr="00FF5A29">
        <w:t xml:space="preserve">The </w:t>
      </w:r>
      <w:r>
        <w:rPr>
          <w:lang w:val="en-US"/>
        </w:rPr>
        <w:t xml:space="preserve">Albanese </w:t>
      </w:r>
      <w:r w:rsidRPr="00FF5A29">
        <w:t>Government committed to undertake a review of the anti-siphoning scheme in the context of the 2022 Federal Election.</w:t>
      </w:r>
    </w:p>
    <w:p w14:paraId="2CBDDA62" w14:textId="3307B84A" w:rsidR="003152C6" w:rsidRDefault="002679BD" w:rsidP="008249A8">
      <w:pPr>
        <w:pStyle w:val="Introduction"/>
        <w:spacing w:before="120" w:after="120"/>
        <w:rPr>
          <w:lang w:val="en-AU"/>
        </w:rPr>
      </w:pPr>
      <w:r w:rsidRPr="00FF5A29">
        <w:t xml:space="preserve">This </w:t>
      </w:r>
      <w:r>
        <w:rPr>
          <w:lang w:val="en-AU"/>
        </w:rPr>
        <w:t xml:space="preserve">paper seeks comment on a set of specific </w:t>
      </w:r>
      <w:r w:rsidR="007736F8">
        <w:rPr>
          <w:lang w:val="en-AU"/>
        </w:rPr>
        <w:t xml:space="preserve">proposals to </w:t>
      </w:r>
      <w:r>
        <w:rPr>
          <w:lang w:val="en-AU"/>
        </w:rPr>
        <w:t xml:space="preserve">reform </w:t>
      </w:r>
      <w:r w:rsidR="007736F8">
        <w:rPr>
          <w:lang w:val="en-AU"/>
        </w:rPr>
        <w:t>the scheme and the anti</w:t>
      </w:r>
      <w:r w:rsidR="006471C4">
        <w:rPr>
          <w:lang w:val="en-AU"/>
        </w:rPr>
        <w:noBreakHyphen/>
      </w:r>
      <w:r w:rsidR="007736F8">
        <w:rPr>
          <w:lang w:val="en-AU"/>
        </w:rPr>
        <w:t>siphoning list</w:t>
      </w:r>
      <w:r w:rsidR="006471C4">
        <w:rPr>
          <w:lang w:val="en-AU"/>
        </w:rPr>
        <w:t>.</w:t>
      </w:r>
    </w:p>
    <w:p w14:paraId="0A6F9A53" w14:textId="77777777" w:rsidR="00D16CCD" w:rsidRPr="004C3F4C" w:rsidRDefault="002761DB" w:rsidP="004C3F4C">
      <w:pPr>
        <w:rPr>
          <w:b/>
          <w:color w:val="737373" w:themeColor="background2" w:themeShade="80"/>
          <w:sz w:val="36"/>
          <w:szCs w:val="36"/>
          <w:lang w:val="en-US"/>
        </w:rPr>
      </w:pPr>
      <w:r w:rsidRPr="004C3F4C">
        <w:rPr>
          <w:b/>
          <w:color w:val="737373" w:themeColor="background2" w:themeShade="80"/>
          <w:sz w:val="36"/>
          <w:szCs w:val="36"/>
          <w:lang w:val="en-US"/>
        </w:rPr>
        <w:t>The role of the scheme</w:t>
      </w:r>
    </w:p>
    <w:p w14:paraId="768028E2" w14:textId="4A35B790" w:rsidR="002679BD" w:rsidRPr="00CE295F" w:rsidRDefault="002679BD" w:rsidP="002679BD">
      <w:pPr>
        <w:rPr>
          <w:rFonts w:cstheme="minorHAnsi"/>
          <w:color w:val="auto"/>
        </w:rPr>
      </w:pPr>
      <w:r w:rsidRPr="00EA2B61">
        <w:rPr>
          <w:lang w:val="en-US"/>
        </w:rPr>
        <w:t>The objective of the anti-siphoning scheme</w:t>
      </w:r>
      <w:r w:rsidR="00843CE9" w:rsidRPr="00EA2B61">
        <w:rPr>
          <w:lang w:val="en-US"/>
        </w:rPr>
        <w:t xml:space="preserve"> (the scheme)</w:t>
      </w:r>
      <w:r w:rsidRPr="00EA2B61">
        <w:rPr>
          <w:lang w:val="en-US"/>
        </w:rPr>
        <w:t xml:space="preserve"> is </w:t>
      </w:r>
      <w:r w:rsidRPr="00EA2B61">
        <w:rPr>
          <w:rFonts w:cstheme="minorHAnsi"/>
          <w:color w:val="auto"/>
        </w:rPr>
        <w:t xml:space="preserve">to </w:t>
      </w:r>
      <w:r w:rsidR="006F3826">
        <w:rPr>
          <w:rFonts w:cstheme="minorHAnsi"/>
          <w:color w:val="auto"/>
        </w:rPr>
        <w:t>support</w:t>
      </w:r>
      <w:r w:rsidR="009D505C" w:rsidRPr="00EA2B61">
        <w:rPr>
          <w:rFonts w:cstheme="minorHAnsi"/>
          <w:color w:val="auto"/>
        </w:rPr>
        <w:t xml:space="preserve"> </w:t>
      </w:r>
      <w:r w:rsidR="00495B77" w:rsidRPr="00EA2B61">
        <w:rPr>
          <w:rFonts w:cstheme="minorHAnsi"/>
          <w:color w:val="auto"/>
        </w:rPr>
        <w:t>free access to</w:t>
      </w:r>
      <w:r w:rsidR="00495B77">
        <w:rPr>
          <w:rFonts w:cstheme="minorHAnsi"/>
          <w:color w:val="auto"/>
        </w:rPr>
        <w:t xml:space="preserve"> </w:t>
      </w:r>
      <w:r w:rsidR="003412C4">
        <w:rPr>
          <w:rFonts w:cstheme="minorHAnsi"/>
          <w:color w:val="auto"/>
        </w:rPr>
        <w:t xml:space="preserve">televised </w:t>
      </w:r>
      <w:r w:rsidR="00EA2B61">
        <w:rPr>
          <w:rFonts w:cstheme="minorHAnsi"/>
          <w:color w:val="auto"/>
        </w:rPr>
        <w:t>coverage of</w:t>
      </w:r>
      <w:r w:rsidR="00495B77">
        <w:rPr>
          <w:rFonts w:cstheme="minorHAnsi"/>
          <w:color w:val="auto"/>
        </w:rPr>
        <w:t xml:space="preserve"> events </w:t>
      </w:r>
      <w:r w:rsidR="00EA2B61">
        <w:rPr>
          <w:rFonts w:cstheme="minorHAnsi"/>
          <w:color w:val="auto"/>
        </w:rPr>
        <w:t>of national importance and cultural significance</w:t>
      </w:r>
      <w:r w:rsidR="009D505C" w:rsidRPr="00EA2B61">
        <w:rPr>
          <w:rFonts w:cstheme="minorHAnsi"/>
          <w:color w:val="auto"/>
        </w:rPr>
        <w:t>.</w:t>
      </w:r>
    </w:p>
    <w:p w14:paraId="2DAD51ED" w14:textId="09CFF080" w:rsidR="002679BD" w:rsidRDefault="002679BD" w:rsidP="002679BD">
      <w:pPr>
        <w:rPr>
          <w:rFonts w:cstheme="minorHAnsi"/>
          <w:color w:val="auto"/>
        </w:rPr>
      </w:pPr>
      <w:r>
        <w:t xml:space="preserve">At present, the scheme seeks to further this </w:t>
      </w:r>
      <w:r w:rsidR="008946E3">
        <w:t xml:space="preserve">objective </w:t>
      </w:r>
      <w:r>
        <w:t xml:space="preserve">by </w:t>
      </w:r>
      <w:r w:rsidRPr="00FF5A29">
        <w:t>regulat</w:t>
      </w:r>
      <w:r>
        <w:t>ing</w:t>
      </w:r>
      <w:r w:rsidRPr="00FF5A29">
        <w:t xml:space="preserve"> the order in which the right to televise events on the </w:t>
      </w:r>
      <w:r w:rsidRPr="008714E0">
        <w:rPr>
          <w:i/>
        </w:rPr>
        <w:t xml:space="preserve">Broadcasting Services (Events) Notice </w:t>
      </w:r>
      <w:r w:rsidR="005E126F" w:rsidRPr="009441CD">
        <w:rPr>
          <w:i/>
        </w:rPr>
        <w:t>2023</w:t>
      </w:r>
      <w:r w:rsidR="005E126F">
        <w:rPr>
          <w:rStyle w:val="FootnoteReference"/>
          <w:i/>
        </w:rPr>
        <w:footnoteReference w:id="2"/>
      </w:r>
      <w:r w:rsidR="005E126F">
        <w:t xml:space="preserve"> </w:t>
      </w:r>
      <w:r w:rsidRPr="00FF5A29">
        <w:t xml:space="preserve">(the </w:t>
      </w:r>
      <w:r w:rsidR="005E126F">
        <w:t xml:space="preserve">current </w:t>
      </w:r>
      <w:r w:rsidRPr="00FF5A29">
        <w:t>anti-siphoning list) may be acquired by licensed television broadcasters.</w:t>
      </w:r>
      <w:r w:rsidRPr="000B6294">
        <w:rPr>
          <w:rFonts w:cstheme="minorHAnsi"/>
          <w:color w:val="auto"/>
        </w:rPr>
        <w:t xml:space="preserve"> </w:t>
      </w:r>
      <w:r w:rsidRPr="003E6555">
        <w:rPr>
          <w:rFonts w:cstheme="minorHAnsi"/>
          <w:color w:val="auto"/>
        </w:rPr>
        <w:t xml:space="preserve">To date, the only programs </w:t>
      </w:r>
      <w:r>
        <w:rPr>
          <w:rFonts w:cstheme="minorHAnsi"/>
          <w:color w:val="auto"/>
        </w:rPr>
        <w:t xml:space="preserve">included on the list – and therefore </w:t>
      </w:r>
      <w:r w:rsidRPr="003E6555">
        <w:rPr>
          <w:rFonts w:cstheme="minorHAnsi"/>
          <w:color w:val="auto"/>
        </w:rPr>
        <w:t xml:space="preserve">regulated under the scheme </w:t>
      </w:r>
      <w:r>
        <w:rPr>
          <w:rFonts w:cstheme="minorHAnsi"/>
          <w:color w:val="auto"/>
        </w:rPr>
        <w:t xml:space="preserve">– </w:t>
      </w:r>
      <w:r w:rsidRPr="003E6555">
        <w:rPr>
          <w:rFonts w:cstheme="minorHAnsi"/>
          <w:color w:val="auto"/>
        </w:rPr>
        <w:t xml:space="preserve">have </w:t>
      </w:r>
      <w:r w:rsidRPr="003E6555">
        <w:t>been sporting events.</w:t>
      </w:r>
    </w:p>
    <w:p w14:paraId="19F85E04" w14:textId="094A022B" w:rsidR="002679BD" w:rsidRDefault="002679BD" w:rsidP="002679BD">
      <w:r>
        <w:t>While the scheme targets</w:t>
      </w:r>
      <w:r w:rsidR="004816BF">
        <w:t xml:space="preserve"> the</w:t>
      </w:r>
      <w:r>
        <w:t xml:space="preserve"> traditional broadcasting sectors, the market in which sporting events are televised and consumed by audiences is rapidly evolving. It is a very different market today compared with the one in existence at the time the scheme was implemented.</w:t>
      </w:r>
      <w:r w:rsidR="00495B77">
        <w:t xml:space="preserve"> Two developments best represent this change:</w:t>
      </w:r>
    </w:p>
    <w:p w14:paraId="683B71F4" w14:textId="18AE8653" w:rsidR="002679BD" w:rsidRDefault="002679BD" w:rsidP="001A687D">
      <w:pPr>
        <w:pStyle w:val="ListParagraph"/>
        <w:numPr>
          <w:ilvl w:val="0"/>
          <w:numId w:val="55"/>
        </w:numPr>
        <w:ind w:left="357" w:hanging="357"/>
        <w:contextualSpacing w:val="0"/>
      </w:pPr>
      <w:r>
        <w:t>Australians’ viewing options have broadened in the past decade to include online services, and viewers’ habits are changing as a result</w:t>
      </w:r>
    </w:p>
    <w:p w14:paraId="4B8F87D0" w14:textId="79098DB8" w:rsidR="002679BD" w:rsidRDefault="002679BD" w:rsidP="001A687D">
      <w:pPr>
        <w:pStyle w:val="ListParagraph"/>
        <w:numPr>
          <w:ilvl w:val="0"/>
          <w:numId w:val="55"/>
        </w:numPr>
        <w:ind w:left="357" w:hanging="357"/>
        <w:contextualSpacing w:val="0"/>
      </w:pPr>
      <w:r w:rsidRPr="00D528AD">
        <w:t xml:space="preserve">Sport </w:t>
      </w:r>
      <w:r w:rsidR="002020C6">
        <w:t xml:space="preserve">remains a </w:t>
      </w:r>
      <w:r w:rsidRPr="00D528AD">
        <w:t>genre</w:t>
      </w:r>
      <w:r w:rsidR="002020C6">
        <w:t xml:space="preserve"> </w:t>
      </w:r>
      <w:r w:rsidRPr="00D528AD">
        <w:t xml:space="preserve">of </w:t>
      </w:r>
      <w:r w:rsidR="00B215CB">
        <w:t>live</w:t>
      </w:r>
      <w:r w:rsidRPr="00D528AD">
        <w:t xml:space="preserve"> programming that continues to </w:t>
      </w:r>
      <w:r>
        <w:t>attract</w:t>
      </w:r>
      <w:r w:rsidRPr="00D528AD">
        <w:t xml:space="preserve"> audience</w:t>
      </w:r>
      <w:r>
        <w:t xml:space="preserve">s in significant </w:t>
      </w:r>
      <w:r w:rsidRPr="00D528AD">
        <w:t>numbers</w:t>
      </w:r>
      <w:r>
        <w:t>, and the value of high-profile sports rights has grown exponentially over recent years.</w:t>
      </w:r>
    </w:p>
    <w:p w14:paraId="5C5A1F29" w14:textId="77777777" w:rsidR="002761DB" w:rsidRPr="004C3F4C" w:rsidRDefault="002761DB" w:rsidP="004C3F4C">
      <w:pPr>
        <w:rPr>
          <w:b/>
          <w:color w:val="737373" w:themeColor="background2" w:themeShade="80"/>
          <w:sz w:val="36"/>
          <w:szCs w:val="36"/>
          <w:lang w:val="en-US"/>
        </w:rPr>
      </w:pPr>
      <w:r w:rsidRPr="004C3F4C">
        <w:rPr>
          <w:b/>
          <w:color w:val="737373" w:themeColor="background2" w:themeShade="80"/>
          <w:sz w:val="36"/>
          <w:szCs w:val="36"/>
          <w:lang w:val="en-US"/>
        </w:rPr>
        <w:t>The initial phase of the review</w:t>
      </w:r>
    </w:p>
    <w:p w14:paraId="086A579E" w14:textId="7741F0C7" w:rsidR="00CE295F" w:rsidRDefault="002679BD" w:rsidP="002679BD">
      <w:bookmarkStart w:id="61" w:name="_Hlk142045510"/>
      <w:r>
        <w:t>In October 2022, the review of the anti-siphoning scheme was initi</w:t>
      </w:r>
      <w:r w:rsidR="004816BF">
        <w:t xml:space="preserve">ated </w:t>
      </w:r>
      <w:r>
        <w:t>with the release of</w:t>
      </w:r>
      <w:r w:rsidR="004816BF">
        <w:t xml:space="preserve"> the </w:t>
      </w:r>
      <w:r w:rsidR="004816BF">
        <w:rPr>
          <w:i/>
        </w:rPr>
        <w:t>Review of the anti-siphoning scheme: consultation paper.</w:t>
      </w:r>
      <w:r w:rsidR="004816BF">
        <w:rPr>
          <w:rStyle w:val="FootnoteReference"/>
          <w:i/>
        </w:rPr>
        <w:footnoteReference w:id="3"/>
      </w:r>
      <w:r>
        <w:t xml:space="preserve">  </w:t>
      </w:r>
      <w:r w:rsidR="00403258">
        <w:t xml:space="preserve">That </w:t>
      </w:r>
      <w:r>
        <w:t xml:space="preserve">consultation paper sought comment from interested parties on a wide range of issues associated with the scheme and the regulation of television coverage of key </w:t>
      </w:r>
      <w:r w:rsidR="00124224">
        <w:t>sporting</w:t>
      </w:r>
      <w:r>
        <w:t xml:space="preserve"> events.</w:t>
      </w:r>
      <w:r w:rsidR="00124224" w:rsidRPr="00147450">
        <w:rPr>
          <w:rStyle w:val="FootnoteReference"/>
        </w:rPr>
        <w:footnoteReference w:id="4"/>
      </w:r>
    </w:p>
    <w:p w14:paraId="635EBD8E" w14:textId="37BEF53C" w:rsidR="002679BD" w:rsidRDefault="0089665B" w:rsidP="002679BD">
      <w:r>
        <w:t xml:space="preserve">Respondents generally recognised the continued importance of supporting free access to </w:t>
      </w:r>
      <w:r w:rsidR="003412C4">
        <w:t xml:space="preserve">televised </w:t>
      </w:r>
      <w:r>
        <w:t>coverage of nationally important and culturally significant sporting events</w:t>
      </w:r>
      <w:r w:rsidR="003276EA">
        <w:t xml:space="preserve">. They also </w:t>
      </w:r>
      <w:r w:rsidR="003E7B62">
        <w:t xml:space="preserve">provided comment on the growing coverage of sporting events online and the acquisition of media rights by streaming services and digital platforms. At </w:t>
      </w:r>
      <w:r w:rsidR="002679BD">
        <w:t>present, the scheme does not apply to</w:t>
      </w:r>
      <w:r w:rsidR="003E7B62">
        <w:t xml:space="preserve"> online services, including</w:t>
      </w:r>
      <w:r w:rsidR="002679BD">
        <w:t>:</w:t>
      </w:r>
    </w:p>
    <w:bookmarkEnd w:id="61"/>
    <w:p w14:paraId="449ADF8E" w14:textId="6A5C9481" w:rsidR="002679BD" w:rsidRDefault="004637E0" w:rsidP="001A687D">
      <w:pPr>
        <w:pStyle w:val="ListParagraph"/>
        <w:numPr>
          <w:ilvl w:val="0"/>
          <w:numId w:val="56"/>
        </w:numPr>
        <w:contextualSpacing w:val="0"/>
      </w:pPr>
      <w:r>
        <w:t>s</w:t>
      </w:r>
      <w:r w:rsidR="003B39D1">
        <w:t xml:space="preserve">ubscription </w:t>
      </w:r>
      <w:r w:rsidR="00124224">
        <w:t xml:space="preserve">streaming services, </w:t>
      </w:r>
      <w:r w:rsidR="002679BD">
        <w:t>such as Netflix and Amazon Prime Video</w:t>
      </w:r>
    </w:p>
    <w:p w14:paraId="047F24CE" w14:textId="07CB5099" w:rsidR="002679BD" w:rsidRDefault="002679BD" w:rsidP="001A687D">
      <w:pPr>
        <w:pStyle w:val="ListParagraph"/>
        <w:numPr>
          <w:ilvl w:val="0"/>
          <w:numId w:val="56"/>
        </w:numPr>
        <w:contextualSpacing w:val="0"/>
      </w:pPr>
      <w:r>
        <w:t xml:space="preserve">dedicated sports </w:t>
      </w:r>
      <w:r w:rsidR="00495B77">
        <w:t xml:space="preserve">streaming </w:t>
      </w:r>
      <w:r>
        <w:t>services</w:t>
      </w:r>
      <w:r w:rsidR="00CE295F">
        <w:t>,</w:t>
      </w:r>
      <w:r>
        <w:t xml:space="preserve"> like Kayo Sports and Optus Sport</w:t>
      </w:r>
    </w:p>
    <w:p w14:paraId="1CB39AA0" w14:textId="27D7F24C" w:rsidR="002679BD" w:rsidRDefault="004637E0" w:rsidP="001A687D">
      <w:pPr>
        <w:pStyle w:val="ListParagraph"/>
        <w:numPr>
          <w:ilvl w:val="0"/>
          <w:numId w:val="56"/>
        </w:numPr>
        <w:contextualSpacing w:val="0"/>
      </w:pPr>
      <w:r>
        <w:t>b</w:t>
      </w:r>
      <w:r w:rsidR="002679BD">
        <w:t xml:space="preserve">roadcast Video </w:t>
      </w:r>
      <w:proofErr w:type="gramStart"/>
      <w:r w:rsidR="001722A4">
        <w:t>O</w:t>
      </w:r>
      <w:r w:rsidR="002679BD">
        <w:t>n</w:t>
      </w:r>
      <w:proofErr w:type="gramEnd"/>
      <w:r w:rsidR="002679BD">
        <w:t xml:space="preserve"> Demand (BVOD) services</w:t>
      </w:r>
      <w:r w:rsidR="00CE295F">
        <w:t>,</w:t>
      </w:r>
      <w:r w:rsidR="002679BD">
        <w:t xml:space="preserve"> such as 9Now and 7plus</w:t>
      </w:r>
    </w:p>
    <w:p w14:paraId="313FB0E9" w14:textId="77777777" w:rsidR="002679BD" w:rsidRDefault="002679BD" w:rsidP="001A687D">
      <w:pPr>
        <w:pStyle w:val="ListParagraph"/>
        <w:numPr>
          <w:ilvl w:val="0"/>
          <w:numId w:val="56"/>
        </w:numPr>
        <w:contextualSpacing w:val="0"/>
      </w:pPr>
      <w:r>
        <w:t>digital platforms</w:t>
      </w:r>
      <w:r w:rsidR="00CE295F">
        <w:t xml:space="preserve">, including </w:t>
      </w:r>
      <w:r>
        <w:t>Twitter and YouTube.</w:t>
      </w:r>
    </w:p>
    <w:p w14:paraId="264718FF" w14:textId="33D2CADA" w:rsidR="001722A4" w:rsidRDefault="0089665B" w:rsidP="002679BD">
      <w:r>
        <w:t xml:space="preserve">Respondents </w:t>
      </w:r>
      <w:r w:rsidR="002020C6">
        <w:t xml:space="preserve">to this initial consultation process </w:t>
      </w:r>
      <w:r>
        <w:t>r</w:t>
      </w:r>
      <w:r w:rsidR="00D16CCD">
        <w:t xml:space="preserve">equested that they </w:t>
      </w:r>
      <w:r w:rsidR="002679BD">
        <w:t xml:space="preserve">be afforded the opportunity to provide comment on any </w:t>
      </w:r>
      <w:r w:rsidR="00D16CCD">
        <w:t>specific proposals to the scheme and list before they are introduced into the Parliament.</w:t>
      </w:r>
      <w:r w:rsidR="002761DB">
        <w:t xml:space="preserve"> </w:t>
      </w:r>
      <w:r w:rsidR="002679BD">
        <w:lastRenderedPageBreak/>
        <w:t xml:space="preserve">This proposals paper responds to that request, and </w:t>
      </w:r>
      <w:r>
        <w:t xml:space="preserve">outlines </w:t>
      </w:r>
      <w:r w:rsidR="00CE295F">
        <w:t xml:space="preserve">three </w:t>
      </w:r>
      <w:r w:rsidR="002679BD">
        <w:t xml:space="preserve">models for reform of the scheme and </w:t>
      </w:r>
      <w:r w:rsidR="00CE295F">
        <w:t xml:space="preserve">three options for a </w:t>
      </w:r>
      <w:r w:rsidR="002679BD">
        <w:t>new list</w:t>
      </w:r>
      <w:r w:rsidR="00CE295F">
        <w:t>.</w:t>
      </w:r>
    </w:p>
    <w:p w14:paraId="110D1B89" w14:textId="660A2979" w:rsidR="002679BD" w:rsidRDefault="002679BD" w:rsidP="002679BD">
      <w:r>
        <w:t xml:space="preserve">Importantly, this paper identifies the Government’s preferred reform model and </w:t>
      </w:r>
      <w:r w:rsidR="006471C4">
        <w:t xml:space="preserve">preferred </w:t>
      </w:r>
      <w:r>
        <w:t xml:space="preserve">list option. While this does not reflect a final decision of </w:t>
      </w:r>
      <w:r w:rsidR="003276EA">
        <w:t xml:space="preserve">the </w:t>
      </w:r>
      <w:r>
        <w:t>Government, it provides all interested parties with a</w:t>
      </w:r>
      <w:r w:rsidR="00CE295F">
        <w:t xml:space="preserve">n </w:t>
      </w:r>
      <w:r>
        <w:t xml:space="preserve">indication of the preferred </w:t>
      </w:r>
      <w:r w:rsidR="006471C4">
        <w:t xml:space="preserve">approach to reform of the scheme and list. </w:t>
      </w:r>
      <w:r w:rsidR="003276EA">
        <w:t>The</w:t>
      </w:r>
      <w:r w:rsidR="006471C4">
        <w:t xml:space="preserve"> Government</w:t>
      </w:r>
      <w:r w:rsidR="003276EA">
        <w:t>’s final</w:t>
      </w:r>
      <w:r w:rsidR="006471C4">
        <w:t xml:space="preserve"> decision on these matters will be informed by th</w:t>
      </w:r>
      <w:r w:rsidR="0089665B">
        <w:t xml:space="preserve">e feedback and comments </w:t>
      </w:r>
      <w:r w:rsidR="0068250F">
        <w:t xml:space="preserve">provided in </w:t>
      </w:r>
      <w:r w:rsidR="0089665B">
        <w:t>relation to these reform options</w:t>
      </w:r>
      <w:r w:rsidR="006471C4">
        <w:t>.</w:t>
      </w:r>
    </w:p>
    <w:p w14:paraId="44E09207" w14:textId="77777777" w:rsidR="002761DB" w:rsidRPr="004C3F4C" w:rsidRDefault="002761DB" w:rsidP="004C3F4C">
      <w:pPr>
        <w:rPr>
          <w:b/>
          <w:color w:val="737373" w:themeColor="background2" w:themeShade="80"/>
          <w:sz w:val="36"/>
          <w:szCs w:val="36"/>
          <w:lang w:val="en-US"/>
        </w:rPr>
      </w:pPr>
      <w:r w:rsidRPr="004C3F4C">
        <w:rPr>
          <w:b/>
          <w:color w:val="737373" w:themeColor="background2" w:themeShade="80"/>
          <w:sz w:val="36"/>
          <w:szCs w:val="36"/>
          <w:lang w:val="en-US"/>
        </w:rPr>
        <w:t>Preliminary findings</w:t>
      </w:r>
    </w:p>
    <w:p w14:paraId="764EF3AD" w14:textId="2EE5F4E1" w:rsidR="00814DDA" w:rsidRDefault="00C033F7" w:rsidP="002C1229">
      <w:r w:rsidRPr="00C15344">
        <w:t xml:space="preserve">The </w:t>
      </w:r>
      <w:r>
        <w:t xml:space="preserve">initial phase of the anti-siphoning </w:t>
      </w:r>
      <w:r w:rsidRPr="00C15344">
        <w:t xml:space="preserve">review </w:t>
      </w:r>
      <w:r>
        <w:t xml:space="preserve">considered a wide range of issues associated with the scheme and the regulation of television coverage of key sporting events. </w:t>
      </w:r>
      <w:r w:rsidR="00814DDA">
        <w:t xml:space="preserve">This </w:t>
      </w:r>
      <w:r w:rsidR="006471C4">
        <w:t xml:space="preserve">has informed </w:t>
      </w:r>
      <w:r w:rsidR="00814DDA">
        <w:t>the development of the models for reform of the scheme and</w:t>
      </w:r>
      <w:r w:rsidR="006471C4">
        <w:t xml:space="preserve"> the options for a new list </w:t>
      </w:r>
      <w:r w:rsidR="0068250F">
        <w:t xml:space="preserve">outlined </w:t>
      </w:r>
      <w:r w:rsidR="006471C4">
        <w:t>in this paper</w:t>
      </w:r>
      <w:r w:rsidR="00814DDA">
        <w:t xml:space="preserve">. </w:t>
      </w:r>
      <w:r w:rsidR="002C1229">
        <w:t xml:space="preserve">While these proposals </w:t>
      </w:r>
      <w:r w:rsidR="006471C4">
        <w:t xml:space="preserve">are subject to </w:t>
      </w:r>
      <w:r w:rsidR="002C1229">
        <w:t>consideration through th</w:t>
      </w:r>
      <w:r w:rsidR="006471C4">
        <w:t>e</w:t>
      </w:r>
      <w:r w:rsidR="002C1229">
        <w:t xml:space="preserve"> </w:t>
      </w:r>
      <w:r w:rsidR="006471C4">
        <w:t xml:space="preserve">current consultation </w:t>
      </w:r>
      <w:r w:rsidR="002C1229">
        <w:t xml:space="preserve">process, there </w:t>
      </w:r>
      <w:r w:rsidR="000D6DD5">
        <w:t xml:space="preserve">are </w:t>
      </w:r>
      <w:r w:rsidR="002C1229">
        <w:t>a number of areas where</w:t>
      </w:r>
      <w:r w:rsidR="006471C4">
        <w:t xml:space="preserve"> preliminary findings have been made. </w:t>
      </w:r>
      <w:r w:rsidR="004B39B7">
        <w:t>These preliminary findings are detailed in Chapter 5, and summarised below.</w:t>
      </w:r>
    </w:p>
    <w:p w14:paraId="4DE72B95" w14:textId="77777777" w:rsidR="002C1229" w:rsidRPr="002C1229" w:rsidRDefault="002C1229" w:rsidP="001A687D">
      <w:pPr>
        <w:pStyle w:val="ListParagraph"/>
        <w:numPr>
          <w:ilvl w:val="0"/>
          <w:numId w:val="58"/>
        </w:numPr>
        <w:rPr>
          <w:b/>
        </w:rPr>
      </w:pPr>
      <w:r w:rsidRPr="002C1229">
        <w:rPr>
          <w:b/>
        </w:rPr>
        <w:t>Preliminary finding 1: the core objective of the anti-siphoning scheme remains relevant</w:t>
      </w:r>
    </w:p>
    <w:p w14:paraId="387FD729" w14:textId="053383BF" w:rsidR="002C1229" w:rsidRDefault="004B39B7" w:rsidP="002C1229">
      <w:r>
        <w:t xml:space="preserve">The review has found that the core objective of the anti-siphoning scheme – to </w:t>
      </w:r>
      <w:r w:rsidR="006F3826">
        <w:t>support</w:t>
      </w:r>
      <w:r w:rsidR="009D505C">
        <w:t xml:space="preserve"> </w:t>
      </w:r>
      <w:r>
        <w:t xml:space="preserve">free access to </w:t>
      </w:r>
      <w:r w:rsidR="003412C4">
        <w:t xml:space="preserve">televised </w:t>
      </w:r>
      <w:r>
        <w:t>coverage of events of national importance and cultural significance – remains relevant and appropriate</w:t>
      </w:r>
      <w:r w:rsidR="006471C4">
        <w:t xml:space="preserve">. </w:t>
      </w:r>
      <w:r w:rsidR="00424A82">
        <w:t xml:space="preserve">The anti-siphoning scheme should continue to operate to </w:t>
      </w:r>
      <w:r w:rsidR="006F3826">
        <w:t xml:space="preserve">further </w:t>
      </w:r>
      <w:r w:rsidR="00424A82">
        <w:t>this objective.</w:t>
      </w:r>
    </w:p>
    <w:p w14:paraId="1B6E062E" w14:textId="77777777" w:rsidR="002C1229" w:rsidRPr="002C1229" w:rsidRDefault="002C1229" w:rsidP="001A687D">
      <w:pPr>
        <w:pStyle w:val="ListParagraph"/>
        <w:numPr>
          <w:ilvl w:val="0"/>
          <w:numId w:val="58"/>
        </w:numPr>
        <w:rPr>
          <w:b/>
        </w:rPr>
      </w:pPr>
      <w:r w:rsidRPr="002C1229">
        <w:rPr>
          <w:b/>
        </w:rPr>
        <w:t>Preliminary finding 2: the scheme has an ongoing role but needs to be broadened to incorporate online services</w:t>
      </w:r>
    </w:p>
    <w:p w14:paraId="4CECCDF4" w14:textId="3C1F3BF2" w:rsidR="005602A8" w:rsidRDefault="004B39B7" w:rsidP="002C1229">
      <w:r w:rsidRPr="004B39B7">
        <w:rPr>
          <w:iCs/>
        </w:rPr>
        <w:t xml:space="preserve">The anti-siphoning scheme was established to address the risk of </w:t>
      </w:r>
      <w:r w:rsidR="00B5207D">
        <w:rPr>
          <w:iCs/>
        </w:rPr>
        <w:t xml:space="preserve">nationally important and culturally significant </w:t>
      </w:r>
      <w:r w:rsidRPr="004B39B7">
        <w:rPr>
          <w:iCs/>
        </w:rPr>
        <w:t>events migrating behind paywalls, and no longer being available for free to Australian audiences. The review has found that in a contemporary media environment</w:t>
      </w:r>
      <w:r>
        <w:t xml:space="preserve"> this risk </w:t>
      </w:r>
      <w:r w:rsidRPr="004B39B7">
        <w:rPr>
          <w:iCs/>
        </w:rPr>
        <w:t>remains, and that the</w:t>
      </w:r>
      <w:r>
        <w:t xml:space="preserve"> concerns evident in an analogue media environment are also present in a digital environment. </w:t>
      </w:r>
      <w:r w:rsidR="002C1229">
        <w:t>The</w:t>
      </w:r>
      <w:r>
        <w:t xml:space="preserve">re is a </w:t>
      </w:r>
      <w:r w:rsidR="002C1229">
        <w:t>‘regulatory gap’ in relation to online services</w:t>
      </w:r>
      <w:r w:rsidR="006471C4">
        <w:t xml:space="preserve"> a</w:t>
      </w:r>
      <w:r w:rsidR="002C1229">
        <w:t xml:space="preserve">nd </w:t>
      </w:r>
      <w:r w:rsidR="006471C4">
        <w:t xml:space="preserve">a </w:t>
      </w:r>
      <w:r w:rsidR="002C1229">
        <w:t xml:space="preserve">case </w:t>
      </w:r>
      <w:r w:rsidR="006471C4">
        <w:t>to broaden the remit of the r</w:t>
      </w:r>
      <w:r w:rsidR="002C1229">
        <w:t>egulatory framework to mitigate the attendant risks.</w:t>
      </w:r>
    </w:p>
    <w:p w14:paraId="19C09806" w14:textId="77777777" w:rsidR="002C1229" w:rsidRPr="002C1229" w:rsidRDefault="002C1229" w:rsidP="001A687D">
      <w:pPr>
        <w:pStyle w:val="ListParagraph"/>
        <w:numPr>
          <w:ilvl w:val="0"/>
          <w:numId w:val="58"/>
        </w:numPr>
        <w:rPr>
          <w:b/>
        </w:rPr>
      </w:pPr>
      <w:r w:rsidRPr="002C1229">
        <w:rPr>
          <w:b/>
        </w:rPr>
        <w:t>Preliminary finding 3: the composition of the anti-siphoning list needs to be reconsidered</w:t>
      </w:r>
    </w:p>
    <w:p w14:paraId="0C94D75A" w14:textId="77546022" w:rsidR="002C1229" w:rsidRDefault="002C1229" w:rsidP="002C1229">
      <w:r>
        <w:t>To date, the anti-siphoning list has include</w:t>
      </w:r>
      <w:r w:rsidR="0068250F">
        <w:t>d</w:t>
      </w:r>
      <w:r>
        <w:t xml:space="preserve"> sports that involve athletes without disabilities. To a lesser extent, it has also tended to involve competitions </w:t>
      </w:r>
      <w:r w:rsidR="00E851A9">
        <w:t xml:space="preserve">in which </w:t>
      </w:r>
      <w:r w:rsidR="006471C4">
        <w:t xml:space="preserve">only </w:t>
      </w:r>
      <w:r w:rsidR="00E851A9">
        <w:t>men compete</w:t>
      </w:r>
      <w:r>
        <w:t xml:space="preserve">. This is a product of history rather than deliberate design. </w:t>
      </w:r>
      <w:r w:rsidR="006471C4">
        <w:t>Nonetheless, t</w:t>
      </w:r>
      <w:r>
        <w:t>he</w:t>
      </w:r>
      <w:r w:rsidR="004B39B7">
        <w:t xml:space="preserve"> review has found that there is a </w:t>
      </w:r>
      <w:r>
        <w:t xml:space="preserve">case to consider the composition of the list with respect to women’s </w:t>
      </w:r>
      <w:r w:rsidR="001D0821">
        <w:t xml:space="preserve">sports </w:t>
      </w:r>
      <w:r>
        <w:t xml:space="preserve">events and </w:t>
      </w:r>
      <w:r w:rsidR="00EA3011">
        <w:t>Para</w:t>
      </w:r>
      <w:r>
        <w:t>-sports.</w:t>
      </w:r>
    </w:p>
    <w:p w14:paraId="451661E0" w14:textId="77777777" w:rsidR="002761DB" w:rsidRPr="004C3F4C" w:rsidRDefault="002761DB" w:rsidP="004C3F4C">
      <w:pPr>
        <w:rPr>
          <w:b/>
          <w:color w:val="737373" w:themeColor="background2" w:themeShade="80"/>
          <w:sz w:val="36"/>
          <w:szCs w:val="36"/>
          <w:lang w:val="en-US"/>
        </w:rPr>
      </w:pPr>
      <w:r w:rsidRPr="004C3F4C">
        <w:rPr>
          <w:b/>
          <w:color w:val="737373" w:themeColor="background2" w:themeShade="80"/>
          <w:sz w:val="36"/>
          <w:szCs w:val="36"/>
          <w:lang w:val="en-US"/>
        </w:rPr>
        <w:t>Reform models</w:t>
      </w:r>
    </w:p>
    <w:p w14:paraId="2DAE6285" w14:textId="7AF8ECC9" w:rsidR="001722A4" w:rsidRDefault="00424A82" w:rsidP="00656FD4">
      <w:r>
        <w:t xml:space="preserve">The scheme </w:t>
      </w:r>
      <w:r w:rsidR="00656FD4">
        <w:t xml:space="preserve">does not </w:t>
      </w:r>
      <w:r w:rsidR="000D6DD5">
        <w:t xml:space="preserve">currently </w:t>
      </w:r>
      <w:r w:rsidR="00656FD4">
        <w:t>apply to online media services</w:t>
      </w:r>
      <w:r w:rsidR="0068250F">
        <w:t xml:space="preserve">, </w:t>
      </w:r>
      <w:r w:rsidR="00656FD4">
        <w:t xml:space="preserve">and the paper proposes </w:t>
      </w:r>
      <w:r w:rsidR="003774C8">
        <w:t xml:space="preserve">three reform models to address this regulatory gap. </w:t>
      </w:r>
      <w:r w:rsidR="008F11D1">
        <w:t xml:space="preserve">These are summarised in Table </w:t>
      </w:r>
      <w:r w:rsidR="00656FD4">
        <w:t>1</w:t>
      </w:r>
      <w:r w:rsidR="008F11D1">
        <w:t xml:space="preserve"> and described in </w:t>
      </w:r>
      <w:r w:rsidR="00656FD4">
        <w:t>detail in Chapter 6.</w:t>
      </w:r>
    </w:p>
    <w:p w14:paraId="5F1241B2" w14:textId="3AA0E5B6" w:rsidR="00746BB2" w:rsidRPr="00BB26E4" w:rsidRDefault="008F11D1" w:rsidP="00656FD4">
      <w:r>
        <w:t>The primary focus of each model is the extension of the scheme to online media. However, the mechanisms proposed to achieve this extension differ significantly between the models.</w:t>
      </w:r>
    </w:p>
    <w:p w14:paraId="7AA1442A" w14:textId="77777777" w:rsidR="00730527" w:rsidRDefault="00730527">
      <w:pPr>
        <w:rPr>
          <w:b/>
          <w:iCs/>
          <w:szCs w:val="18"/>
        </w:rPr>
      </w:pPr>
      <w:r>
        <w:br w:type="page"/>
      </w:r>
    </w:p>
    <w:p w14:paraId="0100634C" w14:textId="6B96C93F" w:rsidR="008F11D1" w:rsidRPr="006E2C76" w:rsidRDefault="008F11D1" w:rsidP="00722E25">
      <w:pPr>
        <w:pStyle w:val="Caption"/>
      </w:pPr>
      <w:bookmarkStart w:id="62" w:name="_Toc143250745"/>
      <w:r w:rsidRPr="00B61C3D">
        <w:lastRenderedPageBreak/>
        <w:t xml:space="preserve">Table </w:t>
      </w:r>
      <w:r w:rsidR="00656FD4" w:rsidRPr="006E2C76">
        <w:t>1</w:t>
      </w:r>
      <w:r w:rsidRPr="006E2C76">
        <w:t>: Summary of models to reform the anti-siphoning scheme</w:t>
      </w:r>
      <w:bookmarkEnd w:id="62"/>
    </w:p>
    <w:tbl>
      <w:tblPr>
        <w:tblStyle w:val="DefaultTable1"/>
        <w:tblpPr w:leftFromText="180" w:rightFromText="180" w:vertAnchor="text" w:tblpY="1"/>
        <w:tblOverlap w:val="never"/>
        <w:tblW w:w="4958" w:type="pct"/>
        <w:tblLook w:val="04A0" w:firstRow="1" w:lastRow="0" w:firstColumn="1" w:lastColumn="0" w:noHBand="0" w:noVBand="1"/>
        <w:tblCaption w:val="Sample table"/>
        <w:tblDescription w:val="Sample table"/>
      </w:tblPr>
      <w:tblGrid>
        <w:gridCol w:w="1842"/>
        <w:gridCol w:w="2647"/>
        <w:gridCol w:w="2647"/>
        <w:gridCol w:w="2645"/>
      </w:tblGrid>
      <w:tr w:rsidR="008F11D1" w:rsidRPr="00F45796" w14:paraId="7EC165BC" w14:textId="77777777" w:rsidTr="00977318">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42" w:type="pct"/>
            <w:tcBorders>
              <w:bottom w:val="single" w:sz="4" w:space="0" w:color="008089" w:themeColor="accent2"/>
            </w:tcBorders>
            <w:vAlign w:val="center"/>
          </w:tcPr>
          <w:p w14:paraId="06EE00E7" w14:textId="77777777" w:rsidR="008F11D1" w:rsidRPr="00F45796" w:rsidRDefault="008F11D1" w:rsidP="008F11D1">
            <w:pPr>
              <w:spacing w:before="40" w:after="40"/>
              <w:rPr>
                <w:sz w:val="20"/>
                <w:szCs w:val="20"/>
              </w:rPr>
            </w:pPr>
          </w:p>
        </w:tc>
        <w:tc>
          <w:tcPr>
            <w:tcW w:w="1353" w:type="pct"/>
            <w:tcBorders>
              <w:bottom w:val="single" w:sz="4" w:space="0" w:color="008089" w:themeColor="accent2"/>
            </w:tcBorders>
            <w:vAlign w:val="center"/>
          </w:tcPr>
          <w:p w14:paraId="73A54A6C" w14:textId="77777777" w:rsidR="008F11D1" w:rsidRPr="00F45796" w:rsidRDefault="008F11D1" w:rsidP="008F11D1">
            <w:pPr>
              <w:pStyle w:val="ListParagraph"/>
              <w:numPr>
                <w:ilvl w:val="0"/>
                <w:numId w:val="14"/>
              </w:numPr>
              <w:spacing w:before="40" w:after="40"/>
              <w:ind w:left="213" w:hanging="213"/>
              <w:contextualSpacing w:val="0"/>
              <w:cnfStyle w:val="100000000000" w:firstRow="1" w:lastRow="0" w:firstColumn="0" w:lastColumn="0" w:oddVBand="0" w:evenVBand="0" w:oddHBand="0" w:evenHBand="0" w:firstRowFirstColumn="0" w:firstRowLastColumn="0" w:lastRowFirstColumn="0" w:lastRowLastColumn="0"/>
              <w:rPr>
                <w:sz w:val="20"/>
                <w:szCs w:val="20"/>
              </w:rPr>
            </w:pPr>
            <w:r w:rsidRPr="00F45796">
              <w:rPr>
                <w:sz w:val="20"/>
                <w:szCs w:val="20"/>
              </w:rPr>
              <w:t>Free</w:t>
            </w:r>
            <w:r w:rsidRPr="00EE40A1">
              <w:rPr>
                <w:sz w:val="20"/>
                <w:szCs w:val="20"/>
              </w:rPr>
              <w:t>-</w:t>
            </w:r>
            <w:r w:rsidRPr="00F45796">
              <w:rPr>
                <w:sz w:val="20"/>
                <w:szCs w:val="20"/>
              </w:rPr>
              <w:t>to</w:t>
            </w:r>
            <w:r w:rsidRPr="00EE40A1">
              <w:rPr>
                <w:sz w:val="20"/>
                <w:szCs w:val="20"/>
              </w:rPr>
              <w:t>-</w:t>
            </w:r>
            <w:r w:rsidRPr="00F45796">
              <w:rPr>
                <w:sz w:val="20"/>
                <w:szCs w:val="20"/>
              </w:rPr>
              <w:t>view</w:t>
            </w:r>
          </w:p>
        </w:tc>
        <w:tc>
          <w:tcPr>
            <w:tcW w:w="1353" w:type="pct"/>
            <w:tcBorders>
              <w:bottom w:val="single" w:sz="4" w:space="0" w:color="008089" w:themeColor="accent2"/>
            </w:tcBorders>
            <w:vAlign w:val="center"/>
          </w:tcPr>
          <w:p w14:paraId="272518E5" w14:textId="77777777" w:rsidR="008F11D1" w:rsidRPr="000C1CBF" w:rsidRDefault="008F11D1" w:rsidP="008F11D1">
            <w:pPr>
              <w:pStyle w:val="ListParagraph"/>
              <w:numPr>
                <w:ilvl w:val="0"/>
                <w:numId w:val="14"/>
              </w:numPr>
              <w:spacing w:before="40" w:after="40"/>
              <w:ind w:left="294" w:hanging="283"/>
              <w:contextualSpacing w:val="0"/>
              <w:cnfStyle w:val="100000000000" w:firstRow="1" w:lastRow="0" w:firstColumn="0" w:lastColumn="0" w:oddVBand="0" w:evenVBand="0" w:oddHBand="0" w:evenHBand="0" w:firstRowFirstColumn="0" w:firstRowLastColumn="0" w:lastRowFirstColumn="0" w:lastRowLastColumn="0"/>
              <w:rPr>
                <w:sz w:val="20"/>
                <w:szCs w:val="20"/>
              </w:rPr>
            </w:pPr>
            <w:r w:rsidRPr="000C1CBF">
              <w:rPr>
                <w:sz w:val="20"/>
                <w:szCs w:val="20"/>
              </w:rPr>
              <w:t>Broadcasting safety</w:t>
            </w:r>
            <w:r w:rsidR="00890861">
              <w:rPr>
                <w:sz w:val="20"/>
                <w:szCs w:val="20"/>
              </w:rPr>
              <w:t xml:space="preserve"> </w:t>
            </w:r>
            <w:r w:rsidRPr="000C1CBF">
              <w:rPr>
                <w:sz w:val="20"/>
                <w:szCs w:val="20"/>
              </w:rPr>
              <w:t>net</w:t>
            </w:r>
          </w:p>
        </w:tc>
        <w:tc>
          <w:tcPr>
            <w:tcW w:w="1353" w:type="pct"/>
            <w:tcBorders>
              <w:bottom w:val="single" w:sz="4" w:space="0" w:color="008089" w:themeColor="accent2"/>
            </w:tcBorders>
            <w:vAlign w:val="center"/>
          </w:tcPr>
          <w:p w14:paraId="5538CA9A" w14:textId="77777777" w:rsidR="008F11D1" w:rsidRPr="00F45796" w:rsidRDefault="008F11D1" w:rsidP="008F11D1">
            <w:pPr>
              <w:pStyle w:val="ListParagraph"/>
              <w:numPr>
                <w:ilvl w:val="0"/>
                <w:numId w:val="14"/>
              </w:numPr>
              <w:spacing w:before="40" w:after="40"/>
              <w:ind w:left="232" w:hanging="283"/>
              <w:contextualSpacing w:val="0"/>
              <w:cnfStyle w:val="100000000000" w:firstRow="1" w:lastRow="0" w:firstColumn="0" w:lastColumn="0" w:oddVBand="0" w:evenVBand="0" w:oddHBand="0" w:evenHBand="0" w:firstRowFirstColumn="0" w:firstRowLastColumn="0" w:lastRowFirstColumn="0" w:lastRowLastColumn="0"/>
              <w:rPr>
                <w:sz w:val="20"/>
                <w:szCs w:val="20"/>
              </w:rPr>
            </w:pPr>
            <w:r w:rsidRPr="000C1CBF">
              <w:rPr>
                <w:sz w:val="20"/>
                <w:szCs w:val="20"/>
              </w:rPr>
              <w:t xml:space="preserve">Free-to-air first  </w:t>
            </w:r>
          </w:p>
        </w:tc>
      </w:tr>
      <w:tr w:rsidR="008F11D1" w:rsidRPr="00F45796" w14:paraId="50DF51E0" w14:textId="77777777" w:rsidTr="00977318">
        <w:tc>
          <w:tcPr>
            <w:cnfStyle w:val="001000000000" w:firstRow="0" w:lastRow="0" w:firstColumn="1" w:lastColumn="0" w:oddVBand="0" w:evenVBand="0" w:oddHBand="0" w:evenHBand="0" w:firstRowFirstColumn="0" w:firstRowLastColumn="0" w:lastRowFirstColumn="0" w:lastRowLastColumn="0"/>
            <w:tcW w:w="942" w:type="pct"/>
          </w:tcPr>
          <w:p w14:paraId="5C68DDCC" w14:textId="77777777" w:rsidR="008F11D1" w:rsidRPr="00F45796" w:rsidRDefault="008F11D1" w:rsidP="008F11D1">
            <w:pPr>
              <w:spacing w:before="40" w:after="40"/>
              <w:rPr>
                <w:sz w:val="20"/>
                <w:szCs w:val="20"/>
              </w:rPr>
            </w:pPr>
            <w:r>
              <w:rPr>
                <w:sz w:val="20"/>
                <w:szCs w:val="20"/>
              </w:rPr>
              <w:t>Summary</w:t>
            </w:r>
          </w:p>
        </w:tc>
        <w:tc>
          <w:tcPr>
            <w:tcW w:w="1353" w:type="pct"/>
          </w:tcPr>
          <w:p w14:paraId="3E11C8BB" w14:textId="49995959" w:rsidR="008F11D1" w:rsidRPr="00213CB9" w:rsidRDefault="008F11D1" w:rsidP="008F11D1">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A new scheme (to replace the current scheme) that would impose availability and coverage obligations on all content services (online, broadcast or any other media service) that provide coverage of iconic sporting events to Australian audiences.</w:t>
            </w:r>
          </w:p>
        </w:tc>
        <w:tc>
          <w:tcPr>
            <w:tcW w:w="1353" w:type="pct"/>
          </w:tcPr>
          <w:p w14:paraId="4B4E7DCF" w14:textId="5D90330B" w:rsidR="008F11D1" w:rsidRPr="00213CB9" w:rsidRDefault="008F11D1" w:rsidP="008F11D1">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An extension of the current scheme to prevent the acquisition of a</w:t>
            </w:r>
            <w:r>
              <w:rPr>
                <w:sz w:val="20"/>
                <w:szCs w:val="20"/>
              </w:rPr>
              <w:t>ny type of</w:t>
            </w:r>
            <w:r w:rsidRPr="00213CB9">
              <w:rPr>
                <w:sz w:val="20"/>
                <w:szCs w:val="20"/>
              </w:rPr>
              <w:t xml:space="preserve"> right to provide coverage of an iconic sporting event to Australians by a content service </w:t>
            </w:r>
            <w:r>
              <w:rPr>
                <w:sz w:val="20"/>
                <w:szCs w:val="20"/>
              </w:rPr>
              <w:t xml:space="preserve">provider </w:t>
            </w:r>
            <w:r w:rsidRPr="00213CB9">
              <w:rPr>
                <w:sz w:val="20"/>
                <w:szCs w:val="20"/>
              </w:rPr>
              <w:t>until a free-to-air broadcaster has a right to televise the event on a broadcasting service</w:t>
            </w:r>
            <w:r w:rsidR="00D57448">
              <w:rPr>
                <w:sz w:val="20"/>
                <w:szCs w:val="20"/>
              </w:rPr>
              <w:t xml:space="preserve">, or the event is automatically </w:t>
            </w:r>
            <w:r w:rsidR="00D57448" w:rsidRPr="00455C23">
              <w:rPr>
                <w:sz w:val="20"/>
                <w:szCs w:val="20"/>
              </w:rPr>
              <w:t>delisted</w:t>
            </w:r>
            <w:r w:rsidRPr="00455C23">
              <w:rPr>
                <w:sz w:val="20"/>
                <w:szCs w:val="20"/>
              </w:rPr>
              <w:t>.</w:t>
            </w:r>
            <w:r w:rsidR="005E7014" w:rsidRPr="002B1D55">
              <w:rPr>
                <w:rStyle w:val="FootnoteReference"/>
                <w:sz w:val="20"/>
                <w:szCs w:val="20"/>
              </w:rPr>
              <w:footnoteReference w:id="5"/>
            </w:r>
          </w:p>
        </w:tc>
        <w:tc>
          <w:tcPr>
            <w:tcW w:w="1353" w:type="pct"/>
          </w:tcPr>
          <w:p w14:paraId="1D3D39CE" w14:textId="178F21A8" w:rsidR="008F11D1" w:rsidRPr="00213CB9" w:rsidRDefault="008F11D1" w:rsidP="008F11D1">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A significant extension of the current scheme to prevent the acquisition of a</w:t>
            </w:r>
            <w:r w:rsidR="0068250F">
              <w:rPr>
                <w:sz w:val="20"/>
                <w:szCs w:val="20"/>
              </w:rPr>
              <w:t xml:space="preserve">ny type of </w:t>
            </w:r>
            <w:r w:rsidRPr="00213CB9">
              <w:rPr>
                <w:sz w:val="20"/>
                <w:szCs w:val="20"/>
              </w:rPr>
              <w:t>right to provide coverage of an iconic sporting event to Australians by a content service</w:t>
            </w:r>
            <w:r>
              <w:rPr>
                <w:sz w:val="20"/>
                <w:szCs w:val="20"/>
              </w:rPr>
              <w:t xml:space="preserve"> provider</w:t>
            </w:r>
            <w:r w:rsidRPr="00213CB9">
              <w:rPr>
                <w:sz w:val="20"/>
                <w:szCs w:val="20"/>
              </w:rPr>
              <w:t xml:space="preserve"> until a free-to-air broadcaster has both a right to televise the event on a broadcasting service </w:t>
            </w:r>
            <w:r w:rsidRPr="00213CB9">
              <w:rPr>
                <w:sz w:val="20"/>
                <w:szCs w:val="20"/>
                <w:u w:val="single"/>
              </w:rPr>
              <w:t>and</w:t>
            </w:r>
            <w:r w:rsidRPr="00213CB9">
              <w:rPr>
                <w:sz w:val="20"/>
                <w:szCs w:val="20"/>
              </w:rPr>
              <w:t xml:space="preserve"> a right to provide coverage of the event on a</w:t>
            </w:r>
            <w:r w:rsidR="0068250F">
              <w:rPr>
                <w:sz w:val="20"/>
                <w:szCs w:val="20"/>
              </w:rPr>
              <w:t xml:space="preserve"> </w:t>
            </w:r>
            <w:r w:rsidRPr="00213CB9">
              <w:rPr>
                <w:sz w:val="20"/>
                <w:szCs w:val="20"/>
              </w:rPr>
              <w:t>content service</w:t>
            </w:r>
            <w:r w:rsidR="00D57448">
              <w:rPr>
                <w:sz w:val="20"/>
                <w:szCs w:val="20"/>
              </w:rPr>
              <w:t>, or the event is automatically delisted</w:t>
            </w:r>
            <w:r w:rsidRPr="00213CB9">
              <w:rPr>
                <w:sz w:val="20"/>
                <w:szCs w:val="20"/>
              </w:rPr>
              <w:t>.</w:t>
            </w:r>
            <w:r w:rsidR="00D57448">
              <w:rPr>
                <w:rStyle w:val="FootnoteReference"/>
                <w:sz w:val="20"/>
                <w:szCs w:val="20"/>
              </w:rPr>
              <w:footnoteReference w:id="6"/>
            </w:r>
          </w:p>
        </w:tc>
      </w:tr>
      <w:tr w:rsidR="008F11D1" w:rsidRPr="00F45796" w14:paraId="5D2293E0" w14:textId="77777777" w:rsidTr="00977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Pr>
          <w:p w14:paraId="2254E780" w14:textId="6BB0AE71" w:rsidR="008F11D1" w:rsidRDefault="008F11D1" w:rsidP="008F11D1">
            <w:pPr>
              <w:spacing w:before="40" w:after="40"/>
              <w:rPr>
                <w:sz w:val="20"/>
                <w:szCs w:val="20"/>
              </w:rPr>
            </w:pPr>
            <w:r>
              <w:rPr>
                <w:sz w:val="20"/>
                <w:szCs w:val="20"/>
              </w:rPr>
              <w:t>Restriction on rights acquisition?</w:t>
            </w:r>
          </w:p>
        </w:tc>
        <w:tc>
          <w:tcPr>
            <w:tcW w:w="1353" w:type="pct"/>
          </w:tcPr>
          <w:p w14:paraId="2E41ED45" w14:textId="690ADFE7" w:rsidR="008F11D1" w:rsidRDefault="008F11D1" w:rsidP="008F11D1">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w:t>
            </w:r>
          </w:p>
        </w:tc>
        <w:tc>
          <w:tcPr>
            <w:tcW w:w="1353" w:type="pct"/>
          </w:tcPr>
          <w:p w14:paraId="32384CC1" w14:textId="742125A0" w:rsidR="008F11D1" w:rsidRPr="00216AEA" w:rsidRDefault="008F11D1" w:rsidP="008F11D1">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216AEA">
              <w:rPr>
                <w:sz w:val="20"/>
                <w:szCs w:val="20"/>
              </w:rPr>
              <w:t>Yes</w:t>
            </w:r>
          </w:p>
        </w:tc>
        <w:tc>
          <w:tcPr>
            <w:tcW w:w="1353" w:type="pct"/>
          </w:tcPr>
          <w:p w14:paraId="34E5560A" w14:textId="36AD5FA4" w:rsidR="008F11D1" w:rsidRPr="00216AEA" w:rsidRDefault="008F11D1" w:rsidP="008F11D1">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216AEA">
              <w:rPr>
                <w:sz w:val="20"/>
                <w:szCs w:val="20"/>
              </w:rPr>
              <w:t>Yes</w:t>
            </w:r>
          </w:p>
        </w:tc>
      </w:tr>
      <w:tr w:rsidR="008F11D1" w:rsidRPr="00F45796" w14:paraId="17B08085" w14:textId="77777777" w:rsidTr="00977318">
        <w:tc>
          <w:tcPr>
            <w:cnfStyle w:val="001000000000" w:firstRow="0" w:lastRow="0" w:firstColumn="1" w:lastColumn="0" w:oddVBand="0" w:evenVBand="0" w:oddHBand="0" w:evenHBand="0" w:firstRowFirstColumn="0" w:firstRowLastColumn="0" w:lastRowFirstColumn="0" w:lastRowLastColumn="0"/>
            <w:tcW w:w="942" w:type="pct"/>
          </w:tcPr>
          <w:p w14:paraId="128FD4D7" w14:textId="343ADB70" w:rsidR="008F11D1" w:rsidRDefault="008F11D1" w:rsidP="008F11D1">
            <w:pPr>
              <w:spacing w:before="40" w:after="40"/>
              <w:rPr>
                <w:sz w:val="20"/>
                <w:szCs w:val="20"/>
              </w:rPr>
            </w:pPr>
            <w:r>
              <w:rPr>
                <w:sz w:val="20"/>
                <w:szCs w:val="20"/>
              </w:rPr>
              <w:t>Availability obligation</w:t>
            </w:r>
            <w:r w:rsidR="00675E9C" w:rsidRPr="0062213F">
              <w:rPr>
                <w:sz w:val="20"/>
                <w:szCs w:val="20"/>
              </w:rPr>
              <w:t>s</w:t>
            </w:r>
            <w:r>
              <w:rPr>
                <w:sz w:val="20"/>
                <w:szCs w:val="20"/>
              </w:rPr>
              <w:t>?</w:t>
            </w:r>
          </w:p>
        </w:tc>
        <w:tc>
          <w:tcPr>
            <w:tcW w:w="1353" w:type="pct"/>
          </w:tcPr>
          <w:p w14:paraId="32E4F521" w14:textId="77777777" w:rsidR="008F11D1" w:rsidRPr="00F45796" w:rsidRDefault="008F11D1" w:rsidP="008F11D1">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c>
          <w:tcPr>
            <w:tcW w:w="1353" w:type="pct"/>
          </w:tcPr>
          <w:p w14:paraId="149CAF3C" w14:textId="77777777" w:rsidR="008F11D1" w:rsidRDefault="008F11D1" w:rsidP="008F11D1">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353" w:type="pct"/>
          </w:tcPr>
          <w:p w14:paraId="59FB45C5" w14:textId="77777777" w:rsidR="008F11D1" w:rsidRDefault="008F11D1" w:rsidP="008F11D1">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r>
      <w:tr w:rsidR="008F11D1" w:rsidRPr="00F45796" w14:paraId="7AD29651" w14:textId="77777777" w:rsidTr="00977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Pr>
          <w:p w14:paraId="693F1BA5" w14:textId="77777777" w:rsidR="008F11D1" w:rsidRPr="00F45796" w:rsidRDefault="008F11D1" w:rsidP="008F11D1">
            <w:pPr>
              <w:spacing w:before="40" w:after="40"/>
              <w:rPr>
                <w:sz w:val="20"/>
                <w:szCs w:val="20"/>
              </w:rPr>
            </w:pPr>
            <w:r>
              <w:rPr>
                <w:sz w:val="20"/>
                <w:szCs w:val="20"/>
              </w:rPr>
              <w:t>C</w:t>
            </w:r>
            <w:r w:rsidRPr="00F45796">
              <w:rPr>
                <w:sz w:val="20"/>
                <w:szCs w:val="20"/>
              </w:rPr>
              <w:t xml:space="preserve">overage </w:t>
            </w:r>
            <w:r>
              <w:rPr>
                <w:sz w:val="20"/>
                <w:szCs w:val="20"/>
              </w:rPr>
              <w:t>obligation</w:t>
            </w:r>
            <w:r w:rsidR="00675E9C" w:rsidRPr="0062213F">
              <w:rPr>
                <w:sz w:val="20"/>
                <w:szCs w:val="20"/>
              </w:rPr>
              <w:t>s</w:t>
            </w:r>
            <w:r>
              <w:rPr>
                <w:sz w:val="20"/>
                <w:szCs w:val="20"/>
              </w:rPr>
              <w:t>?</w:t>
            </w:r>
          </w:p>
        </w:tc>
        <w:tc>
          <w:tcPr>
            <w:tcW w:w="1353" w:type="pct"/>
          </w:tcPr>
          <w:p w14:paraId="35148506" w14:textId="77777777" w:rsidR="008F11D1" w:rsidRPr="00F45796" w:rsidRDefault="008F11D1" w:rsidP="008F11D1">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F45796">
              <w:rPr>
                <w:sz w:val="20"/>
                <w:szCs w:val="20"/>
              </w:rPr>
              <w:t>Yes</w:t>
            </w:r>
          </w:p>
        </w:tc>
        <w:tc>
          <w:tcPr>
            <w:tcW w:w="1353" w:type="pct"/>
          </w:tcPr>
          <w:p w14:paraId="6F400939" w14:textId="77777777" w:rsidR="008F11D1" w:rsidRDefault="008F11D1" w:rsidP="008F11D1">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w:t>
            </w:r>
          </w:p>
        </w:tc>
        <w:tc>
          <w:tcPr>
            <w:tcW w:w="1353" w:type="pct"/>
          </w:tcPr>
          <w:p w14:paraId="06AECBF1" w14:textId="77777777" w:rsidR="008F11D1" w:rsidRPr="00F45796" w:rsidRDefault="008F11D1" w:rsidP="008F11D1">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w:t>
            </w:r>
          </w:p>
        </w:tc>
      </w:tr>
      <w:tr w:rsidR="008F11D1" w:rsidRPr="00F45796" w14:paraId="163F7964" w14:textId="77777777" w:rsidTr="00977318">
        <w:tc>
          <w:tcPr>
            <w:cnfStyle w:val="001000000000" w:firstRow="0" w:lastRow="0" w:firstColumn="1" w:lastColumn="0" w:oddVBand="0" w:evenVBand="0" w:oddHBand="0" w:evenHBand="0" w:firstRowFirstColumn="0" w:firstRowLastColumn="0" w:lastRowFirstColumn="0" w:lastRowLastColumn="0"/>
            <w:tcW w:w="942" w:type="pct"/>
          </w:tcPr>
          <w:p w14:paraId="7BDDA359" w14:textId="51012EC1" w:rsidR="008F11D1" w:rsidRPr="00F45796" w:rsidRDefault="008F11D1" w:rsidP="008F11D1">
            <w:pPr>
              <w:spacing w:before="40" w:after="40"/>
              <w:rPr>
                <w:sz w:val="20"/>
                <w:szCs w:val="20"/>
              </w:rPr>
            </w:pPr>
            <w:r>
              <w:rPr>
                <w:sz w:val="20"/>
                <w:szCs w:val="20"/>
              </w:rPr>
              <w:t>Reduction of the</w:t>
            </w:r>
            <w:r w:rsidRPr="00F45796">
              <w:rPr>
                <w:sz w:val="20"/>
                <w:szCs w:val="20"/>
              </w:rPr>
              <w:t xml:space="preserve"> list?</w:t>
            </w:r>
          </w:p>
        </w:tc>
        <w:tc>
          <w:tcPr>
            <w:tcW w:w="1353" w:type="pct"/>
          </w:tcPr>
          <w:p w14:paraId="00D08C57" w14:textId="77777777" w:rsidR="008F11D1" w:rsidRPr="00F45796" w:rsidRDefault="008F11D1" w:rsidP="008F11D1">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5796">
              <w:rPr>
                <w:sz w:val="20"/>
                <w:szCs w:val="20"/>
              </w:rPr>
              <w:t>Yes</w:t>
            </w:r>
          </w:p>
        </w:tc>
        <w:tc>
          <w:tcPr>
            <w:tcW w:w="1353" w:type="pct"/>
          </w:tcPr>
          <w:p w14:paraId="5BA49496" w14:textId="77777777" w:rsidR="008F11D1" w:rsidRDefault="008F11D1" w:rsidP="008F11D1">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353" w:type="pct"/>
          </w:tcPr>
          <w:p w14:paraId="53E51410" w14:textId="77777777" w:rsidR="008F11D1" w:rsidRPr="00F45796" w:rsidRDefault="008F11D1" w:rsidP="008F11D1">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r>
    </w:tbl>
    <w:p w14:paraId="1C20A10F" w14:textId="356B7E80" w:rsidR="00C93800" w:rsidRDefault="00656FD4" w:rsidP="00656FD4">
      <w:r>
        <w:t xml:space="preserve">The Government’s preferred reform model is the </w:t>
      </w:r>
      <w:r w:rsidR="005602A8">
        <w:t xml:space="preserve">Model 2: </w:t>
      </w:r>
      <w:r>
        <w:t xml:space="preserve">‘broadcasting safety </w:t>
      </w:r>
      <w:r w:rsidR="001D0821">
        <w:t>n</w:t>
      </w:r>
      <w:r>
        <w:t>et’.</w:t>
      </w:r>
    </w:p>
    <w:p w14:paraId="2ACF8AFA" w14:textId="7354269E" w:rsidR="00656FD4" w:rsidRDefault="00656FD4" w:rsidP="00656FD4">
      <w:r>
        <w:t xml:space="preserve">Under this approach, the </w:t>
      </w:r>
      <w:r w:rsidRPr="00EB6AD5">
        <w:t xml:space="preserve">scheme </w:t>
      </w:r>
      <w:r>
        <w:t>would be expanded to prevent content services (including, but not limited to, streaming services) from acquiring a right to provide coverage of a listed event to audiences in Australia until a free-to-air broadcaster ha</w:t>
      </w:r>
      <w:r w:rsidR="001D0821">
        <w:t>s</w:t>
      </w:r>
      <w:r>
        <w:t xml:space="preserve"> a right to televise the event on a </w:t>
      </w:r>
      <w:r w:rsidR="001D0821">
        <w:t xml:space="preserve">free-to-air </w:t>
      </w:r>
      <w:r>
        <w:t>broadcasting service. This effectively extends the scope of the restriction on the acquisition of rights under the current scheme, which only applies to subscription television broadcasting licensees.</w:t>
      </w:r>
    </w:p>
    <w:p w14:paraId="77135A14" w14:textId="77E0CCEA" w:rsidR="00656FD4" w:rsidRPr="00455C23" w:rsidRDefault="00656FD4" w:rsidP="00656FD4">
      <w:pPr>
        <w:spacing w:after="0"/>
      </w:pPr>
      <w:r w:rsidRPr="00455C23">
        <w:t>Th</w:t>
      </w:r>
      <w:r w:rsidR="00F64842">
        <w:t>is model would affirm</w:t>
      </w:r>
      <w:r w:rsidR="00F64842" w:rsidRPr="00455C23">
        <w:t xml:space="preserve"> </w:t>
      </w:r>
      <w:r w:rsidR="0079053A" w:rsidRPr="002B1D55">
        <w:t>free-to-air</w:t>
      </w:r>
      <w:r w:rsidR="0079053A" w:rsidRPr="00455C23">
        <w:t xml:space="preserve"> </w:t>
      </w:r>
      <w:r w:rsidR="00714371" w:rsidRPr="00455C23">
        <w:t xml:space="preserve">broadcasting services </w:t>
      </w:r>
      <w:r w:rsidRPr="00455C23">
        <w:t xml:space="preserve">as the ‘safety net’ for free access to </w:t>
      </w:r>
      <w:r w:rsidR="003412C4" w:rsidRPr="00455C23">
        <w:t xml:space="preserve">televised coverage of </w:t>
      </w:r>
      <w:r w:rsidR="00B5207D" w:rsidRPr="00455C23">
        <w:t xml:space="preserve">nationally important and culturally significant </w:t>
      </w:r>
      <w:r w:rsidRPr="00455C23">
        <w:t xml:space="preserve">sporting events for all Australians. To this end, it provides free-to-air broadcasters with preferential treatment in terms </w:t>
      </w:r>
      <w:r w:rsidR="00825000" w:rsidRPr="00455C23">
        <w:t>of</w:t>
      </w:r>
      <w:r w:rsidRPr="00455C23">
        <w:t xml:space="preserve"> acquiring the relevant rights. This addresses the risk of these events migrating to platforms that involve direct or indirect costs for Australian audiences.</w:t>
      </w:r>
    </w:p>
    <w:p w14:paraId="3C73B97C" w14:textId="062213BD" w:rsidR="00C93800" w:rsidRDefault="00656FD4" w:rsidP="00656FD4">
      <w:pPr>
        <w:spacing w:after="0"/>
        <w:rPr>
          <w:i/>
        </w:rPr>
      </w:pPr>
      <w:r w:rsidRPr="00455C23">
        <w:t xml:space="preserve">However, this model doesn’t provide free-to-air broadcasters with preferential treatment in terms of their </w:t>
      </w:r>
      <w:r w:rsidR="00C93800" w:rsidRPr="00455C23">
        <w:t xml:space="preserve">‘non-broadcasting’ </w:t>
      </w:r>
      <w:r w:rsidRPr="00455C23">
        <w:t xml:space="preserve">content services (i.e. BVOD or other online services). To do so would </w:t>
      </w:r>
      <w:r w:rsidR="00714371" w:rsidRPr="002B1D55">
        <w:t xml:space="preserve">go beyond </w:t>
      </w:r>
      <w:r w:rsidRPr="002B1D55">
        <w:t>the aim of this particular model</w:t>
      </w:r>
      <w:r w:rsidR="00F64842">
        <w:t xml:space="preserve"> (</w:t>
      </w:r>
      <w:r w:rsidR="00714371" w:rsidRPr="002B1D55">
        <w:t>which is founded on the accessibility of the stable and ubiquitous terrestrial free-to-air television broadcasting platform</w:t>
      </w:r>
      <w:r w:rsidR="00F64842">
        <w:t xml:space="preserve">) </w:t>
      </w:r>
      <w:r w:rsidRPr="00455C23">
        <w:t xml:space="preserve">and would provide free-to-air broadcasters </w:t>
      </w:r>
      <w:r w:rsidR="00F64842">
        <w:t xml:space="preserve">with </w:t>
      </w:r>
      <w:r w:rsidRPr="00455C23">
        <w:t>an additional commercial advantage over other providers of content services</w:t>
      </w:r>
      <w:r w:rsidRPr="001B3258">
        <w:t>.</w:t>
      </w:r>
    </w:p>
    <w:p w14:paraId="3E9FAC94" w14:textId="645BEE55" w:rsidR="00656FD4" w:rsidRDefault="00656FD4" w:rsidP="00656FD4">
      <w:pPr>
        <w:spacing w:after="0"/>
      </w:pPr>
      <w:r>
        <w:t xml:space="preserve">As per the current scheme, once a right to televise a listed event had been acquired by a free-to-air broadcaster, or the event is automatically delisted </w:t>
      </w:r>
      <w:r w:rsidR="006047C2">
        <w:t>2</w:t>
      </w:r>
      <w:r>
        <w:t xml:space="preserve">6 </w:t>
      </w:r>
      <w:r w:rsidR="006047C2">
        <w:t>weeks</w:t>
      </w:r>
      <w:r>
        <w:t xml:space="preserve"> prior to its commencement, any party would be able to acquire rights to the event without restriction.</w:t>
      </w:r>
    </w:p>
    <w:p w14:paraId="39955B14" w14:textId="77777777" w:rsidR="00746BB2" w:rsidRDefault="00746BB2" w:rsidP="00656FD4">
      <w:pPr>
        <w:spacing w:after="0"/>
      </w:pPr>
    </w:p>
    <w:p w14:paraId="0EAC7E23" w14:textId="77777777" w:rsidR="002761DB" w:rsidRPr="004C3F4C" w:rsidRDefault="002761DB" w:rsidP="004C3F4C">
      <w:pPr>
        <w:rPr>
          <w:b/>
          <w:color w:val="737373" w:themeColor="background2" w:themeShade="80"/>
          <w:sz w:val="36"/>
          <w:szCs w:val="36"/>
          <w:lang w:val="en-US"/>
        </w:rPr>
      </w:pPr>
      <w:r w:rsidRPr="004C3F4C">
        <w:rPr>
          <w:b/>
          <w:color w:val="737373" w:themeColor="background2" w:themeShade="80"/>
          <w:sz w:val="36"/>
          <w:szCs w:val="36"/>
          <w:lang w:val="en-US"/>
        </w:rPr>
        <w:lastRenderedPageBreak/>
        <w:t>List options</w:t>
      </w:r>
    </w:p>
    <w:p w14:paraId="0A6FCC6D" w14:textId="3D7C824E" w:rsidR="00C93800" w:rsidRDefault="007B5019" w:rsidP="004C138C">
      <w:r>
        <w:t>Under the current scheme, t</w:t>
      </w:r>
      <w:r w:rsidR="004C138C">
        <w:t xml:space="preserve">he anti-siphoning list is a legislative instrument made by the Minister </w:t>
      </w:r>
      <w:r w:rsidR="00977318">
        <w:t xml:space="preserve">that </w:t>
      </w:r>
      <w:r w:rsidR="004C138C">
        <w:t>specifies the events, or events of a kind, the televising of which, in the Minister’s opinion, should be available free to the general public.</w:t>
      </w:r>
      <w:r w:rsidR="00977318">
        <w:t xml:space="preserve"> </w:t>
      </w:r>
      <w:r w:rsidR="009477DA">
        <w:t>The proposals in this paper are not intended to alter</w:t>
      </w:r>
      <w:r w:rsidR="00D74C69">
        <w:t xml:space="preserve"> this.</w:t>
      </w:r>
    </w:p>
    <w:p w14:paraId="7E021E8D" w14:textId="35D32752" w:rsidR="004C138C" w:rsidRDefault="00977318" w:rsidP="004C138C">
      <w:r>
        <w:t>A</w:t>
      </w:r>
      <w:r w:rsidR="004C138C">
        <w:t xml:space="preserve"> list needs to have been made for the anti-siphoning scheme to work, as the restriction on the acquisition of rights by subscription television broadcasting licensees under the current scheme</w:t>
      </w:r>
      <w:r w:rsidR="00C93800">
        <w:t xml:space="preserve"> (</w:t>
      </w:r>
      <w:r w:rsidR="004C138C">
        <w:t>or the operation of any revised scheme</w:t>
      </w:r>
      <w:r w:rsidR="00C93800">
        <w:t xml:space="preserve">) </w:t>
      </w:r>
      <w:r w:rsidR="004C138C">
        <w:t>depends on a list being in place.</w:t>
      </w:r>
    </w:p>
    <w:p w14:paraId="325B06D4" w14:textId="6CFA14E8" w:rsidR="000771EF" w:rsidRDefault="004C138C" w:rsidP="004C138C">
      <w:r>
        <w:t xml:space="preserve">The current list – the </w:t>
      </w:r>
      <w:r w:rsidRPr="009441CD">
        <w:rPr>
          <w:i/>
        </w:rPr>
        <w:t>Broadcasting Services (Events) Notice 2023</w:t>
      </w:r>
      <w:r>
        <w:rPr>
          <w:rStyle w:val="FootnoteReference"/>
          <w:i/>
        </w:rPr>
        <w:footnoteReference w:id="7"/>
      </w:r>
      <w:r>
        <w:t xml:space="preserve"> – was made in March 2023 and expires on</w:t>
      </w:r>
      <w:r w:rsidRPr="008E111B">
        <w:t xml:space="preserve"> 25</w:t>
      </w:r>
      <w:r>
        <w:t> </w:t>
      </w:r>
      <w:r w:rsidRPr="008E111B">
        <w:t>Mar</w:t>
      </w:r>
      <w:r w:rsidR="001D0821">
        <w:t>ch</w:t>
      </w:r>
      <w:r w:rsidRPr="008E111B">
        <w:t xml:space="preserve"> 2026</w:t>
      </w:r>
      <w:r>
        <w:t xml:space="preserve">. This list was made as an interim arrangement to provide continuity for the scheme while broader reforms </w:t>
      </w:r>
      <w:r w:rsidR="00E75439">
        <w:t>a</w:t>
      </w:r>
      <w:r>
        <w:t>re developed and progressed as part of this review.</w:t>
      </w:r>
      <w:r w:rsidR="008321A8">
        <w:t xml:space="preserve"> </w:t>
      </w:r>
      <w:r w:rsidR="001722A4">
        <w:t>The current list includes approximately 1,900 events.</w:t>
      </w:r>
      <w:r w:rsidR="00714371" w:rsidRPr="00714371">
        <w:rPr>
          <w:rStyle w:val="FootnoteReference"/>
        </w:rPr>
        <w:t xml:space="preserve"> </w:t>
      </w:r>
      <w:r w:rsidR="00714371">
        <w:rPr>
          <w:rStyle w:val="FootnoteReference"/>
        </w:rPr>
        <w:footnoteReference w:id="8"/>
      </w:r>
    </w:p>
    <w:p w14:paraId="7E7C70FE" w14:textId="0098329C" w:rsidR="004C138C" w:rsidRDefault="004C138C" w:rsidP="004C138C">
      <w:r>
        <w:t xml:space="preserve">This </w:t>
      </w:r>
      <w:r w:rsidR="001D0821">
        <w:t xml:space="preserve">paper </w:t>
      </w:r>
      <w:r w:rsidR="00977318">
        <w:t xml:space="preserve">includes three options for a new </w:t>
      </w:r>
      <w:r>
        <w:t>list</w:t>
      </w:r>
      <w:r w:rsidR="00977318">
        <w:t xml:space="preserve"> </w:t>
      </w:r>
      <w:r>
        <w:t xml:space="preserve">that could be made once reforms to the scheme are implemented. These are summarised in Table </w:t>
      </w:r>
      <w:r w:rsidR="006E2C76">
        <w:t>2</w:t>
      </w:r>
      <w:r>
        <w:t xml:space="preserve"> and described in detail in Chapter 7.</w:t>
      </w:r>
    </w:p>
    <w:p w14:paraId="0707CEF1" w14:textId="2BA19D8F" w:rsidR="00977318" w:rsidRPr="00C4285E" w:rsidRDefault="00977318" w:rsidP="00C4285E">
      <w:pPr>
        <w:pStyle w:val="Caption"/>
      </w:pPr>
      <w:bookmarkStart w:id="63" w:name="_Toc143250746"/>
      <w:r w:rsidRPr="00C4285E">
        <w:t>Table 2: Summary of options to reform the anti-siphoning list</w:t>
      </w:r>
      <w:bookmarkEnd w:id="63"/>
    </w:p>
    <w:tbl>
      <w:tblPr>
        <w:tblStyle w:val="DefaultTable1"/>
        <w:tblpPr w:leftFromText="180" w:rightFromText="180" w:vertAnchor="text" w:tblpY="1"/>
        <w:tblOverlap w:val="never"/>
        <w:tblW w:w="5055" w:type="pct"/>
        <w:tblLook w:val="04A0" w:firstRow="1" w:lastRow="0" w:firstColumn="1" w:lastColumn="0" w:noHBand="0" w:noVBand="1"/>
        <w:tblCaption w:val="Sample table"/>
        <w:tblDescription w:val="Sample table"/>
      </w:tblPr>
      <w:tblGrid>
        <w:gridCol w:w="1842"/>
        <w:gridCol w:w="2711"/>
        <w:gridCol w:w="2711"/>
        <w:gridCol w:w="2709"/>
      </w:tblGrid>
      <w:tr w:rsidR="00977318" w:rsidRPr="00F45796" w14:paraId="72E72EE4" w14:textId="77777777" w:rsidTr="00E94963">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23" w:type="pct"/>
            <w:tcBorders>
              <w:bottom w:val="single" w:sz="4" w:space="0" w:color="008089" w:themeColor="accent2"/>
            </w:tcBorders>
            <w:vAlign w:val="center"/>
          </w:tcPr>
          <w:p w14:paraId="519AA108" w14:textId="77777777" w:rsidR="00977318" w:rsidRPr="00F45796" w:rsidRDefault="00977318" w:rsidP="00B315B6">
            <w:pPr>
              <w:spacing w:before="40" w:after="40"/>
              <w:rPr>
                <w:sz w:val="20"/>
                <w:szCs w:val="20"/>
              </w:rPr>
            </w:pPr>
            <w:bookmarkStart w:id="64" w:name="_Hlk142045844"/>
          </w:p>
        </w:tc>
        <w:tc>
          <w:tcPr>
            <w:tcW w:w="1359" w:type="pct"/>
            <w:tcBorders>
              <w:bottom w:val="single" w:sz="4" w:space="0" w:color="008089" w:themeColor="accent2"/>
            </w:tcBorders>
            <w:vAlign w:val="center"/>
          </w:tcPr>
          <w:p w14:paraId="34209390" w14:textId="77777777" w:rsidR="00977318" w:rsidRPr="00F45796" w:rsidRDefault="00977318" w:rsidP="001A687D">
            <w:pPr>
              <w:pStyle w:val="ListParagraph"/>
              <w:numPr>
                <w:ilvl w:val="0"/>
                <w:numId w:val="43"/>
              </w:numPr>
              <w:spacing w:before="40" w:after="40"/>
              <w:contextualSpacing w:val="0"/>
              <w:cnfStyle w:val="100000000000" w:firstRow="1" w:lastRow="0" w:firstColumn="0" w:lastColumn="0" w:oddVBand="0" w:evenVBand="0" w:oddHBand="0" w:evenHBand="0" w:firstRowFirstColumn="0" w:firstRowLastColumn="0" w:lastRowFirstColumn="0" w:lastRowLastColumn="0"/>
              <w:rPr>
                <w:sz w:val="20"/>
                <w:szCs w:val="20"/>
              </w:rPr>
            </w:pPr>
            <w:r w:rsidRPr="00E84544">
              <w:rPr>
                <w:sz w:val="20"/>
                <w:szCs w:val="20"/>
              </w:rPr>
              <w:t>Streamlined list</w:t>
            </w:r>
          </w:p>
        </w:tc>
        <w:tc>
          <w:tcPr>
            <w:tcW w:w="1359" w:type="pct"/>
            <w:tcBorders>
              <w:bottom w:val="single" w:sz="4" w:space="0" w:color="008089" w:themeColor="accent2"/>
            </w:tcBorders>
            <w:vAlign w:val="center"/>
          </w:tcPr>
          <w:p w14:paraId="60C9C51D" w14:textId="77777777" w:rsidR="00977318" w:rsidRPr="000C1CBF" w:rsidRDefault="00977318" w:rsidP="001A687D">
            <w:pPr>
              <w:pStyle w:val="ListParagraph"/>
              <w:numPr>
                <w:ilvl w:val="0"/>
                <w:numId w:val="43"/>
              </w:numPr>
              <w:spacing w:before="40" w:after="40"/>
              <w:ind w:left="294" w:hanging="283"/>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Modernised list</w:t>
            </w:r>
          </w:p>
        </w:tc>
        <w:tc>
          <w:tcPr>
            <w:tcW w:w="1358" w:type="pct"/>
            <w:tcBorders>
              <w:bottom w:val="single" w:sz="4" w:space="0" w:color="008089" w:themeColor="accent2"/>
            </w:tcBorders>
            <w:vAlign w:val="center"/>
          </w:tcPr>
          <w:p w14:paraId="379BE684" w14:textId="77777777" w:rsidR="00977318" w:rsidRPr="00F45796" w:rsidRDefault="00977318" w:rsidP="001A687D">
            <w:pPr>
              <w:pStyle w:val="ListParagraph"/>
              <w:numPr>
                <w:ilvl w:val="0"/>
                <w:numId w:val="43"/>
              </w:numPr>
              <w:spacing w:before="40" w:after="40"/>
              <w:ind w:left="232" w:hanging="283"/>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Expanded list</w:t>
            </w:r>
            <w:r w:rsidRPr="000C1CBF">
              <w:rPr>
                <w:sz w:val="20"/>
                <w:szCs w:val="20"/>
              </w:rPr>
              <w:t xml:space="preserve"> </w:t>
            </w:r>
          </w:p>
        </w:tc>
      </w:tr>
      <w:tr w:rsidR="00977318" w:rsidRPr="00F45796" w14:paraId="2D43C58B" w14:textId="77777777" w:rsidTr="00E94963">
        <w:tc>
          <w:tcPr>
            <w:cnfStyle w:val="001000000000" w:firstRow="0" w:lastRow="0" w:firstColumn="1" w:lastColumn="0" w:oddVBand="0" w:evenVBand="0" w:oddHBand="0" w:evenHBand="0" w:firstRowFirstColumn="0" w:firstRowLastColumn="0" w:lastRowFirstColumn="0" w:lastRowLastColumn="0"/>
            <w:tcW w:w="923" w:type="pct"/>
          </w:tcPr>
          <w:p w14:paraId="29FED1F9" w14:textId="77777777" w:rsidR="00977318" w:rsidRPr="00F45796" w:rsidRDefault="00977318" w:rsidP="00B315B6">
            <w:pPr>
              <w:spacing w:before="40" w:after="40"/>
              <w:rPr>
                <w:sz w:val="20"/>
                <w:szCs w:val="20"/>
              </w:rPr>
            </w:pPr>
            <w:r>
              <w:rPr>
                <w:sz w:val="20"/>
                <w:szCs w:val="20"/>
              </w:rPr>
              <w:t>Summary</w:t>
            </w:r>
          </w:p>
        </w:tc>
        <w:tc>
          <w:tcPr>
            <w:tcW w:w="1359" w:type="pct"/>
          </w:tcPr>
          <w:p w14:paraId="2FC9FBB9" w14:textId="5FCA6C5F" w:rsidR="00977318" w:rsidRPr="00213CB9" w:rsidRDefault="00977318" w:rsidP="00B315B6">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 xml:space="preserve">A significant </w:t>
            </w:r>
            <w:r>
              <w:rPr>
                <w:sz w:val="20"/>
                <w:szCs w:val="20"/>
              </w:rPr>
              <w:t xml:space="preserve">reduction </w:t>
            </w:r>
            <w:r w:rsidR="001722A4">
              <w:rPr>
                <w:sz w:val="20"/>
                <w:szCs w:val="20"/>
              </w:rPr>
              <w:t xml:space="preserve">compared with the </w:t>
            </w:r>
            <w:r>
              <w:rPr>
                <w:sz w:val="20"/>
                <w:szCs w:val="20"/>
              </w:rPr>
              <w:t xml:space="preserve">current </w:t>
            </w:r>
            <w:r w:rsidRPr="00A43F9D">
              <w:rPr>
                <w:sz w:val="20"/>
                <w:szCs w:val="20"/>
              </w:rPr>
              <w:t>list</w:t>
            </w:r>
            <w:r>
              <w:rPr>
                <w:sz w:val="20"/>
                <w:szCs w:val="20"/>
              </w:rPr>
              <w:t>.</w:t>
            </w:r>
          </w:p>
        </w:tc>
        <w:tc>
          <w:tcPr>
            <w:tcW w:w="1359" w:type="pct"/>
          </w:tcPr>
          <w:p w14:paraId="72CABFDF" w14:textId="1DDEB04E" w:rsidR="00977318" w:rsidRPr="00213CB9" w:rsidRDefault="00977318" w:rsidP="00B315B6">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r w:rsidR="00355D00">
              <w:rPr>
                <w:sz w:val="20"/>
                <w:szCs w:val="20"/>
              </w:rPr>
              <w:t xml:space="preserve">n </w:t>
            </w:r>
            <w:r>
              <w:rPr>
                <w:sz w:val="20"/>
                <w:szCs w:val="20"/>
              </w:rPr>
              <w:t>increase</w:t>
            </w:r>
            <w:r w:rsidRPr="00213CB9">
              <w:rPr>
                <w:sz w:val="20"/>
                <w:szCs w:val="20"/>
              </w:rPr>
              <w:t xml:space="preserve"> </w:t>
            </w:r>
            <w:r w:rsidR="001722A4">
              <w:rPr>
                <w:sz w:val="20"/>
                <w:szCs w:val="20"/>
              </w:rPr>
              <w:t>compared with the current list</w:t>
            </w:r>
            <w:r w:rsidR="007B5019">
              <w:rPr>
                <w:sz w:val="20"/>
                <w:szCs w:val="20"/>
              </w:rPr>
              <w:t>, including in relation to women’s events and Para-sports.</w:t>
            </w:r>
          </w:p>
        </w:tc>
        <w:tc>
          <w:tcPr>
            <w:tcW w:w="1358" w:type="pct"/>
          </w:tcPr>
          <w:p w14:paraId="672FBBC8" w14:textId="35B8FF21" w:rsidR="00977318" w:rsidRPr="00213CB9" w:rsidRDefault="00977318" w:rsidP="00B315B6">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 xml:space="preserve">A significant </w:t>
            </w:r>
            <w:r w:rsidR="001722A4">
              <w:rPr>
                <w:sz w:val="20"/>
                <w:szCs w:val="20"/>
              </w:rPr>
              <w:t xml:space="preserve">increase compared with the </w:t>
            </w:r>
            <w:r w:rsidRPr="00213CB9">
              <w:rPr>
                <w:sz w:val="20"/>
                <w:szCs w:val="20"/>
              </w:rPr>
              <w:t>current</w:t>
            </w:r>
            <w:r>
              <w:rPr>
                <w:sz w:val="20"/>
                <w:szCs w:val="20"/>
              </w:rPr>
              <w:t xml:space="preserve"> list</w:t>
            </w:r>
            <w:r w:rsidR="007B5019">
              <w:rPr>
                <w:sz w:val="20"/>
                <w:szCs w:val="20"/>
              </w:rPr>
              <w:t>, including in relation to women’s events and Para-sports.</w:t>
            </w:r>
          </w:p>
        </w:tc>
      </w:tr>
      <w:tr w:rsidR="00977318" w:rsidRPr="00F45796" w14:paraId="57BB7233" w14:textId="77777777" w:rsidTr="00E949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tcPr>
          <w:p w14:paraId="1BFE2FD4" w14:textId="77777777" w:rsidR="00977318" w:rsidRDefault="00977318" w:rsidP="00B315B6">
            <w:pPr>
              <w:spacing w:before="40" w:after="40"/>
              <w:rPr>
                <w:sz w:val="20"/>
                <w:szCs w:val="20"/>
              </w:rPr>
            </w:pPr>
            <w:r>
              <w:rPr>
                <w:sz w:val="20"/>
                <w:szCs w:val="20"/>
              </w:rPr>
              <w:t>Number of events</w:t>
            </w:r>
            <w:r>
              <w:rPr>
                <w:rStyle w:val="FootnoteReference"/>
                <w:sz w:val="20"/>
                <w:szCs w:val="20"/>
              </w:rPr>
              <w:footnoteReference w:id="9"/>
            </w:r>
          </w:p>
        </w:tc>
        <w:tc>
          <w:tcPr>
            <w:tcW w:w="1359" w:type="pct"/>
          </w:tcPr>
          <w:p w14:paraId="49712608" w14:textId="3222A89F" w:rsidR="00977318" w:rsidRPr="002B461D" w:rsidRDefault="001722A4" w:rsidP="00B315B6">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2B461D">
              <w:rPr>
                <w:sz w:val="20"/>
                <w:szCs w:val="20"/>
              </w:rPr>
              <w:t>~</w:t>
            </w:r>
            <w:r w:rsidR="008640BF" w:rsidRPr="002B461D">
              <w:rPr>
                <w:sz w:val="20"/>
                <w:szCs w:val="20"/>
              </w:rPr>
              <w:t>33</w:t>
            </w:r>
            <w:r w:rsidRPr="002B461D">
              <w:rPr>
                <w:sz w:val="20"/>
                <w:szCs w:val="20"/>
              </w:rPr>
              <w:t>0</w:t>
            </w:r>
          </w:p>
        </w:tc>
        <w:tc>
          <w:tcPr>
            <w:tcW w:w="1359" w:type="pct"/>
          </w:tcPr>
          <w:p w14:paraId="14CCCE50" w14:textId="1C32C112" w:rsidR="00977318" w:rsidRPr="002B461D" w:rsidRDefault="001722A4" w:rsidP="00B315B6">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2B461D">
              <w:rPr>
                <w:sz w:val="20"/>
                <w:szCs w:val="20"/>
              </w:rPr>
              <w:t>~</w:t>
            </w:r>
            <w:r w:rsidR="008640BF" w:rsidRPr="002B461D">
              <w:rPr>
                <w:sz w:val="20"/>
                <w:szCs w:val="20"/>
              </w:rPr>
              <w:t>2,5</w:t>
            </w:r>
            <w:r w:rsidRPr="002B461D">
              <w:rPr>
                <w:sz w:val="20"/>
                <w:szCs w:val="20"/>
              </w:rPr>
              <w:t>00</w:t>
            </w:r>
          </w:p>
        </w:tc>
        <w:tc>
          <w:tcPr>
            <w:tcW w:w="1358" w:type="pct"/>
          </w:tcPr>
          <w:p w14:paraId="101383FE" w14:textId="62259239" w:rsidR="00977318" w:rsidRPr="008321A8" w:rsidRDefault="001722A4" w:rsidP="00B315B6">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056164">
              <w:rPr>
                <w:sz w:val="20"/>
                <w:szCs w:val="20"/>
              </w:rPr>
              <w:t>~</w:t>
            </w:r>
            <w:r w:rsidR="008321A8" w:rsidRPr="00056164">
              <w:rPr>
                <w:sz w:val="20"/>
                <w:szCs w:val="20"/>
              </w:rPr>
              <w:t>2,8</w:t>
            </w:r>
            <w:r w:rsidRPr="00056164">
              <w:rPr>
                <w:sz w:val="20"/>
                <w:szCs w:val="20"/>
              </w:rPr>
              <w:t>00</w:t>
            </w:r>
          </w:p>
        </w:tc>
      </w:tr>
      <w:tr w:rsidR="00977318" w:rsidRPr="00F45796" w14:paraId="340C37C9" w14:textId="77777777" w:rsidTr="00E94963">
        <w:tc>
          <w:tcPr>
            <w:cnfStyle w:val="001000000000" w:firstRow="0" w:lastRow="0" w:firstColumn="1" w:lastColumn="0" w:oddVBand="0" w:evenVBand="0" w:oddHBand="0" w:evenHBand="0" w:firstRowFirstColumn="0" w:firstRowLastColumn="0" w:lastRowFirstColumn="0" w:lastRowLastColumn="0"/>
            <w:tcW w:w="923" w:type="pct"/>
          </w:tcPr>
          <w:p w14:paraId="4D1900F1" w14:textId="1520526F" w:rsidR="00977318" w:rsidRDefault="00977318" w:rsidP="00B315B6">
            <w:pPr>
              <w:spacing w:before="40" w:after="40"/>
              <w:rPr>
                <w:sz w:val="20"/>
                <w:szCs w:val="20"/>
              </w:rPr>
            </w:pPr>
            <w:r>
              <w:rPr>
                <w:sz w:val="20"/>
                <w:szCs w:val="20"/>
              </w:rPr>
              <w:t>Compatibility with reform models</w:t>
            </w:r>
          </w:p>
        </w:tc>
        <w:tc>
          <w:tcPr>
            <w:tcW w:w="1359" w:type="pct"/>
          </w:tcPr>
          <w:p w14:paraId="404A10D1" w14:textId="40C73D00" w:rsidR="00977318" w:rsidRDefault="00806C9A" w:rsidP="002B5D18">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Intended to be c</w:t>
            </w:r>
            <w:r w:rsidR="00977318">
              <w:rPr>
                <w:sz w:val="20"/>
                <w:szCs w:val="20"/>
              </w:rPr>
              <w:t>ompatible with the free-to-view model (Model 1).</w:t>
            </w:r>
          </w:p>
        </w:tc>
        <w:tc>
          <w:tcPr>
            <w:tcW w:w="1359" w:type="pct"/>
          </w:tcPr>
          <w:p w14:paraId="1FFBC679" w14:textId="6C53A95C" w:rsidR="00977318" w:rsidRPr="00216AEA" w:rsidRDefault="00806C9A" w:rsidP="00B315B6">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Intended to be c</w:t>
            </w:r>
            <w:r w:rsidR="00977318">
              <w:rPr>
                <w:sz w:val="20"/>
                <w:szCs w:val="20"/>
              </w:rPr>
              <w:t>ompatible with the broadcasting safety net and free-to-air first models (Models 2 and 3).</w:t>
            </w:r>
          </w:p>
        </w:tc>
        <w:tc>
          <w:tcPr>
            <w:tcW w:w="1358" w:type="pct"/>
          </w:tcPr>
          <w:p w14:paraId="437D2BF5" w14:textId="367C11AD" w:rsidR="00977318" w:rsidRPr="00216AEA" w:rsidRDefault="00806C9A" w:rsidP="00B315B6">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Intended to be c</w:t>
            </w:r>
            <w:r w:rsidR="00977318">
              <w:rPr>
                <w:sz w:val="20"/>
                <w:szCs w:val="20"/>
              </w:rPr>
              <w:t>ompatible with the broadcasting safety net and free-to-air first models (Models 2 and 3).</w:t>
            </w:r>
          </w:p>
        </w:tc>
      </w:tr>
    </w:tbl>
    <w:p w14:paraId="00A1DD7E" w14:textId="50BEEA2C" w:rsidR="008B3E21" w:rsidRDefault="00E94963" w:rsidP="007F7315">
      <w:bookmarkStart w:id="65" w:name="_Hlk142043046"/>
      <w:bookmarkEnd w:id="64"/>
      <w:r>
        <w:t xml:space="preserve">Each of the three list options includes both men’s and women’s </w:t>
      </w:r>
      <w:r w:rsidR="0044597C">
        <w:t>r</w:t>
      </w:r>
      <w:r>
        <w:t xml:space="preserve">ugby </w:t>
      </w:r>
      <w:r w:rsidR="0044597C">
        <w:t>l</w:t>
      </w:r>
      <w:r>
        <w:t xml:space="preserve">eague, </w:t>
      </w:r>
      <w:r w:rsidR="0044597C">
        <w:t>r</w:t>
      </w:r>
      <w:r>
        <w:t xml:space="preserve">ugby </w:t>
      </w:r>
      <w:r w:rsidR="0044597C">
        <w:t>u</w:t>
      </w:r>
      <w:r>
        <w:t xml:space="preserve">nion, </w:t>
      </w:r>
      <w:r w:rsidR="0044597C">
        <w:t>c</w:t>
      </w:r>
      <w:r>
        <w:t xml:space="preserve">ricket and </w:t>
      </w:r>
      <w:r w:rsidR="0044597C">
        <w:t>s</w:t>
      </w:r>
      <w:r>
        <w:t xml:space="preserve">occer </w:t>
      </w:r>
      <w:proofErr w:type="gramStart"/>
      <w:r>
        <w:t>matches</w:t>
      </w:r>
      <w:proofErr w:type="gramEnd"/>
      <w:r>
        <w:t xml:space="preserve"> that involve a senior Australian representative team, irrespective of whether these matches are standalone international fixtures</w:t>
      </w:r>
      <w:r w:rsidR="00B50CC8">
        <w:t xml:space="preserve"> </w:t>
      </w:r>
      <w:r>
        <w:t xml:space="preserve">or are played as part of a </w:t>
      </w:r>
      <w:r w:rsidR="00FA360D">
        <w:t>world cup</w:t>
      </w:r>
      <w:r>
        <w:t xml:space="preserve"> tournament. </w:t>
      </w:r>
      <w:r w:rsidR="008B3E21">
        <w:t>For example, each list would include matches of both the FIFA World Cup and the FIFA Women’s World Cup.</w:t>
      </w:r>
    </w:p>
    <w:p w14:paraId="53C4F56E" w14:textId="410C49F3" w:rsidR="007F7315" w:rsidRDefault="00E94963" w:rsidP="007F7315">
      <w:r>
        <w:t xml:space="preserve">This is intended to ensure the consistent treatment of matches that involve senior Australian representative sides selected by relevant sports bodies, irrespective of gender. </w:t>
      </w:r>
      <w:r w:rsidR="00355D00">
        <w:t xml:space="preserve">However, there are distinctions between the list options in terms of how many such events are included on the list, ranging from minimal for the </w:t>
      </w:r>
      <w:r w:rsidR="008B3E21">
        <w:t>‘</w:t>
      </w:r>
      <w:r w:rsidR="00355D00">
        <w:t>streamlined list</w:t>
      </w:r>
      <w:r w:rsidR="008B3E21">
        <w:t>’</w:t>
      </w:r>
      <w:r w:rsidR="00355D00">
        <w:t xml:space="preserve"> option through to more expansive for the </w:t>
      </w:r>
      <w:r w:rsidR="008B3E21">
        <w:t>‘</w:t>
      </w:r>
      <w:r w:rsidR="00355D00">
        <w:t>exp</w:t>
      </w:r>
      <w:r w:rsidR="008B3E21">
        <w:t>and</w:t>
      </w:r>
      <w:r w:rsidR="00355D00">
        <w:t>ed list</w:t>
      </w:r>
      <w:r w:rsidR="008B3E21">
        <w:t>’</w:t>
      </w:r>
      <w:r w:rsidR="00355D00">
        <w:t xml:space="preserve"> approach.</w:t>
      </w:r>
    </w:p>
    <w:p w14:paraId="4C8387BA" w14:textId="463696E2" w:rsidR="007F67FB" w:rsidRDefault="00977318" w:rsidP="007F67FB">
      <w:pPr>
        <w:tabs>
          <w:tab w:val="left" w:pos="1701"/>
        </w:tabs>
      </w:pPr>
      <w:r w:rsidRPr="00A75AA9">
        <w:t xml:space="preserve">The Government’s preferred list is the ‘modernised list.’ </w:t>
      </w:r>
      <w:r w:rsidR="00825000">
        <w:t>This list is designed</w:t>
      </w:r>
      <w:r w:rsidR="00B50CC8" w:rsidRPr="00A75AA9">
        <w:t xml:space="preserve"> to operate effectively with reform models 2 or 3 and – more substantively – to</w:t>
      </w:r>
      <w:r w:rsidR="000771EF">
        <w:t xml:space="preserve"> </w:t>
      </w:r>
      <w:r w:rsidR="000771EF" w:rsidRPr="00A75AA9">
        <w:t>better reflect the modern media landscape</w:t>
      </w:r>
      <w:r w:rsidR="00B50CC8" w:rsidRPr="00A75AA9">
        <w:t xml:space="preserve"> </w:t>
      </w:r>
      <w:r w:rsidR="000771EF">
        <w:t xml:space="preserve">and </w:t>
      </w:r>
      <w:r w:rsidR="006A17C7" w:rsidRPr="006A17C7">
        <w:t xml:space="preserve">moderately broaden the </w:t>
      </w:r>
      <w:r w:rsidR="00355D00">
        <w:t>composition</w:t>
      </w:r>
      <w:r w:rsidR="00355D00" w:rsidRPr="006A17C7">
        <w:t xml:space="preserve"> </w:t>
      </w:r>
      <w:r w:rsidR="006A17C7" w:rsidRPr="006A17C7">
        <w:t>of nationally important and culturally significant events.</w:t>
      </w:r>
      <w:r w:rsidR="007F67FB">
        <w:br w:type="page"/>
      </w:r>
    </w:p>
    <w:p w14:paraId="41E6B223" w14:textId="647A3985" w:rsidR="00D57448" w:rsidRDefault="00977318" w:rsidP="008E2EC9">
      <w:pPr>
        <w:tabs>
          <w:tab w:val="left" w:pos="1701"/>
        </w:tabs>
      </w:pPr>
      <w:r w:rsidRPr="00A75AA9">
        <w:lastRenderedPageBreak/>
        <w:t>The</w:t>
      </w:r>
      <w:r w:rsidR="00B50CC8">
        <w:t xml:space="preserve"> </w:t>
      </w:r>
      <w:r w:rsidR="003157C5">
        <w:t>modernised list</w:t>
      </w:r>
      <w:r w:rsidR="00B50CC8">
        <w:t xml:space="preserve"> </w:t>
      </w:r>
      <w:r w:rsidR="006A17C7">
        <w:t xml:space="preserve">option </w:t>
      </w:r>
      <w:r w:rsidR="00F565B2">
        <w:t xml:space="preserve">would involve </w:t>
      </w:r>
      <w:r w:rsidRPr="00A75AA9">
        <w:t>a</w:t>
      </w:r>
      <w:r w:rsidR="006A17C7">
        <w:t xml:space="preserve">n </w:t>
      </w:r>
      <w:r w:rsidRPr="00A75AA9">
        <w:t>increase in the number of events on the list compared with the current instrument</w:t>
      </w:r>
      <w:r w:rsidR="00743D2B" w:rsidRPr="00A75AA9">
        <w:t xml:space="preserve">, rising from </w:t>
      </w:r>
      <w:r w:rsidR="003157C5">
        <w:t xml:space="preserve">approximately </w:t>
      </w:r>
      <w:r w:rsidR="003157C5" w:rsidRPr="002B461D">
        <w:t xml:space="preserve">1,900 </w:t>
      </w:r>
      <w:r w:rsidR="00743D2B" w:rsidRPr="002B461D">
        <w:t>events</w:t>
      </w:r>
      <w:r w:rsidR="00355D00" w:rsidRPr="002B461D">
        <w:t xml:space="preserve"> </w:t>
      </w:r>
      <w:r w:rsidR="003157C5" w:rsidRPr="002B461D">
        <w:t xml:space="preserve">under the current list </w:t>
      </w:r>
      <w:r w:rsidR="00355D00" w:rsidRPr="002B461D">
        <w:t xml:space="preserve">to </w:t>
      </w:r>
      <w:r w:rsidR="006914C7" w:rsidRPr="002B461D">
        <w:t xml:space="preserve">around </w:t>
      </w:r>
      <w:r w:rsidR="008640BF" w:rsidRPr="002B461D">
        <w:t>2,5</w:t>
      </w:r>
      <w:r w:rsidR="003157C5" w:rsidRPr="002B461D">
        <w:t>00</w:t>
      </w:r>
      <w:r w:rsidR="00743D2B" w:rsidRPr="002B461D">
        <w:t xml:space="preserve"> events</w:t>
      </w:r>
      <w:r w:rsidR="00743D2B" w:rsidRPr="00A75AA9">
        <w:t xml:space="preserve">. </w:t>
      </w:r>
      <w:r w:rsidR="00E94963">
        <w:t>The additional events</w:t>
      </w:r>
      <w:r w:rsidR="00F565B2">
        <w:t xml:space="preserve"> </w:t>
      </w:r>
      <w:r w:rsidR="00355D00">
        <w:t xml:space="preserve">on this list would </w:t>
      </w:r>
      <w:r w:rsidR="008249A8">
        <w:t>include</w:t>
      </w:r>
      <w:r w:rsidR="007F7315">
        <w:t xml:space="preserve">: all events held as part of the Paralympic Games; the finals </w:t>
      </w:r>
      <w:proofErr w:type="gramStart"/>
      <w:r w:rsidR="007F7315">
        <w:t>matches</w:t>
      </w:r>
      <w:proofErr w:type="gramEnd"/>
      <w:r w:rsidR="007F7315">
        <w:t xml:space="preserve"> of the </w:t>
      </w:r>
      <w:r w:rsidR="00427036">
        <w:t>Australian Football League</w:t>
      </w:r>
      <w:r w:rsidR="007F7315">
        <w:t xml:space="preserve"> </w:t>
      </w:r>
      <w:r w:rsidR="00427036">
        <w:t>(</w:t>
      </w:r>
      <w:r w:rsidR="007F7315">
        <w:t>AFL</w:t>
      </w:r>
      <w:r w:rsidR="00314581">
        <w:t>)</w:t>
      </w:r>
      <w:r w:rsidR="007F7315">
        <w:t xml:space="preserve"> </w:t>
      </w:r>
      <w:r w:rsidR="00486355">
        <w:t xml:space="preserve">and </w:t>
      </w:r>
      <w:r w:rsidR="00314581">
        <w:t>National Rugby League (</w:t>
      </w:r>
      <w:r w:rsidR="00486355">
        <w:t>NRL</w:t>
      </w:r>
      <w:r w:rsidR="00314581">
        <w:t>)</w:t>
      </w:r>
      <w:r w:rsidR="00486355">
        <w:t xml:space="preserve"> </w:t>
      </w:r>
      <w:r w:rsidR="007F7315">
        <w:t>Women’s Premiership</w:t>
      </w:r>
      <w:r w:rsidR="00486355">
        <w:t>s;</w:t>
      </w:r>
      <w:r w:rsidR="007F7315">
        <w:t xml:space="preserve"> and the NRL Women’s State of Origin Series.</w:t>
      </w:r>
      <w:bookmarkStart w:id="66" w:name="_Toc140842885"/>
      <w:bookmarkEnd w:id="65"/>
    </w:p>
    <w:p w14:paraId="7C276FB5" w14:textId="5AC2EB97" w:rsidR="008946E3" w:rsidRDefault="005A2A9F" w:rsidP="008E2EC9">
      <w:pPr>
        <w:tabs>
          <w:tab w:val="left" w:pos="1701"/>
        </w:tabs>
        <w:rPr>
          <w:rFonts w:asciiTheme="majorHAnsi" w:eastAsiaTheme="majorEastAsia" w:hAnsiTheme="majorHAnsi" w:cstheme="majorBidi"/>
          <w:color w:val="081E3E" w:themeColor="text2"/>
          <w:sz w:val="44"/>
          <w:szCs w:val="32"/>
        </w:rPr>
      </w:pPr>
      <w:r>
        <w:t>As noted above, t</w:t>
      </w:r>
      <w:r w:rsidR="00714371" w:rsidRPr="002B1D55">
        <w:t xml:space="preserve">he modernised list would </w:t>
      </w:r>
      <w:r w:rsidR="00D57448" w:rsidRPr="002B1D55">
        <w:t xml:space="preserve">also </w:t>
      </w:r>
      <w:r w:rsidR="0047465E" w:rsidRPr="00455C23">
        <w:t>include</w:t>
      </w:r>
      <w:r w:rsidR="00D57448">
        <w:t xml:space="preserve"> </w:t>
      </w:r>
      <w:bookmarkStart w:id="67" w:name="_Toc141369797"/>
      <w:r w:rsidR="00D57448">
        <w:t xml:space="preserve">international </w:t>
      </w:r>
      <w:r w:rsidR="004B6803">
        <w:rPr>
          <w:rFonts w:eastAsia="Times New Roman"/>
        </w:rPr>
        <w:t>r</w:t>
      </w:r>
      <w:r w:rsidR="00D57448" w:rsidRPr="00F51050">
        <w:rPr>
          <w:rFonts w:eastAsia="Times New Roman"/>
        </w:rPr>
        <w:t xml:space="preserve">ugby </w:t>
      </w:r>
      <w:r w:rsidR="004B6803">
        <w:rPr>
          <w:rFonts w:eastAsia="Times New Roman"/>
        </w:rPr>
        <w:t>l</w:t>
      </w:r>
      <w:r w:rsidR="00D57448" w:rsidRPr="00F51050">
        <w:rPr>
          <w:rFonts w:eastAsia="Times New Roman"/>
        </w:rPr>
        <w:t xml:space="preserve">eague, </w:t>
      </w:r>
      <w:r w:rsidR="004B6803">
        <w:rPr>
          <w:rFonts w:eastAsia="Times New Roman"/>
        </w:rPr>
        <w:t>r</w:t>
      </w:r>
      <w:r w:rsidR="00D57448" w:rsidRPr="00F51050">
        <w:rPr>
          <w:rFonts w:eastAsia="Times New Roman"/>
        </w:rPr>
        <w:t xml:space="preserve">ugby </w:t>
      </w:r>
      <w:r w:rsidR="004B6803">
        <w:rPr>
          <w:rFonts w:eastAsia="Times New Roman"/>
        </w:rPr>
        <w:t>u</w:t>
      </w:r>
      <w:r w:rsidR="00D57448" w:rsidRPr="00F51050">
        <w:rPr>
          <w:rFonts w:eastAsia="Times New Roman"/>
        </w:rPr>
        <w:t xml:space="preserve">nion, </w:t>
      </w:r>
      <w:r w:rsidR="004B6803">
        <w:rPr>
          <w:rFonts w:eastAsia="Times New Roman"/>
        </w:rPr>
        <w:t>c</w:t>
      </w:r>
      <w:r w:rsidR="00D57448" w:rsidRPr="00F51050">
        <w:rPr>
          <w:rFonts w:eastAsia="Times New Roman"/>
        </w:rPr>
        <w:t xml:space="preserve">ricket and </w:t>
      </w:r>
      <w:r w:rsidR="004B6803">
        <w:rPr>
          <w:rFonts w:eastAsia="Times New Roman"/>
        </w:rPr>
        <w:t>s</w:t>
      </w:r>
      <w:r w:rsidR="00D57448" w:rsidRPr="00F51050">
        <w:rPr>
          <w:rFonts w:eastAsia="Times New Roman"/>
        </w:rPr>
        <w:t xml:space="preserve">occer </w:t>
      </w:r>
      <w:proofErr w:type="gramStart"/>
      <w:r w:rsidR="00106CE9">
        <w:rPr>
          <w:rFonts w:eastAsia="Times New Roman"/>
        </w:rPr>
        <w:t>matches</w:t>
      </w:r>
      <w:proofErr w:type="gramEnd"/>
      <w:r w:rsidR="00D57448">
        <w:rPr>
          <w:rFonts w:eastAsia="Times New Roman"/>
        </w:rPr>
        <w:t xml:space="preserve"> </w:t>
      </w:r>
      <w:r w:rsidR="00D57448" w:rsidRPr="00F51050">
        <w:rPr>
          <w:rFonts w:eastAsia="Times New Roman"/>
        </w:rPr>
        <w:t xml:space="preserve">that </w:t>
      </w:r>
      <w:r w:rsidR="00D57448">
        <w:rPr>
          <w:rFonts w:eastAsia="Times New Roman"/>
        </w:rPr>
        <w:t xml:space="preserve">involve a senior Australian representative team, irrespective of gender, and </w:t>
      </w:r>
      <w:r w:rsidR="00D57448">
        <w:t xml:space="preserve">irrespective of whether these matches are standalone fixtures or played as part of a </w:t>
      </w:r>
      <w:r w:rsidR="004B6803">
        <w:t>w</w:t>
      </w:r>
      <w:r w:rsidR="00D57448">
        <w:t xml:space="preserve">orld </w:t>
      </w:r>
      <w:r>
        <w:t>c</w:t>
      </w:r>
      <w:r w:rsidR="00D57448">
        <w:t xml:space="preserve">up tournament. </w:t>
      </w:r>
      <w:r w:rsidR="008946E3">
        <w:br w:type="page"/>
      </w:r>
    </w:p>
    <w:p w14:paraId="6B207327" w14:textId="775E6A78" w:rsidR="00485A57" w:rsidRPr="00EB6AD5" w:rsidRDefault="0037426E" w:rsidP="00485A57">
      <w:pPr>
        <w:pStyle w:val="Heading1"/>
        <w:spacing w:before="0"/>
      </w:pPr>
      <w:bookmarkStart w:id="68" w:name="_Toc143265588"/>
      <w:r w:rsidRPr="0037426E">
        <w:lastRenderedPageBreak/>
        <w:t xml:space="preserve">Chapter </w:t>
      </w:r>
      <w:r w:rsidR="00287A32">
        <w:t>2</w:t>
      </w:r>
      <w:r w:rsidRPr="0037426E">
        <w:t xml:space="preserve">: </w:t>
      </w:r>
      <w:r w:rsidR="00485A57" w:rsidRPr="00EB6AD5">
        <w:t>Making your views known</w:t>
      </w:r>
      <w:bookmarkEnd w:id="66"/>
      <w:bookmarkEnd w:id="67"/>
      <w:bookmarkEnd w:id="68"/>
    </w:p>
    <w:p w14:paraId="56EE940E" w14:textId="3FFD9DD3" w:rsidR="002679BD" w:rsidRPr="00030AC6" w:rsidRDefault="002679BD" w:rsidP="002679BD">
      <w:r w:rsidRPr="00030AC6">
        <w:t>The Department of Infrastructure, Transport, Regional Development, Communications and the Arts (the</w:t>
      </w:r>
      <w:r>
        <w:t> </w:t>
      </w:r>
      <w:r w:rsidRPr="00030AC6">
        <w:t xml:space="preserve">department) is seeking feedback from interested parties on the </w:t>
      </w:r>
      <w:r>
        <w:t>proposals outlined in this paper for the reform of the anti-siphoning scheme</w:t>
      </w:r>
      <w:r w:rsidR="007A01F9">
        <w:t xml:space="preserve"> and anti-siphoning list</w:t>
      </w:r>
      <w:r>
        <w:t>. Comments and s</w:t>
      </w:r>
      <w:r w:rsidRPr="00030AC6">
        <w:t>ubmissions received will inform</w:t>
      </w:r>
      <w:r>
        <w:t xml:space="preserve"> the Australian Government’s </w:t>
      </w:r>
      <w:r w:rsidR="003E7B62">
        <w:t>future decisions regarding the scheme and the list.</w:t>
      </w:r>
    </w:p>
    <w:p w14:paraId="19B2C4B7" w14:textId="77777777" w:rsidR="002679BD" w:rsidRPr="004C3F4C" w:rsidRDefault="002679BD" w:rsidP="004C3F4C">
      <w:pPr>
        <w:rPr>
          <w:b/>
          <w:color w:val="737373" w:themeColor="background2" w:themeShade="80"/>
          <w:sz w:val="36"/>
          <w:szCs w:val="36"/>
          <w:lang w:val="en-US"/>
        </w:rPr>
      </w:pPr>
      <w:bookmarkStart w:id="69" w:name="_Toc108514707"/>
      <w:bookmarkStart w:id="70" w:name="_Toc108611464"/>
      <w:bookmarkStart w:id="71" w:name="_Toc111031077"/>
      <w:bookmarkStart w:id="72" w:name="_Toc112233665"/>
      <w:bookmarkStart w:id="73" w:name="_Toc112326008"/>
      <w:bookmarkStart w:id="74" w:name="_Toc113028178"/>
      <w:bookmarkStart w:id="75" w:name="_Toc113361253"/>
      <w:bookmarkStart w:id="76" w:name="_Toc113361761"/>
      <w:bookmarkStart w:id="77" w:name="_Toc114476236"/>
      <w:bookmarkStart w:id="78" w:name="_Toc114487283"/>
      <w:bookmarkStart w:id="79" w:name="_Toc114487367"/>
      <w:bookmarkStart w:id="80" w:name="_Toc116044833"/>
      <w:bookmarkStart w:id="81" w:name="_Toc116046017"/>
      <w:bookmarkStart w:id="82" w:name="_Toc116061391"/>
      <w:bookmarkStart w:id="83" w:name="_Toc116292934"/>
      <w:r w:rsidRPr="004C3F4C">
        <w:rPr>
          <w:b/>
          <w:color w:val="737373" w:themeColor="background2" w:themeShade="80"/>
          <w:sz w:val="36"/>
          <w:szCs w:val="36"/>
          <w:lang w:val="en-US"/>
        </w:rPr>
        <w:t>Making a submission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A315BF8" w14:textId="5B8772F6" w:rsidR="002679BD" w:rsidRPr="00030AC6" w:rsidRDefault="002679BD" w:rsidP="002679BD">
      <w:r w:rsidRPr="00030AC6">
        <w:t xml:space="preserve">The department is welcoming written </w:t>
      </w:r>
      <w:r>
        <w:t xml:space="preserve">comments and </w:t>
      </w:r>
      <w:r w:rsidRPr="00030AC6">
        <w:t xml:space="preserve">submissions on the matters outlined in this paper. </w:t>
      </w:r>
      <w:r>
        <w:t>Comments and s</w:t>
      </w:r>
      <w:r w:rsidRPr="00030AC6">
        <w:t xml:space="preserve">ubmissions should be received by </w:t>
      </w:r>
      <w:bookmarkStart w:id="84" w:name="_Hlk143244418"/>
      <w:r w:rsidRPr="00030AC6">
        <w:rPr>
          <w:b/>
        </w:rPr>
        <w:t xml:space="preserve">5:00 PM Australian Eastern </w:t>
      </w:r>
      <w:r w:rsidR="008249A8">
        <w:rPr>
          <w:b/>
        </w:rPr>
        <w:t>Standard</w:t>
      </w:r>
      <w:r w:rsidR="008249A8" w:rsidRPr="00030AC6">
        <w:rPr>
          <w:b/>
        </w:rPr>
        <w:t xml:space="preserve"> </w:t>
      </w:r>
      <w:r w:rsidRPr="00030AC6">
        <w:rPr>
          <w:b/>
        </w:rPr>
        <w:t>Time</w:t>
      </w:r>
      <w:r>
        <w:rPr>
          <w:b/>
        </w:rPr>
        <w:t xml:space="preserve"> on</w:t>
      </w:r>
      <w:r w:rsidRPr="00030AC6">
        <w:rPr>
          <w:b/>
        </w:rPr>
        <w:t xml:space="preserve"> </w:t>
      </w:r>
      <w:r w:rsidR="008249A8" w:rsidRPr="00056164">
        <w:rPr>
          <w:b/>
        </w:rPr>
        <w:t>Sunday, 17</w:t>
      </w:r>
      <w:r w:rsidR="00682B65">
        <w:rPr>
          <w:b/>
        </w:rPr>
        <w:t> </w:t>
      </w:r>
      <w:r w:rsidR="008249A8" w:rsidRPr="00056164">
        <w:rPr>
          <w:b/>
        </w:rPr>
        <w:t>September 2023</w:t>
      </w:r>
      <w:r w:rsidRPr="00030AC6">
        <w:t>.</w:t>
      </w:r>
    </w:p>
    <w:bookmarkEnd w:id="84"/>
    <w:p w14:paraId="52A241D6" w14:textId="77777777" w:rsidR="002679BD" w:rsidRPr="00030AC6" w:rsidRDefault="002679BD" w:rsidP="002679BD">
      <w:r>
        <w:t xml:space="preserve">Comments and </w:t>
      </w:r>
      <w:r w:rsidRPr="00030AC6">
        <w:t>submissions can be lodged by:</w:t>
      </w:r>
    </w:p>
    <w:p w14:paraId="35C49B9D" w14:textId="2BDFD6BA" w:rsidR="002679BD" w:rsidRPr="00030AC6" w:rsidRDefault="002679BD" w:rsidP="002679BD">
      <w:pPr>
        <w:ind w:left="1134" w:hanging="1134"/>
      </w:pPr>
      <w:r w:rsidRPr="00030AC6">
        <w:t>Website:</w:t>
      </w:r>
      <w:r w:rsidRPr="00030AC6">
        <w:tab/>
      </w:r>
      <w:hyperlink r:id="rId26" w:history="1">
        <w:r w:rsidRPr="00030AC6">
          <w:rPr>
            <w:rStyle w:val="Hyperlink"/>
            <w:rFonts w:cs="Segoe UI"/>
            <w:szCs w:val="21"/>
          </w:rPr>
          <w:t>https://www.infrastructure.gov.au/have-your-say/</w:t>
        </w:r>
      </w:hyperlink>
    </w:p>
    <w:p w14:paraId="5292ACF3" w14:textId="77777777" w:rsidR="002679BD" w:rsidRPr="00030AC6" w:rsidRDefault="002679BD" w:rsidP="002679BD">
      <w:pPr>
        <w:ind w:left="1134" w:hanging="1134"/>
      </w:pPr>
      <w:r w:rsidRPr="00030AC6">
        <w:t>Post:</w:t>
      </w:r>
      <w:r w:rsidRPr="00030AC6">
        <w:tab/>
        <w:t>Media Reform—Online Safety, Media and Platforms Division</w:t>
      </w:r>
      <w:r w:rsidRPr="00030AC6">
        <w:br/>
        <w:t>Department of Infrastructure, Transport, Regional Development, Communications and the Arts, GPO Box 2154 CANBERRA ACT 2601</w:t>
      </w:r>
    </w:p>
    <w:p w14:paraId="6001DB17" w14:textId="77777777" w:rsidR="002679BD" w:rsidRPr="00030AC6" w:rsidRDefault="002679BD" w:rsidP="002679BD">
      <w:r>
        <w:t xml:space="preserve">Comments and submissions should include the respondent’s name, </w:t>
      </w:r>
      <w:r w:rsidRPr="00F34704">
        <w:t>organisation (if applicable) and contact details.</w:t>
      </w:r>
    </w:p>
    <w:p w14:paraId="423EE203" w14:textId="453D6580" w:rsidR="002679BD" w:rsidRPr="00030AC6" w:rsidRDefault="002679BD" w:rsidP="002679BD">
      <w:r w:rsidRPr="00030AC6">
        <w:t xml:space="preserve">Questions about the </w:t>
      </w:r>
      <w:r>
        <w:t>consultation</w:t>
      </w:r>
      <w:r w:rsidRPr="00030AC6">
        <w:t xml:space="preserve"> process can be directed to </w:t>
      </w:r>
      <w:hyperlink r:id="rId27" w:history="1">
        <w:r w:rsidR="007A01F9" w:rsidRPr="00F04A6E">
          <w:rPr>
            <w:rStyle w:val="Hyperlink"/>
            <w:rFonts w:cs="Segoe UI"/>
            <w:szCs w:val="21"/>
          </w:rPr>
          <w:t>media.reform@communications.gov.au</w:t>
        </w:r>
      </w:hyperlink>
      <w:r w:rsidRPr="00030AC6">
        <w:t>.</w:t>
      </w:r>
    </w:p>
    <w:p w14:paraId="01717312" w14:textId="77777777" w:rsidR="002679BD" w:rsidRPr="004C3F4C" w:rsidRDefault="002679BD" w:rsidP="004C3F4C">
      <w:pPr>
        <w:rPr>
          <w:b/>
          <w:color w:val="737373" w:themeColor="background2" w:themeShade="80"/>
          <w:sz w:val="36"/>
          <w:szCs w:val="36"/>
          <w:lang w:val="en-US"/>
        </w:rPr>
      </w:pPr>
      <w:bookmarkStart w:id="85" w:name="_Toc108514708"/>
      <w:bookmarkStart w:id="86" w:name="_Toc108611465"/>
      <w:bookmarkStart w:id="87" w:name="_Toc111031078"/>
      <w:bookmarkStart w:id="88" w:name="_Toc112233666"/>
      <w:bookmarkStart w:id="89" w:name="_Toc112326009"/>
      <w:bookmarkStart w:id="90" w:name="_Toc113028179"/>
      <w:bookmarkStart w:id="91" w:name="_Toc113361254"/>
      <w:bookmarkStart w:id="92" w:name="_Toc113361762"/>
      <w:bookmarkStart w:id="93" w:name="_Toc114476237"/>
      <w:bookmarkStart w:id="94" w:name="_Toc114487284"/>
      <w:bookmarkStart w:id="95" w:name="_Toc114487368"/>
      <w:bookmarkStart w:id="96" w:name="_Toc116044834"/>
      <w:bookmarkStart w:id="97" w:name="_Toc116046018"/>
      <w:bookmarkStart w:id="98" w:name="_Toc116061392"/>
      <w:bookmarkStart w:id="99" w:name="_Toc116292935"/>
      <w:r w:rsidRPr="004C3F4C">
        <w:rPr>
          <w:b/>
          <w:color w:val="737373" w:themeColor="background2" w:themeShade="80"/>
          <w:sz w:val="36"/>
          <w:szCs w:val="36"/>
          <w:lang w:val="en-US"/>
        </w:rPr>
        <w:t>Publication of submissions and confidentiality</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858352E" w14:textId="4AA51F56" w:rsidR="002679BD" w:rsidRPr="00030AC6" w:rsidRDefault="002679BD" w:rsidP="002679BD">
      <w:r w:rsidRPr="00030AC6">
        <w:t>All submissions will be made publicly available by the department unless a respondent specifically requests that a submission, or a part of a submission, be kept confidential.</w:t>
      </w:r>
      <w:r w:rsidRPr="00142F9E">
        <w:t xml:space="preserve"> </w:t>
      </w:r>
      <w:r>
        <w:t>Comments will not be published.</w:t>
      </w:r>
    </w:p>
    <w:p w14:paraId="6AFD1607" w14:textId="77777777" w:rsidR="002679BD" w:rsidRPr="00030AC6" w:rsidRDefault="002679BD" w:rsidP="002679BD">
      <w:r w:rsidRPr="00030AC6">
        <w:t>The department reserves the right not to publish any submission, or part of a submission, which in its view contains potentially offensive or defamatory material, or for confidentiality reasons.</w:t>
      </w:r>
    </w:p>
    <w:p w14:paraId="4698EECF" w14:textId="026C6212" w:rsidR="00485A57" w:rsidRPr="00EB6AD5" w:rsidRDefault="002679BD">
      <w:pPr>
        <w:rPr>
          <w:rFonts w:asciiTheme="majorHAnsi" w:eastAsiaTheme="majorEastAsia" w:hAnsiTheme="majorHAnsi" w:cstheme="majorBidi"/>
          <w:color w:val="081E3E" w:themeColor="text2"/>
          <w:sz w:val="44"/>
          <w:szCs w:val="32"/>
        </w:rPr>
      </w:pPr>
      <w:r w:rsidRPr="00030AC6">
        <w:t xml:space="preserve">The department is subject to the </w:t>
      </w:r>
      <w:r w:rsidRPr="00030AC6">
        <w:rPr>
          <w:i/>
        </w:rPr>
        <w:t>Freedom of Information Act 1982</w:t>
      </w:r>
      <w:r w:rsidRPr="00030AC6">
        <w:t xml:space="preserve"> and </w:t>
      </w:r>
      <w:r>
        <w:t xml:space="preserve">comments and </w:t>
      </w:r>
      <w:r w:rsidRPr="00030AC6">
        <w:t>submissions may be required to be disclosed by the department in response to requests made under that Act.</w:t>
      </w:r>
      <w:r w:rsidR="00485A57" w:rsidRPr="00EB6AD5">
        <w:br w:type="page"/>
      </w:r>
    </w:p>
    <w:p w14:paraId="740E5B1B" w14:textId="77777777" w:rsidR="00485A57" w:rsidRPr="00EB6AD5" w:rsidRDefault="0037426E" w:rsidP="00485A57">
      <w:pPr>
        <w:pStyle w:val="Heading1"/>
        <w:spacing w:before="0"/>
      </w:pPr>
      <w:bookmarkStart w:id="100" w:name="_Toc140842886"/>
      <w:bookmarkStart w:id="101" w:name="_Toc141369798"/>
      <w:bookmarkStart w:id="102" w:name="_Toc143265589"/>
      <w:r>
        <w:lastRenderedPageBreak/>
        <w:t xml:space="preserve">Chapter </w:t>
      </w:r>
      <w:r w:rsidR="00287A32">
        <w:t>3</w:t>
      </w:r>
      <w:r>
        <w:t xml:space="preserve">: </w:t>
      </w:r>
      <w:r w:rsidR="00485A57" w:rsidRPr="00EB6AD5">
        <w:t>The purpose of this consultation</w:t>
      </w:r>
      <w:bookmarkEnd w:id="100"/>
      <w:bookmarkEnd w:id="101"/>
      <w:bookmarkEnd w:id="102"/>
    </w:p>
    <w:p w14:paraId="65CA07D4" w14:textId="3BAFFD16" w:rsidR="002679BD" w:rsidRPr="004C3F4C" w:rsidRDefault="002679BD" w:rsidP="004C3F4C">
      <w:pPr>
        <w:rPr>
          <w:b/>
          <w:color w:val="737373" w:themeColor="background2" w:themeShade="80"/>
          <w:sz w:val="36"/>
          <w:szCs w:val="36"/>
          <w:lang w:val="en-US"/>
        </w:rPr>
      </w:pPr>
      <w:bookmarkStart w:id="103" w:name="_Toc140842887"/>
      <w:r w:rsidRPr="004C3F4C">
        <w:rPr>
          <w:b/>
          <w:color w:val="737373" w:themeColor="background2" w:themeShade="80"/>
          <w:sz w:val="36"/>
          <w:szCs w:val="36"/>
          <w:lang w:val="en-US"/>
        </w:rPr>
        <w:t>The process so far</w:t>
      </w:r>
    </w:p>
    <w:p w14:paraId="129B34F2" w14:textId="698CFC79" w:rsidR="002679BD" w:rsidRDefault="002679BD" w:rsidP="002679BD">
      <w:r w:rsidRPr="00584BF8">
        <w:t xml:space="preserve">The Albanese Government committed to undertake a review of the anti-siphoning scheme in the context of the 2022 </w:t>
      </w:r>
      <w:r w:rsidR="00B3317C" w:rsidRPr="00584BF8">
        <w:t>federal election</w:t>
      </w:r>
      <w:r w:rsidRPr="00584BF8">
        <w:t>.</w:t>
      </w:r>
    </w:p>
    <w:p w14:paraId="674AF517" w14:textId="60BE92BC" w:rsidR="002679BD" w:rsidRDefault="002679BD" w:rsidP="002679BD">
      <w:r>
        <w:t>The review was initiated in October 2022 with the release of a consultation paper.</w:t>
      </w:r>
      <w:r>
        <w:rPr>
          <w:rStyle w:val="FootnoteReference"/>
        </w:rPr>
        <w:footnoteReference w:id="10"/>
      </w:r>
      <w:r w:rsidRPr="00025CDB">
        <w:t xml:space="preserve"> </w:t>
      </w:r>
      <w:r>
        <w:t xml:space="preserve">A total of 25 submissions were received in response to the consultation paper, comprising: </w:t>
      </w:r>
      <w:r w:rsidRPr="007750BF">
        <w:t xml:space="preserve">five from the </w:t>
      </w:r>
      <w:r>
        <w:t>media</w:t>
      </w:r>
      <w:r w:rsidRPr="007750BF">
        <w:t xml:space="preserve"> sector (free-to-air</w:t>
      </w:r>
      <w:r>
        <w:t xml:space="preserve"> broadcasters</w:t>
      </w:r>
      <w:r w:rsidRPr="007750BF">
        <w:t xml:space="preserve">, subscription </w:t>
      </w:r>
      <w:r>
        <w:t xml:space="preserve">broadcasters and </w:t>
      </w:r>
      <w:r w:rsidRPr="007750BF">
        <w:t>streaming services)</w:t>
      </w:r>
      <w:r>
        <w:t xml:space="preserve">; </w:t>
      </w:r>
      <w:r w:rsidRPr="007750BF">
        <w:t>13 from the sporting sector; and</w:t>
      </w:r>
      <w:r>
        <w:t xml:space="preserve"> </w:t>
      </w:r>
      <w:r w:rsidRPr="007750BF">
        <w:t>seven from academics and other organisations.</w:t>
      </w:r>
    </w:p>
    <w:p w14:paraId="178782E4" w14:textId="0A101BE7" w:rsidR="002679BD" w:rsidRDefault="002679BD" w:rsidP="002679BD">
      <w:r>
        <w:t xml:space="preserve">All 13 public submissions were published on the </w:t>
      </w:r>
      <w:r w:rsidR="00855F71">
        <w:t xml:space="preserve">department’s </w:t>
      </w:r>
      <w:r>
        <w:t xml:space="preserve">website: </w:t>
      </w:r>
      <w:r w:rsidRPr="00683499">
        <w:rPr>
          <w:u w:val="single"/>
        </w:rPr>
        <w:t>infrastructure.gov.au/have-your-say</w:t>
      </w:r>
      <w:r w:rsidR="003D6D1A" w:rsidRPr="003D6D1A">
        <w:rPr>
          <w:u w:val="single"/>
        </w:rPr>
        <w:t>/</w:t>
      </w:r>
      <w:r>
        <w:t>. The remaining 12 submissions were confidential. Three roundtables were also held with industry representatives in November 2022 to augment the submissions process.</w:t>
      </w:r>
    </w:p>
    <w:p w14:paraId="1A261A44" w14:textId="270B2C16" w:rsidR="00040243" w:rsidRDefault="002679BD" w:rsidP="002679BD">
      <w:r w:rsidRPr="00C15344">
        <w:t>Th</w:t>
      </w:r>
      <w:r>
        <w:t>is initial phase of the review considered a wide range of issues associated with the scheme and the regulation of television coverage of key sporting events. These themes and issues included:</w:t>
      </w:r>
    </w:p>
    <w:p w14:paraId="3A0CB6B8" w14:textId="02D4F3EC" w:rsidR="00040243" w:rsidRDefault="00040243" w:rsidP="00040243">
      <w:pPr>
        <w:pStyle w:val="Caption"/>
      </w:pPr>
      <w:bookmarkStart w:id="104" w:name="_Toc143250747"/>
      <w:r>
        <w:t>Table 3: Summary of themes emerging from 2022 consultation process</w:t>
      </w:r>
      <w:bookmarkEnd w:id="104"/>
    </w:p>
    <w:tbl>
      <w:tblPr>
        <w:tblStyle w:val="DefaultTable1"/>
        <w:tblW w:w="0" w:type="auto"/>
        <w:tblLook w:val="04A0" w:firstRow="1" w:lastRow="0" w:firstColumn="1" w:lastColumn="0" w:noHBand="0" w:noVBand="1"/>
      </w:tblPr>
      <w:tblGrid>
        <w:gridCol w:w="3256"/>
        <w:gridCol w:w="6598"/>
      </w:tblGrid>
      <w:tr w:rsidR="00040243" w14:paraId="7B5B5FCD" w14:textId="77777777" w:rsidTr="003B3B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4CA84D7" w14:textId="77777777" w:rsidR="00040243" w:rsidRDefault="00040243" w:rsidP="003B3B5B">
            <w:r>
              <w:t>Themes</w:t>
            </w:r>
          </w:p>
        </w:tc>
        <w:tc>
          <w:tcPr>
            <w:tcW w:w="6598" w:type="dxa"/>
          </w:tcPr>
          <w:p w14:paraId="3856F756" w14:textId="77777777" w:rsidR="00040243" w:rsidRPr="00FE577E" w:rsidRDefault="00040243" w:rsidP="003B3B5B">
            <w:pPr>
              <w:cnfStyle w:val="100000000000" w:firstRow="1" w:lastRow="0" w:firstColumn="0" w:lastColumn="0" w:oddVBand="0" w:evenVBand="0" w:oddHBand="0" w:evenHBand="0" w:firstRowFirstColumn="0" w:firstRowLastColumn="0" w:lastRowFirstColumn="0" w:lastRowLastColumn="0"/>
            </w:pPr>
            <w:r>
              <w:t>Issues</w:t>
            </w:r>
          </w:p>
        </w:tc>
      </w:tr>
      <w:tr w:rsidR="00040243" w14:paraId="2170EAF1" w14:textId="77777777" w:rsidTr="003B3B5B">
        <w:tc>
          <w:tcPr>
            <w:cnfStyle w:val="001000000000" w:firstRow="0" w:lastRow="0" w:firstColumn="1" w:lastColumn="0" w:oddVBand="0" w:evenVBand="0" w:oddHBand="0" w:evenHBand="0" w:firstRowFirstColumn="0" w:firstRowLastColumn="0" w:lastRowFirstColumn="0" w:lastRowLastColumn="0"/>
            <w:tcW w:w="3256" w:type="dxa"/>
          </w:tcPr>
          <w:p w14:paraId="7B773933" w14:textId="77777777" w:rsidR="00040243" w:rsidRDefault="00040243" w:rsidP="003B3B5B">
            <w:pPr>
              <w:spacing w:before="160"/>
            </w:pPr>
            <w:r>
              <w:t>Policy settings and considerations</w:t>
            </w:r>
          </w:p>
        </w:tc>
        <w:tc>
          <w:tcPr>
            <w:tcW w:w="6598" w:type="dxa"/>
          </w:tcPr>
          <w:p w14:paraId="27DA51F0" w14:textId="77777777" w:rsidR="00040243" w:rsidRDefault="00040243" w:rsidP="003B3B5B">
            <w:pPr>
              <w:pStyle w:val="ListParagraph"/>
              <w:numPr>
                <w:ilvl w:val="0"/>
                <w:numId w:val="41"/>
              </w:numPr>
              <w:spacing w:before="160"/>
              <w:ind w:left="316"/>
              <w:contextualSpacing w:val="0"/>
              <w:cnfStyle w:val="000000000000" w:firstRow="0" w:lastRow="0" w:firstColumn="0" w:lastColumn="0" w:oddVBand="0" w:evenVBand="0" w:oddHBand="0" w:evenHBand="0" w:firstRowFirstColumn="0" w:firstRowLastColumn="0" w:lastRowFirstColumn="0" w:lastRowLastColumn="0"/>
            </w:pPr>
            <w:r>
              <w:t>The policy objective being sought by the scheme</w:t>
            </w:r>
          </w:p>
          <w:p w14:paraId="7D863A20" w14:textId="72A70030" w:rsidR="00040243" w:rsidRDefault="00040243" w:rsidP="003B3B5B">
            <w:pPr>
              <w:pStyle w:val="ListParagraph"/>
              <w:numPr>
                <w:ilvl w:val="0"/>
                <w:numId w:val="41"/>
              </w:numPr>
              <w:spacing w:before="160"/>
              <w:ind w:left="316"/>
              <w:contextualSpacing w:val="0"/>
              <w:cnfStyle w:val="000000000000" w:firstRow="0" w:lastRow="0" w:firstColumn="0" w:lastColumn="0" w:oddVBand="0" w:evenVBand="0" w:oddHBand="0" w:evenHBand="0" w:firstRowFirstColumn="0" w:firstRowLastColumn="0" w:lastRowFirstColumn="0" w:lastRowLastColumn="0"/>
            </w:pPr>
            <w:r>
              <w:t>The role of the scheme in achieving this outcome</w:t>
            </w:r>
          </w:p>
        </w:tc>
      </w:tr>
      <w:tr w:rsidR="00040243" w14:paraId="13D3D1DB" w14:textId="77777777" w:rsidTr="003B3B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3F1E936" w14:textId="77777777" w:rsidR="00040243" w:rsidRDefault="00040243" w:rsidP="003B3B5B">
            <w:pPr>
              <w:spacing w:before="160"/>
            </w:pPr>
            <w:r>
              <w:t>The operation of the scheme</w:t>
            </w:r>
          </w:p>
        </w:tc>
        <w:tc>
          <w:tcPr>
            <w:tcW w:w="6598" w:type="dxa"/>
          </w:tcPr>
          <w:p w14:paraId="728C5EEE" w14:textId="77777777" w:rsidR="00040243" w:rsidRDefault="00040243" w:rsidP="003B3B5B">
            <w:pPr>
              <w:pStyle w:val="ListParagraph"/>
              <w:numPr>
                <w:ilvl w:val="0"/>
                <w:numId w:val="41"/>
              </w:numPr>
              <w:spacing w:before="160"/>
              <w:ind w:left="312" w:hanging="357"/>
              <w:contextualSpacing w:val="0"/>
              <w:cnfStyle w:val="000000010000" w:firstRow="0" w:lastRow="0" w:firstColumn="0" w:lastColumn="0" w:oddVBand="0" w:evenVBand="0" w:oddHBand="0" w:evenHBand="1" w:firstRowFirstColumn="0" w:firstRowLastColumn="0" w:lastRowFirstColumn="0" w:lastRowLastColumn="0"/>
            </w:pPr>
            <w:r>
              <w:t>The application of the scheme to online media</w:t>
            </w:r>
          </w:p>
          <w:p w14:paraId="0E22D802" w14:textId="77777777" w:rsidR="00040243" w:rsidRDefault="00040243" w:rsidP="003B3B5B">
            <w:pPr>
              <w:pStyle w:val="ListParagraph"/>
              <w:numPr>
                <w:ilvl w:val="0"/>
                <w:numId w:val="41"/>
              </w:numPr>
              <w:spacing w:before="160"/>
              <w:ind w:left="312" w:hanging="357"/>
              <w:contextualSpacing w:val="0"/>
              <w:cnfStyle w:val="000000010000" w:firstRow="0" w:lastRow="0" w:firstColumn="0" w:lastColumn="0" w:oddVBand="0" w:evenVBand="0" w:oddHBand="0" w:evenHBand="1" w:firstRowFirstColumn="0" w:firstRowLastColumn="0" w:lastRowFirstColumn="0" w:lastRowLastColumn="0"/>
            </w:pPr>
            <w:r>
              <w:t>The form of regulatory rule at the heart of the scheme</w:t>
            </w:r>
          </w:p>
          <w:p w14:paraId="69C58ED4" w14:textId="77777777" w:rsidR="00040243" w:rsidRDefault="00040243" w:rsidP="003B3B5B">
            <w:pPr>
              <w:pStyle w:val="ListParagraph"/>
              <w:numPr>
                <w:ilvl w:val="0"/>
                <w:numId w:val="41"/>
              </w:numPr>
              <w:spacing w:before="160"/>
              <w:ind w:left="312" w:hanging="357"/>
              <w:contextualSpacing w:val="0"/>
              <w:cnfStyle w:val="000000010000" w:firstRow="0" w:lastRow="0" w:firstColumn="0" w:lastColumn="0" w:oddVBand="0" w:evenVBand="0" w:oddHBand="0" w:evenHBand="1" w:firstRowFirstColumn="0" w:firstRowLastColumn="0" w:lastRowFirstColumn="0" w:lastRowLastColumn="0"/>
            </w:pPr>
            <w:r>
              <w:t>The use and disposal of a right to televise an event on the anti</w:t>
            </w:r>
            <w:r>
              <w:noBreakHyphen/>
              <w:t>siphoning list</w:t>
            </w:r>
          </w:p>
          <w:p w14:paraId="5B054D81" w14:textId="77777777" w:rsidR="00040243" w:rsidRDefault="00040243" w:rsidP="003B3B5B">
            <w:pPr>
              <w:pStyle w:val="ListParagraph"/>
              <w:numPr>
                <w:ilvl w:val="0"/>
                <w:numId w:val="41"/>
              </w:numPr>
              <w:spacing w:before="160"/>
              <w:ind w:left="312" w:hanging="357"/>
              <w:contextualSpacing w:val="0"/>
              <w:cnfStyle w:val="000000010000" w:firstRow="0" w:lastRow="0" w:firstColumn="0" w:lastColumn="0" w:oddVBand="0" w:evenVBand="0" w:oddHBand="0" w:evenHBand="1" w:firstRowFirstColumn="0" w:firstRowLastColumn="0" w:lastRowFirstColumn="0" w:lastRowLastColumn="0"/>
            </w:pPr>
            <w:r>
              <w:t>Coverage of events on the anti-siphoning list</w:t>
            </w:r>
          </w:p>
          <w:p w14:paraId="757B3CAE" w14:textId="0BBF141F" w:rsidR="00040243" w:rsidRDefault="00040243" w:rsidP="003B3B5B">
            <w:pPr>
              <w:pStyle w:val="ListParagraph"/>
              <w:numPr>
                <w:ilvl w:val="0"/>
                <w:numId w:val="41"/>
              </w:numPr>
              <w:spacing w:before="160"/>
              <w:ind w:left="312" w:hanging="357"/>
              <w:contextualSpacing w:val="0"/>
              <w:cnfStyle w:val="000000010000" w:firstRow="0" w:lastRow="0" w:firstColumn="0" w:lastColumn="0" w:oddVBand="0" w:evenVBand="0" w:oddHBand="0" w:evenHBand="1" w:firstRowFirstColumn="0" w:firstRowLastColumn="0" w:lastRowFirstColumn="0" w:lastRowLastColumn="0"/>
            </w:pPr>
            <w:r>
              <w:t>Information disclosure and information gathering relevant to the scheme</w:t>
            </w:r>
          </w:p>
        </w:tc>
      </w:tr>
      <w:tr w:rsidR="00040243" w14:paraId="719402CF" w14:textId="77777777" w:rsidTr="003B3B5B">
        <w:tc>
          <w:tcPr>
            <w:cnfStyle w:val="001000000000" w:firstRow="0" w:lastRow="0" w:firstColumn="1" w:lastColumn="0" w:oddVBand="0" w:evenVBand="0" w:oddHBand="0" w:evenHBand="0" w:firstRowFirstColumn="0" w:firstRowLastColumn="0" w:lastRowFirstColumn="0" w:lastRowLastColumn="0"/>
            <w:tcW w:w="3256" w:type="dxa"/>
          </w:tcPr>
          <w:p w14:paraId="40266EBD" w14:textId="77777777" w:rsidR="00040243" w:rsidRDefault="00040243" w:rsidP="003B3B5B">
            <w:pPr>
              <w:spacing w:before="160"/>
            </w:pPr>
            <w:r>
              <w:t>The composition of the anti-siphoning list</w:t>
            </w:r>
          </w:p>
        </w:tc>
        <w:tc>
          <w:tcPr>
            <w:tcW w:w="6598" w:type="dxa"/>
          </w:tcPr>
          <w:p w14:paraId="1D731AA2" w14:textId="77777777" w:rsidR="00040243" w:rsidRDefault="00040243" w:rsidP="003B3B5B">
            <w:pPr>
              <w:pStyle w:val="ListParagraph"/>
              <w:numPr>
                <w:ilvl w:val="0"/>
                <w:numId w:val="41"/>
              </w:numPr>
              <w:spacing w:before="160"/>
              <w:ind w:left="312" w:hanging="357"/>
              <w:contextualSpacing w:val="0"/>
              <w:cnfStyle w:val="000000000000" w:firstRow="0" w:lastRow="0" w:firstColumn="0" w:lastColumn="0" w:oddVBand="0" w:evenVBand="0" w:oddHBand="0" w:evenHBand="0" w:firstRowFirstColumn="0" w:firstRowLastColumn="0" w:lastRowFirstColumn="0" w:lastRowLastColumn="0"/>
            </w:pPr>
            <w:r>
              <w:t>The sports and events on the anti-siphoning list</w:t>
            </w:r>
          </w:p>
          <w:p w14:paraId="63D187C0" w14:textId="77777777" w:rsidR="00040243" w:rsidRDefault="00040243" w:rsidP="003B3B5B">
            <w:pPr>
              <w:pStyle w:val="ListParagraph"/>
              <w:numPr>
                <w:ilvl w:val="0"/>
                <w:numId w:val="41"/>
              </w:numPr>
              <w:spacing w:before="160"/>
              <w:ind w:left="312" w:hanging="357"/>
              <w:contextualSpacing w:val="0"/>
              <w:cnfStyle w:val="000000000000" w:firstRow="0" w:lastRow="0" w:firstColumn="0" w:lastColumn="0" w:oddVBand="0" w:evenVBand="0" w:oddHBand="0" w:evenHBand="0" w:firstRowFirstColumn="0" w:firstRowLastColumn="0" w:lastRowFirstColumn="0" w:lastRowLastColumn="0"/>
            </w:pPr>
            <w:r>
              <w:t>The structure of the anti-siphoning list</w:t>
            </w:r>
          </w:p>
          <w:p w14:paraId="7851B4DA" w14:textId="77777777" w:rsidR="00040243" w:rsidRDefault="00040243" w:rsidP="003B3B5B">
            <w:pPr>
              <w:pStyle w:val="ListParagraph"/>
              <w:numPr>
                <w:ilvl w:val="0"/>
                <w:numId w:val="41"/>
              </w:numPr>
              <w:spacing w:before="160"/>
              <w:ind w:left="312" w:hanging="357"/>
              <w:contextualSpacing w:val="0"/>
              <w:cnfStyle w:val="000000000000" w:firstRow="0" w:lastRow="0" w:firstColumn="0" w:lastColumn="0" w:oddVBand="0" w:evenVBand="0" w:oddHBand="0" w:evenHBand="0" w:firstRowFirstColumn="0" w:firstRowLastColumn="0" w:lastRowFirstColumn="0" w:lastRowLastColumn="0"/>
            </w:pPr>
            <w:r>
              <w:t>The process for removing events from the anti-siphoning list</w:t>
            </w:r>
          </w:p>
        </w:tc>
      </w:tr>
    </w:tbl>
    <w:p w14:paraId="5BCD124C" w14:textId="5073A913" w:rsidR="007F67FB" w:rsidRDefault="002679BD">
      <w:r>
        <w:t>The key theme raised in submissions and through the supporting roundtable discussions was the growing coverage of sporting events online and the acquisition of media rights by streaming services and digital platforms.</w:t>
      </w:r>
      <w:r w:rsidR="007F67FB">
        <w:br w:type="page"/>
      </w:r>
    </w:p>
    <w:p w14:paraId="1C895BC3" w14:textId="77777777" w:rsidR="002679BD" w:rsidRPr="004C3F4C" w:rsidRDefault="002679BD" w:rsidP="004C3F4C">
      <w:pPr>
        <w:rPr>
          <w:b/>
          <w:color w:val="737373" w:themeColor="background2" w:themeShade="80"/>
          <w:sz w:val="36"/>
          <w:szCs w:val="36"/>
          <w:lang w:val="en-US"/>
        </w:rPr>
      </w:pPr>
      <w:r w:rsidRPr="004C3F4C">
        <w:rPr>
          <w:b/>
          <w:color w:val="737373" w:themeColor="background2" w:themeShade="80"/>
          <w:sz w:val="36"/>
          <w:szCs w:val="36"/>
          <w:lang w:val="en-US"/>
        </w:rPr>
        <w:lastRenderedPageBreak/>
        <w:t xml:space="preserve">This consultation </w:t>
      </w:r>
    </w:p>
    <w:p w14:paraId="5C91FB3D" w14:textId="7E7EA74F" w:rsidR="002679BD" w:rsidRDefault="002679BD" w:rsidP="002679BD">
      <w:r>
        <w:t>The Government is now moving to the next phase of the review, which is focusing on specific proposals for reform to both the scheme and list.</w:t>
      </w:r>
    </w:p>
    <w:p w14:paraId="6760443A" w14:textId="5DBEA95D" w:rsidR="002679BD" w:rsidRDefault="002679BD" w:rsidP="002679BD">
      <w:r>
        <w:t xml:space="preserve">The </w:t>
      </w:r>
      <w:r w:rsidR="00C423CC">
        <w:t>2022</w:t>
      </w:r>
      <w:r>
        <w:t xml:space="preserve"> consultation process for the review focused on the ‘big picture’: the broad policy objectives and settings for regulating sports rights; the operations of particular elements of the current scheme; and the general composition of the list. While providing a range of comments and views on these matters, stakeholders made clear their desire to be engaged on any specific proposals for reform to the scheme or list.</w:t>
      </w:r>
    </w:p>
    <w:p w14:paraId="73264294" w14:textId="5BE5784F" w:rsidR="002679BD" w:rsidRDefault="002679BD" w:rsidP="002679BD">
      <w:r>
        <w:t xml:space="preserve">This paper responds </w:t>
      </w:r>
      <w:r w:rsidR="00126226">
        <w:t xml:space="preserve">to </w:t>
      </w:r>
      <w:r>
        <w:t>that request and puts forward three detailed models for reform of the scheme, and three specific options for a new list to be made alongside (or as part of) these reforms to replace the current list.</w:t>
      </w:r>
      <w:r>
        <w:rPr>
          <w:rStyle w:val="FootnoteReference"/>
        </w:rPr>
        <w:footnoteReference w:id="11"/>
      </w:r>
      <w:r>
        <w:t xml:space="preserve"> The development of these models and options has been informed by the views of stakeholders put forward through the initial phases of the review, and draws on proposals for reform advanced by particular parties.</w:t>
      </w:r>
    </w:p>
    <w:p w14:paraId="139F3B89" w14:textId="0D455D39" w:rsidR="002679BD" w:rsidRDefault="002679BD" w:rsidP="002679BD">
      <w:r>
        <w:t xml:space="preserve">Comment is sought on each of the three proposed approaches to the scheme and </w:t>
      </w:r>
      <w:r w:rsidR="00F565B2">
        <w:t xml:space="preserve">the </w:t>
      </w:r>
      <w:r>
        <w:t>list.</w:t>
      </w:r>
    </w:p>
    <w:p w14:paraId="0DA6A6DF" w14:textId="77777777" w:rsidR="00D57448" w:rsidRPr="004C3F4C" w:rsidRDefault="00D57448" w:rsidP="00D57448">
      <w:pPr>
        <w:rPr>
          <w:b/>
          <w:color w:val="737373" w:themeColor="background2" w:themeShade="80"/>
          <w:sz w:val="36"/>
          <w:szCs w:val="36"/>
          <w:lang w:val="en-US"/>
        </w:rPr>
      </w:pPr>
      <w:r w:rsidRPr="004C3F4C">
        <w:rPr>
          <w:b/>
          <w:color w:val="737373" w:themeColor="background2" w:themeShade="80"/>
          <w:sz w:val="36"/>
          <w:szCs w:val="36"/>
          <w:lang w:val="en-US"/>
        </w:rPr>
        <w:t>The structure of this paper</w:t>
      </w:r>
    </w:p>
    <w:p w14:paraId="4D5C73C1" w14:textId="3916041D" w:rsidR="00D57448" w:rsidRDefault="00D57448" w:rsidP="00D57448">
      <w:r>
        <w:t>The paper is organised into a number of discrete chapters.</w:t>
      </w:r>
    </w:p>
    <w:p w14:paraId="6ED19C89" w14:textId="1CA88D0D" w:rsidR="00D57448" w:rsidRDefault="00D57448" w:rsidP="00D57448">
      <w:pPr>
        <w:pStyle w:val="ListParagraph"/>
        <w:numPr>
          <w:ilvl w:val="0"/>
          <w:numId w:val="57"/>
        </w:numPr>
        <w:contextualSpacing w:val="0"/>
      </w:pPr>
      <w:r>
        <w:t>Chapters 2 through 4 provide (respectively): information on how to make a submission to this process; the purpose of the consultation; and relevant background.</w:t>
      </w:r>
    </w:p>
    <w:p w14:paraId="7A6F2369" w14:textId="0937EE43" w:rsidR="00D57448" w:rsidRDefault="00D57448" w:rsidP="00D57448">
      <w:pPr>
        <w:pStyle w:val="ListParagraph"/>
        <w:numPr>
          <w:ilvl w:val="1"/>
          <w:numId w:val="57"/>
        </w:numPr>
        <w:ind w:left="993"/>
        <w:contextualSpacing w:val="0"/>
      </w:pPr>
      <w:r>
        <w:t>These chapters are short and do not repeat the detailed information regarding the scheme and the trends in sports coverage provided in the preceding consultation paper. Interested parties are directed to that paper for further information.</w:t>
      </w:r>
      <w:r>
        <w:rPr>
          <w:rStyle w:val="FootnoteReference"/>
        </w:rPr>
        <w:footnoteReference w:id="12"/>
      </w:r>
    </w:p>
    <w:p w14:paraId="14AE65DD" w14:textId="41BC3F34" w:rsidR="00D57448" w:rsidRDefault="00D57448" w:rsidP="00D57448">
      <w:pPr>
        <w:pStyle w:val="ListParagraph"/>
        <w:numPr>
          <w:ilvl w:val="0"/>
          <w:numId w:val="57"/>
        </w:numPr>
        <w:contextualSpacing w:val="0"/>
      </w:pPr>
      <w:r>
        <w:t>Chapters 5 through 7 constitute the substantive chapters of this proposals paper. They set out:</w:t>
      </w:r>
    </w:p>
    <w:p w14:paraId="0186865D" w14:textId="6DD196F0" w:rsidR="00D57448" w:rsidRDefault="00D57448" w:rsidP="00D57448">
      <w:pPr>
        <w:pStyle w:val="ListParagraph"/>
        <w:numPr>
          <w:ilvl w:val="1"/>
          <w:numId w:val="57"/>
        </w:numPr>
        <w:contextualSpacing w:val="0"/>
      </w:pPr>
      <w:r>
        <w:t>preliminary findings of the review (Chapter 5)</w:t>
      </w:r>
    </w:p>
    <w:p w14:paraId="20DD3E4E" w14:textId="77777777" w:rsidR="00D57448" w:rsidRDefault="00D57448" w:rsidP="00D57448">
      <w:pPr>
        <w:pStyle w:val="ListParagraph"/>
        <w:numPr>
          <w:ilvl w:val="1"/>
          <w:numId w:val="57"/>
        </w:numPr>
        <w:contextualSpacing w:val="0"/>
      </w:pPr>
      <w:r>
        <w:t>three models for reform of the scheme (Chapter 6)</w:t>
      </w:r>
    </w:p>
    <w:p w14:paraId="62AC09BB" w14:textId="1C98685B" w:rsidR="00D57448" w:rsidRDefault="00D57448" w:rsidP="00D57448">
      <w:pPr>
        <w:pStyle w:val="ListParagraph"/>
        <w:numPr>
          <w:ilvl w:val="1"/>
          <w:numId w:val="57"/>
        </w:numPr>
        <w:contextualSpacing w:val="0"/>
      </w:pPr>
      <w:r>
        <w:t>three options for a new list (Chapter 7).</w:t>
      </w:r>
    </w:p>
    <w:p w14:paraId="5EBBB7F5" w14:textId="77777777" w:rsidR="002679BD" w:rsidRDefault="002679BD">
      <w:pPr>
        <w:rPr>
          <w:rFonts w:asciiTheme="majorHAnsi" w:eastAsiaTheme="majorEastAsia" w:hAnsiTheme="majorHAnsi" w:cstheme="majorBidi"/>
          <w:color w:val="081E3E" w:themeColor="text2"/>
          <w:sz w:val="44"/>
          <w:szCs w:val="32"/>
        </w:rPr>
      </w:pPr>
      <w:r>
        <w:br w:type="page"/>
      </w:r>
    </w:p>
    <w:p w14:paraId="628D0CE4" w14:textId="77777777" w:rsidR="00485A57" w:rsidRPr="00EB6AD5" w:rsidRDefault="0037426E" w:rsidP="00DE4362">
      <w:pPr>
        <w:pStyle w:val="Heading1"/>
        <w:spacing w:before="0"/>
      </w:pPr>
      <w:bookmarkStart w:id="105" w:name="_Toc141369799"/>
      <w:bookmarkStart w:id="106" w:name="_Toc143265590"/>
      <w:r w:rsidRPr="0037426E">
        <w:lastRenderedPageBreak/>
        <w:t xml:space="preserve">Chapter </w:t>
      </w:r>
      <w:r>
        <w:t>4</w:t>
      </w:r>
      <w:r w:rsidRPr="0037426E">
        <w:t xml:space="preserve">: </w:t>
      </w:r>
      <w:r w:rsidR="00485A57" w:rsidRPr="00EB6AD5">
        <w:t>Background</w:t>
      </w:r>
      <w:bookmarkEnd w:id="103"/>
      <w:bookmarkEnd w:id="105"/>
      <w:bookmarkEnd w:id="106"/>
    </w:p>
    <w:p w14:paraId="58346D54" w14:textId="77777777" w:rsidR="002679BD" w:rsidRPr="004C3F4C" w:rsidRDefault="002679BD" w:rsidP="004C3F4C">
      <w:pPr>
        <w:rPr>
          <w:b/>
          <w:color w:val="737373" w:themeColor="background2" w:themeShade="80"/>
          <w:sz w:val="36"/>
          <w:szCs w:val="36"/>
          <w:lang w:val="en-US"/>
        </w:rPr>
      </w:pPr>
      <w:bookmarkStart w:id="107" w:name="_Toc140842888"/>
      <w:r w:rsidRPr="004C3F4C">
        <w:rPr>
          <w:b/>
          <w:color w:val="737373" w:themeColor="background2" w:themeShade="80"/>
          <w:sz w:val="36"/>
          <w:szCs w:val="36"/>
          <w:lang w:val="en-US"/>
        </w:rPr>
        <w:t>What is the anti-siphoning scheme?</w:t>
      </w:r>
      <w:bookmarkEnd w:id="107"/>
    </w:p>
    <w:p w14:paraId="6E531BEF" w14:textId="1DE82594" w:rsidR="002679BD" w:rsidRDefault="002679BD" w:rsidP="00AD61D0">
      <w:pPr>
        <w:pStyle w:val="Introduction"/>
        <w:spacing w:before="120" w:after="120"/>
      </w:pPr>
      <w:r w:rsidRPr="00A43613">
        <w:t xml:space="preserve">The regulatory framework for the anti-siphoning scheme is established in the </w:t>
      </w:r>
      <w:r w:rsidRPr="00056164">
        <w:rPr>
          <w:i/>
        </w:rPr>
        <w:t>Broadcasting Services Act 1992</w:t>
      </w:r>
      <w:r w:rsidRPr="00A43613">
        <w:t xml:space="preserve"> (BSA) and came into effect in 1994.</w:t>
      </w:r>
    </w:p>
    <w:p w14:paraId="056399A9" w14:textId="6DF67348" w:rsidR="002679BD" w:rsidRPr="00D00A2D" w:rsidRDefault="002679BD" w:rsidP="00AD61D0">
      <w:pPr>
        <w:pStyle w:val="Introduction"/>
        <w:spacing w:before="120" w:after="120"/>
      </w:pPr>
      <w:r w:rsidRPr="00A43613">
        <w:t xml:space="preserve">The scheme seeks to increase the likelihood of free televised coverage of </w:t>
      </w:r>
      <w:r w:rsidR="00B5207D">
        <w:t xml:space="preserve">nationally important and culturally significant </w:t>
      </w:r>
      <w:r w:rsidRPr="00A43613">
        <w:t>events.</w:t>
      </w:r>
    </w:p>
    <w:p w14:paraId="590AA95B" w14:textId="22B18D2A" w:rsidR="002679BD" w:rsidRPr="00DA49A8" w:rsidRDefault="002679BD" w:rsidP="002679BD">
      <w:pPr>
        <w:pStyle w:val="Heading3"/>
      </w:pPr>
      <w:r w:rsidRPr="00DA49A8">
        <w:t xml:space="preserve">The </w:t>
      </w:r>
      <w:r>
        <w:t>scheme</w:t>
      </w:r>
    </w:p>
    <w:p w14:paraId="44200648" w14:textId="31E4A860" w:rsidR="002679BD" w:rsidRDefault="002679BD" w:rsidP="002679BD">
      <w:bookmarkStart w:id="108" w:name="_Hlk142256498"/>
      <w:r w:rsidRPr="001A2D5B">
        <w:t xml:space="preserve">The scheme </w:t>
      </w:r>
      <w:bookmarkStart w:id="109" w:name="_Hlk141431574"/>
      <w:r w:rsidRPr="001A2D5B">
        <w:t xml:space="preserve">regulates the order in which the rights to televise events on the anti-siphoning list may be acquired by </w:t>
      </w:r>
      <w:r>
        <w:t xml:space="preserve">certain types of licensed </w:t>
      </w:r>
      <w:r w:rsidRPr="001A2D5B">
        <w:t xml:space="preserve">television broadcasters. </w:t>
      </w:r>
      <w:r w:rsidR="00DB04E1">
        <w:t xml:space="preserve">It operates as a licence condition for subscription television broadcasting licensees, preventing them from </w:t>
      </w:r>
      <w:r w:rsidRPr="001A2D5B">
        <w:t xml:space="preserve">acquiring the right to televise an event on the anti-siphoning list unless a free-to-air television broadcaster has a right. </w:t>
      </w:r>
      <w:bookmarkEnd w:id="109"/>
      <w:r w:rsidR="00DB04E1">
        <w:t>T</w:t>
      </w:r>
      <w:r w:rsidRPr="003E6555">
        <w:t xml:space="preserve">he scheme’s </w:t>
      </w:r>
      <w:r w:rsidR="00DB04E1">
        <w:t>objective</w:t>
      </w:r>
      <w:r w:rsidRPr="003E6555">
        <w:t xml:space="preserve"> is to </w:t>
      </w:r>
      <w:r w:rsidR="006F3826">
        <w:t>support</w:t>
      </w:r>
      <w:r w:rsidRPr="003E6555">
        <w:t xml:space="preserve"> free televised coverage of </w:t>
      </w:r>
      <w:r w:rsidR="00B5207D">
        <w:t xml:space="preserve">nationally important and culturally significant </w:t>
      </w:r>
      <w:r w:rsidRPr="003E6555">
        <w:t xml:space="preserve">events. It does not guarantee this </w:t>
      </w:r>
      <w:r w:rsidR="008946E3">
        <w:t>objective</w:t>
      </w:r>
      <w:r w:rsidRPr="003E6555">
        <w:t>, but seeks to support its achievement</w:t>
      </w:r>
      <w:r>
        <w:t>.</w:t>
      </w:r>
    </w:p>
    <w:p w14:paraId="1B9DE375" w14:textId="77777777" w:rsidR="002679BD" w:rsidRPr="00DA49A8" w:rsidRDefault="002679BD" w:rsidP="002679BD">
      <w:pPr>
        <w:pStyle w:val="Heading3"/>
      </w:pPr>
      <w:bookmarkStart w:id="110" w:name="_Toc140842889"/>
      <w:bookmarkEnd w:id="108"/>
      <w:r w:rsidRPr="00DA49A8">
        <w:t>The list</w:t>
      </w:r>
      <w:bookmarkEnd w:id="110"/>
    </w:p>
    <w:p w14:paraId="132BB72E" w14:textId="10814F6A" w:rsidR="002679BD" w:rsidRDefault="002679BD" w:rsidP="002679BD">
      <w:r>
        <w:t>A key part of the scheme is the anti-siphoning list.</w:t>
      </w:r>
      <w:r w:rsidRPr="001A2D5B">
        <w:t xml:space="preserve"> </w:t>
      </w:r>
      <w:r>
        <w:t>Without a list, the scheme would have no operative effect.</w:t>
      </w:r>
    </w:p>
    <w:p w14:paraId="0F1F119E" w14:textId="77777777" w:rsidR="002679BD" w:rsidRDefault="002679BD" w:rsidP="002679BD">
      <w:bookmarkStart w:id="111" w:name="_Hlk142256685"/>
      <w:r>
        <w:t>The list is a legislative instrument made by the Minister under subsection 115(1) of the BSA. Through this instrument, the Minister may specify an event, or events of a kind, the televising of which should, in the Minister’s opinion, ‘</w:t>
      </w:r>
      <w:r w:rsidRPr="00BD4B07">
        <w:rPr>
          <w:i/>
        </w:rPr>
        <w:t>be available free to the general public</w:t>
      </w:r>
      <w:r>
        <w:t>’.</w:t>
      </w:r>
      <w:r>
        <w:rPr>
          <w:rStyle w:val="FootnoteReference"/>
        </w:rPr>
        <w:footnoteReference w:id="13"/>
      </w:r>
    </w:p>
    <w:p w14:paraId="5B6E5DDB" w14:textId="0FD9CEF1" w:rsidR="002679BD" w:rsidRDefault="002679BD" w:rsidP="002679BD">
      <w:bookmarkStart w:id="112" w:name="_Hlk142256898"/>
      <w:r w:rsidRPr="001A2D5B">
        <w:t xml:space="preserve">The list includes events </w:t>
      </w:r>
      <w:r w:rsidR="00EF35D3">
        <w:t>from</w:t>
      </w:r>
      <w:r w:rsidR="00EF35D3" w:rsidRPr="001A2D5B">
        <w:t xml:space="preserve"> </w:t>
      </w:r>
      <w:r>
        <w:t xml:space="preserve">11 sports: the </w:t>
      </w:r>
      <w:r w:rsidRPr="001A2D5B">
        <w:t>Olympic Games</w:t>
      </w:r>
      <w:r>
        <w:t>;</w:t>
      </w:r>
      <w:r w:rsidRPr="001A2D5B">
        <w:t xml:space="preserve"> </w:t>
      </w:r>
      <w:r w:rsidR="00EF35D3">
        <w:t xml:space="preserve">the </w:t>
      </w:r>
      <w:r w:rsidRPr="001A2D5B">
        <w:t>Commonwealth Games</w:t>
      </w:r>
      <w:r>
        <w:t xml:space="preserve">; </w:t>
      </w:r>
      <w:r w:rsidR="00177736">
        <w:t>Australian rules football</w:t>
      </w:r>
      <w:r>
        <w:t xml:space="preserve">; </w:t>
      </w:r>
      <w:r w:rsidRPr="001A2D5B">
        <w:t>rugby league</w:t>
      </w:r>
      <w:r>
        <w:t xml:space="preserve">; </w:t>
      </w:r>
      <w:r w:rsidRPr="001A2D5B">
        <w:t>rugby union</w:t>
      </w:r>
      <w:r>
        <w:t xml:space="preserve">; </w:t>
      </w:r>
      <w:r w:rsidRPr="001A2D5B">
        <w:t>soccer</w:t>
      </w:r>
      <w:r>
        <w:t xml:space="preserve">; </w:t>
      </w:r>
      <w:r w:rsidRPr="001A2D5B">
        <w:t>tennis</w:t>
      </w:r>
      <w:r>
        <w:t xml:space="preserve">; </w:t>
      </w:r>
      <w:r w:rsidRPr="001A2D5B">
        <w:t>netball</w:t>
      </w:r>
      <w:r>
        <w:t xml:space="preserve">; </w:t>
      </w:r>
      <w:r w:rsidRPr="001A2D5B">
        <w:t>motorsports</w:t>
      </w:r>
      <w:r>
        <w:t xml:space="preserve">; </w:t>
      </w:r>
      <w:r w:rsidRPr="001A2D5B">
        <w:t>horse racing</w:t>
      </w:r>
      <w:r>
        <w:t xml:space="preserve">; </w:t>
      </w:r>
      <w:r w:rsidRPr="001A2D5B">
        <w:t>and cricket.</w:t>
      </w:r>
    </w:p>
    <w:p w14:paraId="34138748" w14:textId="4BD0501A" w:rsidR="002679BD" w:rsidRPr="00F43963" w:rsidRDefault="002679BD" w:rsidP="002679BD">
      <w:r w:rsidRPr="001A2D5B">
        <w:t>Events are automatically delisted (removed) from the anti-siphoning list 4,368 hours (26 weeks) prior to the start of</w:t>
      </w:r>
      <w:r>
        <w:t xml:space="preserve"> the specific event.</w:t>
      </w:r>
      <w:r>
        <w:rPr>
          <w:rStyle w:val="FootnoteReference"/>
        </w:rPr>
        <w:footnoteReference w:id="14"/>
      </w:r>
      <w:r>
        <w:t xml:space="preserve"> </w:t>
      </w:r>
      <w:bookmarkEnd w:id="111"/>
      <w:r w:rsidRPr="00F43963">
        <w:t>This arrangement</w:t>
      </w:r>
      <w:r>
        <w:t xml:space="preserve"> </w:t>
      </w:r>
      <w:r w:rsidRPr="00F43963">
        <w:t>seeks to provide subscription television broadcasters with some opportunity to acquire the rights to events that free-to-air broadcasters could be considered not to be interested in acquiring if they have not done so by that time.</w:t>
      </w:r>
    </w:p>
    <w:p w14:paraId="79747B67" w14:textId="77777777" w:rsidR="002679BD" w:rsidRDefault="002679BD" w:rsidP="002679BD">
      <w:r>
        <w:t>The Minister may retain an event on the anti-siphoning list (overriding automatic delisting) if they are satisfied that at least one free-to-air broadcaster has not had a reasonable opportunity to acquire the right to televise the event concerned.</w:t>
      </w:r>
      <w:r w:rsidR="009833FE">
        <w:rPr>
          <w:rStyle w:val="FootnoteReference"/>
        </w:rPr>
        <w:footnoteReference w:id="15"/>
      </w:r>
      <w:r>
        <w:t xml:space="preserve"> </w:t>
      </w:r>
      <w:bookmarkEnd w:id="112"/>
      <w:r>
        <w:t>The Minister can also remove an event from the anti-siphoning list, separate from the automatic delisting arrangements referred above.</w:t>
      </w:r>
      <w:r>
        <w:rPr>
          <w:rStyle w:val="FootnoteReference"/>
        </w:rPr>
        <w:footnoteReference w:id="16"/>
      </w:r>
    </w:p>
    <w:p w14:paraId="1320C59F" w14:textId="119DD0F0" w:rsidR="002679BD" w:rsidRDefault="002679BD" w:rsidP="002679BD">
      <w:r>
        <w:t xml:space="preserve">The current list – the </w:t>
      </w:r>
      <w:bookmarkStart w:id="113" w:name="_Hlk141431688"/>
      <w:r w:rsidRPr="009441CD">
        <w:rPr>
          <w:i/>
        </w:rPr>
        <w:t>Broadcasting Services (Events) Notice 2023</w:t>
      </w:r>
      <w:bookmarkEnd w:id="113"/>
      <w:r w:rsidRPr="009833FE">
        <w:rPr>
          <w:rStyle w:val="FootnoteReference"/>
        </w:rPr>
        <w:footnoteReference w:id="17"/>
      </w:r>
      <w:r>
        <w:t xml:space="preserve"> – was made in March 2023 and expires on</w:t>
      </w:r>
      <w:r w:rsidRPr="008E111B">
        <w:t xml:space="preserve"> 25</w:t>
      </w:r>
      <w:r>
        <w:t> </w:t>
      </w:r>
      <w:r w:rsidRPr="008E111B">
        <w:t>Mar</w:t>
      </w:r>
      <w:r w:rsidR="000F1C5F">
        <w:t>ch</w:t>
      </w:r>
      <w:r w:rsidRPr="008E111B">
        <w:t xml:space="preserve"> 2026</w:t>
      </w:r>
      <w:r>
        <w:t>. This list was made as an interim arrangement to provide continuity for the scheme while broader reforms were developed and progressed as part of this review.</w:t>
      </w:r>
    </w:p>
    <w:p w14:paraId="16CF93F8" w14:textId="5813D029" w:rsidR="002679BD" w:rsidRDefault="002679BD" w:rsidP="002679BD">
      <w:r>
        <w:t xml:space="preserve">Other powers available to the Minister, </w:t>
      </w:r>
      <w:r w:rsidRPr="00034774">
        <w:t xml:space="preserve">but operating separately to </w:t>
      </w:r>
      <w:r w:rsidR="00EF35D3">
        <w:t xml:space="preserve">the </w:t>
      </w:r>
      <w:r w:rsidR="00EF35D3" w:rsidRPr="00034774">
        <w:t>anti-siphoning scheme</w:t>
      </w:r>
      <w:r w:rsidRPr="00034774">
        <w:t>, are the anti</w:t>
      </w:r>
      <w:r w:rsidR="00EF35D3">
        <w:noBreakHyphen/>
      </w:r>
      <w:r w:rsidRPr="00034774">
        <w:t>hoarding rules.</w:t>
      </w:r>
      <w:r>
        <w:rPr>
          <w:rStyle w:val="FootnoteReference"/>
        </w:rPr>
        <w:footnoteReference w:id="18"/>
      </w:r>
      <w:r w:rsidRPr="00034774">
        <w:t xml:space="preserve"> The anti-hoarding rules are intended to encourage free-to-air broadcasters to provide </w:t>
      </w:r>
      <w:r w:rsidRPr="00034774">
        <w:lastRenderedPageBreak/>
        <w:t>live and complete television coverage of events they have acquired rights to</w:t>
      </w:r>
      <w:r>
        <w:t>,</w:t>
      </w:r>
      <w:r w:rsidRPr="00034774">
        <w:t xml:space="preserve"> and to pass</w:t>
      </w:r>
      <w:r w:rsidR="00046780">
        <w:t xml:space="preserve"> </w:t>
      </w:r>
      <w:r w:rsidRPr="00034774">
        <w:t>on any unused portion of those rights.</w:t>
      </w:r>
    </w:p>
    <w:p w14:paraId="3B7AC516" w14:textId="77777777" w:rsidR="002679BD" w:rsidRDefault="002679BD" w:rsidP="002679BD">
      <w:pPr>
        <w:pStyle w:val="Heading3"/>
      </w:pPr>
      <w:bookmarkStart w:id="114" w:name="_Toc140842890"/>
      <w:r>
        <w:t>Administration and enforcement</w:t>
      </w:r>
      <w:bookmarkEnd w:id="114"/>
    </w:p>
    <w:p w14:paraId="6FE7B914" w14:textId="77777777" w:rsidR="002679BD" w:rsidRDefault="002679BD" w:rsidP="002679BD">
      <w:r>
        <w:t>The Australian Communications and Media Authority (ACMA) is responsible for enforcing compliance with licence conditions of broadcasters, and thus the scheme.</w:t>
      </w:r>
      <w:r>
        <w:rPr>
          <w:rStyle w:val="FootnoteReference"/>
        </w:rPr>
        <w:footnoteReference w:id="19"/>
      </w:r>
      <w:r>
        <w:t xml:space="preserve"> There have been limited circumstances where the regulator or its predecessor organisation have investigated alleged breaches of the anti-siphoning rules, including suggestions that the broadcast rights for anti-siphoning listed events have been acquired by subscription television broadcasting licensees before free-to-air broadcasters.</w:t>
      </w:r>
    </w:p>
    <w:p w14:paraId="42E9C3D5" w14:textId="77777777" w:rsidR="002679BD" w:rsidRDefault="002679BD" w:rsidP="002679BD">
      <w:r>
        <w:t>Complaints received by the ACMA relating to the anti-siphoning scheme generally raise concerns about events not being broadcast live, in-full, or at all. This reflects the common misconception that the rules require free</w:t>
      </w:r>
      <w:r w:rsidR="00126226">
        <w:noBreakHyphen/>
      </w:r>
      <w:r>
        <w:t>to-air broadcasters to acquire the rights to an anti-siphoning listed event or to televise an event to which they have acquired the rights.</w:t>
      </w:r>
    </w:p>
    <w:p w14:paraId="1D0A9BD9" w14:textId="77777777" w:rsidR="002679BD" w:rsidRDefault="002679BD" w:rsidP="002679BD">
      <w:pPr>
        <w:pStyle w:val="Box1Heading"/>
      </w:pPr>
      <w:r>
        <w:t>The anti-siphoning scheme does not:</w:t>
      </w:r>
    </w:p>
    <w:p w14:paraId="3B0982AA" w14:textId="6B65F0F5" w:rsidR="002679BD" w:rsidRPr="007A7B34" w:rsidRDefault="002679BD" w:rsidP="002679BD">
      <w:pPr>
        <w:pStyle w:val="Box1Bullet1"/>
        <w:rPr>
          <w:sz w:val="22"/>
          <w:szCs w:val="22"/>
        </w:rPr>
      </w:pPr>
      <w:r w:rsidRPr="007A7B34">
        <w:rPr>
          <w:sz w:val="22"/>
          <w:szCs w:val="22"/>
        </w:rPr>
        <w:t>require free-to-air television broadcasters to acquire the right to televise anti-siphoning listed events, or to televise the events for which they do acquire rights</w:t>
      </w:r>
    </w:p>
    <w:p w14:paraId="76E67B63" w14:textId="19ED5A04" w:rsidR="002679BD" w:rsidRPr="007A7B34" w:rsidRDefault="002679BD" w:rsidP="002679BD">
      <w:pPr>
        <w:pStyle w:val="Box1Bullet1"/>
        <w:rPr>
          <w:sz w:val="22"/>
          <w:szCs w:val="22"/>
        </w:rPr>
      </w:pPr>
      <w:r w:rsidRPr="007A7B34">
        <w:rPr>
          <w:sz w:val="22"/>
          <w:szCs w:val="22"/>
        </w:rPr>
        <w:t>stipulate what constitutes a ‘right to televise’ an event on the anti-siphoning list, although court cases have considered this issue to an extent</w:t>
      </w:r>
      <w:r w:rsidRPr="007A7B34">
        <w:rPr>
          <w:rStyle w:val="FootnoteReference"/>
          <w:sz w:val="22"/>
          <w:szCs w:val="22"/>
        </w:rPr>
        <w:footnoteReference w:id="20"/>
      </w:r>
    </w:p>
    <w:p w14:paraId="5CB42BA5" w14:textId="48F92AD7" w:rsidR="002679BD" w:rsidRPr="007A7B34" w:rsidRDefault="002679BD" w:rsidP="002679BD">
      <w:pPr>
        <w:pStyle w:val="Box1Bullet1"/>
        <w:rPr>
          <w:sz w:val="22"/>
          <w:szCs w:val="22"/>
        </w:rPr>
      </w:pPr>
      <w:r w:rsidRPr="007A7B34">
        <w:rPr>
          <w:sz w:val="22"/>
          <w:szCs w:val="22"/>
        </w:rPr>
        <w:t>prevent the on-selling of some, or all, rights to an event on the anti-siphoning list to a subscription television broadcasting licensee or any other content service provider</w:t>
      </w:r>
    </w:p>
    <w:p w14:paraId="06FB4631" w14:textId="77777777" w:rsidR="002679BD" w:rsidRPr="007A7B34" w:rsidRDefault="002679BD" w:rsidP="002679BD">
      <w:pPr>
        <w:pStyle w:val="Box1Bullet1"/>
        <w:rPr>
          <w:sz w:val="22"/>
          <w:szCs w:val="22"/>
        </w:rPr>
      </w:pPr>
      <w:r w:rsidRPr="007A7B34">
        <w:rPr>
          <w:sz w:val="22"/>
          <w:szCs w:val="22"/>
        </w:rPr>
        <w:t>restrict the acquisition of a right to televise an event on the anti-siphoning list by any content service provider other than the holder of a subscription television broadcasting licence.</w:t>
      </w:r>
    </w:p>
    <w:p w14:paraId="70C089D5" w14:textId="77777777" w:rsidR="002679BD" w:rsidRPr="004C3F4C" w:rsidRDefault="002679BD" w:rsidP="004C3F4C">
      <w:pPr>
        <w:rPr>
          <w:b/>
          <w:color w:val="737373" w:themeColor="background2" w:themeShade="80"/>
          <w:sz w:val="36"/>
          <w:szCs w:val="36"/>
          <w:lang w:val="en-US"/>
        </w:rPr>
      </w:pPr>
      <w:bookmarkStart w:id="116" w:name="_Toc140842891"/>
      <w:r w:rsidRPr="004C3F4C">
        <w:rPr>
          <w:b/>
          <w:color w:val="737373" w:themeColor="background2" w:themeShade="80"/>
          <w:sz w:val="36"/>
          <w:szCs w:val="36"/>
          <w:lang w:val="en-US"/>
        </w:rPr>
        <w:t>Trends in sports coverage and consumption</w:t>
      </w:r>
      <w:bookmarkEnd w:id="116"/>
    </w:p>
    <w:p w14:paraId="2574ADE3" w14:textId="2C449A63" w:rsidR="002679BD" w:rsidRPr="00973E6A" w:rsidRDefault="002679BD" w:rsidP="002679BD">
      <w:pPr>
        <w:pStyle w:val="Introduction"/>
        <w:spacing w:before="160" w:after="80"/>
        <w:rPr>
          <w:color w:val="000000" w:themeColor="text1"/>
          <w:sz w:val="22"/>
          <w:lang w:val="en-AU"/>
        </w:rPr>
      </w:pPr>
      <w:r w:rsidRPr="00973E6A">
        <w:rPr>
          <w:color w:val="000000" w:themeColor="text1"/>
          <w:sz w:val="22"/>
          <w:lang w:val="en-AU"/>
        </w:rPr>
        <w:t xml:space="preserve">The </w:t>
      </w:r>
      <w:r w:rsidR="000836B6">
        <w:rPr>
          <w:color w:val="000000" w:themeColor="text1"/>
          <w:sz w:val="22"/>
          <w:lang w:val="en-AU"/>
        </w:rPr>
        <w:t>2022</w:t>
      </w:r>
      <w:r w:rsidRPr="00973E6A">
        <w:rPr>
          <w:color w:val="000000" w:themeColor="text1"/>
          <w:sz w:val="22"/>
          <w:lang w:val="en-AU"/>
        </w:rPr>
        <w:t xml:space="preserve"> consultation paper</w:t>
      </w:r>
      <w:r w:rsidRPr="00973E6A">
        <w:rPr>
          <w:color w:val="000000" w:themeColor="text1"/>
          <w:sz w:val="22"/>
          <w:vertAlign w:val="superscript"/>
          <w:lang w:val="en-AU"/>
        </w:rPr>
        <w:footnoteReference w:id="21"/>
      </w:r>
      <w:r w:rsidRPr="00973E6A">
        <w:rPr>
          <w:color w:val="000000" w:themeColor="text1"/>
          <w:sz w:val="22"/>
          <w:lang w:val="en-AU"/>
        </w:rPr>
        <w:t xml:space="preserve"> noted that the media landscape for sports has changed dramatically since the anti-siphoning scheme was introduced. Sport</w:t>
      </w:r>
      <w:r>
        <w:rPr>
          <w:color w:val="000000" w:themeColor="text1"/>
          <w:sz w:val="22"/>
          <w:lang w:val="en-AU"/>
        </w:rPr>
        <w:t>ing events continue to a</w:t>
      </w:r>
      <w:r w:rsidRPr="00973E6A">
        <w:rPr>
          <w:color w:val="000000" w:themeColor="text1"/>
          <w:sz w:val="22"/>
          <w:lang w:val="en-AU"/>
        </w:rPr>
        <w:t xml:space="preserve">ttract large audiences </w:t>
      </w:r>
      <w:r>
        <w:rPr>
          <w:color w:val="000000" w:themeColor="text1"/>
          <w:sz w:val="22"/>
          <w:lang w:val="en-AU"/>
        </w:rPr>
        <w:t xml:space="preserve">and sport remains a key content genre for many media outlets. </w:t>
      </w:r>
      <w:r w:rsidRPr="005A4FA6">
        <w:rPr>
          <w:color w:val="000000" w:themeColor="text1"/>
          <w:sz w:val="22"/>
          <w:lang w:val="en-AU"/>
        </w:rPr>
        <w:t xml:space="preserve">However, </w:t>
      </w:r>
      <w:r>
        <w:rPr>
          <w:color w:val="000000" w:themeColor="text1"/>
          <w:sz w:val="22"/>
          <w:lang w:val="en-AU"/>
        </w:rPr>
        <w:t>A</w:t>
      </w:r>
      <w:r w:rsidRPr="00973E6A">
        <w:rPr>
          <w:color w:val="000000" w:themeColor="text1"/>
          <w:sz w:val="22"/>
          <w:lang w:val="en-AU"/>
        </w:rPr>
        <w:t xml:space="preserve">ustralian audiences </w:t>
      </w:r>
      <w:r w:rsidRPr="005A4FA6">
        <w:rPr>
          <w:color w:val="000000" w:themeColor="text1"/>
          <w:sz w:val="22"/>
          <w:lang w:val="en-AU"/>
        </w:rPr>
        <w:t xml:space="preserve">now </w:t>
      </w:r>
      <w:r w:rsidRPr="00973E6A">
        <w:rPr>
          <w:color w:val="000000" w:themeColor="text1"/>
          <w:sz w:val="22"/>
          <w:lang w:val="en-AU"/>
        </w:rPr>
        <w:t xml:space="preserve">have </w:t>
      </w:r>
      <w:r w:rsidRPr="005A4FA6">
        <w:rPr>
          <w:color w:val="000000" w:themeColor="text1"/>
          <w:sz w:val="22"/>
          <w:lang w:val="en-AU"/>
        </w:rPr>
        <w:t xml:space="preserve">far </w:t>
      </w:r>
      <w:r w:rsidRPr="00973E6A">
        <w:rPr>
          <w:color w:val="000000" w:themeColor="text1"/>
          <w:sz w:val="22"/>
          <w:lang w:val="en-AU"/>
        </w:rPr>
        <w:t>more choice from a wider range of providers</w:t>
      </w:r>
      <w:r w:rsidR="00F3212F">
        <w:rPr>
          <w:color w:val="000000" w:themeColor="text1"/>
          <w:sz w:val="22"/>
          <w:lang w:val="en-AU"/>
        </w:rPr>
        <w:t xml:space="preserve"> and platforms,</w:t>
      </w:r>
      <w:r w:rsidRPr="00973E6A">
        <w:rPr>
          <w:color w:val="000000" w:themeColor="text1"/>
          <w:sz w:val="22"/>
          <w:lang w:val="en-AU"/>
        </w:rPr>
        <w:t xml:space="preserve"> including streaming services.</w:t>
      </w:r>
    </w:p>
    <w:p w14:paraId="39C3391A" w14:textId="78064A48" w:rsidR="00D20ECB" w:rsidRDefault="002679BD" w:rsidP="002679BD">
      <w:pPr>
        <w:rPr>
          <w:rFonts w:asciiTheme="majorHAnsi" w:eastAsiaTheme="majorEastAsia" w:hAnsiTheme="majorHAnsi" w:cstheme="majorBidi"/>
          <w:color w:val="081E3E" w:themeColor="text2"/>
          <w:sz w:val="44"/>
          <w:szCs w:val="32"/>
        </w:rPr>
      </w:pPr>
      <w:r w:rsidRPr="00973E6A">
        <w:t>Within Australia, streaming services have begun acquiring rights to sports, but have yet to exclusively acquire the rights to any events on the anti-siphoning list.</w:t>
      </w:r>
      <w:r>
        <w:t xml:space="preserve"> </w:t>
      </w:r>
      <w:r w:rsidRPr="00973E6A">
        <w:t>Overseas, this trend is more advanced, with streaming services acquiring rights to high profile sports such as the English Premier League (soccer), the NFL (American football) and the Indian Premier League (cricket).</w:t>
      </w:r>
      <w:r w:rsidR="00F122B6">
        <w:t xml:space="preserve"> A </w:t>
      </w:r>
      <w:r>
        <w:t>more detailed description of these trends</w:t>
      </w:r>
      <w:r w:rsidR="00F122B6">
        <w:t xml:space="preserve"> is provided </w:t>
      </w:r>
      <w:r w:rsidR="002E0FF2">
        <w:t>in Chapter</w:t>
      </w:r>
      <w:r>
        <w:t xml:space="preserve"> 3 of the </w:t>
      </w:r>
      <w:r w:rsidR="003D4CC8">
        <w:t xml:space="preserve">2022 </w:t>
      </w:r>
      <w:r>
        <w:t>review consultation paper. The remaining chapters of this paper provide updates and additional information where this has been garnered through the review process to date.</w:t>
      </w:r>
      <w:r w:rsidR="00485A57" w:rsidRPr="00EB6AD5">
        <w:br w:type="page"/>
      </w:r>
    </w:p>
    <w:p w14:paraId="11727244" w14:textId="77777777" w:rsidR="001425EF" w:rsidRDefault="00852DEE" w:rsidP="00852DEE">
      <w:pPr>
        <w:pStyle w:val="Heading1"/>
      </w:pPr>
      <w:bookmarkStart w:id="118" w:name="_Hlk140831028"/>
      <w:bookmarkStart w:id="119" w:name="_Toc140842893"/>
      <w:bookmarkStart w:id="120" w:name="_Toc141369800"/>
      <w:bookmarkStart w:id="121" w:name="_Toc143265591"/>
      <w:bookmarkStart w:id="122" w:name="_Hlk140848163"/>
      <w:bookmarkStart w:id="123" w:name="_Hlk140846899"/>
      <w:bookmarkStart w:id="124" w:name="_Hlk140847712"/>
      <w:r>
        <w:lastRenderedPageBreak/>
        <w:t xml:space="preserve">Chapter 5: </w:t>
      </w:r>
      <w:bookmarkEnd w:id="118"/>
      <w:r w:rsidR="00DB675A">
        <w:t>Preliminary f</w:t>
      </w:r>
      <w:r w:rsidR="004261DE" w:rsidRPr="004261DE">
        <w:t>indings of the review to date</w:t>
      </w:r>
      <w:bookmarkEnd w:id="119"/>
      <w:bookmarkEnd w:id="120"/>
      <w:bookmarkEnd w:id="121"/>
    </w:p>
    <w:p w14:paraId="6E9649AE" w14:textId="10A96A0E" w:rsidR="002679BD" w:rsidRDefault="002679BD" w:rsidP="002679BD">
      <w:r w:rsidRPr="00C15344">
        <w:t xml:space="preserve">The </w:t>
      </w:r>
      <w:r>
        <w:t xml:space="preserve">initial phase of the anti-siphoning </w:t>
      </w:r>
      <w:r w:rsidRPr="00C15344">
        <w:t xml:space="preserve">review </w:t>
      </w:r>
      <w:r>
        <w:t>considered a wide range of issues associated with the scheme and the regulation of television coverage of key sporting events. These related to the broad policy aims and settings associated with the regulation of sports rights, along with the operation of elements of the scheme itself and the general composition of the list.</w:t>
      </w:r>
    </w:p>
    <w:p w14:paraId="16959425" w14:textId="4E5648F1" w:rsidR="002679BD" w:rsidRDefault="002679BD" w:rsidP="002679BD">
      <w:r>
        <w:t xml:space="preserve">The 25 submissions provided in response to the </w:t>
      </w:r>
      <w:r w:rsidR="002744AD">
        <w:t xml:space="preserve">2022 </w:t>
      </w:r>
      <w:r>
        <w:t>consultation paper</w:t>
      </w:r>
      <w:r w:rsidR="00EE45B3" w:rsidRPr="00EE45B3">
        <w:rPr>
          <w:rStyle w:val="FootnoteReference"/>
        </w:rPr>
        <w:t xml:space="preserve"> </w:t>
      </w:r>
      <w:r>
        <w:rPr>
          <w:rStyle w:val="FootnoteReference"/>
          <w:color w:val="auto"/>
        </w:rPr>
        <w:footnoteReference w:id="22"/>
      </w:r>
      <w:r>
        <w:t xml:space="preserve"> put forward a range of views and positions in relation to these matters. As noted in Chapter 3, the key theme raised in submissions and through the supporting roundtable discussions was the growing coverage of sporting events online and the acquisition of media rights by streaming services and digital platforms.</w:t>
      </w:r>
    </w:p>
    <w:p w14:paraId="3E3DA613" w14:textId="2E678623" w:rsidR="002679BD" w:rsidRDefault="002679BD" w:rsidP="002679BD">
      <w:bookmarkStart w:id="125" w:name="_Hlk142057676"/>
      <w:r>
        <w:t>However, there was little or no consensus across these submissions in relation to potential changes to the scheme and to the list. Contrasting proposals were advanced from different sectors of the industry and, in many cases, these proposals constituted starkly different approaches to the regulation of sports rights and sports broadcasting.</w:t>
      </w:r>
    </w:p>
    <w:bookmarkEnd w:id="125"/>
    <w:p w14:paraId="5E18FDE5" w14:textId="5491C534" w:rsidR="002679BD" w:rsidRDefault="002679BD" w:rsidP="002679BD">
      <w:r>
        <w:t>While the differences between submissions were significant, there was consistency in the desire from parties to be able to review and comment on specific proposals for reform before they are introduced into Parliament. In particular, stakeholders requested the ability to comment on any changes of substance to the scheme itself, and any alterations to the composition of the anti-siphoning list.</w:t>
      </w:r>
    </w:p>
    <w:p w14:paraId="7FD10F9B" w14:textId="77474995" w:rsidR="002679BD" w:rsidRDefault="002679BD" w:rsidP="002679BD">
      <w:r>
        <w:t>To this end, Chapters 6 and 7 of this paper set out, respectively:</w:t>
      </w:r>
    </w:p>
    <w:p w14:paraId="1250B036" w14:textId="31BE350D" w:rsidR="002679BD" w:rsidRDefault="002679BD" w:rsidP="001A687D">
      <w:pPr>
        <w:pStyle w:val="ListParagraph"/>
        <w:numPr>
          <w:ilvl w:val="0"/>
          <w:numId w:val="46"/>
        </w:numPr>
        <w:contextualSpacing w:val="0"/>
      </w:pPr>
      <w:r>
        <w:t>three detailed models for reform of the scheme</w:t>
      </w:r>
    </w:p>
    <w:p w14:paraId="3C84C7AE" w14:textId="04DED657" w:rsidR="002679BD" w:rsidRPr="00EE45B3" w:rsidRDefault="002679BD" w:rsidP="00EE45B3">
      <w:pPr>
        <w:pStyle w:val="ListParagraph"/>
        <w:numPr>
          <w:ilvl w:val="0"/>
          <w:numId w:val="46"/>
        </w:numPr>
        <w:spacing w:before="0" w:after="0"/>
        <w:rPr>
          <w:rFonts w:ascii="Times New Roman" w:hAnsi="Times New Roman" w:cs="Times New Roman"/>
          <w:color w:val="auto"/>
          <w:sz w:val="24"/>
          <w:szCs w:val="24"/>
          <w:lang w:eastAsia="en-AU"/>
        </w:rPr>
      </w:pPr>
      <w:r>
        <w:t>three specific options for a new list to be made alongside (or as part of) these reforms to replace the current list.</w:t>
      </w:r>
      <w:r>
        <w:rPr>
          <w:rStyle w:val="FootnoteReference"/>
          <w:color w:val="auto"/>
        </w:rPr>
        <w:footnoteReference w:id="23"/>
      </w:r>
    </w:p>
    <w:p w14:paraId="4549A859" w14:textId="73D168CC" w:rsidR="002679BD" w:rsidRDefault="002679BD" w:rsidP="002679BD">
      <w:r>
        <w:t xml:space="preserve">Although these reform models and list options require further consideration, there were </w:t>
      </w:r>
      <w:r w:rsidR="002868BC">
        <w:t>several</w:t>
      </w:r>
      <w:r>
        <w:t xml:space="preserve"> areas where preliminary findings have been able to be made based on the information surfaced through the review to date. These matters concern:</w:t>
      </w:r>
    </w:p>
    <w:p w14:paraId="35CC4522" w14:textId="6905FDD3" w:rsidR="002679BD" w:rsidRDefault="002679BD" w:rsidP="001A687D">
      <w:pPr>
        <w:pStyle w:val="ListParagraph"/>
        <w:numPr>
          <w:ilvl w:val="0"/>
          <w:numId w:val="40"/>
        </w:numPr>
        <w:ind w:left="357" w:hanging="357"/>
        <w:contextualSpacing w:val="0"/>
      </w:pPr>
      <w:r>
        <w:t>the objective of the anti-siphoning scheme</w:t>
      </w:r>
    </w:p>
    <w:p w14:paraId="78850B48" w14:textId="037D9B16" w:rsidR="002679BD" w:rsidRDefault="002679BD" w:rsidP="001A687D">
      <w:pPr>
        <w:pStyle w:val="ListParagraph"/>
        <w:numPr>
          <w:ilvl w:val="0"/>
          <w:numId w:val="40"/>
        </w:numPr>
        <w:ind w:left="357" w:hanging="357"/>
        <w:contextualSpacing w:val="0"/>
      </w:pPr>
      <w:r>
        <w:t xml:space="preserve">the role of, and need for, regulation to </w:t>
      </w:r>
      <w:r w:rsidR="008946E3">
        <w:t xml:space="preserve">promote </w:t>
      </w:r>
      <w:r>
        <w:t>this objective</w:t>
      </w:r>
    </w:p>
    <w:p w14:paraId="230EB282" w14:textId="2C8A14B1" w:rsidR="002679BD" w:rsidRDefault="002679BD" w:rsidP="001A687D">
      <w:pPr>
        <w:pStyle w:val="ListParagraph"/>
        <w:numPr>
          <w:ilvl w:val="0"/>
          <w:numId w:val="40"/>
        </w:numPr>
        <w:ind w:left="357" w:hanging="357"/>
        <w:contextualSpacing w:val="0"/>
      </w:pPr>
      <w:r>
        <w:t>the inclusion of online services in the regulatory framework</w:t>
      </w:r>
    </w:p>
    <w:p w14:paraId="05E2E7B1" w14:textId="5CBCE030" w:rsidR="002679BD" w:rsidRDefault="002679BD" w:rsidP="001A687D">
      <w:pPr>
        <w:pStyle w:val="ListParagraph"/>
        <w:numPr>
          <w:ilvl w:val="0"/>
          <w:numId w:val="40"/>
        </w:numPr>
        <w:ind w:left="357" w:hanging="357"/>
        <w:contextualSpacing w:val="0"/>
      </w:pPr>
      <w:r>
        <w:t>the composition of the list with respect to particular competitions and sports.</w:t>
      </w:r>
    </w:p>
    <w:p w14:paraId="6CDF2932" w14:textId="54F16BBA" w:rsidR="002679BD" w:rsidRDefault="002679BD" w:rsidP="002679BD">
      <w:r>
        <w:t xml:space="preserve">A number of preliminary findings in relation to these matters are set out in this chapter. These are important, as they have guided the design of the reform models for the scheme presented </w:t>
      </w:r>
      <w:r w:rsidRPr="00DB675A">
        <w:t>in</w:t>
      </w:r>
      <w:r>
        <w:t xml:space="preserve"> Chapter 6 </w:t>
      </w:r>
      <w:r w:rsidRPr="00DB675A">
        <w:t>and</w:t>
      </w:r>
      <w:r>
        <w:t xml:space="preserve"> the options for the list considered in Chapter 7.</w:t>
      </w:r>
    </w:p>
    <w:p w14:paraId="483C5056" w14:textId="77777777" w:rsidR="00C15344" w:rsidRDefault="00DB675A" w:rsidP="00C15344">
      <w:pPr>
        <w:pStyle w:val="Heading2"/>
      </w:pPr>
      <w:bookmarkStart w:id="126" w:name="_Toc140842894"/>
      <w:bookmarkStart w:id="127" w:name="_Toc141369801"/>
      <w:bookmarkStart w:id="128" w:name="_Toc143265592"/>
      <w:bookmarkStart w:id="129" w:name="_Hlk142057718"/>
      <w:r>
        <w:t>Preliminary</w:t>
      </w:r>
      <w:r w:rsidR="00C12C27">
        <w:t xml:space="preserve"> finding 1: t</w:t>
      </w:r>
      <w:r w:rsidR="00C15344">
        <w:t>he core objective of the anti-siphoning scheme remains relevant</w:t>
      </w:r>
      <w:bookmarkEnd w:id="126"/>
      <w:bookmarkEnd w:id="127"/>
      <w:bookmarkEnd w:id="128"/>
    </w:p>
    <w:bookmarkEnd w:id="129"/>
    <w:p w14:paraId="4CE2BFBE" w14:textId="43AE45DB" w:rsidR="00C15344" w:rsidRDefault="003E6555" w:rsidP="00AF112B">
      <w:r w:rsidRPr="003E6555">
        <w:rPr>
          <w:rFonts w:cstheme="minorHAnsi"/>
          <w:color w:val="auto"/>
        </w:rPr>
        <w:t xml:space="preserve">The anti-siphoning scheme </w:t>
      </w:r>
      <w:r w:rsidR="00644388">
        <w:rPr>
          <w:rFonts w:cstheme="minorHAnsi"/>
          <w:color w:val="auto"/>
        </w:rPr>
        <w:t xml:space="preserve">operates to </w:t>
      </w:r>
      <w:r w:rsidR="00DB7559">
        <w:rPr>
          <w:rFonts w:cstheme="minorHAnsi"/>
          <w:color w:val="auto"/>
        </w:rPr>
        <w:t xml:space="preserve">support </w:t>
      </w:r>
      <w:r w:rsidRPr="00455C23">
        <w:rPr>
          <w:rFonts w:cstheme="minorHAnsi"/>
          <w:color w:val="auto"/>
        </w:rPr>
        <w:t>the free availability of certain types of programs</w:t>
      </w:r>
      <w:r w:rsidRPr="003E6555">
        <w:rPr>
          <w:rFonts w:cstheme="minorHAnsi"/>
          <w:color w:val="auto"/>
        </w:rPr>
        <w:t xml:space="preserve">. </w:t>
      </w:r>
      <w:r w:rsidR="00DB7559" w:rsidRPr="003E6555">
        <w:rPr>
          <w:rFonts w:cstheme="minorHAnsi"/>
          <w:color w:val="auto"/>
        </w:rPr>
        <w:t>Section 115</w:t>
      </w:r>
      <w:r w:rsidR="00DB7559">
        <w:rPr>
          <w:rFonts w:cstheme="minorHAnsi"/>
          <w:color w:val="auto"/>
        </w:rPr>
        <w:t xml:space="preserve"> of the BSA </w:t>
      </w:r>
      <w:r w:rsidR="00DB7559" w:rsidRPr="003E6555">
        <w:rPr>
          <w:rFonts w:cstheme="minorHAnsi"/>
          <w:color w:val="auto"/>
        </w:rPr>
        <w:t xml:space="preserve">provides that the Minister </w:t>
      </w:r>
      <w:r w:rsidR="00DB7559" w:rsidRPr="003E6555">
        <w:t xml:space="preserve">may specify an event, or events of a kind, the televising of which should, in the opinion of the Minister, </w:t>
      </w:r>
      <w:r w:rsidR="0083595A">
        <w:t>‘</w:t>
      </w:r>
      <w:r w:rsidR="00DB7559" w:rsidRPr="00644388">
        <w:t>be</w:t>
      </w:r>
      <w:r w:rsidR="00DB7559" w:rsidRPr="003E6555">
        <w:t xml:space="preserve"> </w:t>
      </w:r>
      <w:r w:rsidR="00DB7559" w:rsidRPr="00FC7446">
        <w:t>available free to the general public</w:t>
      </w:r>
      <w:r w:rsidR="0083595A">
        <w:t>’</w:t>
      </w:r>
      <w:r w:rsidR="00DB7559" w:rsidRPr="003E6555">
        <w:t>.</w:t>
      </w:r>
      <w:r w:rsidR="00DB7559">
        <w:t xml:space="preserve"> </w:t>
      </w:r>
      <w:r w:rsidRPr="003E6555">
        <w:rPr>
          <w:rFonts w:cstheme="minorHAnsi"/>
          <w:color w:val="auto"/>
        </w:rPr>
        <w:t xml:space="preserve">To date, the only programs regulated under the scheme have </w:t>
      </w:r>
      <w:r w:rsidRPr="003E6555">
        <w:t>been sporting events.</w:t>
      </w:r>
    </w:p>
    <w:p w14:paraId="640572D2" w14:textId="7D7A3DD5" w:rsidR="003E6555" w:rsidRDefault="000B5357" w:rsidP="00AF112B">
      <w:r>
        <w:lastRenderedPageBreak/>
        <w:t>The objective of the scheme was outlined in</w:t>
      </w:r>
      <w:r w:rsidR="003E6555">
        <w:t xml:space="preserve"> the Explanatory Memorandum to the Broadcasting Services Bill 1992</w:t>
      </w:r>
      <w:r w:rsidR="00DB7559">
        <w:t xml:space="preserve"> (the 1992 Explanatory Memorandum)</w:t>
      </w:r>
      <w:r w:rsidR="003E6555">
        <w:t xml:space="preserve">, which </w:t>
      </w:r>
      <w:r>
        <w:t>states that</w:t>
      </w:r>
      <w:r w:rsidR="003E6555">
        <w:t>:</w:t>
      </w:r>
    </w:p>
    <w:p w14:paraId="4012E0EB" w14:textId="5BA8B602" w:rsidR="000B5357" w:rsidRPr="003E6555" w:rsidRDefault="00A676B1" w:rsidP="00AF112B">
      <w:pPr>
        <w:ind w:left="397" w:right="113"/>
      </w:pPr>
      <w:r>
        <w:t>‘</w:t>
      </w:r>
      <w:r w:rsidR="000B5357" w:rsidRPr="003E6555">
        <w:t>…</w:t>
      </w:r>
      <w:r w:rsidR="000B5357" w:rsidRPr="003E6555">
        <w:rPr>
          <w:i/>
        </w:rPr>
        <w:t xml:space="preserve">on equity grounds, that Australians will continue to have </w:t>
      </w:r>
      <w:r w:rsidR="000B5357" w:rsidRPr="00D90CF9">
        <w:rPr>
          <w:i/>
          <w:u w:val="single"/>
        </w:rPr>
        <w:t>free access</w:t>
      </w:r>
      <w:r w:rsidR="000B5357" w:rsidRPr="003E6555">
        <w:rPr>
          <w:i/>
        </w:rPr>
        <w:t xml:space="preserve"> to important events. It will, however, also allow subscription television broadcasters to negotiate subsequent rights to complementary, or more detailed, coverage of events</w:t>
      </w:r>
      <w:r w:rsidR="000B5357" w:rsidRPr="003E6555">
        <w:t>.</w:t>
      </w:r>
      <w:r>
        <w:t>’</w:t>
      </w:r>
      <w:r w:rsidR="000B5357">
        <w:rPr>
          <w:rStyle w:val="FootnoteReference"/>
        </w:rPr>
        <w:footnoteReference w:id="24"/>
      </w:r>
      <w:r w:rsidR="001B4CC2">
        <w:t xml:space="preserve"> (emphasis added).</w:t>
      </w:r>
    </w:p>
    <w:p w14:paraId="7C1AB819" w14:textId="13B38F73" w:rsidR="000B5357" w:rsidRDefault="000B5357" w:rsidP="00AF112B">
      <w:r w:rsidRPr="003E6555">
        <w:t xml:space="preserve">In effect, the scheme </w:t>
      </w:r>
      <w:r w:rsidR="006F3826">
        <w:t xml:space="preserve">operates to </w:t>
      </w:r>
      <w:r w:rsidRPr="003E6555">
        <w:t xml:space="preserve">increase the likelihood of free televised coverage of </w:t>
      </w:r>
      <w:r w:rsidR="001B1705">
        <w:t xml:space="preserve">nationally important and culturally significant events. </w:t>
      </w:r>
      <w:r w:rsidRPr="003E6555">
        <w:t xml:space="preserve">It does not guarantee this outcome, but seeks to </w:t>
      </w:r>
      <w:r w:rsidR="006F3826">
        <w:t>further</w:t>
      </w:r>
      <w:r w:rsidR="006F3826" w:rsidRPr="003E6555">
        <w:t xml:space="preserve"> </w:t>
      </w:r>
      <w:r w:rsidRPr="003E6555">
        <w:t>its achievement</w:t>
      </w:r>
      <w:r>
        <w:t>.</w:t>
      </w:r>
    </w:p>
    <w:p w14:paraId="24230236" w14:textId="0FBAC432" w:rsidR="005F01C4" w:rsidRDefault="001B1705" w:rsidP="00AF112B">
      <w:r>
        <w:t>This term – nationally important and culturally significant</w:t>
      </w:r>
      <w:r w:rsidR="00127FB5">
        <w:t xml:space="preserve"> – </w:t>
      </w:r>
      <w:r>
        <w:t>i</w:t>
      </w:r>
      <w:r w:rsidR="00DB7559">
        <w:t xml:space="preserve">s referred to </w:t>
      </w:r>
      <w:r>
        <w:t>in the</w:t>
      </w:r>
      <w:r w:rsidR="00127FB5">
        <w:t xml:space="preserve"> </w:t>
      </w:r>
      <w:r w:rsidR="00DB7559">
        <w:t>1992 Explanatory Memorandum, but is</w:t>
      </w:r>
      <w:r>
        <w:t>n’t defined in the</w:t>
      </w:r>
      <w:r w:rsidR="00127FB5">
        <w:t xml:space="preserve"> BSA. This provides a degree of flexibility in terms of the events that may be considered for inclusion on the list and avoids the imposition of rules or criteria that are </w:t>
      </w:r>
      <w:r w:rsidR="00FF7220">
        <w:t xml:space="preserve">rigid </w:t>
      </w:r>
      <w:r w:rsidR="00127FB5">
        <w:t xml:space="preserve">or may become dated over time. This is also consistent with the approach taken </w:t>
      </w:r>
      <w:r w:rsidR="00422881">
        <w:t>in other</w:t>
      </w:r>
      <w:r w:rsidR="00127FB5">
        <w:t xml:space="preserve"> jurisdictions in relation to the regulation of sports rights and coverage, including the </w:t>
      </w:r>
      <w:r w:rsidR="00422881">
        <w:t>‘l</w:t>
      </w:r>
      <w:r w:rsidR="00127FB5">
        <w:t xml:space="preserve">isted </w:t>
      </w:r>
      <w:r w:rsidR="00422881">
        <w:t>e</w:t>
      </w:r>
      <w:r w:rsidR="00127FB5">
        <w:t>vents</w:t>
      </w:r>
      <w:r w:rsidR="00422881">
        <w:t xml:space="preserve"> regime’ in the U</w:t>
      </w:r>
      <w:r w:rsidR="00127FB5">
        <w:t>nited Kingdom.</w:t>
      </w:r>
      <w:r w:rsidR="00422881">
        <w:rPr>
          <w:rStyle w:val="FootnoteReference"/>
        </w:rPr>
        <w:footnoteReference w:id="25"/>
      </w:r>
    </w:p>
    <w:p w14:paraId="281583CE" w14:textId="0B055948" w:rsidR="001B1705" w:rsidRDefault="00127FB5" w:rsidP="00AF112B">
      <w:r>
        <w:t>However, events of this nature would generally be those that have a degree of national resonance and incorporate an element which, in some way, unites the Australian community, not just those segments of the community that happen to have an interest in the particular event.</w:t>
      </w:r>
    </w:p>
    <w:p w14:paraId="0C6F8E7E" w14:textId="673ECB96" w:rsidR="00DB675A" w:rsidRDefault="000B5357" w:rsidP="00AF112B">
      <w:r>
        <w:t xml:space="preserve">In response to the </w:t>
      </w:r>
      <w:r w:rsidR="00606A6A">
        <w:t>2022</w:t>
      </w:r>
      <w:r w:rsidR="00FA4C8B">
        <w:t xml:space="preserve"> </w:t>
      </w:r>
      <w:r w:rsidR="00606A6A">
        <w:t>consultation</w:t>
      </w:r>
      <w:r w:rsidR="00FA4C8B">
        <w:t xml:space="preserve"> paper</w:t>
      </w:r>
      <w:r>
        <w:t>, there</w:t>
      </w:r>
      <w:r w:rsidRPr="000B5357">
        <w:t xml:space="preserve"> was general agreement among stakeholders that the </w:t>
      </w:r>
      <w:r w:rsidR="00211CA1">
        <w:t xml:space="preserve">aim </w:t>
      </w:r>
      <w:r w:rsidRPr="000B5357">
        <w:t xml:space="preserve">of providing </w:t>
      </w:r>
      <w:r w:rsidR="00DF1546">
        <w:t xml:space="preserve">Australians with </w:t>
      </w:r>
      <w:r w:rsidR="006F3826">
        <w:t xml:space="preserve">free </w:t>
      </w:r>
      <w:r w:rsidRPr="000B5357">
        <w:t xml:space="preserve">access to coverage of </w:t>
      </w:r>
      <w:r w:rsidR="00375B71">
        <w:t xml:space="preserve">iconic </w:t>
      </w:r>
      <w:r w:rsidRPr="000B5357">
        <w:t>sporting events remains appropriate.</w:t>
      </w:r>
    </w:p>
    <w:p w14:paraId="2EBA2D33" w14:textId="77777777" w:rsidR="009E2645" w:rsidRDefault="009E2645" w:rsidP="00AF112B">
      <w:r>
        <w:t>Free TV Australia argued that:</w:t>
      </w:r>
    </w:p>
    <w:p w14:paraId="3764C48F" w14:textId="05D75A56" w:rsidR="009E2645" w:rsidRDefault="009E2645" w:rsidP="00AF112B">
      <w:pPr>
        <w:pStyle w:val="Quote"/>
        <w:spacing w:after="80"/>
      </w:pPr>
      <w:r w:rsidRPr="00145E21">
        <w:t>The public policy principle underpinning the anti-siphoning list is that there is a public interest in ensuring that nationally significant sporting events remain available free of charge for all Australians to watch. This recognises that nationally significant sporting events play an important role in Australia’s cultural and social life and that the access of Australians to these events must not be governed by how much they earn or where they live</w:t>
      </w:r>
      <w:r w:rsidR="00AF4A2F">
        <w:t>.</w:t>
      </w:r>
      <w:r w:rsidR="003D7B20" w:rsidRPr="003D7B20">
        <w:rPr>
          <w:rStyle w:val="FootnoteReference"/>
          <w:b w:val="0"/>
        </w:rPr>
        <w:footnoteReference w:id="26"/>
      </w:r>
    </w:p>
    <w:p w14:paraId="2D1A3920" w14:textId="77777777" w:rsidR="003D7B20" w:rsidRDefault="003D7B20" w:rsidP="007F67FB">
      <w:pPr>
        <w:spacing w:before="400"/>
      </w:pPr>
      <w:r>
        <w:t>While arguing that the scheme does not currently achieve its stated goals, Foxtel agreed that:</w:t>
      </w:r>
    </w:p>
    <w:p w14:paraId="620E3D8A" w14:textId="774A9C65" w:rsidR="003D7B20" w:rsidRDefault="003D7B20" w:rsidP="003D7B20">
      <w:pPr>
        <w:pStyle w:val="Quote"/>
      </w:pPr>
      <w:r>
        <w:t>…ensuring that Australians have "</w:t>
      </w:r>
      <w:r w:rsidRPr="00455C23">
        <w:rPr>
          <w:i/>
        </w:rPr>
        <w:t>free access</w:t>
      </w:r>
      <w:r>
        <w:t>" to "</w:t>
      </w:r>
      <w:r w:rsidRPr="00455C23">
        <w:rPr>
          <w:i/>
        </w:rPr>
        <w:t>events of national importance and cultural significance</w:t>
      </w:r>
      <w:r>
        <w:t>", as originally set out in the Explanatory Memorandum to the Broadcasting Services Bill 1996, remains a relevant and appropriate policy objective.</w:t>
      </w:r>
      <w:r w:rsidRPr="003D7B20">
        <w:rPr>
          <w:rStyle w:val="FootnoteReference"/>
          <w:b w:val="0"/>
        </w:rPr>
        <w:footnoteReference w:id="27"/>
      </w:r>
    </w:p>
    <w:p w14:paraId="7780C582" w14:textId="77777777" w:rsidR="00394B4C" w:rsidRDefault="00394B4C" w:rsidP="007F67FB">
      <w:pPr>
        <w:spacing w:before="400"/>
      </w:pPr>
      <w:r>
        <w:t>Similarly, Optus noted that:</w:t>
      </w:r>
    </w:p>
    <w:p w14:paraId="222609A9" w14:textId="11513D2C" w:rsidR="007F67FB" w:rsidRDefault="00394B4C" w:rsidP="00394B4C">
      <w:pPr>
        <w:pStyle w:val="Quote"/>
      </w:pPr>
      <w:r>
        <w:t>…certain events, particularly sporting events, have a special place as part of Australia’s cultural identity. The objective of the scheme was to ensure that events of national importance and cultural significance could be received by the public free of charge. Optus considers this remains appropriate and such an outcome should be the focus of any regulatory framework.</w:t>
      </w:r>
      <w:r w:rsidRPr="00394B4C">
        <w:rPr>
          <w:rStyle w:val="FootnoteReference"/>
          <w:b w:val="0"/>
        </w:rPr>
        <w:footnoteReference w:id="28"/>
      </w:r>
    </w:p>
    <w:p w14:paraId="56B8F9BA" w14:textId="60B2ECDA" w:rsidR="00394B4C" w:rsidRPr="007F67FB" w:rsidRDefault="007F67FB" w:rsidP="007F67FB">
      <w:pPr>
        <w:rPr>
          <w:b/>
          <w:iCs/>
          <w:color w:val="404040" w:themeColor="text1" w:themeTint="BF"/>
        </w:rPr>
      </w:pPr>
      <w:r>
        <w:br w:type="page"/>
      </w:r>
    </w:p>
    <w:p w14:paraId="38CBF707" w14:textId="5AE1E62D" w:rsidR="00E439C1" w:rsidRDefault="00AF112B" w:rsidP="007F67FB">
      <w:pPr>
        <w:spacing w:before="360"/>
      </w:pPr>
      <w:r>
        <w:lastRenderedPageBreak/>
        <w:t xml:space="preserve">As noted in the </w:t>
      </w:r>
      <w:r w:rsidR="00606A6A">
        <w:t>2022</w:t>
      </w:r>
      <w:r w:rsidR="00E439C1">
        <w:t xml:space="preserve"> </w:t>
      </w:r>
      <w:r w:rsidR="00075D30">
        <w:t>consultation</w:t>
      </w:r>
      <w:r>
        <w:t xml:space="preserve"> paper, most Australians </w:t>
      </w:r>
      <w:r w:rsidR="00C94FC5">
        <w:t>agree</w:t>
      </w:r>
      <w:r>
        <w:t xml:space="preserve"> that </w:t>
      </w:r>
      <w:r w:rsidR="001A09B1">
        <w:t xml:space="preserve">free </w:t>
      </w:r>
      <w:r w:rsidR="0047465E">
        <w:t xml:space="preserve">access to </w:t>
      </w:r>
      <w:r w:rsidR="003412C4">
        <w:t>the coverage of</w:t>
      </w:r>
      <w:r w:rsidR="0047465E">
        <w:t xml:space="preserve"> sport </w:t>
      </w:r>
      <w:r w:rsidR="00C94FC5">
        <w:t>remains</w:t>
      </w:r>
      <w:r>
        <w:t xml:space="preserve"> an important public policy goal.</w:t>
      </w:r>
      <w:r>
        <w:rPr>
          <w:rStyle w:val="FootnoteReference"/>
        </w:rPr>
        <w:footnoteReference w:id="29"/>
      </w:r>
    </w:p>
    <w:p w14:paraId="767E3641" w14:textId="27483A1F" w:rsidR="00E439C1" w:rsidRDefault="00AF112B" w:rsidP="001A687D">
      <w:pPr>
        <w:pStyle w:val="ListParagraph"/>
        <w:numPr>
          <w:ilvl w:val="0"/>
          <w:numId w:val="47"/>
        </w:numPr>
        <w:contextualSpacing w:val="0"/>
      </w:pPr>
      <w:r w:rsidRPr="008035E5">
        <w:t xml:space="preserve">A </w:t>
      </w:r>
      <w:r>
        <w:t xml:space="preserve">survey commissioned by </w:t>
      </w:r>
      <w:r w:rsidRPr="008035E5">
        <w:t xml:space="preserve">Free TV in 2021 found that 69 per cent of respondents agreed that giving all Australians access to </w:t>
      </w:r>
      <w:r w:rsidR="005B207C">
        <w:t xml:space="preserve">coverage of </w:t>
      </w:r>
      <w:r w:rsidRPr="008035E5">
        <w:t>major sporting events is in the public interest</w:t>
      </w:r>
      <w:r w:rsidRPr="00B66EBA">
        <w:t>.</w:t>
      </w:r>
      <w:r>
        <w:rPr>
          <w:rStyle w:val="FootnoteReference"/>
        </w:rPr>
        <w:footnoteReference w:id="30"/>
      </w:r>
    </w:p>
    <w:p w14:paraId="4F965F29" w14:textId="06A0EC0C" w:rsidR="00E439C1" w:rsidRDefault="006824B6" w:rsidP="00E439C1">
      <w:r>
        <w:t xml:space="preserve">This is supported by </w:t>
      </w:r>
      <w:r w:rsidR="00D771E4">
        <w:t>viewing rates.</w:t>
      </w:r>
    </w:p>
    <w:p w14:paraId="56CD8674" w14:textId="668C2AF9" w:rsidR="00E439C1" w:rsidRDefault="00D771E4" w:rsidP="001A687D">
      <w:pPr>
        <w:pStyle w:val="ListParagraph"/>
        <w:numPr>
          <w:ilvl w:val="0"/>
          <w:numId w:val="47"/>
        </w:numPr>
        <w:contextualSpacing w:val="0"/>
      </w:pPr>
      <w:r>
        <w:t>In 2022, some 67 per cent of Australian adults had watched sport in the preceding six months,</w:t>
      </w:r>
      <w:r w:rsidR="00287F1A">
        <w:t xml:space="preserve"> </w:t>
      </w:r>
      <w:r>
        <w:t xml:space="preserve">with </w:t>
      </w:r>
      <w:r w:rsidR="00EE295E">
        <w:t>42 per </w:t>
      </w:r>
      <w:r>
        <w:t>cent watching live sport</w:t>
      </w:r>
      <w:r w:rsidR="00393E73">
        <w:t xml:space="preserve"> in the preceding week</w:t>
      </w:r>
      <w:r>
        <w:t>.</w:t>
      </w:r>
      <w:r>
        <w:rPr>
          <w:rStyle w:val="FootnoteReference"/>
        </w:rPr>
        <w:footnoteReference w:id="31"/>
      </w:r>
    </w:p>
    <w:p w14:paraId="508F4498" w14:textId="58F91928" w:rsidR="00AF112B" w:rsidRDefault="00D771E4" w:rsidP="001A687D">
      <w:pPr>
        <w:pStyle w:val="ListParagraph"/>
        <w:numPr>
          <w:ilvl w:val="0"/>
          <w:numId w:val="47"/>
        </w:numPr>
        <w:contextualSpacing w:val="0"/>
      </w:pPr>
      <w:r>
        <w:t xml:space="preserve">For </w:t>
      </w:r>
      <w:r w:rsidR="00393E73">
        <w:t>sports</w:t>
      </w:r>
      <w:r>
        <w:t xml:space="preserve"> viewers, </w:t>
      </w:r>
      <w:r w:rsidR="000A19B6">
        <w:t xml:space="preserve">36 per cent considered the most important feature was that the content is freely available on broadcast </w:t>
      </w:r>
      <w:r w:rsidR="00EE295E">
        <w:t>television</w:t>
      </w:r>
      <w:r w:rsidR="000A19B6">
        <w:t>.</w:t>
      </w:r>
      <w:r w:rsidR="000A19B6">
        <w:rPr>
          <w:rStyle w:val="FootnoteReference"/>
        </w:rPr>
        <w:footnoteReference w:id="32"/>
      </w:r>
    </w:p>
    <w:p w14:paraId="0462DD6F" w14:textId="77777777" w:rsidR="00B8625E" w:rsidRDefault="00B8625E" w:rsidP="00AF112B">
      <w:r>
        <w:t>The</w:t>
      </w:r>
      <w:r w:rsidR="00AD5B15">
        <w:t xml:space="preserve"> broader</w:t>
      </w:r>
      <w:r>
        <w:t xml:space="preserve"> importance of sport</w:t>
      </w:r>
      <w:r w:rsidR="00AD5B15">
        <w:t xml:space="preserve"> </w:t>
      </w:r>
      <w:r>
        <w:t xml:space="preserve">to the cultural fabric of Australia was </w:t>
      </w:r>
      <w:r w:rsidR="00DB675A">
        <w:t xml:space="preserve">also </w:t>
      </w:r>
      <w:r>
        <w:t>noted in a range of submissions</w:t>
      </w:r>
      <w:r w:rsidR="00E439C1">
        <w:t xml:space="preserve"> to the initial phase of the review. </w:t>
      </w:r>
      <w:r>
        <w:t>For example, the Australian Professional Leagues (APL) submission noted that:</w:t>
      </w:r>
    </w:p>
    <w:p w14:paraId="5FD59728" w14:textId="39DE3D2E" w:rsidR="00B8625E" w:rsidRDefault="00B8625E" w:rsidP="00AF112B">
      <w:pPr>
        <w:pStyle w:val="Quote"/>
        <w:spacing w:after="80"/>
      </w:pPr>
      <w:r>
        <w:t>Football in Australia has a tremendously diverse and multicultural base. When establishing themselves in Australia, many immigrant communities, particularly post World War II have used football as an important social outlet. Many local clubs around Australia continue to maintain these important cultural links. In more recent years, refugee communities such as those from Afghanistan and parts of Africa made extensive contributions to the Australian football landscape.</w:t>
      </w:r>
    </w:p>
    <w:p w14:paraId="2014BD57" w14:textId="77777777" w:rsidR="00B8625E" w:rsidRDefault="00B8625E" w:rsidP="00AF112B">
      <w:pPr>
        <w:pStyle w:val="Quote"/>
        <w:spacing w:after="80"/>
      </w:pPr>
      <w:r>
        <w:t>With such an expansive and diverse participation base, it is critical the professional leagues are linked with broadcast arrangements that make the watching of games accessible to as many as possible while remaining commercially viable.</w:t>
      </w:r>
      <w:r w:rsidR="00924218" w:rsidRPr="00924218">
        <w:rPr>
          <w:rStyle w:val="FootnoteReference"/>
          <w:b w:val="0"/>
        </w:rPr>
        <w:footnoteReference w:id="33"/>
      </w:r>
    </w:p>
    <w:p w14:paraId="47F888EC" w14:textId="6DB19455" w:rsidR="00394B4C" w:rsidRDefault="00394B4C" w:rsidP="00663DFB">
      <w:pPr>
        <w:spacing w:before="360"/>
      </w:pPr>
      <w:r>
        <w:t>Similarly, a submission from academics at the University of Sydney, Western Sydney University and Monash University stated that:</w:t>
      </w:r>
    </w:p>
    <w:p w14:paraId="24A99F6D" w14:textId="77777777" w:rsidR="00394B4C" w:rsidRDefault="00394B4C" w:rsidP="00394B4C">
      <w:pPr>
        <w:pStyle w:val="Quote"/>
        <w:spacing w:after="80"/>
      </w:pPr>
      <w:r>
        <w:t xml:space="preserve">The clear intention of the </w:t>
      </w:r>
      <w:r w:rsidRPr="00AF686E">
        <w:rPr>
          <w:i/>
        </w:rPr>
        <w:t>Broadcasting Services Act 1992</w:t>
      </w:r>
      <w:r>
        <w:t xml:space="preserve"> was to ensure social equity and the continuation of the long-standing ability of Australian audiences to watch their favourite sports on TV for free. Sport then, and still now, attracts very large audiences and is significant in the everyday lives of many Australians.</w:t>
      </w:r>
      <w:r w:rsidRPr="00A258A8">
        <w:rPr>
          <w:rStyle w:val="FootnoteReference"/>
          <w:b w:val="0"/>
        </w:rPr>
        <w:footnoteReference w:id="34"/>
      </w:r>
    </w:p>
    <w:p w14:paraId="6AF28A82" w14:textId="66E4CB45" w:rsidR="007D0985" w:rsidRDefault="007D0985" w:rsidP="00663DFB">
      <w:pPr>
        <w:spacing w:before="360"/>
      </w:pPr>
      <w:r>
        <w:t xml:space="preserve">The </w:t>
      </w:r>
      <w:r w:rsidR="00E439C1">
        <w:t xml:space="preserve">review has found that the </w:t>
      </w:r>
      <w:r>
        <w:t xml:space="preserve">objective of the anti-siphoning scheme – to </w:t>
      </w:r>
      <w:r w:rsidR="006F3826">
        <w:t xml:space="preserve">support </w:t>
      </w:r>
      <w:r>
        <w:t xml:space="preserve">free access to </w:t>
      </w:r>
      <w:r w:rsidR="003412C4">
        <w:t xml:space="preserve">televised </w:t>
      </w:r>
      <w:r>
        <w:t>coverage of events of national importance and cultural significance – remains relevant and appropriate in the contemporary media environment.</w:t>
      </w:r>
    </w:p>
    <w:p w14:paraId="176BEA3D" w14:textId="74153828" w:rsidR="0068351E" w:rsidRDefault="007D0985">
      <w:r>
        <w:t>However, the way that this objective is recognised in the</w:t>
      </w:r>
      <w:r w:rsidR="0051693B">
        <w:t xml:space="preserve"> BSA</w:t>
      </w:r>
      <w:r>
        <w:t xml:space="preserve"> could be strengthened. At present, </w:t>
      </w:r>
      <w:r w:rsidR="0062293A">
        <w:t xml:space="preserve">the objective of free access to </w:t>
      </w:r>
      <w:r w:rsidR="003412C4">
        <w:t xml:space="preserve">televised </w:t>
      </w:r>
      <w:r w:rsidR="0062293A">
        <w:t xml:space="preserve">coverage of </w:t>
      </w:r>
      <w:r w:rsidR="00644388">
        <w:t xml:space="preserve">iconic </w:t>
      </w:r>
      <w:r w:rsidR="0062293A">
        <w:t>events is reasonably well established through the scheme itself</w:t>
      </w:r>
      <w:r>
        <w:t>.</w:t>
      </w:r>
    </w:p>
    <w:p w14:paraId="44A20C1F" w14:textId="0EAB587C" w:rsidR="0062293A" w:rsidRDefault="00427036" w:rsidP="00AF112B">
      <w:r>
        <w:t>T</w:t>
      </w:r>
      <w:r w:rsidR="0062293A">
        <w:t xml:space="preserve">he </w:t>
      </w:r>
      <w:proofErr w:type="gramStart"/>
      <w:r w:rsidR="0062293A">
        <w:t>higher level</w:t>
      </w:r>
      <w:proofErr w:type="gramEnd"/>
      <w:r w:rsidR="0062293A">
        <w:t xml:space="preserve"> overarching objects of the</w:t>
      </w:r>
      <w:r w:rsidR="007D0985">
        <w:t xml:space="preserve"> Act</w:t>
      </w:r>
      <w:r>
        <w:t>, on the other hand,</w:t>
      </w:r>
      <w:r w:rsidR="007D0985">
        <w:t xml:space="preserve"> </w:t>
      </w:r>
      <w:r w:rsidR="0062293A">
        <w:t xml:space="preserve">don’t include </w:t>
      </w:r>
      <w:r w:rsidR="007D0985">
        <w:t xml:space="preserve">any reference to, or acknowledgment of, </w:t>
      </w:r>
      <w:r w:rsidR="0062293A">
        <w:t xml:space="preserve">this </w:t>
      </w:r>
      <w:r w:rsidR="007D0985">
        <w:t>objective</w:t>
      </w:r>
      <w:r w:rsidR="0062293A">
        <w:t>. It is therefore proposed that the objects of the Act, established in section</w:t>
      </w:r>
      <w:r w:rsidR="0068351E">
        <w:t> </w:t>
      </w:r>
      <w:r w:rsidR="0062293A">
        <w:t>3, be amended to include a specific object of this nature:</w:t>
      </w:r>
    </w:p>
    <w:p w14:paraId="17B7DE1A" w14:textId="2C09DD9E" w:rsidR="0062293A" w:rsidRPr="00FA4C8B" w:rsidRDefault="0062293A" w:rsidP="00AF112B">
      <w:pPr>
        <w:pStyle w:val="Introduction"/>
        <w:spacing w:before="160" w:after="80"/>
        <w:ind w:left="851" w:right="657"/>
        <w:rPr>
          <w:rFonts w:cs="Times New Roman"/>
          <w:i/>
          <w:color w:val="auto"/>
          <w:sz w:val="22"/>
          <w:lang w:val="en-AU"/>
        </w:rPr>
      </w:pPr>
      <w:r w:rsidRPr="00995F2D">
        <w:rPr>
          <w:rFonts w:cs="Times New Roman"/>
          <w:i/>
          <w:color w:val="auto"/>
          <w:sz w:val="22"/>
          <w:lang w:val="en-AU"/>
        </w:rPr>
        <w:t xml:space="preserve">To </w:t>
      </w:r>
      <w:r w:rsidR="009E0C1B">
        <w:rPr>
          <w:rFonts w:cs="Times New Roman"/>
          <w:i/>
          <w:color w:val="auto"/>
          <w:sz w:val="22"/>
          <w:lang w:val="en-AU"/>
        </w:rPr>
        <w:t>support</w:t>
      </w:r>
      <w:r w:rsidR="00E439C1">
        <w:rPr>
          <w:rFonts w:cs="Times New Roman"/>
          <w:i/>
          <w:color w:val="auto"/>
          <w:sz w:val="22"/>
          <w:lang w:val="en-AU"/>
        </w:rPr>
        <w:t xml:space="preserve"> </w:t>
      </w:r>
      <w:r w:rsidR="009E0C1B" w:rsidRPr="00995F2D">
        <w:rPr>
          <w:rFonts w:cs="Times New Roman"/>
          <w:i/>
          <w:color w:val="auto"/>
          <w:sz w:val="22"/>
          <w:lang w:val="en-AU"/>
        </w:rPr>
        <w:t xml:space="preserve">free access to </w:t>
      </w:r>
      <w:r w:rsidR="005B207C">
        <w:rPr>
          <w:rFonts w:cs="Times New Roman"/>
          <w:i/>
          <w:color w:val="auto"/>
          <w:sz w:val="22"/>
          <w:lang w:val="en-AU"/>
        </w:rPr>
        <w:t xml:space="preserve">televised </w:t>
      </w:r>
      <w:r w:rsidR="009E0C1B">
        <w:rPr>
          <w:rFonts w:cs="Times New Roman"/>
          <w:i/>
          <w:color w:val="auto"/>
          <w:sz w:val="22"/>
          <w:lang w:val="en-AU"/>
        </w:rPr>
        <w:t xml:space="preserve">coverage of </w:t>
      </w:r>
      <w:r w:rsidR="009E0C1B" w:rsidRPr="00995F2D">
        <w:rPr>
          <w:rFonts w:cs="Times New Roman"/>
          <w:i/>
          <w:color w:val="auto"/>
          <w:sz w:val="22"/>
          <w:lang w:val="en-AU"/>
        </w:rPr>
        <w:t xml:space="preserve">events of national importance and cultural significance </w:t>
      </w:r>
      <w:r w:rsidR="009E0C1B">
        <w:rPr>
          <w:rFonts w:cs="Times New Roman"/>
          <w:i/>
          <w:color w:val="auto"/>
          <w:sz w:val="22"/>
          <w:lang w:val="en-AU"/>
        </w:rPr>
        <w:t>to audiences throughout Australia.</w:t>
      </w:r>
    </w:p>
    <w:p w14:paraId="03D040F3" w14:textId="77777777" w:rsidR="00C15344" w:rsidRDefault="00DB675A" w:rsidP="00C15344">
      <w:pPr>
        <w:pStyle w:val="Heading2"/>
      </w:pPr>
      <w:bookmarkStart w:id="130" w:name="_Toc140842895"/>
      <w:bookmarkStart w:id="131" w:name="_Toc141369802"/>
      <w:bookmarkStart w:id="132" w:name="_Toc143265593"/>
      <w:bookmarkStart w:id="133" w:name="_Hlk142057728"/>
      <w:r>
        <w:lastRenderedPageBreak/>
        <w:t>Preliminary</w:t>
      </w:r>
      <w:r w:rsidR="00EE53CB">
        <w:t xml:space="preserve"> finding 2: t</w:t>
      </w:r>
      <w:r w:rsidR="00C15344">
        <w:t xml:space="preserve">he scheme </w:t>
      </w:r>
      <w:r w:rsidR="00FA4C8B">
        <w:t>has an ongoing role but needs to</w:t>
      </w:r>
      <w:r w:rsidR="00C15344">
        <w:t xml:space="preserve"> be broadened to incorporate online services</w:t>
      </w:r>
      <w:bookmarkEnd w:id="130"/>
      <w:bookmarkEnd w:id="131"/>
      <w:bookmarkEnd w:id="132"/>
    </w:p>
    <w:bookmarkEnd w:id="133"/>
    <w:p w14:paraId="675851EA" w14:textId="1187BEA2" w:rsidR="00E9790E" w:rsidRDefault="00AF112B" w:rsidP="00E9790E">
      <w:r>
        <w:t xml:space="preserve">The anti-siphoning scheme was introduced </w:t>
      </w:r>
      <w:r w:rsidR="005F4C78">
        <w:t xml:space="preserve">to address the concern that </w:t>
      </w:r>
      <w:r w:rsidR="00B5207D">
        <w:t xml:space="preserve">nationally important and culturally significant </w:t>
      </w:r>
      <w:r w:rsidR="005F4C78">
        <w:t xml:space="preserve">events would be siphoned behind the paywalls of services </w:t>
      </w:r>
      <w:r w:rsidR="00995158">
        <w:t>to which</w:t>
      </w:r>
      <w:r w:rsidR="005F4C78">
        <w:t xml:space="preserve"> Australians didn’t have access</w:t>
      </w:r>
      <w:r w:rsidR="007D0985">
        <w:t xml:space="preserve">. At the time, </w:t>
      </w:r>
      <w:r w:rsidR="00995158">
        <w:t xml:space="preserve">relevant paywall </w:t>
      </w:r>
      <w:r w:rsidR="009B323E">
        <w:t xml:space="preserve">services were </w:t>
      </w:r>
      <w:r w:rsidR="00995158">
        <w:t>limited</w:t>
      </w:r>
      <w:r w:rsidR="009B323E">
        <w:t xml:space="preserve"> to</w:t>
      </w:r>
      <w:r w:rsidR="007D0985">
        <w:t xml:space="preserve"> </w:t>
      </w:r>
      <w:r w:rsidR="00E9790E">
        <w:t>subscription television broadcasting services</w:t>
      </w:r>
      <w:r w:rsidR="005F4C78">
        <w:t>.</w:t>
      </w:r>
    </w:p>
    <w:p w14:paraId="424B5B38" w14:textId="77777777" w:rsidR="005F4C78" w:rsidRPr="00DB2A25" w:rsidRDefault="009B323E" w:rsidP="003273F8">
      <w:pPr>
        <w:spacing w:after="120"/>
      </w:pPr>
      <w:r>
        <w:rPr>
          <w:lang w:val="en-US"/>
        </w:rPr>
        <w:t>T</w:t>
      </w:r>
      <w:r w:rsidR="005F4C78">
        <w:rPr>
          <w:lang w:val="en-US"/>
        </w:rPr>
        <w:t>he then Minister for Communications and the Arts, the Hon Michael Lee</w:t>
      </w:r>
      <w:r>
        <w:rPr>
          <w:lang w:val="en-US"/>
        </w:rPr>
        <w:t xml:space="preserve"> OAM</w:t>
      </w:r>
      <w:r w:rsidR="005F4C78">
        <w:rPr>
          <w:lang w:val="en-US"/>
        </w:rPr>
        <w:t xml:space="preserve">, </w:t>
      </w:r>
      <w:r w:rsidR="007D0985">
        <w:rPr>
          <w:lang w:val="en-US"/>
        </w:rPr>
        <w:t>emphasized</w:t>
      </w:r>
      <w:r w:rsidR="005F4C78">
        <w:rPr>
          <w:lang w:val="en-US"/>
        </w:rPr>
        <w:t xml:space="preserve"> this concern in a press release announcing the making of the </w:t>
      </w:r>
      <w:r>
        <w:rPr>
          <w:lang w:val="en-US"/>
        </w:rPr>
        <w:t xml:space="preserve">initial </w:t>
      </w:r>
      <w:r w:rsidR="005F4C78">
        <w:rPr>
          <w:lang w:val="en-US"/>
        </w:rPr>
        <w:t>list</w:t>
      </w:r>
      <w:r>
        <w:rPr>
          <w:lang w:val="en-US"/>
        </w:rPr>
        <w:t xml:space="preserve"> in 1994</w:t>
      </w:r>
      <w:r w:rsidR="005F4C78">
        <w:rPr>
          <w:lang w:val="en-US"/>
        </w:rPr>
        <w:t>:</w:t>
      </w:r>
    </w:p>
    <w:p w14:paraId="5FF74BAF" w14:textId="1FA9043A" w:rsidR="005F4C78" w:rsidRDefault="005F4C78" w:rsidP="004936AA">
      <w:pPr>
        <w:pStyle w:val="Quote"/>
      </w:pPr>
      <w:r>
        <w:rPr>
          <w:lang w:val="en-US"/>
        </w:rPr>
        <w:t>…</w:t>
      </w:r>
      <w:r w:rsidRPr="005A3F75">
        <w:rPr>
          <w:lang w:val="en-US"/>
        </w:rPr>
        <w:t>the “anti-siphoning” list would ensure that viewers would not be forced to pay for major sporting programs which they now received free of charge…</w:t>
      </w:r>
      <w:r w:rsidR="004936AA">
        <w:rPr>
          <w:rStyle w:val="FootnoteReference"/>
          <w:lang w:val="en-US"/>
        </w:rPr>
        <w:footnoteReference w:id="35"/>
      </w:r>
    </w:p>
    <w:p w14:paraId="268C93F7" w14:textId="3213E177" w:rsidR="002A4A0C" w:rsidRDefault="004E289E" w:rsidP="003273F8">
      <w:pPr>
        <w:spacing w:before="360"/>
      </w:pPr>
      <w:r>
        <w:t xml:space="preserve">A key question </w:t>
      </w:r>
      <w:r w:rsidR="007D0985">
        <w:t xml:space="preserve">for this review is </w:t>
      </w:r>
      <w:r w:rsidR="00E9790E">
        <w:t>whether th</w:t>
      </w:r>
      <w:r w:rsidR="007D0985">
        <w:t xml:space="preserve">ere remains a risk of </w:t>
      </w:r>
      <w:r w:rsidR="00B5207D">
        <w:t xml:space="preserve">nationally important and culturally significant </w:t>
      </w:r>
      <w:r w:rsidR="007D0985">
        <w:t>events being siphoned behind paywalls</w:t>
      </w:r>
      <w:r w:rsidR="002A4A0C">
        <w:t>, whether by traditional subscription television broadcasting services (as was the case when the scheme was established), or by newer</w:t>
      </w:r>
      <w:r w:rsidR="009B323E">
        <w:t>,</w:t>
      </w:r>
      <w:r w:rsidR="002A4A0C">
        <w:t xml:space="preserve"> online subscription-based media services.</w:t>
      </w:r>
    </w:p>
    <w:p w14:paraId="05027382" w14:textId="3FBD5524" w:rsidR="005F6B54" w:rsidRDefault="005F4C78" w:rsidP="00E9790E">
      <w:r>
        <w:t xml:space="preserve">As noted in the </w:t>
      </w:r>
      <w:r w:rsidR="00606A6A">
        <w:t xml:space="preserve">2022 </w:t>
      </w:r>
      <w:r w:rsidR="00B26828">
        <w:t xml:space="preserve">consultation </w:t>
      </w:r>
      <w:r>
        <w:t>paper, the wa</w:t>
      </w:r>
      <w:r w:rsidR="004E289E">
        <w:t xml:space="preserve">ys in </w:t>
      </w:r>
      <w:r>
        <w:t>which Australians now consume media content</w:t>
      </w:r>
      <w:r w:rsidR="001A09B1">
        <w:t>,</w:t>
      </w:r>
      <w:r>
        <w:t xml:space="preserve"> including sport</w:t>
      </w:r>
      <w:r w:rsidR="0046485E">
        <w:t xml:space="preserve"> content</w:t>
      </w:r>
      <w:r w:rsidR="001A09B1">
        <w:t xml:space="preserve">, </w:t>
      </w:r>
      <w:r>
        <w:t>has changed dramatically since 1994.</w:t>
      </w:r>
      <w:r w:rsidR="00A678E9">
        <w:t xml:space="preserve"> It is no longer a choice between free-to-air and subscription television services</w:t>
      </w:r>
      <w:r w:rsidR="00CB097E">
        <w:t>,</w:t>
      </w:r>
      <w:r w:rsidR="00DB2A25">
        <w:t xml:space="preserve"> and audiences</w:t>
      </w:r>
      <w:r w:rsidR="00DB2A25" w:rsidRPr="00E471EC">
        <w:t xml:space="preserve"> are migrating from traditional broadcasts to online services</w:t>
      </w:r>
      <w:r w:rsidR="00DB2A25">
        <w:t>.</w:t>
      </w:r>
      <w:r w:rsidR="00CB097E">
        <w:rPr>
          <w:rStyle w:val="FootnoteReference"/>
        </w:rPr>
        <w:footnoteReference w:id="36"/>
      </w:r>
    </w:p>
    <w:p w14:paraId="0EF1B377" w14:textId="5D7827C8" w:rsidR="00DB2A25" w:rsidRDefault="00DB2A25" w:rsidP="00E9790E">
      <w:r>
        <w:t>This is the case for a range of content consumption, from news and entertainment, to live sporting events.</w:t>
      </w:r>
      <w:r w:rsidR="00DE43AE">
        <w:t xml:space="preserve"> </w:t>
      </w:r>
      <w:r>
        <w:t>While free-to-air and subscription broadcasting remain key avenues by which Australians access coverage of sporting events, there has been a significant expansion in the range of television and television-like services capable of providing this coverage</w:t>
      </w:r>
      <w:r w:rsidR="00DE43AE">
        <w:t>.</w:t>
      </w:r>
    </w:p>
    <w:p w14:paraId="697E9E9D" w14:textId="74354AC3" w:rsidR="00DB2A25" w:rsidRPr="005E5272" w:rsidRDefault="00DE43AE" w:rsidP="00E9790E">
      <w:pPr>
        <w:pStyle w:val="Box2Text"/>
      </w:pPr>
      <w:r>
        <w:rPr>
          <w:b/>
          <w:lang w:val="en-AU"/>
        </w:rPr>
        <w:t>Subscription</w:t>
      </w:r>
      <w:r w:rsidR="00DB2A25">
        <w:rPr>
          <w:b/>
          <w:lang w:val="en-AU"/>
        </w:rPr>
        <w:t xml:space="preserve"> s</w:t>
      </w:r>
      <w:proofErr w:type="spellStart"/>
      <w:r w:rsidR="00DB2A25">
        <w:rPr>
          <w:b/>
        </w:rPr>
        <w:t>treaming</w:t>
      </w:r>
      <w:proofErr w:type="spellEnd"/>
      <w:r w:rsidR="00DB2A25">
        <w:rPr>
          <w:b/>
        </w:rPr>
        <w:t xml:space="preserve"> services</w:t>
      </w:r>
      <w:r w:rsidRPr="00DE43AE">
        <w:rPr>
          <w:lang w:val="en-AU"/>
        </w:rPr>
        <w:t>,</w:t>
      </w:r>
      <w:r w:rsidR="00DB2A25">
        <w:rPr>
          <w:b/>
          <w:lang w:val="en-AU"/>
        </w:rPr>
        <w:t xml:space="preserve"> </w:t>
      </w:r>
      <w:r w:rsidR="00DB2A25" w:rsidRPr="005E5272">
        <w:t>such as Paramount+ and Amazon Prime Video</w:t>
      </w:r>
      <w:r>
        <w:rPr>
          <w:lang w:val="en-AU"/>
        </w:rPr>
        <w:t>,</w:t>
      </w:r>
      <w:r w:rsidR="00DB2A25" w:rsidRPr="005E5272">
        <w:t xml:space="preserve"> a</w:t>
      </w:r>
      <w:r>
        <w:rPr>
          <w:lang w:val="en-AU"/>
        </w:rPr>
        <w:t>long with</w:t>
      </w:r>
      <w:r w:rsidR="00DB2A25">
        <w:rPr>
          <w:lang w:val="en-AU"/>
        </w:rPr>
        <w:t xml:space="preserve"> </w:t>
      </w:r>
      <w:proofErr w:type="spellStart"/>
      <w:r w:rsidR="00DB2A25">
        <w:rPr>
          <w:lang w:val="en-AU"/>
        </w:rPr>
        <w:t>ded</w:t>
      </w:r>
      <w:r w:rsidR="00DB2A25" w:rsidRPr="005E5272">
        <w:t>icated</w:t>
      </w:r>
      <w:proofErr w:type="spellEnd"/>
      <w:r w:rsidR="00DB2A25" w:rsidRPr="005E5272">
        <w:t xml:space="preserve"> sports services, like Kayo Sports. </w:t>
      </w:r>
      <w:r>
        <w:rPr>
          <w:lang w:val="en-AU"/>
        </w:rPr>
        <w:t xml:space="preserve">The latter in particular provide extensive coverage of </w:t>
      </w:r>
      <w:r w:rsidR="005F6B54">
        <w:rPr>
          <w:lang w:val="en-AU"/>
        </w:rPr>
        <w:t xml:space="preserve">live </w:t>
      </w:r>
      <w:r>
        <w:rPr>
          <w:lang w:val="en-AU"/>
        </w:rPr>
        <w:t xml:space="preserve">sports content. </w:t>
      </w:r>
      <w:r w:rsidR="00DB2A25" w:rsidRPr="005E5272">
        <w:t>Some sports bodies also provide direct streaming options</w:t>
      </w:r>
      <w:r w:rsidR="00422881">
        <w:rPr>
          <w:lang w:val="en-AU"/>
        </w:rPr>
        <w:t>.</w:t>
      </w:r>
    </w:p>
    <w:p w14:paraId="3997EAB1" w14:textId="30CCC7BE" w:rsidR="00DE43AE" w:rsidRPr="005E5272" w:rsidRDefault="00DE43AE" w:rsidP="00DE43AE">
      <w:pPr>
        <w:pStyle w:val="Box2Text"/>
        <w:rPr>
          <w:b/>
        </w:rPr>
      </w:pPr>
      <w:r>
        <w:rPr>
          <w:b/>
        </w:rPr>
        <w:t>Broadcast video on demand (BVOD)</w:t>
      </w:r>
      <w:r>
        <w:rPr>
          <w:b/>
          <w:lang w:val="en-AU"/>
        </w:rPr>
        <w:t xml:space="preserve"> services</w:t>
      </w:r>
      <w:r w:rsidRPr="00DE43AE">
        <w:rPr>
          <w:lang w:val="en-AU"/>
        </w:rPr>
        <w:t xml:space="preserve">, such as 9Now and 7plus, provide access to </w:t>
      </w:r>
      <w:r w:rsidR="005B207C">
        <w:rPr>
          <w:lang w:val="en-AU"/>
        </w:rPr>
        <w:t xml:space="preserve">coverage of </w:t>
      </w:r>
      <w:r w:rsidRPr="00DE43AE">
        <w:rPr>
          <w:lang w:val="en-AU"/>
        </w:rPr>
        <w:t xml:space="preserve">sporting content, often </w:t>
      </w:r>
      <w:r>
        <w:rPr>
          <w:lang w:val="en-AU"/>
        </w:rPr>
        <w:t xml:space="preserve">in conjunction with </w:t>
      </w:r>
      <w:r w:rsidRPr="005E5272">
        <w:t>linear broadcast</w:t>
      </w:r>
      <w:r>
        <w:rPr>
          <w:lang w:val="en-AU"/>
        </w:rPr>
        <w:t xml:space="preserve">s. </w:t>
      </w:r>
      <w:r w:rsidRPr="005E5272">
        <w:t xml:space="preserve">While </w:t>
      </w:r>
      <w:r>
        <w:rPr>
          <w:lang w:val="en-AU"/>
        </w:rPr>
        <w:t xml:space="preserve">users </w:t>
      </w:r>
      <w:r w:rsidRPr="005E5272">
        <w:t>typically hav</w:t>
      </w:r>
      <w:r w:rsidR="009B323E">
        <w:rPr>
          <w:lang w:val="en-AU"/>
        </w:rPr>
        <w:t>e</w:t>
      </w:r>
      <w:r w:rsidRPr="005E5272">
        <w:t xml:space="preserve"> to sign up to an account for these services, the service itself operates on a free-to-access</w:t>
      </w:r>
      <w:r>
        <w:rPr>
          <w:lang w:val="en-AU"/>
        </w:rPr>
        <w:t>,</w:t>
      </w:r>
      <w:r w:rsidRPr="005E5272">
        <w:t xml:space="preserve"> ad-supported </w:t>
      </w:r>
      <w:r>
        <w:rPr>
          <w:lang w:val="en-AU"/>
        </w:rPr>
        <w:t>basis.</w:t>
      </w:r>
    </w:p>
    <w:p w14:paraId="1413533B" w14:textId="77777777" w:rsidR="00DB2A25" w:rsidRPr="005E5272" w:rsidRDefault="00DB2A25" w:rsidP="00E9790E">
      <w:pPr>
        <w:pStyle w:val="Box2Text"/>
      </w:pPr>
      <w:r>
        <w:rPr>
          <w:b/>
        </w:rPr>
        <w:t>Mobile services</w:t>
      </w:r>
      <w:r w:rsidRPr="005E5272">
        <w:rPr>
          <w:b/>
        </w:rPr>
        <w:t xml:space="preserve"> </w:t>
      </w:r>
      <w:r w:rsidRPr="005E5272">
        <w:t>that are accessed through apps on portable devices, such as phones and tablets, can include subscription streaming services</w:t>
      </w:r>
      <w:r w:rsidR="00DE43AE" w:rsidRPr="005E5272">
        <w:t xml:space="preserve"> </w:t>
      </w:r>
      <w:r w:rsidR="00DE43AE">
        <w:rPr>
          <w:lang w:val="en-AU"/>
        </w:rPr>
        <w:t xml:space="preserve">as well as </w:t>
      </w:r>
      <w:r w:rsidRPr="005E5272">
        <w:t>free-to-air BVOD services</w:t>
      </w:r>
      <w:r w:rsidR="00DE43AE">
        <w:rPr>
          <w:lang w:val="en-AU"/>
        </w:rPr>
        <w:t>. They</w:t>
      </w:r>
      <w:r>
        <w:rPr>
          <w:lang w:val="en-AU"/>
        </w:rPr>
        <w:t xml:space="preserve"> may </w:t>
      </w:r>
      <w:r w:rsidR="00DE43AE">
        <w:rPr>
          <w:lang w:val="en-AU"/>
        </w:rPr>
        <w:t xml:space="preserve">also </w:t>
      </w:r>
      <w:r w:rsidRPr="005E5272">
        <w:t xml:space="preserve">have links to the provision of internet or phone services, such as </w:t>
      </w:r>
      <w:r w:rsidR="00DE43AE">
        <w:rPr>
          <w:lang w:val="en-AU"/>
        </w:rPr>
        <w:t xml:space="preserve">with </w:t>
      </w:r>
      <w:r w:rsidRPr="005E5272">
        <w:t>Optus Sport.</w:t>
      </w:r>
    </w:p>
    <w:p w14:paraId="446CCA7C" w14:textId="050BD8CD" w:rsidR="00DB2A25" w:rsidRPr="005E5272" w:rsidRDefault="00DB2A25" w:rsidP="00E9790E">
      <w:pPr>
        <w:pStyle w:val="Box2Text"/>
      </w:pPr>
      <w:r>
        <w:rPr>
          <w:b/>
        </w:rPr>
        <w:t>Gambling apps and platforms</w:t>
      </w:r>
      <w:r w:rsidRPr="005E5272">
        <w:t xml:space="preserve">, such as </w:t>
      </w:r>
      <w:proofErr w:type="spellStart"/>
      <w:r w:rsidR="005F6B54">
        <w:rPr>
          <w:lang w:val="en-AU"/>
        </w:rPr>
        <w:t>Tabcorp</w:t>
      </w:r>
      <w:proofErr w:type="spellEnd"/>
      <w:r w:rsidR="005F6B54">
        <w:rPr>
          <w:lang w:val="en-AU"/>
        </w:rPr>
        <w:t xml:space="preserve"> and </w:t>
      </w:r>
      <w:r w:rsidRPr="005E5272">
        <w:t>Bet365, provide limited access to live streaming of sports for their users. Although these activities can be limited as a result of the digital rights held by other media entities, it has a growing market and audience.</w:t>
      </w:r>
    </w:p>
    <w:p w14:paraId="1CA0DEE6" w14:textId="6A400139" w:rsidR="00DE43AE" w:rsidRPr="005E5272" w:rsidRDefault="00DE43AE" w:rsidP="003273F8">
      <w:pPr>
        <w:pStyle w:val="Box2Text"/>
        <w:spacing w:after="0"/>
      </w:pPr>
      <w:r>
        <w:rPr>
          <w:b/>
        </w:rPr>
        <w:t>Digital platforms</w:t>
      </w:r>
      <w:r w:rsidRPr="005E5272">
        <w:t>, such as YouTube, make large amounts of content available daily</w:t>
      </w:r>
      <w:r w:rsidR="005F6B54">
        <w:rPr>
          <w:lang w:val="en-AU"/>
        </w:rPr>
        <w:t xml:space="preserve">, including </w:t>
      </w:r>
      <w:r w:rsidR="00422881">
        <w:rPr>
          <w:lang w:val="en-AU"/>
        </w:rPr>
        <w:t>channels that offer highlights and replay content</w:t>
      </w:r>
      <w:r w:rsidR="005F6B54">
        <w:rPr>
          <w:lang w:val="en-AU"/>
        </w:rPr>
        <w:t xml:space="preserve"> for the</w:t>
      </w:r>
      <w:r w:rsidR="00422881">
        <w:rPr>
          <w:lang w:val="en-AU"/>
        </w:rPr>
        <w:t xml:space="preserve"> AFL</w:t>
      </w:r>
      <w:r w:rsidR="00422881">
        <w:rPr>
          <w:rStyle w:val="FootnoteReference"/>
          <w:lang w:val="en-AU"/>
        </w:rPr>
        <w:footnoteReference w:id="37"/>
      </w:r>
      <w:r w:rsidR="00422881">
        <w:rPr>
          <w:lang w:val="en-AU"/>
        </w:rPr>
        <w:t>, NRL</w:t>
      </w:r>
      <w:r w:rsidR="00422881">
        <w:rPr>
          <w:rStyle w:val="FootnoteReference"/>
          <w:lang w:val="en-AU"/>
        </w:rPr>
        <w:footnoteReference w:id="38"/>
      </w:r>
      <w:r w:rsidR="00422881">
        <w:rPr>
          <w:lang w:val="en-AU"/>
        </w:rPr>
        <w:t xml:space="preserve"> and the Olympics</w:t>
      </w:r>
      <w:r w:rsidR="005F6B54">
        <w:rPr>
          <w:lang w:val="en-AU"/>
        </w:rPr>
        <w:t>, among other sports.</w:t>
      </w:r>
      <w:r w:rsidR="00422881">
        <w:rPr>
          <w:rStyle w:val="FootnoteReference"/>
          <w:lang w:val="en-AU"/>
        </w:rPr>
        <w:footnoteReference w:id="39"/>
      </w:r>
      <w:r w:rsidR="00422881">
        <w:rPr>
          <w:lang w:val="en-AU"/>
        </w:rPr>
        <w:t xml:space="preserve"> </w:t>
      </w:r>
      <w:r w:rsidR="005F6B54">
        <w:rPr>
          <w:lang w:val="en-AU"/>
        </w:rPr>
        <w:t>YouTube has also recently secured rights to stream some NFL (American football) matches</w:t>
      </w:r>
      <w:r w:rsidR="00422881">
        <w:rPr>
          <w:lang w:val="en-AU"/>
        </w:rPr>
        <w:t>.</w:t>
      </w:r>
      <w:r w:rsidR="00422881">
        <w:rPr>
          <w:rStyle w:val="FootnoteReference"/>
          <w:lang w:val="en-AU"/>
        </w:rPr>
        <w:footnoteReference w:id="40"/>
      </w:r>
    </w:p>
    <w:p w14:paraId="61077F06" w14:textId="2B80CF76" w:rsidR="004E054C" w:rsidRPr="00455C23" w:rsidRDefault="004E054C" w:rsidP="004E054C">
      <w:r w:rsidRPr="00455C23">
        <w:lastRenderedPageBreak/>
        <w:t xml:space="preserve">Some of these services are supported by advertising and are ‘free’ in the sense of </w:t>
      </w:r>
      <w:r w:rsidR="00471349" w:rsidRPr="00455C23">
        <w:t>no explicit payment by viewers</w:t>
      </w:r>
      <w:r w:rsidR="00A939BC">
        <w:t>.</w:t>
      </w:r>
      <w:r w:rsidR="000E2B3A" w:rsidRPr="00455C23">
        <w:rPr>
          <w:rStyle w:val="FootnoteReference"/>
        </w:rPr>
        <w:footnoteReference w:id="41"/>
      </w:r>
      <w:r w:rsidR="00644388">
        <w:t xml:space="preserve"> </w:t>
      </w:r>
      <w:r w:rsidRPr="00455C23">
        <w:t xml:space="preserve">However, many are based on subscription models, </w:t>
      </w:r>
      <w:r w:rsidR="000E2B3A" w:rsidRPr="002B1D55">
        <w:t xml:space="preserve">including subscription models that offer some free programs, or </w:t>
      </w:r>
      <w:r w:rsidR="00135043">
        <w:t>‘</w:t>
      </w:r>
      <w:r w:rsidR="000E2B3A" w:rsidRPr="002B1D55">
        <w:t>freebies</w:t>
      </w:r>
      <w:r w:rsidR="00135043">
        <w:t>’</w:t>
      </w:r>
      <w:r w:rsidR="000E2B3A" w:rsidRPr="002B1D55">
        <w:t>,</w:t>
      </w:r>
      <w:r w:rsidR="000E2B3A" w:rsidRPr="00455C23">
        <w:t xml:space="preserve"> </w:t>
      </w:r>
      <w:r w:rsidRPr="00455C23">
        <w:t>and these services have been embraced by Australians.</w:t>
      </w:r>
    </w:p>
    <w:p w14:paraId="77A0EAA9" w14:textId="07A3A90E" w:rsidR="00D84F9D" w:rsidRPr="00056164" w:rsidRDefault="00274E05" w:rsidP="001A687D">
      <w:pPr>
        <w:pStyle w:val="ListParagraph"/>
        <w:numPr>
          <w:ilvl w:val="0"/>
          <w:numId w:val="48"/>
        </w:numPr>
        <w:contextualSpacing w:val="0"/>
      </w:pPr>
      <w:r w:rsidRPr="00455C23">
        <w:t xml:space="preserve">In </w:t>
      </w:r>
      <w:r w:rsidR="003018D0" w:rsidRPr="00455C23">
        <w:t xml:space="preserve">the first quarter of </w:t>
      </w:r>
      <w:r w:rsidRPr="00455C23">
        <w:t xml:space="preserve">2023, </w:t>
      </w:r>
      <w:r w:rsidR="009569E7" w:rsidRPr="00455C23">
        <w:t>Kantar found that 6</w:t>
      </w:r>
      <w:r w:rsidR="003018D0" w:rsidRPr="00455C23">
        <w:t>.12</w:t>
      </w:r>
      <w:r w:rsidR="009569E7" w:rsidRPr="00455C23">
        <w:t xml:space="preserve"> million Australian homes, or 61.5 per cent of</w:t>
      </w:r>
      <w:r w:rsidR="009569E7" w:rsidRPr="00056164">
        <w:t xml:space="preserve"> households, </w:t>
      </w:r>
      <w:r w:rsidR="00C40601">
        <w:t>are subscribed to</w:t>
      </w:r>
      <w:r w:rsidR="00C40601" w:rsidRPr="00056164">
        <w:t xml:space="preserve"> </w:t>
      </w:r>
      <w:r w:rsidR="009569E7" w:rsidRPr="00056164">
        <w:t>at least one streaming service.</w:t>
      </w:r>
      <w:r w:rsidR="009569E7" w:rsidRPr="00056164">
        <w:rPr>
          <w:rStyle w:val="FootnoteReference"/>
        </w:rPr>
        <w:footnoteReference w:id="42"/>
      </w:r>
    </w:p>
    <w:p w14:paraId="748AADA5" w14:textId="2C9920A1" w:rsidR="00BE5F12" w:rsidRPr="00056164" w:rsidRDefault="005D47DA" w:rsidP="001A687D">
      <w:pPr>
        <w:pStyle w:val="ListParagraph"/>
        <w:numPr>
          <w:ilvl w:val="0"/>
          <w:numId w:val="48"/>
        </w:numPr>
        <w:contextualSpacing w:val="0"/>
      </w:pPr>
      <w:r w:rsidRPr="00056164">
        <w:t>T</w:t>
      </w:r>
      <w:r w:rsidR="00A678E9" w:rsidRPr="00056164">
        <w:t xml:space="preserve">he number of Australian </w:t>
      </w:r>
      <w:r w:rsidR="00356210">
        <w:t>subscriptions</w:t>
      </w:r>
      <w:r w:rsidR="00356210" w:rsidRPr="00056164">
        <w:t xml:space="preserve"> </w:t>
      </w:r>
      <w:r w:rsidR="00A678E9" w:rsidRPr="00056164">
        <w:t xml:space="preserve">to </w:t>
      </w:r>
      <w:r w:rsidR="008C6B47" w:rsidRPr="008C6B47">
        <w:t xml:space="preserve">Subscription Video on Demand </w:t>
      </w:r>
      <w:r w:rsidR="008C6B47">
        <w:t>(</w:t>
      </w:r>
      <w:r w:rsidR="00A678E9" w:rsidRPr="00056164">
        <w:t>SVOD</w:t>
      </w:r>
      <w:r w:rsidR="008C6B47">
        <w:t>)</w:t>
      </w:r>
      <w:r w:rsidR="00A678E9" w:rsidRPr="00056164">
        <w:t xml:space="preserve"> services </w:t>
      </w:r>
      <w:r w:rsidR="006A2961" w:rsidRPr="00056164">
        <w:t>increas</w:t>
      </w:r>
      <w:r w:rsidRPr="00056164">
        <w:t>ed</w:t>
      </w:r>
      <w:r w:rsidR="00A678E9" w:rsidRPr="00056164">
        <w:t xml:space="preserve"> from 12.3 million to </w:t>
      </w:r>
      <w:r w:rsidR="000A3988" w:rsidRPr="00056164">
        <w:t>23</w:t>
      </w:r>
      <w:r w:rsidR="00A678E9" w:rsidRPr="00056164">
        <w:t>.</w:t>
      </w:r>
      <w:r w:rsidR="000A3988" w:rsidRPr="00056164">
        <w:t xml:space="preserve">4 </w:t>
      </w:r>
      <w:r w:rsidR="00A678E9" w:rsidRPr="00056164">
        <w:t>million</w:t>
      </w:r>
      <w:r w:rsidR="006A2961" w:rsidRPr="00056164">
        <w:t xml:space="preserve"> between </w:t>
      </w:r>
      <w:r w:rsidR="008225D6" w:rsidRPr="008225D6">
        <w:t xml:space="preserve">June </w:t>
      </w:r>
      <w:r w:rsidR="006A2961" w:rsidRPr="00056164">
        <w:t>2019</w:t>
      </w:r>
      <w:r w:rsidR="000A3988" w:rsidRPr="00056164">
        <w:rPr>
          <w:rStyle w:val="FootnoteReference"/>
        </w:rPr>
        <w:footnoteReference w:id="43"/>
      </w:r>
      <w:r w:rsidR="006A2961" w:rsidRPr="00056164">
        <w:t xml:space="preserve"> and </w:t>
      </w:r>
      <w:r w:rsidR="008225D6">
        <w:t xml:space="preserve">June </w:t>
      </w:r>
      <w:r w:rsidR="000A3988" w:rsidRPr="00056164">
        <w:t>2022</w:t>
      </w:r>
      <w:r w:rsidR="00A678E9" w:rsidRPr="00056164">
        <w:t>.</w:t>
      </w:r>
      <w:r w:rsidR="00A678E9" w:rsidRPr="00056164">
        <w:rPr>
          <w:rStyle w:val="FootnoteReference"/>
          <w:rFonts w:cs="Segoe UI"/>
          <w:szCs w:val="21"/>
        </w:rPr>
        <w:footnoteReference w:id="44"/>
      </w:r>
    </w:p>
    <w:p w14:paraId="1D73BEDB" w14:textId="7D2FDE32" w:rsidR="005D47DA" w:rsidRPr="00056164" w:rsidRDefault="005D47DA" w:rsidP="005D47DA">
      <w:pPr>
        <w:pStyle w:val="ListParagraph"/>
        <w:numPr>
          <w:ilvl w:val="0"/>
          <w:numId w:val="48"/>
        </w:numPr>
        <w:contextualSpacing w:val="0"/>
      </w:pPr>
      <w:r w:rsidRPr="00056164">
        <w:t>ACMA reported that in 2021–22, there were 3,539 hours of Australian sport</w:t>
      </w:r>
      <w:r w:rsidR="00216E5F">
        <w:t>s</w:t>
      </w:r>
      <w:r w:rsidRPr="00056164">
        <w:t xml:space="preserve"> content available across five SVOD services</w:t>
      </w:r>
      <w:r w:rsidR="00F3212F" w:rsidRPr="00056164">
        <w:t xml:space="preserve"> operating in Australia</w:t>
      </w:r>
      <w:r w:rsidRPr="00056164">
        <w:t>, representing almost half of all Australian content on these services.</w:t>
      </w:r>
      <w:r w:rsidRPr="00056164">
        <w:rPr>
          <w:vertAlign w:val="superscript"/>
        </w:rPr>
        <w:footnoteReference w:id="45"/>
      </w:r>
    </w:p>
    <w:p w14:paraId="11DD658C" w14:textId="77777777" w:rsidR="00E67A4C" w:rsidRPr="00056164" w:rsidRDefault="00166821" w:rsidP="00E67A4C">
      <w:r w:rsidRPr="00056164">
        <w:t xml:space="preserve">This trend is </w:t>
      </w:r>
      <w:r w:rsidR="00E67A4C" w:rsidRPr="00056164">
        <w:t xml:space="preserve">also </w:t>
      </w:r>
      <w:r w:rsidRPr="00056164">
        <w:t>reflected in sports-specific streaming services</w:t>
      </w:r>
      <w:r w:rsidR="004C075D" w:rsidRPr="00056164">
        <w:t>:</w:t>
      </w:r>
    </w:p>
    <w:p w14:paraId="758D6C38" w14:textId="09859037" w:rsidR="00E67A4C" w:rsidRPr="00056164" w:rsidRDefault="00166821" w:rsidP="001A687D">
      <w:pPr>
        <w:pStyle w:val="ListParagraph"/>
        <w:numPr>
          <w:ilvl w:val="0"/>
          <w:numId w:val="49"/>
        </w:numPr>
        <w:contextualSpacing w:val="0"/>
      </w:pPr>
      <w:r w:rsidRPr="00056164">
        <w:t>In 2022, Deloitte found that 30 per cent of Australian households have at least one sports subscription service, largely driven by subscriptions to Kayo (owned by Foxtel) and Optus Sport.</w:t>
      </w:r>
      <w:r w:rsidRPr="00056164">
        <w:rPr>
          <w:rStyle w:val="FootnoteReference"/>
        </w:rPr>
        <w:footnoteReference w:id="46"/>
      </w:r>
    </w:p>
    <w:p w14:paraId="67B00ABD" w14:textId="63FA4BA5" w:rsidR="00105F2A" w:rsidRPr="00056164" w:rsidRDefault="00166821" w:rsidP="001A687D">
      <w:pPr>
        <w:pStyle w:val="ListParagraph"/>
        <w:numPr>
          <w:ilvl w:val="0"/>
          <w:numId w:val="49"/>
        </w:numPr>
        <w:contextualSpacing w:val="0"/>
      </w:pPr>
      <w:r w:rsidRPr="00056164">
        <w:t xml:space="preserve">In 2023, Foxtel reported that Kayo had </w:t>
      </w:r>
      <w:r w:rsidR="00364598" w:rsidRPr="00056164">
        <w:t>1.</w:t>
      </w:r>
      <w:r w:rsidR="005D47DA" w:rsidRPr="00056164">
        <w:t>411</w:t>
      </w:r>
      <w:r w:rsidR="00364598" w:rsidRPr="00056164">
        <w:t xml:space="preserve"> million</w:t>
      </w:r>
      <w:r w:rsidR="00617597" w:rsidRPr="00056164">
        <w:t xml:space="preserve"> active</w:t>
      </w:r>
      <w:r w:rsidR="00364598" w:rsidRPr="00056164">
        <w:t xml:space="preserve"> subscribers (1.</w:t>
      </w:r>
      <w:r w:rsidR="005D47DA" w:rsidRPr="00056164">
        <w:t>401</w:t>
      </w:r>
      <w:r w:rsidR="00364598" w:rsidRPr="00056164">
        <w:t xml:space="preserve"> million paid) </w:t>
      </w:r>
      <w:r w:rsidR="00787DB9" w:rsidRPr="00056164">
        <w:t xml:space="preserve">for the quarter ending </w:t>
      </w:r>
      <w:r w:rsidR="005D47DA" w:rsidRPr="00056164">
        <w:t>30 June 2023</w:t>
      </w:r>
      <w:r w:rsidRPr="00056164">
        <w:t>.</w:t>
      </w:r>
      <w:r w:rsidRPr="00056164">
        <w:rPr>
          <w:rStyle w:val="FootnoteReference"/>
        </w:rPr>
        <w:footnoteReference w:id="47"/>
      </w:r>
    </w:p>
    <w:p w14:paraId="70784528" w14:textId="1434E597" w:rsidR="00F3212F" w:rsidRPr="00F945D8" w:rsidRDefault="007F040D" w:rsidP="00D26BF1">
      <w:pPr>
        <w:pStyle w:val="ListParagraph"/>
        <w:numPr>
          <w:ilvl w:val="0"/>
          <w:numId w:val="49"/>
        </w:numPr>
        <w:contextualSpacing w:val="0"/>
      </w:pPr>
      <w:r w:rsidRPr="00056164">
        <w:t>SingTel, of which Optus is a subsidiary, reported</w:t>
      </w:r>
      <w:r w:rsidR="00E577AD" w:rsidRPr="00056164" w:rsidDel="00617597">
        <w:t xml:space="preserve"> </w:t>
      </w:r>
      <w:r w:rsidRPr="00056164">
        <w:t xml:space="preserve">that </w:t>
      </w:r>
      <w:r w:rsidR="00166821" w:rsidRPr="00056164">
        <w:t xml:space="preserve">Optus Sport </w:t>
      </w:r>
      <w:r w:rsidRPr="00056164">
        <w:t>had 926,000 active subscriptions</w:t>
      </w:r>
      <w:r w:rsidR="00E577AD" w:rsidRPr="00056164">
        <w:t xml:space="preserve"> in the financial year</w:t>
      </w:r>
      <w:r w:rsidR="00787DB9" w:rsidRPr="00056164">
        <w:t xml:space="preserve"> ending 31 March 2023</w:t>
      </w:r>
      <w:r w:rsidRPr="00056164">
        <w:t>.</w:t>
      </w:r>
      <w:r w:rsidRPr="00056164">
        <w:rPr>
          <w:rStyle w:val="FootnoteReference"/>
        </w:rPr>
        <w:footnoteReference w:id="48"/>
      </w:r>
    </w:p>
    <w:p w14:paraId="52F800F3" w14:textId="4C5893DE" w:rsidR="00CB097E" w:rsidRDefault="00644E56" w:rsidP="00F3212F">
      <w:r w:rsidRPr="00056164">
        <w:t>In light of these developments, t</w:t>
      </w:r>
      <w:r w:rsidR="00F44928" w:rsidRPr="00056164">
        <w:t xml:space="preserve">he review has </w:t>
      </w:r>
      <w:r w:rsidR="00CB097E" w:rsidRPr="00056164">
        <w:t xml:space="preserve">considered </w:t>
      </w:r>
      <w:r w:rsidR="00802295" w:rsidRPr="00056164">
        <w:t xml:space="preserve">whether </w:t>
      </w:r>
      <w:r w:rsidR="00CB097E" w:rsidRPr="00056164">
        <w:t>the</w:t>
      </w:r>
      <w:r w:rsidRPr="00056164">
        <w:t xml:space="preserve">re is </w:t>
      </w:r>
      <w:r w:rsidR="00E67A4C" w:rsidRPr="00056164">
        <w:t>a material</w:t>
      </w:r>
      <w:r w:rsidRPr="00056164">
        <w:t xml:space="preserve"> risk of </w:t>
      </w:r>
      <w:r w:rsidR="00B5207D" w:rsidRPr="00056164">
        <w:t>nationally important and culturally significant</w:t>
      </w:r>
      <w:r w:rsidR="00E67A4C" w:rsidRPr="00056164">
        <w:t xml:space="preserve"> </w:t>
      </w:r>
      <w:r w:rsidRPr="00056164">
        <w:t>sports</w:t>
      </w:r>
      <w:r w:rsidR="00CB097E" w:rsidRPr="00056164">
        <w:t xml:space="preserve"> migrating to </w:t>
      </w:r>
      <w:r w:rsidRPr="00056164">
        <w:t xml:space="preserve">online services and, in particular, </w:t>
      </w:r>
      <w:r w:rsidR="00E67A4C" w:rsidRPr="00056164">
        <w:t xml:space="preserve">to </w:t>
      </w:r>
      <w:r w:rsidR="00CB097E" w:rsidRPr="00056164">
        <w:t>subscription-based platforms</w:t>
      </w:r>
      <w:r w:rsidRPr="00056164">
        <w:t>.</w:t>
      </w:r>
    </w:p>
    <w:p w14:paraId="0F493E0D" w14:textId="7D2D8675" w:rsidR="00E67A4C" w:rsidRDefault="00E67A4C" w:rsidP="00E67A4C">
      <w:r>
        <w:t xml:space="preserve">Submissions to the </w:t>
      </w:r>
      <w:r w:rsidR="00606A6A">
        <w:t>2022</w:t>
      </w:r>
      <w:r>
        <w:t xml:space="preserve"> </w:t>
      </w:r>
      <w:r w:rsidR="00995158">
        <w:t xml:space="preserve">consultation </w:t>
      </w:r>
      <w:r>
        <w:t>paper highlighted that online rights are pivotal to the future of sports coverage.</w:t>
      </w:r>
    </w:p>
    <w:p w14:paraId="07DE2F0D" w14:textId="77777777" w:rsidR="00CB097E" w:rsidRDefault="00CB097E" w:rsidP="003273F8">
      <w:pPr>
        <w:spacing w:after="120"/>
      </w:pPr>
      <w:r>
        <w:t>The Coalition of Major Professional and Participation Sports (COMPPS), which represents major sporting bodies in Australia, stated that:</w:t>
      </w:r>
    </w:p>
    <w:p w14:paraId="71BFAD48" w14:textId="372D0B3C" w:rsidR="00CB097E" w:rsidRDefault="00454798" w:rsidP="00E9790E">
      <w:pPr>
        <w:pStyle w:val="Quote"/>
        <w:spacing w:after="80"/>
      </w:pPr>
      <w:r>
        <w:t>…</w:t>
      </w:r>
      <w:r w:rsidR="00CB097E">
        <w:t>the sale of online and digital rights has become a critically important revenue stream…</w:t>
      </w:r>
      <w:bookmarkStart w:id="134" w:name="_Hlk141895427"/>
      <w:r w:rsidR="00CB097E">
        <w:t xml:space="preserve">the importance of maximising revenue from the sale of online and digital rights as part of the overall media rights strategy of </w:t>
      </w:r>
      <w:bookmarkStart w:id="135" w:name="_Hlk142929877"/>
      <w:r w:rsidR="00CB097E">
        <w:t xml:space="preserve">COMPPS members will continue to increase in </w:t>
      </w:r>
      <w:bookmarkEnd w:id="135"/>
      <w:r w:rsidR="00CB097E">
        <w:t xml:space="preserve">the </w:t>
      </w:r>
      <w:r w:rsidR="00B24543">
        <w:t xml:space="preserve">coming </w:t>
      </w:r>
      <w:r w:rsidR="00CB097E">
        <w:t>years</w:t>
      </w:r>
      <w:r w:rsidR="00CC398D">
        <w:t>…</w:t>
      </w:r>
      <w:r w:rsidR="00CB097E" w:rsidRPr="00166821">
        <w:rPr>
          <w:b w:val="0"/>
          <w:vertAlign w:val="superscript"/>
        </w:rPr>
        <w:footnoteReference w:id="49"/>
      </w:r>
      <w:bookmarkEnd w:id="134"/>
    </w:p>
    <w:p w14:paraId="5F68D860" w14:textId="712999E5" w:rsidR="003273F8" w:rsidRDefault="003273F8">
      <w:r>
        <w:br w:type="page"/>
      </w:r>
    </w:p>
    <w:p w14:paraId="5441C13A" w14:textId="6217D215" w:rsidR="00CB097E" w:rsidRDefault="00CB097E" w:rsidP="003273F8">
      <w:pPr>
        <w:spacing w:after="120"/>
        <w:rPr>
          <w:shd w:val="clear" w:color="auto" w:fill="FFFF00"/>
        </w:rPr>
      </w:pPr>
      <w:r>
        <w:lastRenderedPageBreak/>
        <w:t>Similarly, Free T</w:t>
      </w:r>
      <w:r w:rsidRPr="00CC2F0B">
        <w:t xml:space="preserve">V argued that </w:t>
      </w:r>
      <w:r>
        <w:t xml:space="preserve">audiences expect free-to-air broadcasters to provide access to </w:t>
      </w:r>
      <w:r w:rsidR="005B207C">
        <w:t xml:space="preserve">coverage of </w:t>
      </w:r>
      <w:r>
        <w:t>sporting events through both linear broadcasts and their BVOD streaming platforms</w:t>
      </w:r>
      <w:r w:rsidR="00FB15DF">
        <w:t>, and that doing so is central to its members’ commercial strategies:</w:t>
      </w:r>
    </w:p>
    <w:p w14:paraId="799EAC8D" w14:textId="77777777" w:rsidR="00CB097E" w:rsidRDefault="00FB15DF" w:rsidP="00FB15DF">
      <w:pPr>
        <w:pStyle w:val="Quote"/>
      </w:pPr>
      <w:r>
        <w:t>In the modern media environment, Australians are increasingly expecting to be able to access content from FTA broadcasts on the device of their choice and wherever they are.</w:t>
      </w:r>
      <w:r w:rsidRPr="00FB15DF">
        <w:rPr>
          <w:rStyle w:val="FootnoteReference"/>
          <w:b w:val="0"/>
        </w:rPr>
        <w:footnoteReference w:id="50"/>
      </w:r>
    </w:p>
    <w:p w14:paraId="7E420D08" w14:textId="77777777" w:rsidR="00FB15DF" w:rsidRPr="00FB15DF" w:rsidRDefault="00FB15DF" w:rsidP="00FB15DF">
      <w:pPr>
        <w:pStyle w:val="Quote"/>
        <w:rPr>
          <w:b w:val="0"/>
        </w:rPr>
      </w:pPr>
      <w:r>
        <w:t>BVOD services are a vital part of the commercial proposition for networks and a key factor in the future sustainability of our sector…the availability of BVOD rights for live and free sport is directly related to the achievement of the Government’s broader communications policy.</w:t>
      </w:r>
      <w:r w:rsidRPr="00D95E9F">
        <w:rPr>
          <w:rStyle w:val="FootnoteReference"/>
          <w:b w:val="0"/>
        </w:rPr>
        <w:footnoteReference w:id="51"/>
      </w:r>
    </w:p>
    <w:p w14:paraId="24FE4BF3" w14:textId="7B1197BB" w:rsidR="00454798" w:rsidRDefault="007365A0" w:rsidP="003273F8">
      <w:pPr>
        <w:spacing w:before="400" w:after="120"/>
      </w:pPr>
      <w:r>
        <w:t>The Commonwealth Games Federation Partnership, which is the global governing body for the Commonwealth Games, noted that:</w:t>
      </w:r>
    </w:p>
    <w:p w14:paraId="4AB477A7" w14:textId="77777777" w:rsidR="007365A0" w:rsidRDefault="007365A0" w:rsidP="007365A0">
      <w:pPr>
        <w:pStyle w:val="Quote"/>
      </w:pPr>
      <w:r>
        <w:t xml:space="preserve">…the landscape of media distribution and sports broadcasting is rapidly evolving. In addition to FTA and </w:t>
      </w:r>
      <w:proofErr w:type="spellStart"/>
      <w:r>
        <w:t>Pay-TV</w:t>
      </w:r>
      <w:proofErr w:type="spellEnd"/>
      <w:r>
        <w:t xml:space="preserve"> broadcasters, alternative distribution mediums have emerged and now include streaming and OTT distributors, such as Amazon, DAZN and even social media platforms. Accordingly, we envisage a future where alternative distributers (i.e. non-FTA or </w:t>
      </w:r>
      <w:proofErr w:type="spellStart"/>
      <w:r>
        <w:t>Pay-TV</w:t>
      </w:r>
      <w:proofErr w:type="spellEnd"/>
      <w:r>
        <w:t>) will be interested in obtaining the Rights and become realistic options to broadcast the Games.</w:t>
      </w:r>
      <w:r w:rsidRPr="007365A0">
        <w:rPr>
          <w:rStyle w:val="FootnoteReference"/>
          <w:b w:val="0"/>
        </w:rPr>
        <w:footnoteReference w:id="52"/>
      </w:r>
    </w:p>
    <w:p w14:paraId="53414C29" w14:textId="452D7E09" w:rsidR="008901D0" w:rsidRDefault="008901D0" w:rsidP="003273F8">
      <w:pPr>
        <w:spacing w:before="400" w:after="120"/>
      </w:pPr>
      <w:r>
        <w:t>Th</w:t>
      </w:r>
      <w:r w:rsidR="00802295">
        <w:t xml:space="preserve">e importance of online rights to sports coverage is </w:t>
      </w:r>
      <w:r w:rsidR="00E67A4C">
        <w:t>also evident</w:t>
      </w:r>
      <w:r w:rsidR="00802295">
        <w:t xml:space="preserve"> in the Australian media market. </w:t>
      </w:r>
      <w:r>
        <w:t xml:space="preserve">In recent years, </w:t>
      </w:r>
      <w:r w:rsidR="00802295">
        <w:t xml:space="preserve">subscription and free-to-air </w:t>
      </w:r>
      <w:r>
        <w:t>broadcasters have increasingly acquired online rights as part of their media rights packages</w:t>
      </w:r>
      <w:r w:rsidR="00216E5F">
        <w:t>.</w:t>
      </w:r>
    </w:p>
    <w:p w14:paraId="0B13B4BD" w14:textId="0B0F8973" w:rsidR="00802295" w:rsidRPr="004A6B82" w:rsidRDefault="00802295" w:rsidP="004A6B82">
      <w:pPr>
        <w:pStyle w:val="Box1Bullet1"/>
        <w:suppressAutoHyphens/>
        <w:spacing w:before="0" w:after="120"/>
        <w:rPr>
          <w:sz w:val="22"/>
          <w:szCs w:val="22"/>
          <w:lang w:val="en-US"/>
        </w:rPr>
      </w:pPr>
      <w:r w:rsidRPr="004A6B82">
        <w:rPr>
          <w:b/>
          <w:sz w:val="22"/>
          <w:szCs w:val="22"/>
          <w:lang w:val="en-US"/>
        </w:rPr>
        <w:t xml:space="preserve">Foxtel </w:t>
      </w:r>
      <w:r w:rsidR="00E67A4C" w:rsidRPr="004A6B82">
        <w:rPr>
          <w:sz w:val="22"/>
          <w:szCs w:val="22"/>
          <w:lang w:val="en-US"/>
        </w:rPr>
        <w:t xml:space="preserve">has </w:t>
      </w:r>
      <w:r w:rsidRPr="004A6B82">
        <w:rPr>
          <w:sz w:val="22"/>
          <w:szCs w:val="22"/>
          <w:lang w:val="en-US"/>
        </w:rPr>
        <w:t>obtain</w:t>
      </w:r>
      <w:r w:rsidR="00E67A4C" w:rsidRPr="004A6B82">
        <w:rPr>
          <w:sz w:val="22"/>
          <w:szCs w:val="22"/>
          <w:lang w:val="en-US"/>
        </w:rPr>
        <w:t xml:space="preserve">ed </w:t>
      </w:r>
      <w:r w:rsidRPr="004A6B82">
        <w:rPr>
          <w:sz w:val="22"/>
          <w:szCs w:val="22"/>
          <w:lang w:val="en-US"/>
        </w:rPr>
        <w:t xml:space="preserve">online </w:t>
      </w:r>
      <w:r w:rsidR="00E67A4C" w:rsidRPr="004A6B82">
        <w:rPr>
          <w:sz w:val="22"/>
          <w:szCs w:val="22"/>
          <w:lang w:val="en-US"/>
        </w:rPr>
        <w:t xml:space="preserve">sports </w:t>
      </w:r>
      <w:r w:rsidRPr="004A6B82">
        <w:rPr>
          <w:sz w:val="22"/>
          <w:szCs w:val="22"/>
          <w:lang w:val="en-US"/>
        </w:rPr>
        <w:t xml:space="preserve">rights </w:t>
      </w:r>
      <w:r w:rsidR="002B461D" w:rsidRPr="004A6B82">
        <w:rPr>
          <w:sz w:val="22"/>
          <w:szCs w:val="22"/>
          <w:lang w:val="en-US"/>
        </w:rPr>
        <w:t xml:space="preserve">to a range of events </w:t>
      </w:r>
      <w:r w:rsidR="00E67A4C" w:rsidRPr="004A6B82">
        <w:rPr>
          <w:sz w:val="22"/>
          <w:szCs w:val="22"/>
          <w:lang w:val="en-US"/>
        </w:rPr>
        <w:t>and typically provides coverage</w:t>
      </w:r>
      <w:r w:rsidRPr="004A6B82">
        <w:rPr>
          <w:sz w:val="22"/>
          <w:szCs w:val="22"/>
          <w:lang w:val="en-US"/>
        </w:rPr>
        <w:t xml:space="preserve"> to subscribers through its </w:t>
      </w:r>
      <w:r w:rsidRPr="004A6B82">
        <w:rPr>
          <w:sz w:val="22"/>
          <w:szCs w:val="22"/>
        </w:rPr>
        <w:t>dedicated</w:t>
      </w:r>
      <w:r w:rsidRPr="004A6B82">
        <w:rPr>
          <w:sz w:val="22"/>
          <w:szCs w:val="22"/>
          <w:lang w:val="en-US"/>
        </w:rPr>
        <w:t xml:space="preserve"> Kayo streaming service. A wide range of sports and competitions are available through the service, including the vast majority of AFL and NRL Premiership matches.</w:t>
      </w:r>
    </w:p>
    <w:p w14:paraId="0E096319" w14:textId="32737FF7" w:rsidR="008901D0" w:rsidRPr="004A6B82" w:rsidRDefault="008901D0" w:rsidP="004A6B82">
      <w:pPr>
        <w:pStyle w:val="Box1Bullet1"/>
        <w:suppressAutoHyphens/>
        <w:spacing w:before="0" w:after="120"/>
        <w:rPr>
          <w:sz w:val="22"/>
          <w:szCs w:val="22"/>
          <w:lang w:val="en-AU"/>
        </w:rPr>
      </w:pPr>
      <w:r w:rsidRPr="004A6B82">
        <w:rPr>
          <w:b/>
          <w:sz w:val="22"/>
          <w:szCs w:val="22"/>
        </w:rPr>
        <w:t xml:space="preserve">Seven </w:t>
      </w:r>
      <w:r w:rsidRPr="004A6B82">
        <w:rPr>
          <w:b/>
          <w:sz w:val="22"/>
          <w:szCs w:val="22"/>
          <w:lang w:val="en-US"/>
        </w:rPr>
        <w:t>West Media</w:t>
      </w:r>
      <w:r w:rsidRPr="004A6B82">
        <w:rPr>
          <w:sz w:val="22"/>
          <w:szCs w:val="22"/>
        </w:rPr>
        <w:t xml:space="preserve"> obtained the broadcast rights to the 2020 Tokyo Olympic Games, as well as the rights to stream the Games. </w:t>
      </w:r>
      <w:r w:rsidR="000E2B3A" w:rsidRPr="004A6B82">
        <w:rPr>
          <w:sz w:val="22"/>
          <w:szCs w:val="22"/>
        </w:rPr>
        <w:t xml:space="preserve">Audiences were able to access </w:t>
      </w:r>
      <w:r w:rsidR="005B207C" w:rsidRPr="004A6B82">
        <w:rPr>
          <w:sz w:val="22"/>
          <w:szCs w:val="22"/>
          <w:lang w:val="en-AU"/>
        </w:rPr>
        <w:t xml:space="preserve">coverage of </w:t>
      </w:r>
      <w:r w:rsidR="000E2B3A" w:rsidRPr="004A6B82">
        <w:rPr>
          <w:sz w:val="22"/>
          <w:szCs w:val="22"/>
        </w:rPr>
        <w:t xml:space="preserve">events </w:t>
      </w:r>
      <w:r w:rsidR="00D44FD2" w:rsidRPr="004A6B82">
        <w:rPr>
          <w:sz w:val="22"/>
          <w:szCs w:val="22"/>
          <w:lang w:val="en-AU"/>
        </w:rPr>
        <w:t>via 45 channels across Seven and 7plus</w:t>
      </w:r>
      <w:r w:rsidR="00D44FD2" w:rsidRPr="004A6B82">
        <w:rPr>
          <w:rStyle w:val="FootnoteReference"/>
          <w:sz w:val="22"/>
          <w:szCs w:val="22"/>
          <w:lang w:val="en-AU"/>
        </w:rPr>
        <w:footnoteReference w:id="53"/>
      </w:r>
      <w:r w:rsidR="000E2B3A" w:rsidRPr="004A6B82">
        <w:rPr>
          <w:sz w:val="22"/>
          <w:szCs w:val="22"/>
        </w:rPr>
        <w:t>.</w:t>
      </w:r>
    </w:p>
    <w:p w14:paraId="2FD6D7A2" w14:textId="1400F974" w:rsidR="008901D0" w:rsidRPr="004A6B82" w:rsidRDefault="008901D0" w:rsidP="004A6B82">
      <w:pPr>
        <w:pStyle w:val="Box1Bullet1"/>
        <w:suppressAutoHyphens/>
        <w:spacing w:before="0" w:after="120"/>
        <w:rPr>
          <w:sz w:val="22"/>
          <w:szCs w:val="22"/>
          <w:lang w:val="en-US"/>
        </w:rPr>
      </w:pPr>
      <w:r w:rsidRPr="004A6B82">
        <w:rPr>
          <w:b/>
          <w:sz w:val="22"/>
          <w:szCs w:val="22"/>
        </w:rPr>
        <w:t>Nine Entertainment Co</w:t>
      </w:r>
      <w:r w:rsidRPr="004A6B82">
        <w:rPr>
          <w:sz w:val="22"/>
          <w:szCs w:val="22"/>
        </w:rPr>
        <w:t xml:space="preserve"> uses its BVOD platform 9Now to simulcast </w:t>
      </w:r>
      <w:r w:rsidR="00E67A4C" w:rsidRPr="004A6B82">
        <w:rPr>
          <w:sz w:val="22"/>
          <w:szCs w:val="22"/>
          <w:lang w:val="en-AU"/>
        </w:rPr>
        <w:t>a range of sporting</w:t>
      </w:r>
      <w:r w:rsidR="00995158" w:rsidRPr="004A6B82">
        <w:rPr>
          <w:sz w:val="22"/>
          <w:szCs w:val="22"/>
          <w:lang w:val="en-AU"/>
        </w:rPr>
        <w:t xml:space="preserve"> events</w:t>
      </w:r>
      <w:r w:rsidRPr="004A6B82">
        <w:rPr>
          <w:sz w:val="22"/>
          <w:szCs w:val="22"/>
          <w:lang w:val="en-US"/>
        </w:rPr>
        <w:t xml:space="preserve">, including NRL matches </w:t>
      </w:r>
      <w:r w:rsidR="007F040D" w:rsidRPr="004A6B82">
        <w:rPr>
          <w:sz w:val="22"/>
          <w:szCs w:val="22"/>
          <w:lang w:val="en-US"/>
        </w:rPr>
        <w:t>and the 2023 Ashes</w:t>
      </w:r>
      <w:r w:rsidR="00802295" w:rsidRPr="004A6B82">
        <w:rPr>
          <w:sz w:val="22"/>
          <w:szCs w:val="22"/>
          <w:lang w:val="en-US"/>
        </w:rPr>
        <w:t>. It has also provided extensive coverage of matches of the</w:t>
      </w:r>
      <w:r w:rsidRPr="004A6B82">
        <w:rPr>
          <w:sz w:val="22"/>
          <w:szCs w:val="22"/>
          <w:lang w:val="en-US"/>
        </w:rPr>
        <w:t xml:space="preserve"> Australian Open </w:t>
      </w:r>
      <w:r w:rsidR="00802295" w:rsidRPr="004A6B82">
        <w:rPr>
          <w:sz w:val="22"/>
          <w:szCs w:val="22"/>
          <w:lang w:val="en-US"/>
        </w:rPr>
        <w:t>through 9Now</w:t>
      </w:r>
      <w:r w:rsidR="00AD7EA6" w:rsidRPr="004A6B82">
        <w:rPr>
          <w:sz w:val="22"/>
          <w:szCs w:val="22"/>
          <w:lang w:val="en-US"/>
        </w:rPr>
        <w:t>.</w:t>
      </w:r>
    </w:p>
    <w:p w14:paraId="22D67DE5" w14:textId="77777777" w:rsidR="003273F8" w:rsidRDefault="003273F8">
      <w:r>
        <w:br w:type="page"/>
      </w:r>
    </w:p>
    <w:p w14:paraId="4817693F" w14:textId="758CB1C2" w:rsidR="00216E5F" w:rsidRDefault="008901D0" w:rsidP="0004011F">
      <w:pPr>
        <w:spacing w:after="120"/>
      </w:pPr>
      <w:r>
        <w:lastRenderedPageBreak/>
        <w:t xml:space="preserve">Subscription-based streaming services </w:t>
      </w:r>
      <w:r w:rsidR="00960B1D">
        <w:t xml:space="preserve">that are not </w:t>
      </w:r>
      <w:r w:rsidR="007E3241">
        <w:t>owned by broadcasting service providers</w:t>
      </w:r>
      <w:r w:rsidR="00960B1D">
        <w:t xml:space="preserve"> </w:t>
      </w:r>
      <w:r>
        <w:t>have also made some initial forays into the sports rights market</w:t>
      </w:r>
      <w:r w:rsidR="00165BEC">
        <w:t xml:space="preserve"> in Australia</w:t>
      </w:r>
      <w:r w:rsidR="00960B1D">
        <w:t>.</w:t>
      </w:r>
    </w:p>
    <w:p w14:paraId="37425A34" w14:textId="318C54D1" w:rsidR="00960B1D" w:rsidRPr="00455C23" w:rsidRDefault="00960B1D" w:rsidP="00960B1D">
      <w:pPr>
        <w:pStyle w:val="Box1Bullet1"/>
        <w:suppressAutoHyphens/>
        <w:spacing w:before="0" w:after="120"/>
        <w:rPr>
          <w:sz w:val="22"/>
          <w:szCs w:val="22"/>
        </w:rPr>
      </w:pPr>
      <w:r w:rsidRPr="008B2CF3">
        <w:rPr>
          <w:sz w:val="22"/>
          <w:szCs w:val="22"/>
          <w:lang w:val="en-US"/>
        </w:rPr>
        <w:t xml:space="preserve">In February 2021, </w:t>
      </w:r>
      <w:r w:rsidRPr="008B2CF3">
        <w:rPr>
          <w:b/>
          <w:sz w:val="22"/>
          <w:szCs w:val="22"/>
          <w:lang w:val="en-US"/>
        </w:rPr>
        <w:t>Amazon Prime</w:t>
      </w:r>
      <w:r w:rsidRPr="008B2CF3">
        <w:rPr>
          <w:sz w:val="22"/>
          <w:szCs w:val="22"/>
          <w:lang w:val="en-US"/>
        </w:rPr>
        <w:t xml:space="preserve"> secured a two-year exclusive agreement with Swimming Australia to stream several Australian swimming events not on the anti-siphoning list.</w:t>
      </w:r>
      <w:r w:rsidRPr="008B2CF3">
        <w:rPr>
          <w:rStyle w:val="FootnoteReference"/>
          <w:sz w:val="22"/>
          <w:szCs w:val="22"/>
          <w:lang w:val="en-US"/>
        </w:rPr>
        <w:footnoteReference w:id="54"/>
      </w:r>
      <w:r w:rsidRPr="008B2CF3">
        <w:rPr>
          <w:sz w:val="22"/>
          <w:szCs w:val="22"/>
          <w:lang w:val="en-US"/>
        </w:rPr>
        <w:t xml:space="preserve"> This included the Australian Swimming Trials in the lead up to the 2020 Tokyo Olympic and Paralympic Games</w:t>
      </w:r>
      <w:r w:rsidR="0091450F">
        <w:rPr>
          <w:sz w:val="22"/>
          <w:szCs w:val="22"/>
          <w:lang w:val="en-US"/>
        </w:rPr>
        <w:t xml:space="preserve"> and</w:t>
      </w:r>
      <w:r w:rsidRPr="008B2CF3">
        <w:rPr>
          <w:sz w:val="22"/>
          <w:szCs w:val="22"/>
          <w:lang w:val="en-US"/>
        </w:rPr>
        <w:t xml:space="preserve"> the qualifying events </w:t>
      </w:r>
      <w:r w:rsidRPr="00455C23">
        <w:rPr>
          <w:sz w:val="22"/>
          <w:szCs w:val="22"/>
          <w:lang w:val="en-US"/>
        </w:rPr>
        <w:t>for the 2022 Birmingham Commonwealth Games.</w:t>
      </w:r>
    </w:p>
    <w:p w14:paraId="05353082" w14:textId="6F9E9AC8" w:rsidR="008901D0" w:rsidRPr="00455C23" w:rsidRDefault="008901D0" w:rsidP="00960B1D">
      <w:pPr>
        <w:pStyle w:val="Box1Bullet1"/>
        <w:rPr>
          <w:sz w:val="22"/>
          <w:szCs w:val="22"/>
        </w:rPr>
      </w:pPr>
      <w:r w:rsidRPr="00455C23">
        <w:rPr>
          <w:sz w:val="22"/>
          <w:szCs w:val="22"/>
        </w:rPr>
        <w:t>In</w:t>
      </w:r>
      <w:r w:rsidRPr="00455C23">
        <w:rPr>
          <w:sz w:val="22"/>
          <w:szCs w:val="22"/>
          <w:lang w:val="en-AU"/>
        </w:rPr>
        <w:t xml:space="preserve"> June 2023, </w:t>
      </w:r>
      <w:proofErr w:type="spellStart"/>
      <w:r w:rsidRPr="00455C23">
        <w:rPr>
          <w:b/>
          <w:sz w:val="22"/>
          <w:szCs w:val="22"/>
        </w:rPr>
        <w:t>Tabcorp</w:t>
      </w:r>
      <w:proofErr w:type="spellEnd"/>
      <w:r w:rsidRPr="00455C23">
        <w:rPr>
          <w:sz w:val="22"/>
          <w:szCs w:val="22"/>
        </w:rPr>
        <w:t xml:space="preserve"> secured the digital, free-to-air and subscription television rights to the Melbourne Cup.</w:t>
      </w:r>
      <w:r w:rsidRPr="00455C23">
        <w:rPr>
          <w:rStyle w:val="FootnoteReference"/>
          <w:rFonts w:asciiTheme="majorHAnsi" w:hAnsiTheme="majorHAnsi" w:cstheme="majorHAnsi"/>
          <w:sz w:val="22"/>
          <w:szCs w:val="22"/>
          <w:lang w:val="en-AU"/>
        </w:rPr>
        <w:footnoteReference w:id="55"/>
      </w:r>
      <w:r w:rsidRPr="00455C23">
        <w:rPr>
          <w:rStyle w:val="FootnoteReference"/>
          <w:rFonts w:asciiTheme="majorHAnsi" w:hAnsiTheme="majorHAnsi" w:cstheme="majorHAnsi"/>
          <w:sz w:val="22"/>
          <w:szCs w:val="22"/>
          <w:lang w:val="en-AU"/>
        </w:rPr>
        <w:t xml:space="preserve"> </w:t>
      </w:r>
      <w:r w:rsidR="0091450F" w:rsidRPr="00455C23">
        <w:rPr>
          <w:rFonts w:asciiTheme="majorHAnsi" w:hAnsiTheme="majorHAnsi" w:cstheme="majorHAnsi"/>
          <w:sz w:val="22"/>
          <w:szCs w:val="22"/>
          <w:lang w:val="en-AU"/>
        </w:rPr>
        <w:t>As</w:t>
      </w:r>
      <w:r w:rsidRPr="00455C23">
        <w:rPr>
          <w:rFonts w:asciiTheme="majorHAnsi" w:hAnsiTheme="majorHAnsi" w:cstheme="majorHAnsi"/>
          <w:sz w:val="22"/>
          <w:szCs w:val="22"/>
          <w:lang w:val="en-AU"/>
        </w:rPr>
        <w:t xml:space="preserve"> </w:t>
      </w:r>
      <w:proofErr w:type="spellStart"/>
      <w:r w:rsidRPr="00455C23">
        <w:rPr>
          <w:sz w:val="22"/>
          <w:szCs w:val="22"/>
        </w:rPr>
        <w:t>Tabcorp</w:t>
      </w:r>
      <w:proofErr w:type="spellEnd"/>
      <w:r w:rsidRPr="00455C23">
        <w:rPr>
          <w:sz w:val="22"/>
          <w:szCs w:val="22"/>
        </w:rPr>
        <w:t xml:space="preserve"> is not a </w:t>
      </w:r>
      <w:r w:rsidR="000E2B3A" w:rsidRPr="002B1D55">
        <w:rPr>
          <w:sz w:val="22"/>
          <w:szCs w:val="22"/>
        </w:rPr>
        <w:t>licensed</w:t>
      </w:r>
      <w:r w:rsidR="000E2B3A" w:rsidRPr="00455C23" w:rsidDel="000E2B3A">
        <w:rPr>
          <w:sz w:val="22"/>
          <w:szCs w:val="22"/>
        </w:rPr>
        <w:t xml:space="preserve"> </w:t>
      </w:r>
      <w:r w:rsidRPr="00455C23">
        <w:rPr>
          <w:sz w:val="22"/>
          <w:szCs w:val="22"/>
        </w:rPr>
        <w:t>broadcaster</w:t>
      </w:r>
      <w:r w:rsidRPr="00455C23">
        <w:rPr>
          <w:sz w:val="22"/>
          <w:szCs w:val="22"/>
          <w:lang w:val="en-AU"/>
        </w:rPr>
        <w:t xml:space="preserve"> </w:t>
      </w:r>
      <w:r w:rsidRPr="00455C23">
        <w:rPr>
          <w:sz w:val="22"/>
          <w:szCs w:val="22"/>
        </w:rPr>
        <w:t>it w</w:t>
      </w:r>
      <w:r w:rsidR="0091450F" w:rsidRPr="00455C23">
        <w:rPr>
          <w:sz w:val="22"/>
          <w:szCs w:val="22"/>
          <w:lang w:val="en-AU"/>
        </w:rPr>
        <w:t>ould</w:t>
      </w:r>
      <w:r w:rsidRPr="00455C23">
        <w:rPr>
          <w:sz w:val="22"/>
          <w:szCs w:val="22"/>
          <w:lang w:val="en-AU"/>
        </w:rPr>
        <w:t xml:space="preserve"> </w:t>
      </w:r>
      <w:r w:rsidRPr="00455C23">
        <w:rPr>
          <w:sz w:val="22"/>
          <w:szCs w:val="22"/>
        </w:rPr>
        <w:t xml:space="preserve">need </w:t>
      </w:r>
      <w:r w:rsidR="000E2B3A" w:rsidRPr="002B1D55">
        <w:rPr>
          <w:sz w:val="22"/>
          <w:szCs w:val="22"/>
          <w:lang w:val="en-AU"/>
        </w:rPr>
        <w:t>to</w:t>
      </w:r>
      <w:r w:rsidR="000E2B3A" w:rsidRPr="00455C23">
        <w:rPr>
          <w:sz w:val="22"/>
          <w:szCs w:val="22"/>
          <w:lang w:val="en-AU"/>
        </w:rPr>
        <w:t xml:space="preserve"> </w:t>
      </w:r>
      <w:r w:rsidRPr="00455C23">
        <w:rPr>
          <w:sz w:val="22"/>
          <w:szCs w:val="22"/>
        </w:rPr>
        <w:t xml:space="preserve">subcontract the broadcast rights should it wish to exploit them. However, it could </w:t>
      </w:r>
      <w:r w:rsidR="006D55C4" w:rsidRPr="00455C23">
        <w:rPr>
          <w:sz w:val="22"/>
          <w:szCs w:val="22"/>
          <w:lang w:val="en-AU"/>
        </w:rPr>
        <w:t xml:space="preserve">provide coverage of </w:t>
      </w:r>
      <w:proofErr w:type="spellStart"/>
      <w:r w:rsidR="006D55C4" w:rsidRPr="00455C23">
        <w:rPr>
          <w:sz w:val="22"/>
          <w:szCs w:val="22"/>
          <w:lang w:val="en-AU"/>
        </w:rPr>
        <w:t>t</w:t>
      </w:r>
      <w:r w:rsidRPr="00455C23">
        <w:rPr>
          <w:sz w:val="22"/>
          <w:szCs w:val="22"/>
        </w:rPr>
        <w:t>he</w:t>
      </w:r>
      <w:proofErr w:type="spellEnd"/>
      <w:r w:rsidRPr="00455C23">
        <w:rPr>
          <w:sz w:val="22"/>
          <w:szCs w:val="22"/>
        </w:rPr>
        <w:t xml:space="preserve"> event exclusively </w:t>
      </w:r>
      <w:r w:rsidR="0091450F" w:rsidRPr="00455C23">
        <w:rPr>
          <w:sz w:val="22"/>
          <w:szCs w:val="22"/>
          <w:lang w:val="en-AU"/>
        </w:rPr>
        <w:t>online</w:t>
      </w:r>
      <w:r w:rsidRPr="00455C23">
        <w:rPr>
          <w:sz w:val="22"/>
          <w:szCs w:val="22"/>
        </w:rPr>
        <w:t xml:space="preserve"> </w:t>
      </w:r>
      <w:r w:rsidR="0091450F" w:rsidRPr="00455C23">
        <w:rPr>
          <w:sz w:val="22"/>
          <w:szCs w:val="22"/>
          <w:lang w:val="en-AU"/>
        </w:rPr>
        <w:t>without restriction under the current anti-siphoning scheme.</w:t>
      </w:r>
    </w:p>
    <w:p w14:paraId="69C7DB13" w14:textId="216E32EE" w:rsidR="00165BEC" w:rsidRPr="008B2CF3" w:rsidRDefault="00214D44" w:rsidP="00960B1D">
      <w:pPr>
        <w:pStyle w:val="Box1Bullet1"/>
        <w:rPr>
          <w:b/>
          <w:sz w:val="22"/>
          <w:szCs w:val="22"/>
        </w:rPr>
      </w:pPr>
      <w:r w:rsidRPr="00455C23">
        <w:rPr>
          <w:b/>
          <w:sz w:val="22"/>
          <w:szCs w:val="22"/>
          <w:lang w:val="en-AU"/>
        </w:rPr>
        <w:t>Optus Sport</w:t>
      </w:r>
      <w:r w:rsidRPr="00455C23">
        <w:rPr>
          <w:sz w:val="22"/>
          <w:szCs w:val="22"/>
          <w:lang w:val="en-AU"/>
        </w:rPr>
        <w:t xml:space="preserve"> holds the exclusive rights to televise a range of</w:t>
      </w:r>
      <w:r w:rsidRPr="008B2CF3">
        <w:rPr>
          <w:sz w:val="22"/>
          <w:szCs w:val="22"/>
          <w:lang w:val="en-AU"/>
        </w:rPr>
        <w:t xml:space="preserve"> European, Asian and international soccer matches in Australia.</w:t>
      </w:r>
      <w:r w:rsidR="00EC6BAD" w:rsidRPr="008B2CF3">
        <w:rPr>
          <w:sz w:val="22"/>
          <w:szCs w:val="22"/>
          <w:lang w:val="en-AU"/>
        </w:rPr>
        <w:t xml:space="preserve"> In 2021, Optus Sport acquired the right to stream all 64 matches of the 2023 FIFA Women’s World Cup, hosted by Australia and New Zealand.</w:t>
      </w:r>
      <w:r w:rsidR="00EC6BAD" w:rsidRPr="008B2CF3">
        <w:rPr>
          <w:rStyle w:val="FootnoteReference"/>
          <w:sz w:val="22"/>
          <w:szCs w:val="22"/>
          <w:lang w:val="en-AU"/>
        </w:rPr>
        <w:footnoteReference w:id="56"/>
      </w:r>
      <w:r w:rsidR="00EC6BAD" w:rsidRPr="008B2CF3">
        <w:rPr>
          <w:sz w:val="22"/>
          <w:szCs w:val="22"/>
          <w:lang w:val="en-AU"/>
        </w:rPr>
        <w:t xml:space="preserve"> </w:t>
      </w:r>
      <w:r w:rsidR="008B2CF3" w:rsidRPr="008B2CF3">
        <w:rPr>
          <w:sz w:val="22"/>
          <w:szCs w:val="22"/>
          <w:lang w:val="en-AU"/>
        </w:rPr>
        <w:t xml:space="preserve">Fifteen matches </w:t>
      </w:r>
      <w:r w:rsidR="00764EC1">
        <w:rPr>
          <w:sz w:val="22"/>
          <w:szCs w:val="22"/>
          <w:lang w:val="en-AU"/>
        </w:rPr>
        <w:t>are also being made</w:t>
      </w:r>
      <w:r w:rsidR="008B2CF3" w:rsidRPr="008B2CF3">
        <w:rPr>
          <w:sz w:val="22"/>
          <w:szCs w:val="22"/>
          <w:lang w:val="en-AU"/>
        </w:rPr>
        <w:t xml:space="preserve"> available on the Seven Network,</w:t>
      </w:r>
      <w:r w:rsidR="005A0427">
        <w:rPr>
          <w:rStyle w:val="FootnoteReference"/>
          <w:sz w:val="22"/>
          <w:szCs w:val="22"/>
          <w:lang w:val="en-AU"/>
        </w:rPr>
        <w:footnoteReference w:id="57"/>
      </w:r>
      <w:r w:rsidR="008B2CF3" w:rsidRPr="008B2CF3">
        <w:rPr>
          <w:sz w:val="22"/>
          <w:szCs w:val="22"/>
          <w:lang w:val="en-AU"/>
        </w:rPr>
        <w:t xml:space="preserve"> and Optus Sport </w:t>
      </w:r>
      <w:r w:rsidR="00676B31">
        <w:rPr>
          <w:sz w:val="22"/>
          <w:szCs w:val="22"/>
          <w:lang w:val="en-AU"/>
        </w:rPr>
        <w:t>are also making</w:t>
      </w:r>
      <w:r w:rsidR="008B2CF3" w:rsidRPr="008B2CF3">
        <w:rPr>
          <w:sz w:val="22"/>
          <w:szCs w:val="22"/>
          <w:lang w:val="en-AU"/>
        </w:rPr>
        <w:t xml:space="preserve"> eleven matches available for free</w:t>
      </w:r>
      <w:r w:rsidR="00D35305">
        <w:rPr>
          <w:sz w:val="22"/>
          <w:szCs w:val="22"/>
          <w:lang w:val="en-AU"/>
        </w:rPr>
        <w:t xml:space="preserve"> </w:t>
      </w:r>
      <w:r w:rsidR="00676B31">
        <w:rPr>
          <w:sz w:val="22"/>
          <w:szCs w:val="22"/>
          <w:lang w:val="en-AU"/>
        </w:rPr>
        <w:t>on its platform</w:t>
      </w:r>
      <w:r w:rsidR="008B2CF3" w:rsidRPr="008B2CF3">
        <w:rPr>
          <w:sz w:val="22"/>
          <w:szCs w:val="22"/>
          <w:lang w:val="en-AU"/>
        </w:rPr>
        <w:t>. However, the remainder will be available only to Optus Sport subscribers.</w:t>
      </w:r>
    </w:p>
    <w:p w14:paraId="31315062" w14:textId="5ABC8BB3" w:rsidR="00802295" w:rsidRDefault="008901D0" w:rsidP="0004011F">
      <w:pPr>
        <w:spacing w:before="360"/>
        <w:rPr>
          <w:rFonts w:asciiTheme="majorHAnsi" w:hAnsiTheme="majorHAnsi" w:cstheme="majorHAnsi"/>
        </w:rPr>
      </w:pPr>
      <w:r>
        <w:rPr>
          <w:rFonts w:asciiTheme="majorHAnsi" w:hAnsiTheme="majorHAnsi" w:cstheme="majorHAnsi"/>
        </w:rPr>
        <w:t>Around the world, t</w:t>
      </w:r>
      <w:r w:rsidRPr="00A90C22">
        <w:rPr>
          <w:rFonts w:asciiTheme="majorHAnsi" w:hAnsiTheme="majorHAnsi" w:cstheme="majorHAnsi"/>
        </w:rPr>
        <w:t xml:space="preserve">here has </w:t>
      </w:r>
      <w:r w:rsidR="00644E56">
        <w:rPr>
          <w:rFonts w:asciiTheme="majorHAnsi" w:hAnsiTheme="majorHAnsi" w:cstheme="majorHAnsi"/>
        </w:rPr>
        <w:t xml:space="preserve">also </w:t>
      </w:r>
      <w:r w:rsidRPr="00A90C22">
        <w:rPr>
          <w:rFonts w:asciiTheme="majorHAnsi" w:hAnsiTheme="majorHAnsi" w:cstheme="majorHAnsi"/>
        </w:rPr>
        <w:t xml:space="preserve">been a trend towards </w:t>
      </w:r>
      <w:r>
        <w:rPr>
          <w:rFonts w:asciiTheme="majorHAnsi" w:hAnsiTheme="majorHAnsi" w:cstheme="majorHAnsi"/>
        </w:rPr>
        <w:t>exclusive</w:t>
      </w:r>
      <w:r w:rsidRPr="00A90C22">
        <w:rPr>
          <w:rFonts w:asciiTheme="majorHAnsi" w:hAnsiTheme="majorHAnsi" w:cstheme="majorHAnsi"/>
        </w:rPr>
        <w:t xml:space="preserve"> online coverage of live sports, reflecting changes in viewer preferences as well as adjustments in the business strategies of streaming services.</w:t>
      </w:r>
    </w:p>
    <w:p w14:paraId="4BE57FBD" w14:textId="0E484319" w:rsidR="0091450F" w:rsidRDefault="008901D0" w:rsidP="001A687D">
      <w:pPr>
        <w:pStyle w:val="ListParagraph"/>
        <w:numPr>
          <w:ilvl w:val="0"/>
          <w:numId w:val="50"/>
        </w:numPr>
        <w:contextualSpacing w:val="0"/>
        <w:rPr>
          <w:rFonts w:asciiTheme="majorHAnsi" w:hAnsiTheme="majorHAnsi" w:cstheme="majorHAnsi"/>
        </w:rPr>
      </w:pPr>
      <w:r w:rsidRPr="0091450F">
        <w:rPr>
          <w:rFonts w:asciiTheme="majorHAnsi" w:hAnsiTheme="majorHAnsi" w:cstheme="majorHAnsi"/>
        </w:rPr>
        <w:t>Forty per cent of global fans now opt to stream live sports events through digital platforms</w:t>
      </w:r>
      <w:r w:rsidR="00225D6B">
        <w:rPr>
          <w:rFonts w:asciiTheme="majorHAnsi" w:hAnsiTheme="majorHAnsi" w:cstheme="majorHAnsi"/>
        </w:rPr>
        <w:t>,</w:t>
      </w:r>
      <w:r>
        <w:rPr>
          <w:rStyle w:val="FootnoteReference"/>
          <w:rFonts w:asciiTheme="majorHAnsi" w:hAnsiTheme="majorHAnsi" w:cstheme="majorHAnsi"/>
        </w:rPr>
        <w:footnoteReference w:id="58"/>
      </w:r>
      <w:r w:rsidR="00960B1D" w:rsidRPr="0091450F">
        <w:rPr>
          <w:rFonts w:asciiTheme="majorHAnsi" w:hAnsiTheme="majorHAnsi" w:cstheme="majorHAnsi"/>
        </w:rPr>
        <w:t xml:space="preserve"> </w:t>
      </w:r>
      <w:r w:rsidR="001C3CCB" w:rsidRPr="0091450F">
        <w:rPr>
          <w:rFonts w:asciiTheme="majorHAnsi" w:hAnsiTheme="majorHAnsi" w:cstheme="majorHAnsi"/>
        </w:rPr>
        <w:t>and</w:t>
      </w:r>
      <w:r w:rsidR="00960B1D" w:rsidRPr="0091450F">
        <w:rPr>
          <w:rFonts w:asciiTheme="majorHAnsi" w:hAnsiTheme="majorHAnsi" w:cstheme="majorHAnsi"/>
        </w:rPr>
        <w:t xml:space="preserve"> subscription-based </w:t>
      </w:r>
      <w:r w:rsidR="001C3CCB" w:rsidRPr="0091450F">
        <w:rPr>
          <w:rFonts w:asciiTheme="majorHAnsi" w:hAnsiTheme="majorHAnsi" w:cstheme="majorHAnsi"/>
        </w:rPr>
        <w:t xml:space="preserve">streaming </w:t>
      </w:r>
      <w:r w:rsidR="00960B1D" w:rsidRPr="0091450F">
        <w:rPr>
          <w:rFonts w:asciiTheme="majorHAnsi" w:hAnsiTheme="majorHAnsi" w:cstheme="majorHAnsi"/>
        </w:rPr>
        <w:t xml:space="preserve">services </w:t>
      </w:r>
      <w:r w:rsidR="001C3CCB" w:rsidRPr="0091450F">
        <w:rPr>
          <w:rFonts w:asciiTheme="majorHAnsi" w:hAnsiTheme="majorHAnsi" w:cstheme="majorHAnsi"/>
        </w:rPr>
        <w:t>are</w:t>
      </w:r>
      <w:r w:rsidR="00960B1D" w:rsidRPr="0091450F">
        <w:rPr>
          <w:rFonts w:asciiTheme="majorHAnsi" w:hAnsiTheme="majorHAnsi" w:cstheme="majorHAnsi"/>
        </w:rPr>
        <w:t xml:space="preserve"> prominent in </w:t>
      </w:r>
      <w:r w:rsidR="00165BEC" w:rsidRPr="0091450F">
        <w:rPr>
          <w:rFonts w:asciiTheme="majorHAnsi" w:hAnsiTheme="majorHAnsi" w:cstheme="majorHAnsi"/>
        </w:rPr>
        <w:t>a number of</w:t>
      </w:r>
      <w:r w:rsidR="00960B1D" w:rsidRPr="0091450F">
        <w:rPr>
          <w:rFonts w:asciiTheme="majorHAnsi" w:hAnsiTheme="majorHAnsi" w:cstheme="majorHAnsi"/>
        </w:rPr>
        <w:t xml:space="preserve"> jurisdictions.</w:t>
      </w:r>
    </w:p>
    <w:p w14:paraId="5F599319" w14:textId="0542CD3C" w:rsidR="0091450F" w:rsidRDefault="0091450F" w:rsidP="001A687D">
      <w:pPr>
        <w:pStyle w:val="ListParagraph"/>
        <w:numPr>
          <w:ilvl w:val="1"/>
          <w:numId w:val="50"/>
        </w:numPr>
        <w:ind w:left="709"/>
        <w:contextualSpacing w:val="0"/>
        <w:rPr>
          <w:rFonts w:asciiTheme="majorHAnsi" w:hAnsiTheme="majorHAnsi" w:cstheme="majorHAnsi"/>
        </w:rPr>
      </w:pPr>
      <w:r>
        <w:rPr>
          <w:rFonts w:asciiTheme="majorHAnsi" w:hAnsiTheme="majorHAnsi" w:cstheme="majorHAnsi"/>
        </w:rPr>
        <w:t>I</w:t>
      </w:r>
      <w:r w:rsidR="00F612BA" w:rsidRPr="0091450F">
        <w:rPr>
          <w:rFonts w:asciiTheme="majorHAnsi" w:hAnsiTheme="majorHAnsi" w:cstheme="majorHAnsi"/>
        </w:rPr>
        <w:t xml:space="preserve">n 2021, </w:t>
      </w:r>
      <w:r w:rsidR="00F3212F">
        <w:rPr>
          <w:rFonts w:asciiTheme="majorHAnsi" w:hAnsiTheme="majorHAnsi" w:cstheme="majorHAnsi"/>
        </w:rPr>
        <w:t>around</w:t>
      </w:r>
      <w:r w:rsidR="00F3212F" w:rsidRPr="0091450F">
        <w:rPr>
          <w:rFonts w:asciiTheme="majorHAnsi" w:hAnsiTheme="majorHAnsi" w:cstheme="majorHAnsi"/>
        </w:rPr>
        <w:t xml:space="preserve"> </w:t>
      </w:r>
      <w:r w:rsidR="00F612BA" w:rsidRPr="0091450F">
        <w:rPr>
          <w:rFonts w:asciiTheme="majorHAnsi" w:hAnsiTheme="majorHAnsi" w:cstheme="majorHAnsi"/>
        </w:rPr>
        <w:t xml:space="preserve">25 per cent </w:t>
      </w:r>
      <w:r>
        <w:rPr>
          <w:rFonts w:asciiTheme="majorHAnsi" w:hAnsiTheme="majorHAnsi" w:cstheme="majorHAnsi"/>
        </w:rPr>
        <w:t xml:space="preserve">of the annual spend on sports </w:t>
      </w:r>
      <w:r w:rsidR="00F56AED">
        <w:rPr>
          <w:rFonts w:asciiTheme="majorHAnsi" w:hAnsiTheme="majorHAnsi" w:cstheme="majorHAnsi"/>
        </w:rPr>
        <w:t xml:space="preserve">coverage </w:t>
      </w:r>
      <w:r>
        <w:rPr>
          <w:rFonts w:asciiTheme="majorHAnsi" w:hAnsiTheme="majorHAnsi" w:cstheme="majorHAnsi"/>
        </w:rPr>
        <w:t xml:space="preserve">rights </w:t>
      </w:r>
      <w:r w:rsidR="00F612BA" w:rsidRPr="0091450F">
        <w:rPr>
          <w:rFonts w:asciiTheme="majorHAnsi" w:hAnsiTheme="majorHAnsi" w:cstheme="majorHAnsi"/>
        </w:rPr>
        <w:t xml:space="preserve">in Germany </w:t>
      </w:r>
      <w:r>
        <w:rPr>
          <w:rFonts w:asciiTheme="majorHAnsi" w:hAnsiTheme="majorHAnsi" w:cstheme="majorHAnsi"/>
        </w:rPr>
        <w:t xml:space="preserve">was derived from </w:t>
      </w:r>
      <w:r w:rsidRPr="0091450F">
        <w:rPr>
          <w:rFonts w:asciiTheme="majorHAnsi" w:hAnsiTheme="majorHAnsi" w:cstheme="majorHAnsi"/>
        </w:rPr>
        <w:t>subscription streaming services</w:t>
      </w:r>
      <w:r>
        <w:rPr>
          <w:rFonts w:asciiTheme="majorHAnsi" w:hAnsiTheme="majorHAnsi" w:cstheme="majorHAnsi"/>
        </w:rPr>
        <w:t xml:space="preserve"> </w:t>
      </w:r>
      <w:r w:rsidR="00F612BA" w:rsidRPr="0091450F">
        <w:rPr>
          <w:rFonts w:asciiTheme="majorHAnsi" w:hAnsiTheme="majorHAnsi" w:cstheme="majorHAnsi"/>
        </w:rPr>
        <w:t xml:space="preserve">and </w:t>
      </w:r>
      <w:r>
        <w:rPr>
          <w:rFonts w:asciiTheme="majorHAnsi" w:hAnsiTheme="majorHAnsi" w:cstheme="majorHAnsi"/>
        </w:rPr>
        <w:t xml:space="preserve">this figure was </w:t>
      </w:r>
      <w:r w:rsidR="00F3212F">
        <w:rPr>
          <w:rFonts w:asciiTheme="majorHAnsi" w:hAnsiTheme="majorHAnsi" w:cstheme="majorHAnsi"/>
        </w:rPr>
        <w:t>around</w:t>
      </w:r>
      <w:r w:rsidR="00F3212F" w:rsidRPr="0091450F">
        <w:rPr>
          <w:rFonts w:asciiTheme="majorHAnsi" w:hAnsiTheme="majorHAnsi" w:cstheme="majorHAnsi"/>
        </w:rPr>
        <w:t xml:space="preserve"> </w:t>
      </w:r>
      <w:r w:rsidR="00F612BA" w:rsidRPr="0091450F">
        <w:rPr>
          <w:rFonts w:asciiTheme="majorHAnsi" w:hAnsiTheme="majorHAnsi" w:cstheme="majorHAnsi"/>
        </w:rPr>
        <w:t>35 per cent in Italy.</w:t>
      </w:r>
      <w:r w:rsidR="00F612BA" w:rsidRPr="00F612BA">
        <w:rPr>
          <w:rStyle w:val="FootnoteReference"/>
          <w:rFonts w:asciiTheme="majorHAnsi" w:hAnsiTheme="majorHAnsi" w:cstheme="majorHAnsi"/>
        </w:rPr>
        <w:footnoteReference w:id="59"/>
      </w:r>
    </w:p>
    <w:p w14:paraId="14A27B64" w14:textId="77777777" w:rsidR="0091450F" w:rsidRDefault="00F612BA" w:rsidP="001A687D">
      <w:pPr>
        <w:pStyle w:val="ListParagraph"/>
        <w:numPr>
          <w:ilvl w:val="1"/>
          <w:numId w:val="50"/>
        </w:numPr>
        <w:ind w:left="709"/>
        <w:contextualSpacing w:val="0"/>
        <w:rPr>
          <w:rFonts w:asciiTheme="majorHAnsi" w:hAnsiTheme="majorHAnsi" w:cstheme="majorHAnsi"/>
        </w:rPr>
      </w:pPr>
      <w:r w:rsidRPr="0091450F">
        <w:rPr>
          <w:rFonts w:asciiTheme="majorHAnsi" w:hAnsiTheme="majorHAnsi" w:cstheme="majorHAnsi"/>
        </w:rPr>
        <w:t>This number was estimated to rise to 53 per cent for the Italian market in 2022.</w:t>
      </w:r>
      <w:r w:rsidRPr="00F612BA">
        <w:rPr>
          <w:rStyle w:val="FootnoteReference"/>
          <w:rFonts w:asciiTheme="majorHAnsi" w:hAnsiTheme="majorHAnsi" w:cstheme="majorHAnsi"/>
        </w:rPr>
        <w:footnoteReference w:id="60"/>
      </w:r>
    </w:p>
    <w:p w14:paraId="7CD25F4C" w14:textId="4451ECE7" w:rsidR="00F612BA" w:rsidRDefault="0091450F" w:rsidP="001A687D">
      <w:pPr>
        <w:pStyle w:val="ListParagraph"/>
        <w:numPr>
          <w:ilvl w:val="0"/>
          <w:numId w:val="50"/>
        </w:numPr>
        <w:contextualSpacing w:val="0"/>
        <w:rPr>
          <w:rFonts w:asciiTheme="majorHAnsi" w:hAnsiTheme="majorHAnsi" w:cstheme="majorHAnsi"/>
        </w:rPr>
      </w:pPr>
      <w:r>
        <w:rPr>
          <w:rFonts w:asciiTheme="majorHAnsi" w:hAnsiTheme="majorHAnsi" w:cstheme="majorHAnsi"/>
        </w:rPr>
        <w:t>T</w:t>
      </w:r>
      <w:r w:rsidR="001F4CD1" w:rsidRPr="0091450F">
        <w:rPr>
          <w:rFonts w:asciiTheme="majorHAnsi" w:hAnsiTheme="majorHAnsi" w:cstheme="majorHAnsi"/>
        </w:rPr>
        <w:t>he</w:t>
      </w:r>
      <w:r w:rsidR="001F4CD1" w:rsidRPr="00F612BA">
        <w:rPr>
          <w:rFonts w:asciiTheme="majorHAnsi" w:hAnsiTheme="majorHAnsi" w:cstheme="majorHAnsi"/>
        </w:rPr>
        <w:t xml:space="preserve"> global spend on sports rights by </w:t>
      </w:r>
      <w:r w:rsidR="001F4CD1" w:rsidRPr="00455C23">
        <w:rPr>
          <w:rFonts w:asciiTheme="majorHAnsi" w:hAnsiTheme="majorHAnsi" w:cstheme="majorHAnsi"/>
        </w:rPr>
        <w:t>subscription</w:t>
      </w:r>
      <w:r w:rsidR="000E2B3A" w:rsidRPr="00455C23">
        <w:rPr>
          <w:rFonts w:asciiTheme="majorHAnsi" w:hAnsiTheme="majorHAnsi" w:cstheme="majorHAnsi"/>
        </w:rPr>
        <w:t xml:space="preserve"> </w:t>
      </w:r>
      <w:r w:rsidR="000E2B3A" w:rsidRPr="002B1D55">
        <w:rPr>
          <w:rFonts w:asciiTheme="majorHAnsi" w:hAnsiTheme="majorHAnsi" w:cstheme="majorHAnsi"/>
        </w:rPr>
        <w:t>streaming</w:t>
      </w:r>
      <w:r w:rsidR="000E2B3A" w:rsidRPr="00F612BA">
        <w:rPr>
          <w:rFonts w:asciiTheme="majorHAnsi" w:hAnsiTheme="majorHAnsi" w:cstheme="majorHAnsi"/>
        </w:rPr>
        <w:t xml:space="preserve"> </w:t>
      </w:r>
      <w:r w:rsidR="001F4CD1" w:rsidRPr="00F612BA">
        <w:rPr>
          <w:rFonts w:asciiTheme="majorHAnsi" w:hAnsiTheme="majorHAnsi" w:cstheme="majorHAnsi"/>
        </w:rPr>
        <w:t xml:space="preserve">services </w:t>
      </w:r>
      <w:r>
        <w:rPr>
          <w:rFonts w:asciiTheme="majorHAnsi" w:hAnsiTheme="majorHAnsi" w:cstheme="majorHAnsi"/>
        </w:rPr>
        <w:t>is forecast to</w:t>
      </w:r>
      <w:r w:rsidR="001F4CD1" w:rsidRPr="00F612BA">
        <w:rPr>
          <w:rFonts w:asciiTheme="majorHAnsi" w:hAnsiTheme="majorHAnsi" w:cstheme="majorHAnsi"/>
        </w:rPr>
        <w:t xml:space="preserve"> reach </w:t>
      </w:r>
      <w:r w:rsidR="00F612BA" w:rsidRPr="00F612BA">
        <w:rPr>
          <w:rFonts w:asciiTheme="majorHAnsi" w:hAnsiTheme="majorHAnsi" w:cstheme="majorHAnsi"/>
        </w:rPr>
        <w:t>US</w:t>
      </w:r>
      <w:r w:rsidR="001F4CD1" w:rsidRPr="00F612BA">
        <w:rPr>
          <w:rFonts w:asciiTheme="majorHAnsi" w:hAnsiTheme="majorHAnsi" w:cstheme="majorHAnsi"/>
        </w:rPr>
        <w:t xml:space="preserve">$8.5 billion in 2023, a 64 per cent increase from </w:t>
      </w:r>
      <w:r w:rsidR="00CB7DA0">
        <w:rPr>
          <w:rFonts w:asciiTheme="majorHAnsi" w:hAnsiTheme="majorHAnsi" w:cstheme="majorHAnsi"/>
        </w:rPr>
        <w:t>US</w:t>
      </w:r>
      <w:r w:rsidR="001F4CD1" w:rsidRPr="00F612BA">
        <w:rPr>
          <w:rFonts w:asciiTheme="majorHAnsi" w:hAnsiTheme="majorHAnsi" w:cstheme="majorHAnsi"/>
        </w:rPr>
        <w:t xml:space="preserve">$5.2 billion in 2022 and </w:t>
      </w:r>
      <w:r w:rsidR="00CB7DA0">
        <w:rPr>
          <w:rFonts w:asciiTheme="majorHAnsi" w:hAnsiTheme="majorHAnsi" w:cstheme="majorHAnsi"/>
        </w:rPr>
        <w:t>US</w:t>
      </w:r>
      <w:r w:rsidR="001F4CD1" w:rsidRPr="00F612BA">
        <w:rPr>
          <w:rFonts w:asciiTheme="majorHAnsi" w:hAnsiTheme="majorHAnsi" w:cstheme="majorHAnsi"/>
        </w:rPr>
        <w:t>$2.9 billion in 2021, with the majority of the spend coming from North America and Western Europe.</w:t>
      </w:r>
      <w:r w:rsidR="001F4CD1" w:rsidRPr="00F612BA">
        <w:rPr>
          <w:rStyle w:val="FootnoteReference"/>
          <w:rFonts w:asciiTheme="majorHAnsi" w:hAnsiTheme="majorHAnsi" w:cstheme="majorHAnsi"/>
        </w:rPr>
        <w:footnoteReference w:id="61"/>
      </w:r>
    </w:p>
    <w:p w14:paraId="45B8B7E9" w14:textId="6EC81E48" w:rsidR="00960B1D" w:rsidRDefault="00960B1D" w:rsidP="00E9790E">
      <w:pPr>
        <w:rPr>
          <w:rFonts w:asciiTheme="majorHAnsi" w:hAnsiTheme="majorHAnsi" w:cstheme="majorHAnsi"/>
        </w:rPr>
      </w:pPr>
      <w:r>
        <w:rPr>
          <w:rFonts w:asciiTheme="majorHAnsi" w:hAnsiTheme="majorHAnsi" w:cstheme="majorHAnsi"/>
        </w:rPr>
        <w:t xml:space="preserve">The increasing </w:t>
      </w:r>
      <w:r w:rsidR="00165BEC">
        <w:rPr>
          <w:rFonts w:asciiTheme="majorHAnsi" w:hAnsiTheme="majorHAnsi" w:cstheme="majorHAnsi"/>
        </w:rPr>
        <w:t xml:space="preserve">consumer </w:t>
      </w:r>
      <w:r>
        <w:rPr>
          <w:rFonts w:asciiTheme="majorHAnsi" w:hAnsiTheme="majorHAnsi" w:cstheme="majorHAnsi"/>
        </w:rPr>
        <w:t xml:space="preserve">take-up of subscription-based </w:t>
      </w:r>
      <w:r w:rsidR="00165BEC">
        <w:rPr>
          <w:rFonts w:asciiTheme="majorHAnsi" w:hAnsiTheme="majorHAnsi" w:cstheme="majorHAnsi"/>
        </w:rPr>
        <w:t xml:space="preserve">services to access </w:t>
      </w:r>
      <w:r>
        <w:rPr>
          <w:rFonts w:asciiTheme="majorHAnsi" w:hAnsiTheme="majorHAnsi" w:cstheme="majorHAnsi"/>
        </w:rPr>
        <w:t xml:space="preserve">coverage of major sporting events is </w:t>
      </w:r>
      <w:r w:rsidR="00165BEC">
        <w:rPr>
          <w:rFonts w:asciiTheme="majorHAnsi" w:hAnsiTheme="majorHAnsi" w:cstheme="majorHAnsi"/>
        </w:rPr>
        <w:t>mirrored in some significant rights deals over recent years.</w:t>
      </w:r>
    </w:p>
    <w:p w14:paraId="34127A03" w14:textId="77777777" w:rsidR="004A6B82" w:rsidDel="00B37815" w:rsidRDefault="004A6B82">
      <w:pPr>
        <w:rPr>
          <w:rFonts w:asciiTheme="majorHAnsi" w:hAnsiTheme="majorHAnsi" w:cstheme="majorHAnsi"/>
        </w:rPr>
      </w:pPr>
      <w:r>
        <w:rPr>
          <w:rFonts w:asciiTheme="majorHAnsi" w:hAnsiTheme="majorHAnsi" w:cstheme="majorHAnsi"/>
        </w:rPr>
        <w:br w:type="page"/>
      </w:r>
    </w:p>
    <w:p w14:paraId="5A7441A8" w14:textId="0F11E683" w:rsidR="00B5207D" w:rsidRDefault="008901D0" w:rsidP="00165BEC">
      <w:pPr>
        <w:pStyle w:val="Box1Bullet1"/>
        <w:suppressAutoHyphens/>
        <w:spacing w:before="0" w:after="120"/>
        <w:rPr>
          <w:sz w:val="22"/>
          <w:szCs w:val="22"/>
          <w:lang w:val="en-US"/>
        </w:rPr>
      </w:pPr>
      <w:r w:rsidRPr="00165BEC">
        <w:rPr>
          <w:sz w:val="22"/>
          <w:szCs w:val="22"/>
          <w:lang w:val="en-US"/>
        </w:rPr>
        <w:lastRenderedPageBreak/>
        <w:t xml:space="preserve">In the UK, </w:t>
      </w:r>
      <w:r w:rsidRPr="00BF1FF7">
        <w:rPr>
          <w:b/>
          <w:sz w:val="22"/>
          <w:szCs w:val="22"/>
          <w:lang w:val="en-US"/>
        </w:rPr>
        <w:t>Amazon</w:t>
      </w:r>
      <w:r w:rsidRPr="00165BEC">
        <w:rPr>
          <w:sz w:val="22"/>
          <w:szCs w:val="22"/>
          <w:lang w:val="en-US"/>
        </w:rPr>
        <w:t xml:space="preserve"> acquired exclusive rights in the UK to </w:t>
      </w:r>
      <w:r w:rsidR="00043596">
        <w:rPr>
          <w:sz w:val="22"/>
          <w:szCs w:val="22"/>
          <w:lang w:val="en-US"/>
        </w:rPr>
        <w:t>televise</w:t>
      </w:r>
      <w:r w:rsidRPr="00165BEC">
        <w:rPr>
          <w:sz w:val="22"/>
          <w:szCs w:val="22"/>
          <w:lang w:val="en-US"/>
        </w:rPr>
        <w:t xml:space="preserve"> 20 English Premier League games per season across three years, starting in 2019. Amazon shared the rights with two major pay TV broadcasters – Sky Sports and BT Sport. While Amazon did not disclose how much it paid for the rights, Sky is reported to have paid around </w:t>
      </w:r>
      <w:r w:rsidR="006E7C1B">
        <w:rPr>
          <w:sz w:val="22"/>
          <w:szCs w:val="22"/>
          <w:lang w:val="en-US"/>
        </w:rPr>
        <w:t xml:space="preserve">GBP </w:t>
      </w:r>
      <w:r w:rsidR="00636BB9">
        <w:rPr>
          <w:sz w:val="22"/>
          <w:szCs w:val="22"/>
          <w:lang w:val="en-US"/>
        </w:rPr>
        <w:t>3.58 billion</w:t>
      </w:r>
      <w:r w:rsidRPr="00165BEC">
        <w:rPr>
          <w:sz w:val="22"/>
          <w:szCs w:val="22"/>
          <w:lang w:val="en-US"/>
        </w:rPr>
        <w:t xml:space="preserve">, while BT Sports reportedly paid </w:t>
      </w:r>
      <w:r w:rsidR="006E7C1B">
        <w:rPr>
          <w:sz w:val="22"/>
          <w:szCs w:val="22"/>
          <w:lang w:val="en-US"/>
        </w:rPr>
        <w:t xml:space="preserve">GBP </w:t>
      </w:r>
      <w:r w:rsidR="00636BB9">
        <w:rPr>
          <w:sz w:val="22"/>
          <w:szCs w:val="22"/>
          <w:lang w:val="en-US"/>
        </w:rPr>
        <w:t>885</w:t>
      </w:r>
      <w:r w:rsidR="005D414A">
        <w:rPr>
          <w:sz w:val="22"/>
          <w:szCs w:val="22"/>
          <w:lang w:val="en-US"/>
        </w:rPr>
        <w:t xml:space="preserve"> million</w:t>
      </w:r>
      <w:r w:rsidRPr="00165BEC">
        <w:rPr>
          <w:sz w:val="22"/>
          <w:szCs w:val="22"/>
          <w:lang w:val="en-US"/>
        </w:rPr>
        <w:t>.</w:t>
      </w:r>
      <w:r w:rsidRPr="003A7C50">
        <w:rPr>
          <w:sz w:val="22"/>
          <w:szCs w:val="22"/>
          <w:vertAlign w:val="superscript"/>
          <w:lang w:val="en-US"/>
        </w:rPr>
        <w:footnoteReference w:id="62"/>
      </w:r>
      <w:r w:rsidRPr="003A7C50">
        <w:rPr>
          <w:sz w:val="22"/>
          <w:szCs w:val="22"/>
          <w:vertAlign w:val="superscript"/>
          <w:lang w:val="en-US"/>
        </w:rPr>
        <w:t xml:space="preserve"> </w:t>
      </w:r>
      <w:r w:rsidRPr="00165BEC">
        <w:rPr>
          <w:sz w:val="22"/>
          <w:szCs w:val="22"/>
          <w:lang w:val="en-US"/>
        </w:rPr>
        <w:t>The deal was renewed in 2021 to span the 2022 to 2025 seasons.</w:t>
      </w:r>
      <w:r w:rsidRPr="00165BEC">
        <w:rPr>
          <w:sz w:val="22"/>
          <w:szCs w:val="22"/>
          <w:vertAlign w:val="superscript"/>
          <w:lang w:val="en-US"/>
        </w:rPr>
        <w:footnoteReference w:id="63"/>
      </w:r>
    </w:p>
    <w:p w14:paraId="6EE46EE6" w14:textId="4D81E224" w:rsidR="008901D0" w:rsidRDefault="00B5207D" w:rsidP="00165BEC">
      <w:pPr>
        <w:pStyle w:val="Box1Bullet1"/>
        <w:suppressAutoHyphens/>
        <w:spacing w:before="0" w:after="120"/>
        <w:rPr>
          <w:sz w:val="22"/>
          <w:szCs w:val="22"/>
          <w:lang w:val="en-US"/>
        </w:rPr>
      </w:pPr>
      <w:r>
        <w:rPr>
          <w:sz w:val="22"/>
          <w:szCs w:val="22"/>
          <w:lang w:val="en-US"/>
        </w:rPr>
        <w:t xml:space="preserve">In France, </w:t>
      </w:r>
      <w:r w:rsidRPr="00B5207D">
        <w:rPr>
          <w:b/>
          <w:sz w:val="22"/>
          <w:szCs w:val="22"/>
          <w:lang w:val="en-US"/>
        </w:rPr>
        <w:t>Amazon</w:t>
      </w:r>
      <w:r>
        <w:rPr>
          <w:sz w:val="22"/>
          <w:szCs w:val="22"/>
          <w:lang w:val="en-US"/>
        </w:rPr>
        <w:t xml:space="preserve"> has recently extended its rights deal for the French Open tennis tournament, initially in place from 2019, and wi</w:t>
      </w:r>
      <w:r w:rsidR="00F74549">
        <w:rPr>
          <w:sz w:val="22"/>
          <w:szCs w:val="22"/>
          <w:lang w:val="en-US"/>
        </w:rPr>
        <w:t>ll provide exclusive coverage of the premier match each even</w:t>
      </w:r>
      <w:r>
        <w:rPr>
          <w:sz w:val="22"/>
          <w:szCs w:val="22"/>
          <w:lang w:val="en-US"/>
        </w:rPr>
        <w:t xml:space="preserve">ing </w:t>
      </w:r>
      <w:r w:rsidR="00F74549">
        <w:rPr>
          <w:sz w:val="22"/>
          <w:szCs w:val="22"/>
          <w:lang w:val="en-US"/>
        </w:rPr>
        <w:t>for the tournament’s initial 11 days</w:t>
      </w:r>
      <w:r>
        <w:rPr>
          <w:sz w:val="22"/>
          <w:szCs w:val="22"/>
          <w:lang w:val="en-US"/>
        </w:rPr>
        <w:t xml:space="preserve"> for the period 2024 to 2027.</w:t>
      </w:r>
      <w:r>
        <w:rPr>
          <w:rStyle w:val="FootnoteReference"/>
          <w:sz w:val="22"/>
          <w:szCs w:val="22"/>
          <w:lang w:val="en-US"/>
        </w:rPr>
        <w:footnoteReference w:id="64"/>
      </w:r>
      <w:r>
        <w:rPr>
          <w:sz w:val="22"/>
          <w:szCs w:val="22"/>
          <w:lang w:val="en-US"/>
        </w:rPr>
        <w:t xml:space="preserve"> It will </w:t>
      </w:r>
      <w:r w:rsidR="00F74549">
        <w:rPr>
          <w:sz w:val="22"/>
          <w:szCs w:val="22"/>
          <w:lang w:val="en-US"/>
        </w:rPr>
        <w:t>jointly provide coverage of all high profile matches from the semi-finals onwards</w:t>
      </w:r>
      <w:r>
        <w:rPr>
          <w:sz w:val="22"/>
          <w:szCs w:val="22"/>
          <w:lang w:val="en-US"/>
        </w:rPr>
        <w:t xml:space="preserve"> along with broadcaster </w:t>
      </w:r>
      <w:r w:rsidRPr="00CB5A0C">
        <w:rPr>
          <w:b/>
          <w:sz w:val="22"/>
          <w:szCs w:val="22"/>
          <w:lang w:val="en-US"/>
        </w:rPr>
        <w:t>France TV</w:t>
      </w:r>
      <w:r>
        <w:rPr>
          <w:sz w:val="22"/>
          <w:szCs w:val="22"/>
          <w:lang w:val="en-US"/>
        </w:rPr>
        <w:t>.</w:t>
      </w:r>
    </w:p>
    <w:p w14:paraId="4F7A3F09" w14:textId="499AD930" w:rsidR="00165BEC" w:rsidRDefault="00165BEC" w:rsidP="00165BEC">
      <w:pPr>
        <w:pStyle w:val="Box1Bullet1"/>
        <w:suppressAutoHyphens/>
        <w:spacing w:before="0" w:after="120"/>
        <w:rPr>
          <w:sz w:val="22"/>
          <w:szCs w:val="22"/>
          <w:lang w:val="en-US"/>
        </w:rPr>
      </w:pPr>
      <w:r w:rsidRPr="00F612BA">
        <w:rPr>
          <w:sz w:val="22"/>
          <w:szCs w:val="22"/>
          <w:lang w:val="en-US"/>
        </w:rPr>
        <w:t>In Italy</w:t>
      </w:r>
      <w:r w:rsidR="00043596" w:rsidRPr="00F612BA">
        <w:rPr>
          <w:sz w:val="22"/>
          <w:szCs w:val="22"/>
          <w:lang w:val="en-US"/>
        </w:rPr>
        <w:t xml:space="preserve">, streaming service </w:t>
      </w:r>
      <w:r w:rsidR="00043596" w:rsidRPr="00BF1FF7">
        <w:rPr>
          <w:b/>
          <w:sz w:val="22"/>
          <w:szCs w:val="22"/>
          <w:lang w:val="en-US"/>
        </w:rPr>
        <w:t>DAZN</w:t>
      </w:r>
      <w:r w:rsidR="00043596" w:rsidRPr="00F612BA">
        <w:rPr>
          <w:sz w:val="22"/>
          <w:szCs w:val="22"/>
          <w:lang w:val="en-US"/>
        </w:rPr>
        <w:t xml:space="preserve"> acquired the right to televise Serie A soccer for three years from </w:t>
      </w:r>
      <w:r w:rsidR="009F7F4E" w:rsidRPr="00F612BA">
        <w:rPr>
          <w:sz w:val="22"/>
          <w:szCs w:val="22"/>
          <w:lang w:val="en-US"/>
        </w:rPr>
        <w:t>202</w:t>
      </w:r>
      <w:r w:rsidR="009F7F4E">
        <w:rPr>
          <w:sz w:val="22"/>
          <w:szCs w:val="22"/>
          <w:lang w:val="en-US"/>
        </w:rPr>
        <w:t>1</w:t>
      </w:r>
      <w:r w:rsidR="00043596" w:rsidRPr="00F612BA">
        <w:rPr>
          <w:sz w:val="22"/>
          <w:szCs w:val="22"/>
          <w:lang w:val="en-US"/>
        </w:rPr>
        <w:t>.</w:t>
      </w:r>
      <w:r w:rsidR="00043596" w:rsidRPr="00F612BA">
        <w:rPr>
          <w:rStyle w:val="FootnoteReference"/>
          <w:sz w:val="22"/>
          <w:szCs w:val="22"/>
          <w:lang w:val="en-US"/>
        </w:rPr>
        <w:footnoteReference w:id="65"/>
      </w:r>
    </w:p>
    <w:p w14:paraId="3169F771" w14:textId="77777777" w:rsidR="005F2917" w:rsidRPr="00F612BA" w:rsidRDefault="003622C9" w:rsidP="00165BEC">
      <w:pPr>
        <w:pStyle w:val="Box1Bullet1"/>
        <w:suppressAutoHyphens/>
        <w:spacing w:before="0" w:after="120"/>
        <w:rPr>
          <w:sz w:val="22"/>
          <w:szCs w:val="22"/>
          <w:lang w:val="en-US"/>
        </w:rPr>
      </w:pPr>
      <w:r>
        <w:rPr>
          <w:sz w:val="22"/>
          <w:szCs w:val="22"/>
          <w:lang w:val="en-US"/>
        </w:rPr>
        <w:t>Sports</w:t>
      </w:r>
      <w:r w:rsidR="005F2917">
        <w:rPr>
          <w:sz w:val="22"/>
          <w:szCs w:val="22"/>
          <w:lang w:val="en-US"/>
        </w:rPr>
        <w:t xml:space="preserve"> rights have also been acquired by streaming services in the United States, where </w:t>
      </w:r>
      <w:r w:rsidR="005F2917" w:rsidRPr="00BF1FF7">
        <w:rPr>
          <w:b/>
          <w:sz w:val="22"/>
          <w:szCs w:val="22"/>
          <w:lang w:val="en-US"/>
        </w:rPr>
        <w:t>Apple TV+</w:t>
      </w:r>
      <w:r w:rsidR="005F2917">
        <w:rPr>
          <w:sz w:val="22"/>
          <w:szCs w:val="22"/>
          <w:lang w:val="en-US"/>
        </w:rPr>
        <w:t xml:space="preserve"> has exclusive rights to televise </w:t>
      </w:r>
      <w:r>
        <w:rPr>
          <w:sz w:val="22"/>
          <w:szCs w:val="22"/>
          <w:lang w:val="en-US"/>
        </w:rPr>
        <w:t>certain Friday night Major League Baseball matches</w:t>
      </w:r>
      <w:r w:rsidR="005F2917">
        <w:rPr>
          <w:sz w:val="22"/>
          <w:szCs w:val="22"/>
          <w:lang w:val="en-US"/>
        </w:rPr>
        <w:t>.</w:t>
      </w:r>
      <w:r w:rsidR="005F2917">
        <w:rPr>
          <w:rStyle w:val="FootnoteReference"/>
          <w:sz w:val="22"/>
          <w:szCs w:val="22"/>
          <w:lang w:val="en-US"/>
        </w:rPr>
        <w:footnoteReference w:id="66"/>
      </w:r>
    </w:p>
    <w:p w14:paraId="30D43849" w14:textId="7D76D362" w:rsidR="008901D0" w:rsidRPr="00165BEC" w:rsidRDefault="008901D0" w:rsidP="00165BEC">
      <w:pPr>
        <w:pStyle w:val="Box1Bullet1"/>
        <w:suppressAutoHyphens/>
        <w:spacing w:before="0" w:after="120"/>
        <w:rPr>
          <w:sz w:val="22"/>
          <w:szCs w:val="22"/>
          <w:lang w:val="en-US"/>
        </w:rPr>
      </w:pPr>
      <w:r w:rsidRPr="00165BEC">
        <w:rPr>
          <w:sz w:val="22"/>
          <w:szCs w:val="22"/>
        </w:rPr>
        <w:t>In the United States, the National Football League  has agreed an 11-year deal, valued at over US$100 billion, with all rights partners across digital and broadcast platforms.</w:t>
      </w:r>
      <w:r w:rsidRPr="00165BEC">
        <w:rPr>
          <w:rStyle w:val="FootnoteReference"/>
          <w:rFonts w:asciiTheme="majorHAnsi" w:hAnsiTheme="majorHAnsi" w:cstheme="majorHAnsi"/>
          <w:sz w:val="22"/>
          <w:szCs w:val="22"/>
          <w:lang w:val="en-AU"/>
        </w:rPr>
        <w:footnoteReference w:id="67"/>
      </w:r>
      <w:r w:rsidRPr="00165BEC">
        <w:rPr>
          <w:rStyle w:val="FootnoteReference"/>
          <w:rFonts w:asciiTheme="majorHAnsi" w:hAnsiTheme="majorHAnsi" w:cstheme="majorHAnsi"/>
          <w:sz w:val="22"/>
          <w:szCs w:val="22"/>
          <w:lang w:val="en-AU"/>
        </w:rPr>
        <w:t xml:space="preserve"> </w:t>
      </w:r>
      <w:r w:rsidRPr="008062A8">
        <w:rPr>
          <w:b/>
          <w:sz w:val="22"/>
          <w:szCs w:val="22"/>
        </w:rPr>
        <w:t>Amazon</w:t>
      </w:r>
      <w:r w:rsidRPr="00165BEC">
        <w:rPr>
          <w:sz w:val="22"/>
          <w:szCs w:val="22"/>
        </w:rPr>
        <w:t xml:space="preserve"> is reported to be paying around US$1 billion per year for the exclusive right to distribute the NFL’s Thursday night matches.</w:t>
      </w:r>
      <w:r w:rsidRPr="00165BEC">
        <w:rPr>
          <w:rStyle w:val="FootnoteReference"/>
          <w:rFonts w:asciiTheme="majorHAnsi" w:hAnsiTheme="majorHAnsi" w:cstheme="majorHAnsi"/>
          <w:sz w:val="22"/>
          <w:szCs w:val="22"/>
          <w:lang w:val="en-AU"/>
        </w:rPr>
        <w:footnoteReference w:id="68"/>
      </w:r>
      <w:r w:rsidRPr="00165BEC">
        <w:rPr>
          <w:sz w:val="22"/>
          <w:szCs w:val="22"/>
        </w:rPr>
        <w:t xml:space="preserve"> The NFL also provides a direct streaming option via NFL.com, including live video streaming and other </w:t>
      </w:r>
      <w:r w:rsidR="00D57448">
        <w:rPr>
          <w:sz w:val="22"/>
          <w:szCs w:val="22"/>
          <w:lang w:val="en-AU"/>
        </w:rPr>
        <w:t>streaming</w:t>
      </w:r>
      <w:r w:rsidRPr="00165BEC">
        <w:rPr>
          <w:sz w:val="22"/>
          <w:szCs w:val="22"/>
        </w:rPr>
        <w:t xml:space="preserve"> services. Through this direct service the NFL is able to manage global distribution of its events not already covered by other rights deals</w:t>
      </w:r>
      <w:r w:rsidRPr="00165BEC">
        <w:rPr>
          <w:sz w:val="22"/>
          <w:szCs w:val="22"/>
          <w:lang w:val="en-AU"/>
        </w:rPr>
        <w:t>.</w:t>
      </w:r>
    </w:p>
    <w:p w14:paraId="36D3D7B7" w14:textId="78AE1B36" w:rsidR="0041002A" w:rsidRDefault="00644E56" w:rsidP="00DC58DD">
      <w:pPr>
        <w:spacing w:before="360"/>
        <w:rPr>
          <w:rFonts w:cstheme="minorHAnsi"/>
        </w:rPr>
      </w:pPr>
      <w:r>
        <w:rPr>
          <w:rFonts w:cstheme="minorHAnsi"/>
        </w:rPr>
        <w:t>It is n</w:t>
      </w:r>
      <w:r w:rsidR="008901D0">
        <w:rPr>
          <w:rFonts w:cstheme="minorHAnsi"/>
        </w:rPr>
        <w:t xml:space="preserve">ot guaranteed that the Australian market will follow the lead of these jurisdictions. </w:t>
      </w:r>
      <w:r w:rsidR="00165BEC">
        <w:rPr>
          <w:rFonts w:cstheme="minorHAnsi"/>
        </w:rPr>
        <w:t xml:space="preserve">The Australian media market has a number of unique features not present (or not present to the same degree) in overseas jurisdictions. For example, in many European and North American markets, subscription-based cable services have historically played a </w:t>
      </w:r>
      <w:r w:rsidR="00944690">
        <w:rPr>
          <w:rFonts w:cstheme="minorHAnsi"/>
        </w:rPr>
        <w:t>more significant</w:t>
      </w:r>
      <w:r w:rsidR="00165BEC">
        <w:rPr>
          <w:rFonts w:cstheme="minorHAnsi"/>
        </w:rPr>
        <w:t xml:space="preserve"> role in the provision of television content compared with Australia</w:t>
      </w:r>
      <w:r w:rsidR="00944690">
        <w:rPr>
          <w:rFonts w:cstheme="minorHAnsi"/>
        </w:rPr>
        <w:t>, where free-to-air television services have tended to dominate.</w:t>
      </w:r>
    </w:p>
    <w:p w14:paraId="0EAFD38C" w14:textId="3C70F147" w:rsidR="00D4061B" w:rsidRDefault="00944690" w:rsidP="00E9790E">
      <w:pPr>
        <w:rPr>
          <w:rFonts w:cstheme="minorHAnsi"/>
        </w:rPr>
      </w:pPr>
      <w:r>
        <w:rPr>
          <w:rFonts w:cstheme="minorHAnsi"/>
        </w:rPr>
        <w:t xml:space="preserve">It may be that the relatively high take-up of subscription-based streaming services in these overseas markets is an extension of this historical market structure, and may not be replicated in Australia. </w:t>
      </w:r>
      <w:r w:rsidR="00CC7621">
        <w:rPr>
          <w:rFonts w:cstheme="minorHAnsi"/>
        </w:rPr>
        <w:t>However</w:t>
      </w:r>
      <w:r w:rsidR="00D4061B">
        <w:rPr>
          <w:rFonts w:cstheme="minorHAnsi"/>
        </w:rPr>
        <w:t xml:space="preserve">, there was little information surfaced through the review to suggest that this is </w:t>
      </w:r>
      <w:r w:rsidR="0041002A">
        <w:rPr>
          <w:rFonts w:cstheme="minorHAnsi"/>
        </w:rPr>
        <w:t>the case</w:t>
      </w:r>
      <w:r w:rsidR="00D4061B">
        <w:rPr>
          <w:rFonts w:cstheme="minorHAnsi"/>
        </w:rPr>
        <w:t>.</w:t>
      </w:r>
    </w:p>
    <w:p w14:paraId="7EE38D69" w14:textId="359E1768" w:rsidR="007B63DD" w:rsidRDefault="00D4061B" w:rsidP="00FC7446">
      <w:pPr>
        <w:pStyle w:val="ListParagraph"/>
        <w:numPr>
          <w:ilvl w:val="0"/>
          <w:numId w:val="42"/>
        </w:numPr>
        <w:ind w:left="357" w:hanging="357"/>
        <w:contextualSpacing w:val="0"/>
        <w:rPr>
          <w:rFonts w:cstheme="minorHAnsi"/>
        </w:rPr>
      </w:pPr>
      <w:r w:rsidRPr="007B63DD">
        <w:rPr>
          <w:rFonts w:cstheme="minorHAnsi"/>
        </w:rPr>
        <w:t xml:space="preserve">Australia </w:t>
      </w:r>
      <w:r w:rsidR="0091450F">
        <w:rPr>
          <w:rFonts w:cstheme="minorHAnsi"/>
        </w:rPr>
        <w:t>is</w:t>
      </w:r>
      <w:r w:rsidRPr="007B63DD">
        <w:rPr>
          <w:rFonts w:cstheme="minorHAnsi"/>
        </w:rPr>
        <w:t xml:space="preserve"> </w:t>
      </w:r>
      <w:r w:rsidRPr="005D414A">
        <w:rPr>
          <w:rFonts w:cstheme="minorHAnsi"/>
        </w:rPr>
        <w:t xml:space="preserve">one of the strongest adopters of </w:t>
      </w:r>
      <w:r w:rsidR="001C3CCB" w:rsidRPr="005D414A">
        <w:rPr>
          <w:rFonts w:cstheme="minorHAnsi"/>
        </w:rPr>
        <w:t xml:space="preserve">new communications technologies in the world. </w:t>
      </w:r>
      <w:r w:rsidR="00D27F8D" w:rsidRPr="005D414A">
        <w:rPr>
          <w:rFonts w:cstheme="minorHAnsi"/>
        </w:rPr>
        <w:t>In 2016, the World Bank</w:t>
      </w:r>
      <w:r w:rsidR="008E7D35" w:rsidRPr="005D414A">
        <w:rPr>
          <w:rFonts w:cstheme="minorHAnsi"/>
        </w:rPr>
        <w:t xml:space="preserve">’s </w:t>
      </w:r>
      <w:r w:rsidR="00D27F8D" w:rsidRPr="005D414A">
        <w:rPr>
          <w:rFonts w:cstheme="minorHAnsi"/>
        </w:rPr>
        <w:t xml:space="preserve">Digital Adoption Index </w:t>
      </w:r>
      <w:r w:rsidR="008E7D35" w:rsidRPr="005D414A">
        <w:rPr>
          <w:rFonts w:cstheme="minorHAnsi"/>
        </w:rPr>
        <w:t xml:space="preserve">showed Australia’s digital adoption to be roughly </w:t>
      </w:r>
      <w:r w:rsidR="00B81E15">
        <w:rPr>
          <w:rFonts w:cstheme="minorHAnsi"/>
        </w:rPr>
        <w:t>7</w:t>
      </w:r>
      <w:r w:rsidR="0046087B">
        <w:rPr>
          <w:rFonts w:cstheme="minorHAnsi"/>
        </w:rPr>
        <w:t>4</w:t>
      </w:r>
      <w:r w:rsidR="00B81E15" w:rsidRPr="005D414A">
        <w:rPr>
          <w:rFonts w:cstheme="minorHAnsi"/>
        </w:rPr>
        <w:t xml:space="preserve"> </w:t>
      </w:r>
      <w:r w:rsidR="001C3CCB" w:rsidRPr="005D414A">
        <w:rPr>
          <w:rFonts w:cstheme="minorHAnsi"/>
        </w:rPr>
        <w:t xml:space="preserve">per </w:t>
      </w:r>
      <w:r w:rsidR="008E7D35" w:rsidRPr="005D414A">
        <w:rPr>
          <w:rFonts w:cstheme="minorHAnsi"/>
        </w:rPr>
        <w:t>cent higher than the global average.</w:t>
      </w:r>
      <w:r w:rsidR="008E7D35" w:rsidRPr="005D414A">
        <w:rPr>
          <w:rStyle w:val="FootnoteReference"/>
          <w:rFonts w:cstheme="minorHAnsi"/>
        </w:rPr>
        <w:footnoteReference w:id="69"/>
      </w:r>
      <w:r w:rsidR="001C3CCB" w:rsidRPr="005D414A">
        <w:rPr>
          <w:rFonts w:cstheme="minorHAnsi"/>
        </w:rPr>
        <w:t xml:space="preserve"> </w:t>
      </w:r>
      <w:r w:rsidR="00394AC2" w:rsidRPr="005D414A">
        <w:rPr>
          <w:rFonts w:cstheme="minorHAnsi"/>
        </w:rPr>
        <w:t>This</w:t>
      </w:r>
      <w:r w:rsidR="00394AC2">
        <w:rPr>
          <w:rFonts w:cstheme="minorHAnsi"/>
        </w:rPr>
        <w:t xml:space="preserve"> is reflected in research suggesting that Australians have been particularly enthusiastic </w:t>
      </w:r>
      <w:r w:rsidR="00033C23">
        <w:rPr>
          <w:rFonts w:cstheme="minorHAnsi"/>
        </w:rPr>
        <w:t xml:space="preserve">adopters </w:t>
      </w:r>
      <w:r w:rsidR="00394AC2">
        <w:rPr>
          <w:rFonts w:cstheme="minorHAnsi"/>
        </w:rPr>
        <w:t>of smart phones compared with other countries</w:t>
      </w:r>
      <w:r w:rsidR="00394AC2">
        <w:rPr>
          <w:rStyle w:val="FootnoteReference"/>
          <w:rFonts w:cstheme="minorHAnsi"/>
        </w:rPr>
        <w:t xml:space="preserve"> </w:t>
      </w:r>
      <w:r w:rsidR="000950A0">
        <w:rPr>
          <w:rStyle w:val="FootnoteReference"/>
          <w:rFonts w:cstheme="minorHAnsi"/>
        </w:rPr>
        <w:footnoteReference w:id="70"/>
      </w:r>
    </w:p>
    <w:p w14:paraId="7AB4F232" w14:textId="21C6D8B5" w:rsidR="007B63DD" w:rsidRDefault="0075371B" w:rsidP="00FC7446">
      <w:pPr>
        <w:pStyle w:val="ListParagraph"/>
        <w:numPr>
          <w:ilvl w:val="0"/>
          <w:numId w:val="42"/>
        </w:numPr>
        <w:ind w:left="357" w:hanging="357"/>
        <w:contextualSpacing w:val="0"/>
        <w:rPr>
          <w:rFonts w:cstheme="minorHAnsi"/>
        </w:rPr>
      </w:pPr>
      <w:r>
        <w:rPr>
          <w:rFonts w:cstheme="minorHAnsi"/>
        </w:rPr>
        <w:t>Given</w:t>
      </w:r>
      <w:r w:rsidR="00BB6615">
        <w:rPr>
          <w:rFonts w:cstheme="minorHAnsi"/>
        </w:rPr>
        <w:t xml:space="preserve"> the take up of communications technology</w:t>
      </w:r>
      <w:r w:rsidR="007B63DD">
        <w:rPr>
          <w:rFonts w:cstheme="minorHAnsi"/>
        </w:rPr>
        <w:t xml:space="preserve">, Australia is </w:t>
      </w:r>
      <w:r w:rsidR="001C3CCB">
        <w:rPr>
          <w:rFonts w:cstheme="minorHAnsi"/>
        </w:rPr>
        <w:t xml:space="preserve">clearly an </w:t>
      </w:r>
      <w:r w:rsidR="007B63DD">
        <w:rPr>
          <w:rFonts w:cstheme="minorHAnsi"/>
        </w:rPr>
        <w:t xml:space="preserve">attractive market for subscription-based media. </w:t>
      </w:r>
      <w:r w:rsidR="007B63DD" w:rsidRPr="00724E88">
        <w:rPr>
          <w:rFonts w:cstheme="minorHAnsi"/>
        </w:rPr>
        <w:t>Netflix</w:t>
      </w:r>
      <w:r w:rsidR="007B63DD" w:rsidRPr="00724E88" w:rsidDel="00CC0B4C">
        <w:rPr>
          <w:rFonts w:cstheme="minorHAnsi"/>
        </w:rPr>
        <w:t xml:space="preserve"> </w:t>
      </w:r>
      <w:r w:rsidR="00CC0B4C" w:rsidRPr="00724E88">
        <w:rPr>
          <w:rFonts w:cstheme="minorHAnsi"/>
        </w:rPr>
        <w:t xml:space="preserve">launched </w:t>
      </w:r>
      <w:r w:rsidR="007B63DD" w:rsidRPr="00724E88">
        <w:rPr>
          <w:rFonts w:cstheme="minorHAnsi"/>
        </w:rPr>
        <w:t xml:space="preserve">in Australia </w:t>
      </w:r>
      <w:r w:rsidR="00F97ED5" w:rsidRPr="00724E88">
        <w:rPr>
          <w:rFonts w:cstheme="minorHAnsi"/>
        </w:rPr>
        <w:t>in</w:t>
      </w:r>
      <w:r w:rsidR="007B63DD" w:rsidRPr="00724E88">
        <w:rPr>
          <w:rFonts w:cstheme="minorHAnsi"/>
        </w:rPr>
        <w:t xml:space="preserve"> 2015.</w:t>
      </w:r>
      <w:r w:rsidR="007B63DD">
        <w:rPr>
          <w:rFonts w:cstheme="minorHAnsi"/>
        </w:rPr>
        <w:t xml:space="preserve"> Since</w:t>
      </w:r>
      <w:r w:rsidR="007769E6">
        <w:rPr>
          <w:rFonts w:cstheme="minorHAnsi"/>
        </w:rPr>
        <w:t xml:space="preserve"> </w:t>
      </w:r>
      <w:r w:rsidR="007B63DD">
        <w:rPr>
          <w:rFonts w:cstheme="minorHAnsi"/>
        </w:rPr>
        <w:t xml:space="preserve">this time, a significant number of new, online-only streaming services have </w:t>
      </w:r>
      <w:r w:rsidR="001C3CCB">
        <w:rPr>
          <w:rFonts w:cstheme="minorHAnsi"/>
        </w:rPr>
        <w:t>come to Australia</w:t>
      </w:r>
      <w:r w:rsidR="00DF3643" w:rsidRPr="00DF3643">
        <w:rPr>
          <w:rFonts w:cstheme="minorHAnsi"/>
        </w:rPr>
        <w:t>. These include</w:t>
      </w:r>
      <w:r w:rsidR="001C3CCB">
        <w:rPr>
          <w:rFonts w:cstheme="minorHAnsi"/>
        </w:rPr>
        <w:t xml:space="preserve"> </w:t>
      </w:r>
      <w:r w:rsidR="009D3F73" w:rsidRPr="00DF3643">
        <w:rPr>
          <w:rFonts w:cstheme="minorHAnsi"/>
        </w:rPr>
        <w:t>Amazon Prime Video</w:t>
      </w:r>
      <w:r w:rsidR="001C3CCB" w:rsidRPr="00DF3643">
        <w:rPr>
          <w:rFonts w:cstheme="minorHAnsi"/>
        </w:rPr>
        <w:t xml:space="preserve">, </w:t>
      </w:r>
      <w:r w:rsidR="009D3F73" w:rsidRPr="00DF3643">
        <w:rPr>
          <w:rFonts w:cstheme="minorHAnsi"/>
        </w:rPr>
        <w:t>Disney</w:t>
      </w:r>
      <w:r w:rsidR="00FF0D4B" w:rsidRPr="00DF3643">
        <w:rPr>
          <w:rFonts w:cstheme="minorHAnsi"/>
        </w:rPr>
        <w:t>+</w:t>
      </w:r>
      <w:r w:rsidR="001C3CCB" w:rsidRPr="00DF3643">
        <w:rPr>
          <w:rFonts w:cstheme="minorHAnsi"/>
        </w:rPr>
        <w:t xml:space="preserve">, </w:t>
      </w:r>
      <w:r w:rsidR="00DF3643" w:rsidRPr="00DF3643">
        <w:rPr>
          <w:rFonts w:cstheme="minorHAnsi"/>
        </w:rPr>
        <w:t xml:space="preserve">Apple TV+ </w:t>
      </w:r>
      <w:r w:rsidR="001C3CCB" w:rsidRPr="00DF3643">
        <w:rPr>
          <w:rFonts w:cstheme="minorHAnsi"/>
        </w:rPr>
        <w:t xml:space="preserve">and </w:t>
      </w:r>
      <w:r w:rsidR="00FF0D4B" w:rsidRPr="00DF3643">
        <w:rPr>
          <w:rFonts w:cstheme="minorHAnsi"/>
        </w:rPr>
        <w:t>Paramount+</w:t>
      </w:r>
      <w:r w:rsidR="001C3CCB">
        <w:rPr>
          <w:rFonts w:cstheme="minorHAnsi"/>
        </w:rPr>
        <w:t>.</w:t>
      </w:r>
      <w:r w:rsidR="00FF0D4B">
        <w:rPr>
          <w:rFonts w:cstheme="minorHAnsi"/>
        </w:rPr>
        <w:t xml:space="preserve"> </w:t>
      </w:r>
      <w:r w:rsidR="00FF0D4B" w:rsidRPr="00DF3643">
        <w:rPr>
          <w:rFonts w:cstheme="minorHAnsi"/>
        </w:rPr>
        <w:t>This is in addition to the domestic streaming offerings of Stan (launched in 2015) and Kayo Sports (</w:t>
      </w:r>
      <w:r w:rsidR="009521D5" w:rsidRPr="00DF3643">
        <w:rPr>
          <w:rFonts w:cstheme="minorHAnsi"/>
        </w:rPr>
        <w:t xml:space="preserve">in </w:t>
      </w:r>
      <w:r w:rsidR="00FF0D4B" w:rsidRPr="00DF3643">
        <w:rPr>
          <w:rFonts w:cstheme="minorHAnsi"/>
        </w:rPr>
        <w:t>2018) and BINGE (</w:t>
      </w:r>
      <w:r w:rsidR="009521D5" w:rsidRPr="00DF3643">
        <w:rPr>
          <w:rFonts w:cstheme="minorHAnsi"/>
        </w:rPr>
        <w:t xml:space="preserve">in </w:t>
      </w:r>
      <w:r w:rsidR="00FF0D4B" w:rsidRPr="00DF3643">
        <w:rPr>
          <w:rFonts w:cstheme="minorHAnsi"/>
        </w:rPr>
        <w:t>2020).</w:t>
      </w:r>
    </w:p>
    <w:p w14:paraId="10DFD279" w14:textId="31A6F7CE" w:rsidR="004A3DCF" w:rsidRPr="004A3DCF" w:rsidRDefault="004A3DCF" w:rsidP="00FC7446">
      <w:pPr>
        <w:pStyle w:val="ListParagraph"/>
        <w:numPr>
          <w:ilvl w:val="0"/>
          <w:numId w:val="42"/>
        </w:numPr>
        <w:ind w:left="357" w:hanging="357"/>
        <w:contextualSpacing w:val="0"/>
        <w:rPr>
          <w:rFonts w:cstheme="minorHAnsi"/>
        </w:rPr>
      </w:pPr>
      <w:r>
        <w:rPr>
          <w:rFonts w:cstheme="minorHAnsi"/>
        </w:rPr>
        <w:lastRenderedPageBreak/>
        <w:t xml:space="preserve">While the rate of new entrants to the Australian market is expected to moderate, the overall streaming market </w:t>
      </w:r>
      <w:r w:rsidR="00F678EE">
        <w:rPr>
          <w:rFonts w:cstheme="minorHAnsi"/>
        </w:rPr>
        <w:t>is forecast to</w:t>
      </w:r>
      <w:r>
        <w:rPr>
          <w:rFonts w:cstheme="minorHAnsi"/>
        </w:rPr>
        <w:t xml:space="preserve"> continue to grow. </w:t>
      </w:r>
      <w:r w:rsidR="008929B2" w:rsidRPr="008929B2">
        <w:rPr>
          <w:rFonts w:cstheme="minorHAnsi"/>
        </w:rPr>
        <w:t>The global video streaming market was valued at US</w:t>
      </w:r>
      <w:r w:rsidR="005873A7">
        <w:rPr>
          <w:rFonts w:cstheme="minorHAnsi"/>
        </w:rPr>
        <w:t>$ </w:t>
      </w:r>
      <w:r w:rsidR="008929B2" w:rsidRPr="008929B2">
        <w:rPr>
          <w:rFonts w:cstheme="minorHAnsi"/>
        </w:rPr>
        <w:t>89</w:t>
      </w:r>
      <w:r w:rsidR="008929B2" w:rsidRPr="006E7C1B">
        <w:rPr>
          <w:rFonts w:cstheme="minorHAnsi"/>
          <w:sz w:val="24"/>
        </w:rPr>
        <w:t>.</w:t>
      </w:r>
      <w:r w:rsidR="008929B2" w:rsidRPr="008929B2">
        <w:rPr>
          <w:rFonts w:cstheme="minorHAnsi"/>
        </w:rPr>
        <w:t>03</w:t>
      </w:r>
      <w:r w:rsidR="006E7C1B">
        <w:rPr>
          <w:rFonts w:cstheme="minorHAnsi"/>
        </w:rPr>
        <w:t> </w:t>
      </w:r>
      <w:r w:rsidR="008929B2" w:rsidRPr="008929B2">
        <w:rPr>
          <w:rFonts w:cstheme="minorHAnsi"/>
        </w:rPr>
        <w:t>billion in 2022 and is expected to grow at a compound annual growth rate (CAGR) of 21.5</w:t>
      </w:r>
      <w:r w:rsidR="00DC58DD">
        <w:rPr>
          <w:rFonts w:cstheme="minorHAnsi"/>
        </w:rPr>
        <w:t xml:space="preserve"> </w:t>
      </w:r>
      <w:r w:rsidR="005873A7">
        <w:rPr>
          <w:rFonts w:cstheme="minorHAnsi"/>
        </w:rPr>
        <w:t>per</w:t>
      </w:r>
      <w:r w:rsidR="00DC58DD">
        <w:rPr>
          <w:rFonts w:cstheme="minorHAnsi"/>
        </w:rPr>
        <w:t xml:space="preserve"> </w:t>
      </w:r>
      <w:r w:rsidR="005873A7">
        <w:rPr>
          <w:rFonts w:cstheme="minorHAnsi"/>
        </w:rPr>
        <w:t>cent</w:t>
      </w:r>
      <w:r w:rsidR="008929B2" w:rsidRPr="008929B2">
        <w:rPr>
          <w:rFonts w:cstheme="minorHAnsi"/>
        </w:rPr>
        <w:t xml:space="preserve"> from 2023 to 2030</w:t>
      </w:r>
      <w:r w:rsidR="009F6C30" w:rsidRPr="009F6C30">
        <w:rPr>
          <w:rFonts w:cstheme="minorHAnsi"/>
        </w:rPr>
        <w:t>.</w:t>
      </w:r>
      <w:r w:rsidR="009F6C30">
        <w:rPr>
          <w:rStyle w:val="FootnoteReference"/>
          <w:rFonts w:cstheme="minorHAnsi"/>
        </w:rPr>
        <w:footnoteReference w:id="71"/>
      </w:r>
    </w:p>
    <w:p w14:paraId="759A2B0B" w14:textId="77777777" w:rsidR="004A3DCF" w:rsidRDefault="00BB6615" w:rsidP="00FC7446">
      <w:pPr>
        <w:pStyle w:val="ListParagraph"/>
        <w:numPr>
          <w:ilvl w:val="0"/>
          <w:numId w:val="42"/>
        </w:numPr>
        <w:ind w:left="357" w:hanging="357"/>
        <w:contextualSpacing w:val="0"/>
        <w:rPr>
          <w:rFonts w:cstheme="minorHAnsi"/>
        </w:rPr>
      </w:pPr>
      <w:r>
        <w:rPr>
          <w:rFonts w:cstheme="minorHAnsi"/>
        </w:rPr>
        <w:t>As noted previously, s</w:t>
      </w:r>
      <w:r w:rsidR="004A3DCF">
        <w:rPr>
          <w:rFonts w:cstheme="minorHAnsi"/>
        </w:rPr>
        <w:t xml:space="preserve">ports bodies </w:t>
      </w:r>
      <w:r w:rsidR="0030262A">
        <w:rPr>
          <w:rFonts w:cstheme="minorHAnsi"/>
        </w:rPr>
        <w:t>and broadcasters</w:t>
      </w:r>
      <w:r w:rsidR="004A3DCF">
        <w:rPr>
          <w:rFonts w:cstheme="minorHAnsi"/>
        </w:rPr>
        <w:t xml:space="preserve"> have indicated through the </w:t>
      </w:r>
      <w:r>
        <w:rPr>
          <w:rFonts w:cstheme="minorHAnsi"/>
        </w:rPr>
        <w:t xml:space="preserve">initial </w:t>
      </w:r>
      <w:r w:rsidR="004A3DCF">
        <w:rPr>
          <w:rFonts w:cstheme="minorHAnsi"/>
        </w:rPr>
        <w:t>review process</w:t>
      </w:r>
      <w:r w:rsidR="00FC50B6">
        <w:rPr>
          <w:rFonts w:cstheme="minorHAnsi"/>
        </w:rPr>
        <w:t xml:space="preserve"> </w:t>
      </w:r>
      <w:r w:rsidR="004A3DCF">
        <w:rPr>
          <w:rFonts w:cstheme="minorHAnsi"/>
        </w:rPr>
        <w:t xml:space="preserve">that </w:t>
      </w:r>
      <w:r w:rsidR="00644E56">
        <w:rPr>
          <w:rFonts w:cstheme="minorHAnsi"/>
        </w:rPr>
        <w:t xml:space="preserve">online </w:t>
      </w:r>
      <w:r w:rsidR="00FC50B6">
        <w:rPr>
          <w:rFonts w:cstheme="minorHAnsi"/>
        </w:rPr>
        <w:t>rights are critical to their future</w:t>
      </w:r>
      <w:r w:rsidR="0030262A">
        <w:rPr>
          <w:rFonts w:cstheme="minorHAnsi"/>
        </w:rPr>
        <w:t>, with consumers increasingly demanding online</w:t>
      </w:r>
      <w:r w:rsidR="0047465E">
        <w:rPr>
          <w:rFonts w:cstheme="minorHAnsi"/>
        </w:rPr>
        <w:t xml:space="preserve"> sporting</w:t>
      </w:r>
      <w:r w:rsidR="0030262A">
        <w:rPr>
          <w:rFonts w:cstheme="minorHAnsi"/>
        </w:rPr>
        <w:t xml:space="preserve"> coverage and the associated rights deals providing critical income for sports bodies</w:t>
      </w:r>
      <w:r w:rsidR="00FC50B6">
        <w:rPr>
          <w:rFonts w:cstheme="minorHAnsi"/>
        </w:rPr>
        <w:t>.</w:t>
      </w:r>
    </w:p>
    <w:p w14:paraId="22B3E2F8" w14:textId="7EF9850A" w:rsidR="00FC50B6" w:rsidRDefault="001C3CCB" w:rsidP="001C3CCB">
      <w:pPr>
        <w:rPr>
          <w:rFonts w:cstheme="minorHAnsi"/>
        </w:rPr>
      </w:pPr>
      <w:r w:rsidRPr="001C3CCB">
        <w:rPr>
          <w:rFonts w:cstheme="minorHAnsi"/>
        </w:rPr>
        <w:t>Th</w:t>
      </w:r>
      <w:r>
        <w:rPr>
          <w:rFonts w:cstheme="minorHAnsi"/>
        </w:rPr>
        <w:t>ese factors</w:t>
      </w:r>
      <w:r w:rsidRPr="001C3CCB">
        <w:rPr>
          <w:rFonts w:cstheme="minorHAnsi"/>
        </w:rPr>
        <w:t xml:space="preserve"> suggest th</w:t>
      </w:r>
      <w:r>
        <w:rPr>
          <w:rFonts w:cstheme="minorHAnsi"/>
        </w:rPr>
        <w:t>at the</w:t>
      </w:r>
      <w:r w:rsidRPr="001C3CCB">
        <w:rPr>
          <w:rFonts w:cstheme="minorHAnsi"/>
        </w:rPr>
        <w:t xml:space="preserve"> previous distinctions in market structure between Australia</w:t>
      </w:r>
      <w:r w:rsidR="00D951EA">
        <w:rPr>
          <w:rFonts w:cstheme="minorHAnsi"/>
        </w:rPr>
        <w:t>n</w:t>
      </w:r>
      <w:r w:rsidRPr="001C3CCB">
        <w:rPr>
          <w:rFonts w:cstheme="minorHAnsi"/>
        </w:rPr>
        <w:t xml:space="preserve"> and overseas jurisdictions </w:t>
      </w:r>
      <w:r w:rsidR="00BB6615">
        <w:rPr>
          <w:rFonts w:cstheme="minorHAnsi"/>
        </w:rPr>
        <w:t xml:space="preserve">are </w:t>
      </w:r>
      <w:r w:rsidR="00D951EA">
        <w:rPr>
          <w:rFonts w:cstheme="minorHAnsi"/>
        </w:rPr>
        <w:t xml:space="preserve">less </w:t>
      </w:r>
      <w:r w:rsidR="00BB6615">
        <w:rPr>
          <w:rFonts w:cstheme="minorHAnsi"/>
        </w:rPr>
        <w:t>likely to</w:t>
      </w:r>
      <w:r>
        <w:rPr>
          <w:rFonts w:cstheme="minorHAnsi"/>
        </w:rPr>
        <w:t xml:space="preserve"> determin</w:t>
      </w:r>
      <w:r w:rsidR="00D951EA">
        <w:rPr>
          <w:rFonts w:cstheme="minorHAnsi"/>
        </w:rPr>
        <w:t>e</w:t>
      </w:r>
      <w:r>
        <w:rPr>
          <w:rFonts w:cstheme="minorHAnsi"/>
        </w:rPr>
        <w:t xml:space="preserve"> market trends and directions </w:t>
      </w:r>
      <w:r w:rsidRPr="001C3CCB">
        <w:rPr>
          <w:rFonts w:cstheme="minorHAnsi"/>
        </w:rPr>
        <w:t xml:space="preserve">than </w:t>
      </w:r>
      <w:r>
        <w:rPr>
          <w:rFonts w:cstheme="minorHAnsi"/>
        </w:rPr>
        <w:t xml:space="preserve">they </w:t>
      </w:r>
      <w:r w:rsidRPr="001C3CCB">
        <w:rPr>
          <w:rFonts w:cstheme="minorHAnsi"/>
        </w:rPr>
        <w:t xml:space="preserve">have been in the past. </w:t>
      </w:r>
      <w:r w:rsidR="00FC50B6">
        <w:rPr>
          <w:rFonts w:cstheme="minorHAnsi"/>
        </w:rPr>
        <w:t xml:space="preserve">While there may be a ‘lag’ in Australia compared with overseas jurisdictions, it is reasonable to expect that subscription-based streaming </w:t>
      </w:r>
      <w:r w:rsidR="00644E56">
        <w:rPr>
          <w:rFonts w:cstheme="minorHAnsi"/>
        </w:rPr>
        <w:t>services</w:t>
      </w:r>
      <w:r w:rsidR="00FC50B6">
        <w:rPr>
          <w:rFonts w:cstheme="minorHAnsi"/>
        </w:rPr>
        <w:t xml:space="preserve"> will play an increasingly promine</w:t>
      </w:r>
      <w:r w:rsidR="00BB6615">
        <w:rPr>
          <w:rFonts w:cstheme="minorHAnsi"/>
        </w:rPr>
        <w:t>nt</w:t>
      </w:r>
      <w:r w:rsidR="00FC50B6">
        <w:rPr>
          <w:rFonts w:cstheme="minorHAnsi"/>
        </w:rPr>
        <w:t xml:space="preserve"> role in the </w:t>
      </w:r>
      <w:r w:rsidR="00E877F6">
        <w:rPr>
          <w:rFonts w:cstheme="minorHAnsi"/>
        </w:rPr>
        <w:t xml:space="preserve">coverage </w:t>
      </w:r>
      <w:r w:rsidR="00FC50B6">
        <w:rPr>
          <w:rFonts w:cstheme="minorHAnsi"/>
        </w:rPr>
        <w:t>of sporting events in Australia.</w:t>
      </w:r>
    </w:p>
    <w:p w14:paraId="6A16FFE2" w14:textId="4571BFAD" w:rsidR="00BB6615" w:rsidRDefault="00944690" w:rsidP="00E9790E">
      <w:r>
        <w:rPr>
          <w:iCs/>
        </w:rPr>
        <w:t xml:space="preserve">The anti-siphoning scheme was established to address the risk of </w:t>
      </w:r>
      <w:r w:rsidR="00B5207D">
        <w:t xml:space="preserve">nationally important and culturally significant events </w:t>
      </w:r>
      <w:r>
        <w:rPr>
          <w:iCs/>
        </w:rPr>
        <w:t xml:space="preserve">migrating behind paywalls, and no longer being available for free to Australian audiences. </w:t>
      </w:r>
      <w:r w:rsidR="00BB6615">
        <w:rPr>
          <w:iCs/>
        </w:rPr>
        <w:t>The review has found that i</w:t>
      </w:r>
      <w:r>
        <w:rPr>
          <w:iCs/>
        </w:rPr>
        <w:t>n a contemporary media environment</w:t>
      </w:r>
      <w:r w:rsidR="00644E56">
        <w:t xml:space="preserve">, this risk </w:t>
      </w:r>
      <w:r>
        <w:rPr>
          <w:iCs/>
        </w:rPr>
        <w:t>remains</w:t>
      </w:r>
      <w:r w:rsidR="00BB6615">
        <w:rPr>
          <w:iCs/>
        </w:rPr>
        <w:t>, and that the</w:t>
      </w:r>
      <w:r w:rsidR="00644E56">
        <w:t xml:space="preserve"> concerns that were evident in an analogue </w:t>
      </w:r>
      <w:r w:rsidR="00D4061B">
        <w:t xml:space="preserve">media </w:t>
      </w:r>
      <w:r w:rsidR="00644E56">
        <w:t>environment are</w:t>
      </w:r>
      <w:r w:rsidR="00BB6615">
        <w:t xml:space="preserve"> also present</w:t>
      </w:r>
      <w:r w:rsidR="00644E56">
        <w:t xml:space="preserve"> in a digital environment.</w:t>
      </w:r>
    </w:p>
    <w:p w14:paraId="0F637F5C" w14:textId="37D3312E" w:rsidR="002E5EBC" w:rsidRDefault="00BB6615" w:rsidP="00E9790E">
      <w:r>
        <w:t>The review has also confirmed that there is as</w:t>
      </w:r>
      <w:r w:rsidR="00644E56">
        <w:t xml:space="preserve"> a </w:t>
      </w:r>
      <w:r w:rsidR="00D4061B">
        <w:t>‘</w:t>
      </w:r>
      <w:r w:rsidR="00644E56">
        <w:t>regulatory gap</w:t>
      </w:r>
      <w:r w:rsidR="00D4061B">
        <w:t>’</w:t>
      </w:r>
      <w:r w:rsidR="00644E56">
        <w:t xml:space="preserve"> in relation to online services, and a case for broadening the regulatory </w:t>
      </w:r>
      <w:r w:rsidR="00D4061B">
        <w:t>framework</w:t>
      </w:r>
      <w:r w:rsidR="00644E56">
        <w:t xml:space="preserve"> to </w:t>
      </w:r>
      <w:r w:rsidR="00E9790E">
        <w:t>mitigate th</w:t>
      </w:r>
      <w:r w:rsidR="00D4061B">
        <w:t>e attendant risks.</w:t>
      </w:r>
      <w:r w:rsidR="00E9790E">
        <w:t xml:space="preserve"> </w:t>
      </w:r>
      <w:r w:rsidR="002E5EBC">
        <w:t xml:space="preserve">The form of that regulation, and the scope of the regulated events, are </w:t>
      </w:r>
      <w:r w:rsidR="00E9790E">
        <w:t>further</w:t>
      </w:r>
      <w:r w:rsidR="002E5EBC">
        <w:t xml:space="preserve"> considered in Chapters 6 and 7 of this paper.</w:t>
      </w:r>
    </w:p>
    <w:p w14:paraId="7719A25E" w14:textId="16F37AD4" w:rsidR="00961BDC" w:rsidRDefault="001D683C" w:rsidP="00961BDC">
      <w:pPr>
        <w:pStyle w:val="Heading2"/>
      </w:pPr>
      <w:bookmarkStart w:id="136" w:name="_Toc140842896"/>
      <w:bookmarkStart w:id="137" w:name="_Toc141369803"/>
      <w:bookmarkStart w:id="138" w:name="_Toc143265594"/>
      <w:bookmarkStart w:id="139" w:name="_Hlk142057739"/>
      <w:r>
        <w:t>Preliminary</w:t>
      </w:r>
      <w:r w:rsidR="00EE53CB">
        <w:t xml:space="preserve"> finding 3: </w:t>
      </w:r>
      <w:r>
        <w:t xml:space="preserve">the </w:t>
      </w:r>
      <w:r w:rsidR="00961BDC">
        <w:t xml:space="preserve">composition of the </w:t>
      </w:r>
      <w:r>
        <w:t xml:space="preserve">anti-siphoning list needs </w:t>
      </w:r>
      <w:r w:rsidR="00961BDC">
        <w:t>to be reconsidered</w:t>
      </w:r>
      <w:bookmarkEnd w:id="136"/>
      <w:bookmarkEnd w:id="137"/>
      <w:bookmarkEnd w:id="138"/>
    </w:p>
    <w:bookmarkEnd w:id="139"/>
    <w:p w14:paraId="2D76E7F6" w14:textId="3C1289AD" w:rsidR="00961BDC" w:rsidRDefault="00961BDC" w:rsidP="00961BDC">
      <w:r w:rsidRPr="00961BDC">
        <w:t>T</w:t>
      </w:r>
      <w:r w:rsidR="009D4D32" w:rsidRPr="00961BDC">
        <w:t xml:space="preserve">he objective of the anti-siphoning scheme </w:t>
      </w:r>
      <w:r w:rsidRPr="00961BDC">
        <w:t xml:space="preserve">is to </w:t>
      </w:r>
      <w:r w:rsidR="006F3826">
        <w:t>support</w:t>
      </w:r>
      <w:r w:rsidR="00D35305">
        <w:t xml:space="preserve"> free access to </w:t>
      </w:r>
      <w:r w:rsidR="005B207C">
        <w:t xml:space="preserve">televised </w:t>
      </w:r>
      <w:r w:rsidR="00D35305">
        <w:t>coverage of events of national importance and cultural significance</w:t>
      </w:r>
      <w:r w:rsidRPr="00961BDC">
        <w:t>.</w:t>
      </w:r>
      <w:r>
        <w:t xml:space="preserve"> The review has found that this objective remains appropriate in a contemporary media environment.</w:t>
      </w:r>
    </w:p>
    <w:p w14:paraId="3457381B" w14:textId="2E389521" w:rsidR="00667D24" w:rsidRDefault="00961BDC" w:rsidP="00961BDC">
      <w:r>
        <w:t xml:space="preserve">To date, the anti-siphoning list has tended to include sports that involve athletes without disabilities. To a lesser extent, it has also tended to involve competitions </w:t>
      </w:r>
      <w:r w:rsidR="00584D82">
        <w:t>in which men compete</w:t>
      </w:r>
      <w:r>
        <w:t xml:space="preserve">. </w:t>
      </w:r>
      <w:r w:rsidR="003E5F01">
        <w:t>T</w:t>
      </w:r>
      <w:r>
        <w:t>he review has no</w:t>
      </w:r>
      <w:r w:rsidR="0009637F">
        <w:t>t</w:t>
      </w:r>
      <w:r>
        <w:t xml:space="preserve"> found any </w:t>
      </w:r>
      <w:r w:rsidR="003E5F01">
        <w:t xml:space="preserve">information to </w:t>
      </w:r>
      <w:r>
        <w:t xml:space="preserve">suggest that </w:t>
      </w:r>
      <w:r w:rsidR="003E5F01">
        <w:t xml:space="preserve">the composition of the anti-siphoning list has been shaped by </w:t>
      </w:r>
      <w:r w:rsidR="0009637F">
        <w:t>conscious and deliberate</w:t>
      </w:r>
      <w:r w:rsidR="003E5F01">
        <w:t xml:space="preserve"> discrimination</w:t>
      </w:r>
      <w:r w:rsidR="00146CD6">
        <w:t>,</w:t>
      </w:r>
      <w:r w:rsidR="003E5F01">
        <w:t xml:space="preserve"> or</w:t>
      </w:r>
      <w:r w:rsidR="0009637F">
        <w:t xml:space="preserve"> by any </w:t>
      </w:r>
      <w:r w:rsidR="00146CD6">
        <w:t>intent</w:t>
      </w:r>
      <w:r w:rsidR="003E5F01">
        <w:t xml:space="preserve"> to exclude sports </w:t>
      </w:r>
      <w:r w:rsidR="00146CD6">
        <w:t>fr</w:t>
      </w:r>
      <w:r w:rsidR="00491A6D">
        <w:t>o</w:t>
      </w:r>
      <w:r w:rsidR="00146CD6">
        <w:t xml:space="preserve">m the list </w:t>
      </w:r>
      <w:r w:rsidR="003E5F01">
        <w:t xml:space="preserve">based on </w:t>
      </w:r>
      <w:r w:rsidR="0009637F">
        <w:t xml:space="preserve">the </w:t>
      </w:r>
      <w:r w:rsidR="003E5F01">
        <w:t xml:space="preserve">gender or disability status of the </w:t>
      </w:r>
      <w:r w:rsidR="0009637F">
        <w:t xml:space="preserve">participating </w:t>
      </w:r>
      <w:r w:rsidR="003E5F01">
        <w:t>athletes.</w:t>
      </w:r>
    </w:p>
    <w:p w14:paraId="2E0441A8" w14:textId="4BBDE050" w:rsidR="003E5F01" w:rsidRDefault="003E5F01" w:rsidP="00961BDC">
      <w:r w:rsidRPr="00D72A24">
        <w:t xml:space="preserve">Rather, </w:t>
      </w:r>
      <w:r w:rsidR="00146CD6" w:rsidRPr="002B1D55">
        <w:t>th</w:t>
      </w:r>
      <w:r w:rsidR="00D31764" w:rsidRPr="002B1D55">
        <w:t>e anti-siphoning list</w:t>
      </w:r>
      <w:r w:rsidRPr="00D72A24">
        <w:t xml:space="preserve"> reflects the fact that</w:t>
      </w:r>
      <w:r w:rsidR="00C62475">
        <w:t>,</w:t>
      </w:r>
      <w:r w:rsidRPr="00D72A24">
        <w:t xml:space="preserve"> in Australia, </w:t>
      </w:r>
      <w:r w:rsidR="00093773">
        <w:t xml:space="preserve">the </w:t>
      </w:r>
      <w:r w:rsidR="00E423E5">
        <w:t xml:space="preserve">coverage of </w:t>
      </w:r>
      <w:r w:rsidRPr="00D72A24">
        <w:t xml:space="preserve">sports </w:t>
      </w:r>
      <w:r w:rsidR="00667D24" w:rsidRPr="002B1D55">
        <w:t xml:space="preserve">and </w:t>
      </w:r>
      <w:r w:rsidR="00455C23" w:rsidRPr="002B1D55">
        <w:t xml:space="preserve">sporting </w:t>
      </w:r>
      <w:r w:rsidR="00667D24" w:rsidRPr="002B1D55">
        <w:t>events</w:t>
      </w:r>
      <w:r w:rsidR="00667D24" w:rsidRPr="00D72A24">
        <w:t xml:space="preserve"> </w:t>
      </w:r>
      <w:r w:rsidRPr="00D72A24">
        <w:t xml:space="preserve">that </w:t>
      </w:r>
      <w:r w:rsidR="009E7B3D">
        <w:t>have</w:t>
      </w:r>
      <w:r w:rsidR="00C62475">
        <w:t xml:space="preserve"> been</w:t>
      </w:r>
      <w:r w:rsidR="0009637F">
        <w:t xml:space="preserve"> considered to </w:t>
      </w:r>
      <w:r w:rsidR="00146CD6">
        <w:t>fall into the category of</w:t>
      </w:r>
      <w:r w:rsidR="0009637F">
        <w:t xml:space="preserve"> nationally important and culturally significant have </w:t>
      </w:r>
      <w:r w:rsidR="00146CD6">
        <w:t xml:space="preserve">historically </w:t>
      </w:r>
      <w:r w:rsidR="0009637F">
        <w:t xml:space="preserve">tended to </w:t>
      </w:r>
      <w:r>
        <w:t xml:space="preserve">involve </w:t>
      </w:r>
      <w:r w:rsidR="00584D82">
        <w:t>men</w:t>
      </w:r>
      <w:r>
        <w:t xml:space="preserve"> and </w:t>
      </w:r>
      <w:r w:rsidR="0009637F">
        <w:t xml:space="preserve">have </w:t>
      </w:r>
      <w:r w:rsidR="00146CD6">
        <w:t xml:space="preserve">historically </w:t>
      </w:r>
      <w:r w:rsidR="0009637F">
        <w:t xml:space="preserve">tended to </w:t>
      </w:r>
      <w:r>
        <w:t>involve athletes without a disability.</w:t>
      </w:r>
    </w:p>
    <w:p w14:paraId="74579089" w14:textId="4E534849" w:rsidR="00146CD6" w:rsidRDefault="003E5F01" w:rsidP="001A687D">
      <w:pPr>
        <w:pStyle w:val="ListParagraph"/>
        <w:numPr>
          <w:ilvl w:val="0"/>
          <w:numId w:val="51"/>
        </w:numPr>
        <w:contextualSpacing w:val="0"/>
      </w:pPr>
      <w:r>
        <w:t xml:space="preserve">These are the </w:t>
      </w:r>
      <w:r w:rsidR="0009637F">
        <w:t>sports and c</w:t>
      </w:r>
      <w:r>
        <w:t xml:space="preserve">ompetitions that have </w:t>
      </w:r>
      <w:r w:rsidR="00146CD6">
        <w:t xml:space="preserve">tended to </w:t>
      </w:r>
      <w:r>
        <w:t xml:space="preserve">receive extensive television coverage and have garnered </w:t>
      </w:r>
      <w:r w:rsidR="00423CDD">
        <w:t xml:space="preserve">significant </w:t>
      </w:r>
      <w:r>
        <w:t>broadcast audiences.</w:t>
      </w:r>
    </w:p>
    <w:p w14:paraId="5E50D50C" w14:textId="6C08EF95" w:rsidR="00146CD6" w:rsidRDefault="0009637F" w:rsidP="001A687D">
      <w:pPr>
        <w:pStyle w:val="ListParagraph"/>
        <w:numPr>
          <w:ilvl w:val="0"/>
          <w:numId w:val="51"/>
        </w:numPr>
        <w:contextualSpacing w:val="0"/>
      </w:pPr>
      <w:r>
        <w:t xml:space="preserve">They have typically involved representative teams or </w:t>
      </w:r>
      <w:r w:rsidR="00423CDD">
        <w:t>athletes</w:t>
      </w:r>
      <w:r>
        <w:t xml:space="preserve"> </w:t>
      </w:r>
      <w:r w:rsidR="00423CDD">
        <w:t>selected</w:t>
      </w:r>
      <w:r>
        <w:t xml:space="preserve"> by the re</w:t>
      </w:r>
      <w:r w:rsidR="00423CDD">
        <w:t xml:space="preserve">levant sports bodies at the national level, or major </w:t>
      </w:r>
      <w:r>
        <w:t xml:space="preserve">football codes </w:t>
      </w:r>
      <w:r w:rsidR="00423CDD">
        <w:t>that have a significant domestic following.</w:t>
      </w:r>
    </w:p>
    <w:p w14:paraId="5E0A222C" w14:textId="2DDC29E1" w:rsidR="00146CD6" w:rsidRDefault="0009637F" w:rsidP="001A687D">
      <w:pPr>
        <w:pStyle w:val="ListParagraph"/>
        <w:numPr>
          <w:ilvl w:val="0"/>
          <w:numId w:val="51"/>
        </w:numPr>
        <w:contextualSpacing w:val="0"/>
      </w:pPr>
      <w:r>
        <w:t xml:space="preserve">They are also the sports and competitions where significant sums have </w:t>
      </w:r>
      <w:r w:rsidR="00613725">
        <w:t xml:space="preserve">historically </w:t>
      </w:r>
      <w:r>
        <w:t xml:space="preserve">been paid </w:t>
      </w:r>
      <w:r w:rsidR="00613725">
        <w:t>for</w:t>
      </w:r>
      <w:r>
        <w:t xml:space="preserve"> </w:t>
      </w:r>
      <w:r w:rsidR="003E5F01">
        <w:t>media rights</w:t>
      </w:r>
      <w:r w:rsidR="00423CDD">
        <w:t>.</w:t>
      </w:r>
    </w:p>
    <w:p w14:paraId="45CDD2A4" w14:textId="07811FC5" w:rsidR="00423CDD" w:rsidRDefault="00D35305" w:rsidP="00961BDC">
      <w:r>
        <w:t>T</w:t>
      </w:r>
      <w:r w:rsidR="00423CDD">
        <w:t>hese are not defini</w:t>
      </w:r>
      <w:r w:rsidR="00CC5377">
        <w:t>tive</w:t>
      </w:r>
      <w:r w:rsidR="00423CDD">
        <w:t xml:space="preserve"> or exhaustive features of what constitutes nationally significant and culturally important events</w:t>
      </w:r>
      <w:r>
        <w:t>. However, t</w:t>
      </w:r>
      <w:r w:rsidR="00423CDD">
        <w:t>he</w:t>
      </w:r>
      <w:r w:rsidR="00146CD6">
        <w:t xml:space="preserve"> competitions</w:t>
      </w:r>
      <w:r w:rsidR="00423CDD">
        <w:t xml:space="preserve"> that have historically been in the ‘first tier’ of Australia’s sporting calendar</w:t>
      </w:r>
      <w:r w:rsidR="00146CD6">
        <w:t xml:space="preserve"> have tended to embody these features.</w:t>
      </w:r>
    </w:p>
    <w:p w14:paraId="0416C38F" w14:textId="67245EC0" w:rsidR="00423CDD" w:rsidRDefault="00146CD6" w:rsidP="00961BDC">
      <w:r>
        <w:lastRenderedPageBreak/>
        <w:t xml:space="preserve">This is changing. </w:t>
      </w:r>
      <w:r w:rsidR="00423CDD">
        <w:t>The sports ecosystem in Australia is continuing to evolve as competitions develop and grow</w:t>
      </w:r>
      <w:r w:rsidR="000E51DD">
        <w:t>,</w:t>
      </w:r>
      <w:r w:rsidR="00423CDD">
        <w:t xml:space="preserve"> and as audience attitudes and preferences change. A number of submitters to the initial phases of the review have argued that women’s sports and </w:t>
      </w:r>
      <w:r w:rsidR="00CA0C47">
        <w:t>P</w:t>
      </w:r>
      <w:r w:rsidR="00423CDD">
        <w:t>ara-sports warrant an increased level of representation on the list.</w:t>
      </w:r>
    </w:p>
    <w:p w14:paraId="78590097" w14:textId="77777777" w:rsidR="00CA56FD" w:rsidRPr="00CA56FD" w:rsidRDefault="00CA56FD" w:rsidP="00CA56FD">
      <w:pPr>
        <w:pStyle w:val="Heading3"/>
        <w:rPr>
          <w:sz w:val="28"/>
          <w:szCs w:val="28"/>
        </w:rPr>
      </w:pPr>
      <w:bookmarkStart w:id="140" w:name="_Toc140842897"/>
      <w:bookmarkStart w:id="141" w:name="_Hlk142057389"/>
      <w:r w:rsidRPr="00CA56FD">
        <w:rPr>
          <w:sz w:val="28"/>
          <w:szCs w:val="28"/>
        </w:rPr>
        <w:t>Women’s sports</w:t>
      </w:r>
      <w:bookmarkEnd w:id="140"/>
    </w:p>
    <w:p w14:paraId="0978912D" w14:textId="77777777" w:rsidR="00CA56FD" w:rsidRDefault="00CA56FD" w:rsidP="00F41F21">
      <w:bookmarkStart w:id="142" w:name="_Hlk140779085"/>
      <w:r w:rsidRPr="00CA56FD">
        <w:t xml:space="preserve">The </w:t>
      </w:r>
      <w:r w:rsidR="00423CDD">
        <w:t>current</w:t>
      </w:r>
      <w:r w:rsidRPr="00CA56FD">
        <w:t xml:space="preserve"> list is skewed towards men’s sports. </w:t>
      </w:r>
      <w:r w:rsidR="00423CDD">
        <w:t xml:space="preserve">As noted above, this is not the product of </w:t>
      </w:r>
      <w:r w:rsidRPr="00CA56FD">
        <w:t>deliberately gendered decision-making regarding the composition of the list. In many cases,</w:t>
      </w:r>
      <w:r w:rsidR="00CF5802">
        <w:t xml:space="preserve"> national</w:t>
      </w:r>
      <w:r w:rsidRPr="00CA56FD">
        <w:t xml:space="preserve"> women’s </w:t>
      </w:r>
      <w:r w:rsidR="00CF5802">
        <w:t>competitions</w:t>
      </w:r>
      <w:r w:rsidRPr="00CA56FD">
        <w:t xml:space="preserve"> were either not in existence </w:t>
      </w:r>
      <w:r w:rsidR="00423CDD">
        <w:t xml:space="preserve">at the time that the last major </w:t>
      </w:r>
      <w:r w:rsidRPr="00CA56FD">
        <w:t>changes to the list were considered (at or before 2017), or those competitions were relatively nascent in terms of their development and popularity.</w:t>
      </w:r>
    </w:p>
    <w:p w14:paraId="7166299C" w14:textId="16AC88D8" w:rsidR="00766ECC" w:rsidRDefault="00766ECC" w:rsidP="00F41F21">
      <w:r>
        <w:t xml:space="preserve">Since that time, </w:t>
      </w:r>
      <w:r w:rsidR="007351A8">
        <w:t xml:space="preserve">many competitions that involve </w:t>
      </w:r>
      <w:r w:rsidR="00584D82">
        <w:t>women</w:t>
      </w:r>
      <w:r w:rsidR="007351A8">
        <w:t xml:space="preserve"> athletes have </w:t>
      </w:r>
      <w:r w:rsidR="00F41F21">
        <w:t xml:space="preserve">undergone significant growth and development. </w:t>
      </w:r>
      <w:r w:rsidR="007351A8">
        <w:t xml:space="preserve">Participation rates for women and girls are at record levels for many sports, and many competitions have gone from strength the strength with growing club memberships and greater media coverage. </w:t>
      </w:r>
      <w:r w:rsidR="001F30B5">
        <w:t xml:space="preserve">In 2022, Fox Sports reported that roughly 70 per cent of Australians watched more women’s sport than they did </w:t>
      </w:r>
      <w:r w:rsidR="003F77F6">
        <w:t xml:space="preserve">before </w:t>
      </w:r>
      <w:r w:rsidR="001F30B5">
        <w:t>2020.</w:t>
      </w:r>
      <w:r w:rsidR="001F30B5">
        <w:rPr>
          <w:rStyle w:val="FootnoteReference"/>
        </w:rPr>
        <w:footnoteReference w:id="72"/>
      </w:r>
    </w:p>
    <w:p w14:paraId="69CD17F2" w14:textId="740A8508" w:rsidR="00F41F21" w:rsidRDefault="00CA56FD" w:rsidP="00F41F21">
      <w:r>
        <w:t xml:space="preserve">The </w:t>
      </w:r>
      <w:r w:rsidR="00F41F21">
        <w:t xml:space="preserve">initial process of consultation undertaken as part of the review </w:t>
      </w:r>
      <w:r>
        <w:t xml:space="preserve">provided an opportunity for </w:t>
      </w:r>
      <w:r w:rsidR="00F41F21">
        <w:t>interested parties</w:t>
      </w:r>
      <w:r>
        <w:t xml:space="preserve"> to share their views on the composition of the anti-siphoning list</w:t>
      </w:r>
      <w:r w:rsidR="00F41F21">
        <w:t xml:space="preserve"> with respect to women’s sports.</w:t>
      </w:r>
      <w:r>
        <w:t xml:space="preserve"> </w:t>
      </w:r>
      <w:r w:rsidR="0087762F">
        <w:t>There was considerable variation in views on this matter</w:t>
      </w:r>
      <w:r w:rsidR="00F41F21">
        <w:t xml:space="preserve">, and these perspectives </w:t>
      </w:r>
      <w:r w:rsidR="00954CAB">
        <w:t>general</w:t>
      </w:r>
      <w:r w:rsidR="006D55C4">
        <w:t>ly</w:t>
      </w:r>
      <w:r w:rsidR="00F41F21">
        <w:t xml:space="preserve"> fell into one of two categories</w:t>
      </w:r>
      <w:r w:rsidR="009735A7">
        <w:t>:</w:t>
      </w:r>
    </w:p>
    <w:bookmarkEnd w:id="142"/>
    <w:p w14:paraId="7C1C8ABC" w14:textId="4CC1EC99" w:rsidR="00F41F21" w:rsidRDefault="009B4572" w:rsidP="001A687D">
      <w:pPr>
        <w:pStyle w:val="ListParagraph"/>
        <w:numPr>
          <w:ilvl w:val="0"/>
          <w:numId w:val="44"/>
        </w:numPr>
        <w:contextualSpacing w:val="0"/>
      </w:pPr>
      <w:r w:rsidRPr="002B1D55">
        <w:rPr>
          <w:b/>
        </w:rPr>
        <w:t>Increasing coverage of women’s events</w:t>
      </w:r>
      <w:r>
        <w:t>: t</w:t>
      </w:r>
      <w:r w:rsidR="00954CAB">
        <w:t>hose in favour of including more women’s sporting events on the list argued that this would reflect the changing values of Australian society</w:t>
      </w:r>
      <w:r>
        <w:t xml:space="preserve"> and </w:t>
      </w:r>
      <w:r w:rsidR="00954CAB">
        <w:t>could benefit women’s sport through increased broadcast coverage.</w:t>
      </w:r>
    </w:p>
    <w:p w14:paraId="6E0336BF" w14:textId="11A860A1" w:rsidR="00954CAB" w:rsidRDefault="009B4572" w:rsidP="001A687D">
      <w:pPr>
        <w:pStyle w:val="ListParagraph"/>
        <w:numPr>
          <w:ilvl w:val="0"/>
          <w:numId w:val="44"/>
        </w:numPr>
        <w:contextualSpacing w:val="0"/>
      </w:pPr>
      <w:r w:rsidRPr="002B1D55">
        <w:rPr>
          <w:b/>
        </w:rPr>
        <w:t>Not increasing coverage of women’s events</w:t>
      </w:r>
      <w:r>
        <w:t>: t</w:t>
      </w:r>
      <w:r w:rsidR="00954CAB">
        <w:t xml:space="preserve">hose opposed to increasing the representation of women’s sporting events on the list generally </w:t>
      </w:r>
      <w:r w:rsidR="002A7E52">
        <w:t>did so on the basis</w:t>
      </w:r>
      <w:r w:rsidR="00954CAB">
        <w:t xml:space="preserve"> that </w:t>
      </w:r>
      <w:r w:rsidR="002A7E52">
        <w:t xml:space="preserve">listing </w:t>
      </w:r>
      <w:r w:rsidR="00F41F21">
        <w:t xml:space="preserve">additional events </w:t>
      </w:r>
      <w:r w:rsidR="002A7E52">
        <w:t xml:space="preserve">could harm women’s sports. They argued that </w:t>
      </w:r>
      <w:r w:rsidR="00F41F21">
        <w:t xml:space="preserve">this would </w:t>
      </w:r>
      <w:r w:rsidR="00416867">
        <w:t xml:space="preserve">impede the ability of sporting bodies to maximise revenue from </w:t>
      </w:r>
      <w:r w:rsidR="000E3000">
        <w:t xml:space="preserve">coverage rights for </w:t>
      </w:r>
      <w:r w:rsidR="00416867">
        <w:t xml:space="preserve">these events, which </w:t>
      </w:r>
      <w:r w:rsidR="00F41F21">
        <w:t>would be</w:t>
      </w:r>
      <w:r w:rsidR="00416867">
        <w:t xml:space="preserve"> counterproductive </w:t>
      </w:r>
      <w:r w:rsidR="00F41F21">
        <w:t xml:space="preserve">to the </w:t>
      </w:r>
      <w:r w:rsidR="00EA15A0">
        <w:t>g</w:t>
      </w:r>
      <w:r w:rsidR="00416867">
        <w:t>rowth of women’s competitions and participation.</w:t>
      </w:r>
    </w:p>
    <w:p w14:paraId="0C581F52" w14:textId="529E7772" w:rsidR="009B47DE" w:rsidRDefault="00F41F21" w:rsidP="00CA56FD">
      <w:r>
        <w:t xml:space="preserve">There was </w:t>
      </w:r>
      <w:r w:rsidR="009B47DE">
        <w:t>also</w:t>
      </w:r>
      <w:r>
        <w:t xml:space="preserve"> little </w:t>
      </w:r>
      <w:r w:rsidR="00C57D12">
        <w:t xml:space="preserve">agreement </w:t>
      </w:r>
      <w:r>
        <w:t xml:space="preserve">among sports bodies on this matter. </w:t>
      </w:r>
      <w:r w:rsidR="00F86A4A">
        <w:t>S</w:t>
      </w:r>
      <w:r w:rsidR="00CA56FD">
        <w:t xml:space="preserve">ome </w:t>
      </w:r>
      <w:r>
        <w:t xml:space="preserve">argued in </w:t>
      </w:r>
      <w:r w:rsidR="00CA56FD">
        <w:t xml:space="preserve">favour of including </w:t>
      </w:r>
      <w:r>
        <w:t xml:space="preserve">additional </w:t>
      </w:r>
      <w:r w:rsidR="00CA56FD">
        <w:t xml:space="preserve">women’s sports on the list. </w:t>
      </w:r>
      <w:bookmarkStart w:id="143" w:name="_Hlk142059765"/>
      <w:r w:rsidR="001B2511">
        <w:t>Most</w:t>
      </w:r>
      <w:r w:rsidR="00F317E8">
        <w:t>,</w:t>
      </w:r>
      <w:r w:rsidR="00CA56FD">
        <w:t xml:space="preserve"> such as the Australian Professional Leagues</w:t>
      </w:r>
      <w:r w:rsidR="00F317E8">
        <w:t>,</w:t>
      </w:r>
      <w:r w:rsidR="00CA56FD">
        <w:t xml:space="preserve"> </w:t>
      </w:r>
      <w:r w:rsidR="00E85A07">
        <w:t>while indicating support for making women’s events available on free</w:t>
      </w:r>
      <w:r w:rsidR="00394AC2">
        <w:noBreakHyphen/>
      </w:r>
      <w:r w:rsidR="00E85A07">
        <w:t>to</w:t>
      </w:r>
      <w:r w:rsidR="00394AC2">
        <w:noBreakHyphen/>
      </w:r>
      <w:r w:rsidR="00E85A07">
        <w:t xml:space="preserve">air television, </w:t>
      </w:r>
      <w:r>
        <w:t xml:space="preserve">indicated their opposition to </w:t>
      </w:r>
      <w:r w:rsidR="00E85A07">
        <w:t>any</w:t>
      </w:r>
      <w:r>
        <w:t xml:space="preserve"> </w:t>
      </w:r>
      <w:r w:rsidR="00CA56FD">
        <w:t>change</w:t>
      </w:r>
      <w:r>
        <w:t xml:space="preserve"> that </w:t>
      </w:r>
      <w:r w:rsidR="00E85A07">
        <w:t>would result in additional events being added to the list</w:t>
      </w:r>
      <w:r w:rsidR="00CA56FD">
        <w:t>.</w:t>
      </w:r>
      <w:bookmarkEnd w:id="143"/>
      <w:r w:rsidR="003339D8">
        <w:rPr>
          <w:rStyle w:val="FootnoteReference"/>
        </w:rPr>
        <w:footnoteReference w:id="73"/>
      </w:r>
    </w:p>
    <w:p w14:paraId="0C22277B" w14:textId="77777777" w:rsidR="002830BE" w:rsidRDefault="0087762F" w:rsidP="00DC58DD">
      <w:pPr>
        <w:spacing w:after="240"/>
      </w:pPr>
      <w:bookmarkStart w:id="144" w:name="_Hlk142059792"/>
      <w:bookmarkStart w:id="145" w:name="_Hlk140832749"/>
      <w:r>
        <w:t>COMPPS, the representative body for major sporting organisations</w:t>
      </w:r>
      <w:r w:rsidR="00F41F21">
        <w:t>,</w:t>
      </w:r>
      <w:r>
        <w:t xml:space="preserve"> argued that only events that are ‘</w:t>
      </w:r>
      <w:r w:rsidRPr="0087762F">
        <w:t>nationally important and culturally significant</w:t>
      </w:r>
      <w:r>
        <w:t xml:space="preserve">’ should be included on the list, regardless of the gender </w:t>
      </w:r>
      <w:r w:rsidR="00E85A07">
        <w:t xml:space="preserve">of the athletes participating in the </w:t>
      </w:r>
      <w:r w:rsidR="003313B3">
        <w:t>event</w:t>
      </w:r>
      <w:r w:rsidR="00E85A07">
        <w:t>s</w:t>
      </w:r>
      <w:r w:rsidR="003313B3">
        <w:t>.</w:t>
      </w:r>
    </w:p>
    <w:bookmarkEnd w:id="144"/>
    <w:p w14:paraId="15513F86" w14:textId="395B652F" w:rsidR="008E010A" w:rsidRDefault="008E010A" w:rsidP="008E010A">
      <w:pPr>
        <w:pStyle w:val="Quote"/>
      </w:pPr>
      <w:r>
        <w:t>Any event should only be included on the anti-siphoning list if that event is iconic and nationally important and culturally significant. This test should be applied to all events, regardless of whether that event is a women’s or men’s event.</w:t>
      </w:r>
    </w:p>
    <w:p w14:paraId="68FEC71A" w14:textId="77777777" w:rsidR="008E010A" w:rsidRDefault="008E010A" w:rsidP="008E010A">
      <w:pPr>
        <w:pStyle w:val="Quote"/>
      </w:pPr>
      <w:r>
        <w:t xml:space="preserve">As such, whether a women’s event should be included on the anti-siphoning list needs to be considered on its own merits including but not limited to whether that event is in and of itself iconic and </w:t>
      </w:r>
      <w:bookmarkStart w:id="146" w:name="_Hlk142929281"/>
      <w:r>
        <w:t>nationally important and culturally significant. A women’s event should not be added to the a</w:t>
      </w:r>
      <w:bookmarkEnd w:id="146"/>
      <w:r>
        <w:t xml:space="preserve">nti-siphoning list automatically just because there is a men's version of the event which is on the anti-siphoning list. Similarly, a men’s event should not be added to the </w:t>
      </w:r>
      <w:r>
        <w:lastRenderedPageBreak/>
        <w:t>anti</w:t>
      </w:r>
      <w:r>
        <w:noBreakHyphen/>
        <w:t>siphoning list just because there is a women’s version of the event on the anti-siphoning list.</w:t>
      </w:r>
      <w:r w:rsidRPr="002830BE">
        <w:rPr>
          <w:rStyle w:val="FootnoteReference"/>
        </w:rPr>
        <w:t xml:space="preserve"> </w:t>
      </w:r>
      <w:r>
        <w:rPr>
          <w:rStyle w:val="FootnoteReference"/>
        </w:rPr>
        <w:footnoteReference w:id="74"/>
      </w:r>
    </w:p>
    <w:p w14:paraId="1906AF04" w14:textId="542CCA83" w:rsidR="00215531" w:rsidRDefault="00215531" w:rsidP="00DC58DD">
      <w:pPr>
        <w:spacing w:before="400" w:after="120"/>
      </w:pPr>
      <w:r>
        <w:t>Free TV Australia argue</w:t>
      </w:r>
      <w:r w:rsidR="00F41F21">
        <w:t>d</w:t>
      </w:r>
      <w:r>
        <w:t xml:space="preserve"> for the list to explicitly include women’s sports. Free TV argue</w:t>
      </w:r>
      <w:r w:rsidR="00F41F21">
        <w:t>d</w:t>
      </w:r>
      <w:r>
        <w:t xml:space="preserve"> for the inclusion of </w:t>
      </w:r>
      <w:r w:rsidRPr="009179CD">
        <w:t xml:space="preserve">the final series of the peak </w:t>
      </w:r>
      <w:r>
        <w:t xml:space="preserve">domestic </w:t>
      </w:r>
      <w:r w:rsidRPr="009179CD">
        <w:t xml:space="preserve">competitions </w:t>
      </w:r>
      <w:r>
        <w:t xml:space="preserve">of major codes, </w:t>
      </w:r>
      <w:r w:rsidR="00F41F21">
        <w:t xml:space="preserve">the </w:t>
      </w:r>
      <w:r w:rsidRPr="009179CD">
        <w:t>Matildas</w:t>
      </w:r>
      <w:r w:rsidR="00C22DF7">
        <w:t>’</w:t>
      </w:r>
      <w:r w:rsidRPr="009179CD">
        <w:t xml:space="preserve"> </w:t>
      </w:r>
      <w:r w:rsidR="009735A7">
        <w:t xml:space="preserve">FIFA Women’s </w:t>
      </w:r>
      <w:r w:rsidRPr="009179CD">
        <w:t>World Cup qualifiers</w:t>
      </w:r>
      <w:r w:rsidR="00122E6F">
        <w:t>,</w:t>
      </w:r>
      <w:r w:rsidRPr="009179CD">
        <w:t xml:space="preserve"> and all matches in the </w:t>
      </w:r>
      <w:r w:rsidR="009735A7">
        <w:t xml:space="preserve">FIFA Women’s </w:t>
      </w:r>
      <w:r w:rsidRPr="009179CD">
        <w:t xml:space="preserve">World Cup </w:t>
      </w:r>
      <w:r>
        <w:t>Finals</w:t>
      </w:r>
      <w:r w:rsidRPr="009179CD">
        <w:t>.</w:t>
      </w:r>
    </w:p>
    <w:bookmarkEnd w:id="145"/>
    <w:p w14:paraId="3074EF11" w14:textId="5561E1EC" w:rsidR="008E010A" w:rsidRDefault="008E010A" w:rsidP="008E010A">
      <w:pPr>
        <w:pStyle w:val="Quote"/>
      </w:pPr>
      <w:r w:rsidRPr="00EB7FF5">
        <w:t xml:space="preserve">We acknowledge the concerns regarding the gender bias on the list. To address these </w:t>
      </w:r>
      <w:proofErr w:type="gramStart"/>
      <w:r w:rsidRPr="00EB7FF5">
        <w:t>concerns</w:t>
      </w:r>
      <w:proofErr w:type="gramEnd"/>
      <w:r w:rsidRPr="00EB7FF5">
        <w:t xml:space="preserve"> we would support the inclusion of a greater number of women’s sports, particularly for the final series of the peak competitions listed above. In addition, the inclusion of the Matildas</w:t>
      </w:r>
      <w:r w:rsidR="009735A7">
        <w:t>’</w:t>
      </w:r>
      <w:r w:rsidRPr="00EB7FF5">
        <w:t xml:space="preserve"> World Cup qualifiers and all matches in the World Cup would be appropriate.</w:t>
      </w:r>
      <w:r>
        <w:rPr>
          <w:rStyle w:val="FootnoteReference"/>
        </w:rPr>
        <w:footnoteReference w:id="75"/>
      </w:r>
    </w:p>
    <w:p w14:paraId="6AC8D435" w14:textId="53B86FAE" w:rsidR="009B47DE" w:rsidRDefault="00CA56FD" w:rsidP="007C42BC">
      <w:pPr>
        <w:spacing w:before="400" w:after="120"/>
      </w:pPr>
      <w:r>
        <w:t xml:space="preserve">Subscription </w:t>
      </w:r>
      <w:r w:rsidR="00B935C2">
        <w:t>services</w:t>
      </w:r>
      <w:r>
        <w:t xml:space="preserve"> argued the scheme should be reformed to meet key objectives rather than </w:t>
      </w:r>
      <w:r w:rsidR="009B47DE">
        <w:t xml:space="preserve">operating </w:t>
      </w:r>
      <w:r>
        <w:t xml:space="preserve">to exclude certain providers </w:t>
      </w:r>
      <w:r w:rsidR="009B47DE">
        <w:t>from acquiring</w:t>
      </w:r>
      <w:r>
        <w:t xml:space="preserve"> rights. </w:t>
      </w:r>
      <w:r w:rsidR="009735A7">
        <w:t>They argued that p</w:t>
      </w:r>
      <w:r>
        <w:t xml:space="preserve">latforms </w:t>
      </w:r>
      <w:r w:rsidR="009B47DE">
        <w:t>should be</w:t>
      </w:r>
      <w:r>
        <w:t xml:space="preserve"> able to provide content behind a paywall or for free</w:t>
      </w:r>
      <w:r w:rsidR="009B47DE">
        <w:t>, and</w:t>
      </w:r>
      <w:r>
        <w:t xml:space="preserve"> Foxtel noted </w:t>
      </w:r>
      <w:r w:rsidR="00E85A07">
        <w:t>that</w:t>
      </w:r>
      <w:r>
        <w:t xml:space="preserve"> this </w:t>
      </w:r>
      <w:r w:rsidR="00E85A07">
        <w:t>had</w:t>
      </w:r>
      <w:r>
        <w:t xml:space="preserve"> occurred with Suncorp Super Netball</w:t>
      </w:r>
      <w:r w:rsidR="00E85A07">
        <w:t>.</w:t>
      </w:r>
    </w:p>
    <w:p w14:paraId="3581D28A" w14:textId="65A14AEA" w:rsidR="00A769B0" w:rsidRDefault="00791751" w:rsidP="00A769B0">
      <w:pPr>
        <w:pStyle w:val="Quote"/>
      </w:pPr>
      <w:r w:rsidRPr="001C02A3">
        <w:t>…Foxtel acquired the rights to the Super Netball domestic competition as well as Diamonds internationals (excluding Netball World Cup matches) starting in 2022. These events are not listed events. Nonetheless, the terms of the arrangement include that Foxtel will transmit two Super Netball games each week as well as all finals and Diamonds international games for free on Kayo Freebies.</w:t>
      </w:r>
      <w:r w:rsidRPr="00A769B0">
        <w:rPr>
          <w:vertAlign w:val="superscript"/>
        </w:rPr>
        <w:footnoteReference w:id="76"/>
      </w:r>
    </w:p>
    <w:p w14:paraId="7A36C58E" w14:textId="0425F479" w:rsidR="00613725" w:rsidRDefault="00613725" w:rsidP="007C42BC">
      <w:pPr>
        <w:spacing w:before="400"/>
      </w:pPr>
      <w:r w:rsidRPr="00A769B0">
        <w:t>Foxtel indicated that the list should only capture events that are clearly nationally important and culturally significant.</w:t>
      </w:r>
      <w:r w:rsidRPr="00CD1F09">
        <w:rPr>
          <w:vertAlign w:val="superscript"/>
        </w:rPr>
        <w:footnoteReference w:id="77"/>
      </w:r>
      <w:r w:rsidRPr="00A769B0">
        <w:t xml:space="preserve"> In particular, Foxtel argued that events only televised in a single state, including some AFL matches, and home matches of the New Zealand Warriors in the NRL, do not meet the ‘national’ criteria.</w:t>
      </w:r>
      <w:r w:rsidRPr="00CD1F09">
        <w:rPr>
          <w:vertAlign w:val="superscript"/>
        </w:rPr>
        <w:footnoteReference w:id="78"/>
      </w:r>
      <w:r w:rsidRPr="00CD1F09">
        <w:rPr>
          <w:vertAlign w:val="superscript"/>
        </w:rPr>
        <w:t xml:space="preserve"> </w:t>
      </w:r>
    </w:p>
    <w:p w14:paraId="1DF20B29" w14:textId="7897661D" w:rsidR="00CA56FD" w:rsidRDefault="00CA56FD" w:rsidP="007C42BC">
      <w:pPr>
        <w:spacing w:after="120"/>
      </w:pPr>
      <w:bookmarkStart w:id="147" w:name="_Hlk140832074"/>
      <w:r>
        <w:t xml:space="preserve">Optus noted </w:t>
      </w:r>
      <w:r w:rsidR="009B47DE">
        <w:t xml:space="preserve">that </w:t>
      </w:r>
      <w:r>
        <w:t>sporting content, outside of live broadcasts</w:t>
      </w:r>
      <w:r w:rsidR="009B47DE">
        <w:t xml:space="preserve">, can be </w:t>
      </w:r>
      <w:r>
        <w:t xml:space="preserve">beneficial for </w:t>
      </w:r>
      <w:r w:rsidR="009B47DE">
        <w:t>sports</w:t>
      </w:r>
      <w:r>
        <w:t>.</w:t>
      </w:r>
    </w:p>
    <w:p w14:paraId="69A2F5A4" w14:textId="34D59B3C" w:rsidR="00CA56FD" w:rsidRDefault="00CA56FD" w:rsidP="00B935C2">
      <w:pPr>
        <w:pStyle w:val="Quote"/>
      </w:pPr>
      <w:r w:rsidRPr="00B935C2">
        <w:t>Streaming services also promote engagement with sports that may otherwise be unfamiliar to viewers. For example, 17% of sports watchers engage with new sports because of sports documentaries on such services (and this figure is higher for younger viewers). This increases a sports’ fanbase and promotes engagement with the sport.</w:t>
      </w:r>
      <w:r w:rsidR="00D23E5C" w:rsidRPr="00A769B0">
        <w:rPr>
          <w:vertAlign w:val="superscript"/>
        </w:rPr>
        <w:footnoteReference w:id="79"/>
      </w:r>
    </w:p>
    <w:p w14:paraId="01B12764" w14:textId="77777777" w:rsidR="00B7111C" w:rsidRPr="00B7111C" w:rsidDel="00FF1ED2" w:rsidRDefault="00B7111C" w:rsidP="00147450"/>
    <w:p w14:paraId="11B0E54B" w14:textId="77777777" w:rsidR="00CA56FD" w:rsidRPr="00CA56FD" w:rsidRDefault="00CA56FD" w:rsidP="00CA56FD">
      <w:pPr>
        <w:pStyle w:val="Heading3"/>
        <w:rPr>
          <w:sz w:val="28"/>
          <w:szCs w:val="28"/>
        </w:rPr>
      </w:pPr>
      <w:bookmarkStart w:id="148" w:name="_Toc140842898"/>
      <w:bookmarkEnd w:id="147"/>
      <w:r w:rsidRPr="00CA56FD">
        <w:rPr>
          <w:sz w:val="28"/>
          <w:szCs w:val="28"/>
        </w:rPr>
        <w:t>Paralympics</w:t>
      </w:r>
      <w:bookmarkEnd w:id="148"/>
    </w:p>
    <w:p w14:paraId="4A593A5F" w14:textId="63354DC9" w:rsidR="00F2384B" w:rsidRDefault="008058B7" w:rsidP="00495E31">
      <w:r>
        <w:t>An</w:t>
      </w:r>
      <w:r w:rsidR="00F41F21">
        <w:t xml:space="preserve">other area of growth in the Australian sporting landscape </w:t>
      </w:r>
      <w:r w:rsidR="0070417B">
        <w:t xml:space="preserve">is </w:t>
      </w:r>
      <w:r w:rsidR="00CA0C47">
        <w:t>P</w:t>
      </w:r>
      <w:r w:rsidR="0070417B">
        <w:t xml:space="preserve">ara-sport. </w:t>
      </w:r>
      <w:r w:rsidR="00495E31">
        <w:t>Unlike the Olympic</w:t>
      </w:r>
      <w:r w:rsidR="00F41F21">
        <w:t xml:space="preserve"> Games</w:t>
      </w:r>
      <w:r w:rsidR="00495E31">
        <w:t xml:space="preserve"> and Commonwealth Games, the Paralympics are not </w:t>
      </w:r>
      <w:r w:rsidR="00F2384B">
        <w:t>included in the current list.</w:t>
      </w:r>
    </w:p>
    <w:p w14:paraId="5C213D54" w14:textId="46883EF1" w:rsidR="00F30BE0" w:rsidRDefault="00F30BE0" w:rsidP="00C15344">
      <w:r>
        <w:t xml:space="preserve">While Australian </w:t>
      </w:r>
      <w:r w:rsidR="00CA0C47">
        <w:t>P</w:t>
      </w:r>
      <w:r>
        <w:t>ara-athletes have successfully competed in the Paralympics</w:t>
      </w:r>
      <w:r w:rsidR="00162D4A">
        <w:t xml:space="preserve"> and </w:t>
      </w:r>
      <w:r w:rsidR="000F61B5">
        <w:t>w</w:t>
      </w:r>
      <w:r w:rsidR="00162D4A">
        <w:t xml:space="preserve">orld </w:t>
      </w:r>
      <w:r w:rsidR="000F61B5">
        <w:t>c</w:t>
      </w:r>
      <w:r w:rsidR="00162D4A">
        <w:t>hampionships</w:t>
      </w:r>
      <w:r>
        <w:t xml:space="preserve"> for many decade</w:t>
      </w:r>
      <w:r w:rsidR="00F2384B">
        <w:t>s,</w:t>
      </w:r>
      <w:r>
        <w:t xml:space="preserve"> their efforts have </w:t>
      </w:r>
      <w:r w:rsidR="00F0202D">
        <w:t xml:space="preserve">historically received relatively modest reporting and </w:t>
      </w:r>
      <w:r>
        <w:t>televis</w:t>
      </w:r>
      <w:r w:rsidR="00F0202D">
        <w:t>ion coverage, particularly prior to the 2000 Summer Paralympics</w:t>
      </w:r>
      <w:r>
        <w:t xml:space="preserve">. </w:t>
      </w:r>
      <w:r w:rsidR="00F2384B">
        <w:t>In the initial phase of the review, s</w:t>
      </w:r>
      <w:r w:rsidR="00495E31">
        <w:t xml:space="preserve">ome stakeholders </w:t>
      </w:r>
      <w:r w:rsidR="00F2384B">
        <w:t>argued</w:t>
      </w:r>
      <w:r w:rsidR="00495E31">
        <w:t xml:space="preserve"> that the Paralympics should be added to the list to reflect Australia’s changing cultural priorities that increasingly value these events.</w:t>
      </w:r>
      <w:r w:rsidR="00495E31">
        <w:rPr>
          <w:rStyle w:val="FootnoteReference"/>
        </w:rPr>
        <w:footnoteReference w:id="80"/>
      </w:r>
    </w:p>
    <w:p w14:paraId="20D17EED" w14:textId="0EF5FD8D" w:rsidR="00FA4C8B" w:rsidRDefault="00ED5291">
      <w:r>
        <w:lastRenderedPageBreak/>
        <w:t>This year</w:t>
      </w:r>
      <w:r w:rsidR="00495E31">
        <w:t>,</w:t>
      </w:r>
      <w:r>
        <w:t xml:space="preserve"> Paralympics Australia announced that t</w:t>
      </w:r>
      <w:r w:rsidR="0058055C">
        <w:t>he Nine Entertainment Co.</w:t>
      </w:r>
      <w:r>
        <w:t xml:space="preserve"> would be the broadcasting partner for the </w:t>
      </w:r>
      <w:r w:rsidR="007F0882" w:rsidRPr="007F0882">
        <w:t xml:space="preserve">Para-Athletics World Championships </w:t>
      </w:r>
      <w:r>
        <w:t>in July 2023</w:t>
      </w:r>
      <w:r w:rsidR="007F0882">
        <w:rPr>
          <w:rStyle w:val="FootnoteReference"/>
        </w:rPr>
        <w:footnoteReference w:id="81"/>
      </w:r>
      <w:r>
        <w:t xml:space="preserve"> and the 2024 Paralympics.</w:t>
      </w:r>
      <w:r w:rsidRPr="007F0882">
        <w:rPr>
          <w:vertAlign w:val="superscript"/>
        </w:rPr>
        <w:footnoteReference w:id="82"/>
      </w:r>
      <w:r>
        <w:t xml:space="preserve"> </w:t>
      </w:r>
      <w:r w:rsidR="00DF465E">
        <w:t xml:space="preserve">Nine </w:t>
      </w:r>
      <w:r w:rsidR="00F2384B">
        <w:t>intends to</w:t>
      </w:r>
      <w:r w:rsidR="00DF465E">
        <w:t xml:space="preserve"> provide coverage of the event via </w:t>
      </w:r>
      <w:r w:rsidR="00F2384B">
        <w:t xml:space="preserve">its </w:t>
      </w:r>
      <w:r w:rsidR="00DF465E">
        <w:t>free-to-air broadcasting</w:t>
      </w:r>
      <w:r w:rsidR="00F2384B">
        <w:t xml:space="preserve"> services</w:t>
      </w:r>
      <w:r w:rsidR="00DF465E">
        <w:t>, its BVOD</w:t>
      </w:r>
      <w:r w:rsidR="00F2384B">
        <w:t xml:space="preserve"> services, as well as via </w:t>
      </w:r>
      <w:r w:rsidR="00DF465E">
        <w:t>subscription streaming service Stan</w:t>
      </w:r>
      <w:r w:rsidR="00F2384B">
        <w:t xml:space="preserve"> </w:t>
      </w:r>
      <w:r w:rsidR="00DF465E">
        <w:t xml:space="preserve">and </w:t>
      </w:r>
      <w:r w:rsidR="00F2384B">
        <w:t xml:space="preserve">commercial radio outlets. </w:t>
      </w:r>
      <w:r w:rsidR="007A4D5A">
        <w:t>Th</w:t>
      </w:r>
      <w:r w:rsidR="00F2384B">
        <w:t xml:space="preserve">is rights agreement demonstrates the extent to which the position of </w:t>
      </w:r>
      <w:r w:rsidR="00CA0C47">
        <w:t>P</w:t>
      </w:r>
      <w:r w:rsidR="00F2384B">
        <w:t>ara-sports is changing in the Australian media landscape.</w:t>
      </w:r>
    </w:p>
    <w:p w14:paraId="27BE40B8" w14:textId="1EF184DF" w:rsidR="000D4EAF" w:rsidRDefault="000E0A50">
      <w:pPr>
        <w:rPr>
          <w:rFonts w:asciiTheme="majorHAnsi" w:eastAsiaTheme="majorEastAsia" w:hAnsiTheme="majorHAnsi" w:cstheme="majorBidi"/>
          <w:color w:val="081E3E" w:themeColor="text2"/>
          <w:sz w:val="44"/>
          <w:szCs w:val="32"/>
        </w:rPr>
      </w:pPr>
      <w:r>
        <w:t xml:space="preserve">In light of the above, there is a reasonable case to consider the composition of the list with respect to women’s events and </w:t>
      </w:r>
      <w:r w:rsidR="00CA0C47">
        <w:t>P</w:t>
      </w:r>
      <w:r>
        <w:t xml:space="preserve">ara-sports. </w:t>
      </w:r>
      <w:r w:rsidR="007351A8">
        <w:t xml:space="preserve">Chapter 7 of this paper sets out three </w:t>
      </w:r>
      <w:r w:rsidR="00765DC0">
        <w:t xml:space="preserve">potential </w:t>
      </w:r>
      <w:r w:rsidR="007351A8">
        <w:t>list options that address these issues.</w:t>
      </w:r>
      <w:bookmarkStart w:id="149" w:name="_Toc140842902"/>
      <w:bookmarkStart w:id="150" w:name="_Hlk141176431"/>
      <w:bookmarkEnd w:id="122"/>
      <w:bookmarkEnd w:id="123"/>
      <w:bookmarkEnd w:id="124"/>
      <w:bookmarkEnd w:id="141"/>
      <w:r w:rsidR="000D4EAF">
        <w:br w:type="page"/>
      </w:r>
    </w:p>
    <w:p w14:paraId="48C59382" w14:textId="77777777" w:rsidR="008B0387" w:rsidRPr="00EB6AD5" w:rsidRDefault="00852DEE" w:rsidP="00852DEE">
      <w:pPr>
        <w:pStyle w:val="Heading1"/>
      </w:pPr>
      <w:bookmarkStart w:id="151" w:name="_Toc141369804"/>
      <w:bookmarkStart w:id="152" w:name="_Toc143265595"/>
      <w:r>
        <w:lastRenderedPageBreak/>
        <w:t xml:space="preserve">Chapter 6: </w:t>
      </w:r>
      <w:r w:rsidR="008D748B">
        <w:t>Potential models for r</w:t>
      </w:r>
      <w:r w:rsidR="008B0387" w:rsidRPr="00EB6AD5">
        <w:t>eform</w:t>
      </w:r>
      <w:r w:rsidR="008D748B">
        <w:t>ing</w:t>
      </w:r>
      <w:r w:rsidR="008B0387" w:rsidRPr="00EB6AD5">
        <w:t xml:space="preserve"> the </w:t>
      </w:r>
      <w:r w:rsidR="008D748B">
        <w:t>anti</w:t>
      </w:r>
      <w:r w:rsidR="008D748B">
        <w:noBreakHyphen/>
        <w:t xml:space="preserve">siphoning </w:t>
      </w:r>
      <w:r w:rsidR="008B0387" w:rsidRPr="00EB6AD5">
        <w:t>scheme</w:t>
      </w:r>
      <w:bookmarkEnd w:id="149"/>
      <w:bookmarkEnd w:id="151"/>
      <w:bookmarkEnd w:id="152"/>
    </w:p>
    <w:p w14:paraId="14E79ED4" w14:textId="32833328" w:rsidR="008501B0" w:rsidRDefault="003A2E0F" w:rsidP="00C46AC4">
      <w:bookmarkStart w:id="153" w:name="_Hlk139633704"/>
      <w:r w:rsidRPr="003A2E0F">
        <w:t xml:space="preserve">The anti-siphoning scheme </w:t>
      </w:r>
      <w:r w:rsidR="00860AAB">
        <w:t xml:space="preserve">currently </w:t>
      </w:r>
      <w:r w:rsidRPr="003A2E0F">
        <w:t xml:space="preserve">prevents subscription television broadcasting licensees from acquiring </w:t>
      </w:r>
      <w:r w:rsidR="00860AAB">
        <w:t xml:space="preserve">a right to televise an event </w:t>
      </w:r>
      <w:r w:rsidRPr="003A2E0F">
        <w:t>on the anti-siphoning list until a</w:t>
      </w:r>
      <w:r w:rsidR="00E016DC">
        <w:t xml:space="preserve"> free-to-air broadcaster has a </w:t>
      </w:r>
      <w:r w:rsidR="00213CB9">
        <w:t>r</w:t>
      </w:r>
      <w:r w:rsidRPr="003A2E0F">
        <w:t>ight to televise the event</w:t>
      </w:r>
      <w:r w:rsidR="00E016DC">
        <w:t>.</w:t>
      </w:r>
      <w:r w:rsidRPr="003A2E0F">
        <w:t xml:space="preserve"> </w:t>
      </w:r>
      <w:r w:rsidR="0061764C">
        <w:t xml:space="preserve">In practical terms, </w:t>
      </w:r>
      <w:r w:rsidR="00EC1CFD">
        <w:t xml:space="preserve">this provides </w:t>
      </w:r>
      <w:r w:rsidR="0061764C">
        <w:t xml:space="preserve">free-to-air broadcasters </w:t>
      </w:r>
      <w:r w:rsidR="00EC1CFD">
        <w:t>with</w:t>
      </w:r>
      <w:r w:rsidR="0061764C">
        <w:t xml:space="preserve"> the first opportunity to acquire </w:t>
      </w:r>
      <w:r w:rsidR="00EC1CFD">
        <w:t xml:space="preserve">the </w:t>
      </w:r>
      <w:r w:rsidR="0061764C">
        <w:t>broadcast rights to these events.</w:t>
      </w:r>
    </w:p>
    <w:p w14:paraId="5EB8B2B3" w14:textId="6E4E5EB2" w:rsidR="00C21ACB" w:rsidRDefault="00E016DC" w:rsidP="00C46AC4">
      <w:r>
        <w:t>However, the scheme p</w:t>
      </w:r>
      <w:r w:rsidR="003A2E0F" w:rsidRPr="003A2E0F">
        <w:t xml:space="preserve">laces no restrictions on the </w:t>
      </w:r>
      <w:r>
        <w:t>acquisition of online media rights</w:t>
      </w:r>
      <w:r w:rsidR="009646A6">
        <w:t xml:space="preserve">. As outlined in Chapter 5, </w:t>
      </w:r>
      <w:r w:rsidR="00E95717">
        <w:t xml:space="preserve">reforms are needed to </w:t>
      </w:r>
      <w:r w:rsidR="00213CB9">
        <w:t xml:space="preserve">modernise the scheme and </w:t>
      </w:r>
      <w:r w:rsidR="00F0202D">
        <w:t>increas</w:t>
      </w:r>
      <w:r w:rsidR="002E01E4">
        <w:t>e</w:t>
      </w:r>
      <w:r w:rsidR="00F0202D">
        <w:t xml:space="preserve"> the likelihood of free access to </w:t>
      </w:r>
      <w:r w:rsidR="005B207C">
        <w:t xml:space="preserve">televised </w:t>
      </w:r>
      <w:r w:rsidR="008C5583">
        <w:t xml:space="preserve">coverage </w:t>
      </w:r>
      <w:r w:rsidR="00F0202D">
        <w:t xml:space="preserve">of </w:t>
      </w:r>
      <w:r w:rsidR="008C5583">
        <w:t>nationally important and culturally significant events.</w:t>
      </w:r>
    </w:p>
    <w:p w14:paraId="6EAC5A03" w14:textId="4F93B259" w:rsidR="00213CB9" w:rsidRPr="00BB26E4" w:rsidRDefault="008D748B" w:rsidP="00BB26E4">
      <w:pPr>
        <w:pStyle w:val="Introduction"/>
        <w:rPr>
          <w:color w:val="000000" w:themeColor="text1"/>
          <w:sz w:val="22"/>
          <w:lang w:val="en-AU"/>
        </w:rPr>
      </w:pPr>
      <w:r w:rsidRPr="00E275CB">
        <w:rPr>
          <w:color w:val="000000" w:themeColor="text1"/>
          <w:sz w:val="22"/>
          <w:lang w:val="en-AU"/>
        </w:rPr>
        <w:t xml:space="preserve">This chapter sets out three models to </w:t>
      </w:r>
      <w:r w:rsidR="002E01E4">
        <w:rPr>
          <w:color w:val="000000" w:themeColor="text1"/>
          <w:sz w:val="22"/>
          <w:lang w:val="en-AU"/>
        </w:rPr>
        <w:t xml:space="preserve">support the achievement of </w:t>
      </w:r>
      <w:r w:rsidR="00C21ACB">
        <w:rPr>
          <w:color w:val="000000" w:themeColor="text1"/>
          <w:sz w:val="22"/>
          <w:lang w:val="en-AU"/>
        </w:rPr>
        <w:t>th</w:t>
      </w:r>
      <w:r w:rsidR="002E01E4">
        <w:rPr>
          <w:color w:val="000000" w:themeColor="text1"/>
          <w:sz w:val="22"/>
          <w:lang w:val="en-AU"/>
        </w:rPr>
        <w:t>is</w:t>
      </w:r>
      <w:r w:rsidR="00C21ACB">
        <w:rPr>
          <w:color w:val="000000" w:themeColor="text1"/>
          <w:sz w:val="22"/>
          <w:lang w:val="en-AU"/>
        </w:rPr>
        <w:t xml:space="preserve"> </w:t>
      </w:r>
      <w:r w:rsidR="008946E3">
        <w:rPr>
          <w:color w:val="000000" w:themeColor="text1"/>
          <w:sz w:val="22"/>
          <w:lang w:val="en-AU"/>
        </w:rPr>
        <w:t>objective</w:t>
      </w:r>
      <w:r w:rsidRPr="00E275CB">
        <w:rPr>
          <w:color w:val="000000" w:themeColor="text1"/>
          <w:sz w:val="22"/>
          <w:lang w:val="en-AU"/>
        </w:rPr>
        <w:t xml:space="preserve">. </w:t>
      </w:r>
      <w:r w:rsidR="00213CB9">
        <w:rPr>
          <w:color w:val="000000" w:themeColor="text1"/>
          <w:sz w:val="22"/>
          <w:lang w:val="en-AU"/>
        </w:rPr>
        <w:t xml:space="preserve">These are summarised in Table </w:t>
      </w:r>
      <w:r w:rsidR="00F451EA">
        <w:rPr>
          <w:color w:val="000000" w:themeColor="text1"/>
          <w:sz w:val="22"/>
          <w:lang w:val="en-AU"/>
        </w:rPr>
        <w:t>4</w:t>
      </w:r>
      <w:r w:rsidR="00213CB9">
        <w:rPr>
          <w:color w:val="000000" w:themeColor="text1"/>
          <w:sz w:val="22"/>
          <w:lang w:val="en-AU"/>
        </w:rPr>
        <w:t xml:space="preserve"> and described in the sections that follow. The primary focus of each model is the extension of the scheme to cover online media rights. However, the mechanisms proposed to achieve this extension differ significantly between the models. The development </w:t>
      </w:r>
      <w:r w:rsidR="00E8568C">
        <w:rPr>
          <w:color w:val="000000" w:themeColor="text1"/>
          <w:sz w:val="22"/>
          <w:lang w:val="en-AU"/>
        </w:rPr>
        <w:t xml:space="preserve">of </w:t>
      </w:r>
      <w:r w:rsidR="00213CB9">
        <w:rPr>
          <w:color w:val="000000" w:themeColor="text1"/>
          <w:sz w:val="22"/>
          <w:lang w:val="en-AU"/>
        </w:rPr>
        <w:t xml:space="preserve">these models has been informed by </w:t>
      </w:r>
      <w:r w:rsidR="002E01E4">
        <w:rPr>
          <w:color w:val="000000" w:themeColor="text1"/>
          <w:sz w:val="22"/>
          <w:lang w:val="en-AU"/>
        </w:rPr>
        <w:t xml:space="preserve">proposals put forward by stakeholders in the </w:t>
      </w:r>
      <w:r w:rsidR="00213CB9">
        <w:rPr>
          <w:color w:val="000000" w:themeColor="text1"/>
          <w:sz w:val="22"/>
          <w:lang w:val="en-AU"/>
        </w:rPr>
        <w:t>preceding consultation process</w:t>
      </w:r>
      <w:r w:rsidR="002E01E4">
        <w:rPr>
          <w:color w:val="000000" w:themeColor="text1"/>
          <w:sz w:val="22"/>
          <w:lang w:val="en-AU"/>
        </w:rPr>
        <w:t>.</w:t>
      </w:r>
    </w:p>
    <w:p w14:paraId="34760696" w14:textId="77777777" w:rsidR="00213CB9" w:rsidRDefault="00213CB9" w:rsidP="00213CB9">
      <w:r>
        <w:t xml:space="preserve">Pending the outcomes of this consultation, the Government’s preferred model is the </w:t>
      </w:r>
      <w:r w:rsidRPr="00E275CB">
        <w:t>‘</w:t>
      </w:r>
      <w:r>
        <w:t>b</w:t>
      </w:r>
      <w:r w:rsidRPr="00E275CB">
        <w:t xml:space="preserve">roadcasting </w:t>
      </w:r>
      <w:r>
        <w:t>s</w:t>
      </w:r>
      <w:r w:rsidRPr="00E275CB">
        <w:t>afety</w:t>
      </w:r>
      <w:r w:rsidR="00890861">
        <w:t xml:space="preserve"> </w:t>
      </w:r>
      <w:r w:rsidRPr="00E275CB">
        <w:t>net’.</w:t>
      </w:r>
    </w:p>
    <w:p w14:paraId="2EE78674" w14:textId="7207D4E2" w:rsidR="00213CB9" w:rsidRPr="00B61C3D" w:rsidRDefault="00213CB9" w:rsidP="00FC7446">
      <w:pPr>
        <w:pStyle w:val="Caption"/>
      </w:pPr>
      <w:bookmarkStart w:id="154" w:name="_Toc143250748"/>
      <w:r w:rsidRPr="00B61C3D">
        <w:t xml:space="preserve">Table </w:t>
      </w:r>
      <w:r w:rsidR="00F451EA" w:rsidRPr="00F451EA">
        <w:t>4</w:t>
      </w:r>
      <w:r w:rsidRPr="00F451EA">
        <w:t xml:space="preserve">: Summary of </w:t>
      </w:r>
      <w:r>
        <w:rPr>
          <w:b w:val="0"/>
        </w:rPr>
        <w:t>models</w:t>
      </w:r>
      <w:r w:rsidRPr="00B61C3D">
        <w:rPr>
          <w:b w:val="0"/>
        </w:rPr>
        <w:t xml:space="preserve"> to reform the anti-siphoning scheme</w:t>
      </w:r>
      <w:bookmarkEnd w:id="154"/>
    </w:p>
    <w:tbl>
      <w:tblPr>
        <w:tblStyle w:val="DefaultTable1"/>
        <w:tblpPr w:leftFromText="180" w:rightFromText="180" w:vertAnchor="text" w:tblpY="1"/>
        <w:tblOverlap w:val="never"/>
        <w:tblW w:w="4958" w:type="pct"/>
        <w:tblLook w:val="04A0" w:firstRow="1" w:lastRow="0" w:firstColumn="1" w:lastColumn="0" w:noHBand="0" w:noVBand="1"/>
        <w:tblCaption w:val="Sample table"/>
        <w:tblDescription w:val="Sample table"/>
      </w:tblPr>
      <w:tblGrid>
        <w:gridCol w:w="1943"/>
        <w:gridCol w:w="2310"/>
        <w:gridCol w:w="2553"/>
        <w:gridCol w:w="2975"/>
      </w:tblGrid>
      <w:tr w:rsidR="00213CB9" w:rsidRPr="00F45796" w14:paraId="0996E1DA" w14:textId="77777777" w:rsidTr="0061764C">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93" w:type="pct"/>
            <w:tcBorders>
              <w:bottom w:val="single" w:sz="4" w:space="0" w:color="008089" w:themeColor="accent2"/>
            </w:tcBorders>
            <w:vAlign w:val="center"/>
          </w:tcPr>
          <w:p w14:paraId="031DE171" w14:textId="77777777" w:rsidR="00213CB9" w:rsidRPr="00F45796" w:rsidRDefault="00213CB9" w:rsidP="001A7E26">
            <w:pPr>
              <w:spacing w:before="40" w:after="40"/>
              <w:rPr>
                <w:sz w:val="20"/>
                <w:szCs w:val="20"/>
              </w:rPr>
            </w:pPr>
          </w:p>
        </w:tc>
        <w:tc>
          <w:tcPr>
            <w:tcW w:w="1181" w:type="pct"/>
            <w:tcBorders>
              <w:bottom w:val="single" w:sz="4" w:space="0" w:color="008089" w:themeColor="accent2"/>
            </w:tcBorders>
            <w:vAlign w:val="center"/>
          </w:tcPr>
          <w:p w14:paraId="2C5E629A" w14:textId="77777777" w:rsidR="00213CB9" w:rsidRPr="00F45796" w:rsidRDefault="00213CB9" w:rsidP="00601CFD">
            <w:pPr>
              <w:pStyle w:val="ListParagraph"/>
              <w:numPr>
                <w:ilvl w:val="0"/>
                <w:numId w:val="14"/>
              </w:numPr>
              <w:spacing w:before="40" w:after="40"/>
              <w:ind w:left="213" w:hanging="213"/>
              <w:contextualSpacing w:val="0"/>
              <w:cnfStyle w:val="100000000000" w:firstRow="1" w:lastRow="0" w:firstColumn="0" w:lastColumn="0" w:oddVBand="0" w:evenVBand="0" w:oddHBand="0" w:evenHBand="0" w:firstRowFirstColumn="0" w:firstRowLastColumn="0" w:lastRowFirstColumn="0" w:lastRowLastColumn="0"/>
              <w:rPr>
                <w:sz w:val="20"/>
                <w:szCs w:val="20"/>
              </w:rPr>
            </w:pPr>
            <w:r w:rsidRPr="00F45796">
              <w:rPr>
                <w:sz w:val="20"/>
                <w:szCs w:val="20"/>
              </w:rPr>
              <w:t>Free</w:t>
            </w:r>
            <w:r w:rsidRPr="00EE40A1">
              <w:rPr>
                <w:sz w:val="20"/>
                <w:szCs w:val="20"/>
              </w:rPr>
              <w:t>-</w:t>
            </w:r>
            <w:r w:rsidRPr="00F45796">
              <w:rPr>
                <w:sz w:val="20"/>
                <w:szCs w:val="20"/>
              </w:rPr>
              <w:t>to</w:t>
            </w:r>
            <w:r w:rsidRPr="00EE40A1">
              <w:rPr>
                <w:sz w:val="20"/>
                <w:szCs w:val="20"/>
              </w:rPr>
              <w:t>-</w:t>
            </w:r>
            <w:r w:rsidRPr="00F45796">
              <w:rPr>
                <w:sz w:val="20"/>
                <w:szCs w:val="20"/>
              </w:rPr>
              <w:t>view</w:t>
            </w:r>
          </w:p>
        </w:tc>
        <w:tc>
          <w:tcPr>
            <w:tcW w:w="1305" w:type="pct"/>
            <w:tcBorders>
              <w:bottom w:val="single" w:sz="4" w:space="0" w:color="008089" w:themeColor="accent2"/>
            </w:tcBorders>
            <w:vAlign w:val="center"/>
          </w:tcPr>
          <w:p w14:paraId="3BF96A6A" w14:textId="77777777" w:rsidR="00213CB9" w:rsidRPr="000C1CBF" w:rsidRDefault="00213CB9" w:rsidP="00601CFD">
            <w:pPr>
              <w:pStyle w:val="ListParagraph"/>
              <w:numPr>
                <w:ilvl w:val="0"/>
                <w:numId w:val="14"/>
              </w:numPr>
              <w:spacing w:before="40" w:after="40"/>
              <w:ind w:left="294" w:hanging="283"/>
              <w:contextualSpacing w:val="0"/>
              <w:cnfStyle w:val="100000000000" w:firstRow="1" w:lastRow="0" w:firstColumn="0" w:lastColumn="0" w:oddVBand="0" w:evenVBand="0" w:oddHBand="0" w:evenHBand="0" w:firstRowFirstColumn="0" w:firstRowLastColumn="0" w:lastRowFirstColumn="0" w:lastRowLastColumn="0"/>
              <w:rPr>
                <w:sz w:val="20"/>
                <w:szCs w:val="20"/>
              </w:rPr>
            </w:pPr>
            <w:r w:rsidRPr="000C1CBF">
              <w:rPr>
                <w:sz w:val="20"/>
                <w:szCs w:val="20"/>
              </w:rPr>
              <w:t>Broadcasting safety</w:t>
            </w:r>
            <w:r w:rsidR="00890861">
              <w:rPr>
                <w:sz w:val="20"/>
                <w:szCs w:val="20"/>
              </w:rPr>
              <w:t xml:space="preserve"> </w:t>
            </w:r>
            <w:r w:rsidRPr="000C1CBF">
              <w:rPr>
                <w:sz w:val="20"/>
                <w:szCs w:val="20"/>
              </w:rPr>
              <w:t>net</w:t>
            </w:r>
          </w:p>
        </w:tc>
        <w:tc>
          <w:tcPr>
            <w:tcW w:w="1522" w:type="pct"/>
            <w:tcBorders>
              <w:bottom w:val="single" w:sz="4" w:space="0" w:color="008089" w:themeColor="accent2"/>
            </w:tcBorders>
            <w:vAlign w:val="center"/>
          </w:tcPr>
          <w:p w14:paraId="6A744563" w14:textId="77777777" w:rsidR="00213CB9" w:rsidRPr="00F45796" w:rsidRDefault="00213CB9" w:rsidP="00601CFD">
            <w:pPr>
              <w:pStyle w:val="ListParagraph"/>
              <w:numPr>
                <w:ilvl w:val="0"/>
                <w:numId w:val="14"/>
              </w:numPr>
              <w:spacing w:before="40" w:after="40"/>
              <w:ind w:left="232" w:hanging="283"/>
              <w:contextualSpacing w:val="0"/>
              <w:cnfStyle w:val="100000000000" w:firstRow="1" w:lastRow="0" w:firstColumn="0" w:lastColumn="0" w:oddVBand="0" w:evenVBand="0" w:oddHBand="0" w:evenHBand="0" w:firstRowFirstColumn="0" w:firstRowLastColumn="0" w:lastRowFirstColumn="0" w:lastRowLastColumn="0"/>
              <w:rPr>
                <w:sz w:val="20"/>
                <w:szCs w:val="20"/>
              </w:rPr>
            </w:pPr>
            <w:r w:rsidRPr="000C1CBF">
              <w:rPr>
                <w:sz w:val="20"/>
                <w:szCs w:val="20"/>
              </w:rPr>
              <w:t xml:space="preserve">Free-to-air first  </w:t>
            </w:r>
          </w:p>
        </w:tc>
      </w:tr>
      <w:tr w:rsidR="00213CB9" w:rsidRPr="00F45796" w14:paraId="623DDCBD" w14:textId="77777777" w:rsidTr="00BB26E4">
        <w:tc>
          <w:tcPr>
            <w:cnfStyle w:val="001000000000" w:firstRow="0" w:lastRow="0" w:firstColumn="1" w:lastColumn="0" w:oddVBand="0" w:evenVBand="0" w:oddHBand="0" w:evenHBand="0" w:firstRowFirstColumn="0" w:firstRowLastColumn="0" w:lastRowFirstColumn="0" w:lastRowLastColumn="0"/>
            <w:tcW w:w="993" w:type="pct"/>
          </w:tcPr>
          <w:p w14:paraId="7C631779" w14:textId="77777777" w:rsidR="00213CB9" w:rsidRPr="00F45796" w:rsidRDefault="00213CB9" w:rsidP="001A7E26">
            <w:pPr>
              <w:spacing w:before="40" w:after="40"/>
              <w:rPr>
                <w:sz w:val="20"/>
                <w:szCs w:val="20"/>
              </w:rPr>
            </w:pPr>
            <w:r>
              <w:rPr>
                <w:sz w:val="20"/>
                <w:szCs w:val="20"/>
              </w:rPr>
              <w:t>Summary</w:t>
            </w:r>
          </w:p>
        </w:tc>
        <w:tc>
          <w:tcPr>
            <w:tcW w:w="1181" w:type="pct"/>
          </w:tcPr>
          <w:p w14:paraId="00886E67" w14:textId="702DD885" w:rsidR="00213CB9" w:rsidRPr="00213CB9" w:rsidRDefault="00213CB9" w:rsidP="001A7E26">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A new scheme (to replace the current scheme) that would impose availability and coverage obligations on all content services (online, broadcast or any other media service) that provide coverage of iconic sporting events to Australian audiences.</w:t>
            </w:r>
          </w:p>
        </w:tc>
        <w:tc>
          <w:tcPr>
            <w:tcW w:w="1305" w:type="pct"/>
          </w:tcPr>
          <w:p w14:paraId="0D001932" w14:textId="12389EA8" w:rsidR="00213CB9" w:rsidRPr="00213CB9" w:rsidRDefault="00213CB9" w:rsidP="001A7E26">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An extension of the current scheme to prevent the acquisition of a</w:t>
            </w:r>
            <w:r w:rsidR="006D6C72">
              <w:rPr>
                <w:sz w:val="20"/>
                <w:szCs w:val="20"/>
              </w:rPr>
              <w:t>ny type of</w:t>
            </w:r>
            <w:r w:rsidRPr="00213CB9">
              <w:rPr>
                <w:sz w:val="20"/>
                <w:szCs w:val="20"/>
              </w:rPr>
              <w:t xml:space="preserve"> right to provide coverage of an iconic sporting event to Australians by a content service </w:t>
            </w:r>
            <w:r w:rsidR="008E3EE1">
              <w:rPr>
                <w:sz w:val="20"/>
                <w:szCs w:val="20"/>
              </w:rPr>
              <w:t xml:space="preserve">provider </w:t>
            </w:r>
            <w:r w:rsidRPr="00213CB9">
              <w:rPr>
                <w:sz w:val="20"/>
                <w:szCs w:val="20"/>
              </w:rPr>
              <w:t>until a free-to-air broadcaster has acquired a right to televise the event on a broadcasting service</w:t>
            </w:r>
            <w:r w:rsidR="008501B0">
              <w:rPr>
                <w:sz w:val="20"/>
                <w:szCs w:val="20"/>
              </w:rPr>
              <w:t>, or the events is automatically delisted</w:t>
            </w:r>
            <w:r w:rsidRPr="00213CB9">
              <w:rPr>
                <w:sz w:val="20"/>
                <w:szCs w:val="20"/>
              </w:rPr>
              <w:t>.</w:t>
            </w:r>
            <w:r w:rsidR="008501B0">
              <w:rPr>
                <w:rStyle w:val="FootnoteReference"/>
                <w:sz w:val="20"/>
                <w:szCs w:val="20"/>
              </w:rPr>
              <w:footnoteReference w:id="83"/>
            </w:r>
          </w:p>
        </w:tc>
        <w:tc>
          <w:tcPr>
            <w:tcW w:w="1522" w:type="pct"/>
          </w:tcPr>
          <w:p w14:paraId="57D35A59" w14:textId="7D79C6E1" w:rsidR="00213CB9" w:rsidRPr="00213CB9" w:rsidRDefault="00213CB9" w:rsidP="001A7E26">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A significant extension of the current scheme to prevent the acquisition of a right to provide coverage of an iconic sporting event to Australians by a content service</w:t>
            </w:r>
            <w:r w:rsidR="008E3EE1">
              <w:rPr>
                <w:sz w:val="20"/>
                <w:szCs w:val="20"/>
              </w:rPr>
              <w:t xml:space="preserve"> provider</w:t>
            </w:r>
            <w:r w:rsidRPr="00213CB9">
              <w:rPr>
                <w:sz w:val="20"/>
                <w:szCs w:val="20"/>
              </w:rPr>
              <w:t xml:space="preserve"> until a free-to-air broadcaster has acquired both a right to televise the event on a broadcasting service </w:t>
            </w:r>
            <w:r w:rsidRPr="00213CB9">
              <w:rPr>
                <w:sz w:val="20"/>
                <w:szCs w:val="20"/>
                <w:u w:val="single"/>
              </w:rPr>
              <w:t>and</w:t>
            </w:r>
            <w:r w:rsidRPr="00213CB9">
              <w:rPr>
                <w:sz w:val="20"/>
                <w:szCs w:val="20"/>
              </w:rPr>
              <w:t xml:space="preserve"> a right to provide coverage of the event on a</w:t>
            </w:r>
            <w:r w:rsidR="006D6C72">
              <w:rPr>
                <w:sz w:val="20"/>
                <w:szCs w:val="20"/>
              </w:rPr>
              <w:t>n online</w:t>
            </w:r>
            <w:r w:rsidRPr="00213CB9">
              <w:rPr>
                <w:sz w:val="20"/>
                <w:szCs w:val="20"/>
              </w:rPr>
              <w:t xml:space="preserve"> content service</w:t>
            </w:r>
            <w:r w:rsidR="008501B0">
              <w:rPr>
                <w:sz w:val="20"/>
                <w:szCs w:val="20"/>
              </w:rPr>
              <w:t>, or the event is automatically delisted</w:t>
            </w:r>
            <w:r w:rsidRPr="00213CB9">
              <w:rPr>
                <w:sz w:val="20"/>
                <w:szCs w:val="20"/>
              </w:rPr>
              <w:t>.</w:t>
            </w:r>
            <w:r w:rsidR="008501B0">
              <w:rPr>
                <w:rStyle w:val="FootnoteReference"/>
                <w:sz w:val="20"/>
                <w:szCs w:val="20"/>
              </w:rPr>
              <w:footnoteReference w:id="84"/>
            </w:r>
          </w:p>
        </w:tc>
      </w:tr>
      <w:tr w:rsidR="00213CB9" w:rsidRPr="00F45796" w14:paraId="19478A9A" w14:textId="77777777" w:rsidTr="00BB2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pct"/>
          </w:tcPr>
          <w:p w14:paraId="7A4A1D11" w14:textId="06A2AEE4" w:rsidR="00213CB9" w:rsidRDefault="00213CB9" w:rsidP="001A7E26">
            <w:pPr>
              <w:spacing w:before="40" w:after="40"/>
              <w:rPr>
                <w:sz w:val="20"/>
                <w:szCs w:val="20"/>
              </w:rPr>
            </w:pPr>
            <w:r>
              <w:rPr>
                <w:sz w:val="20"/>
                <w:szCs w:val="20"/>
              </w:rPr>
              <w:t>Restriction on rights acquisition?</w:t>
            </w:r>
          </w:p>
        </w:tc>
        <w:tc>
          <w:tcPr>
            <w:tcW w:w="1181" w:type="pct"/>
          </w:tcPr>
          <w:p w14:paraId="084A1049" w14:textId="43CFA7F7" w:rsidR="00213CB9" w:rsidRDefault="00213CB9" w:rsidP="001A7E26">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w:t>
            </w:r>
          </w:p>
        </w:tc>
        <w:tc>
          <w:tcPr>
            <w:tcW w:w="1305" w:type="pct"/>
          </w:tcPr>
          <w:p w14:paraId="1C5F84C8" w14:textId="2A1C0A91" w:rsidR="00213CB9" w:rsidRPr="00216AEA" w:rsidRDefault="00213CB9" w:rsidP="001A7E26">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216AEA">
              <w:rPr>
                <w:sz w:val="20"/>
                <w:szCs w:val="20"/>
              </w:rPr>
              <w:t>Yes</w:t>
            </w:r>
          </w:p>
        </w:tc>
        <w:tc>
          <w:tcPr>
            <w:tcW w:w="1522" w:type="pct"/>
          </w:tcPr>
          <w:p w14:paraId="1775B258" w14:textId="10CE16D3" w:rsidR="00213CB9" w:rsidRPr="00216AEA" w:rsidRDefault="00213CB9" w:rsidP="001A7E26">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216AEA">
              <w:rPr>
                <w:sz w:val="20"/>
                <w:szCs w:val="20"/>
              </w:rPr>
              <w:t>Yes</w:t>
            </w:r>
          </w:p>
        </w:tc>
      </w:tr>
      <w:tr w:rsidR="00213CB9" w:rsidRPr="00F45796" w14:paraId="26C7B11A" w14:textId="77777777" w:rsidTr="00BB26E4">
        <w:tc>
          <w:tcPr>
            <w:cnfStyle w:val="001000000000" w:firstRow="0" w:lastRow="0" w:firstColumn="1" w:lastColumn="0" w:oddVBand="0" w:evenVBand="0" w:oddHBand="0" w:evenHBand="0" w:firstRowFirstColumn="0" w:firstRowLastColumn="0" w:lastRowFirstColumn="0" w:lastRowLastColumn="0"/>
            <w:tcW w:w="993" w:type="pct"/>
          </w:tcPr>
          <w:p w14:paraId="689CE500" w14:textId="4D4E4E54" w:rsidR="00213CB9" w:rsidRDefault="00213CB9" w:rsidP="001A7E26">
            <w:pPr>
              <w:spacing w:before="40" w:after="40"/>
              <w:rPr>
                <w:sz w:val="20"/>
                <w:szCs w:val="20"/>
              </w:rPr>
            </w:pPr>
            <w:r>
              <w:rPr>
                <w:sz w:val="20"/>
                <w:szCs w:val="20"/>
              </w:rPr>
              <w:t>Availability obligation?</w:t>
            </w:r>
          </w:p>
        </w:tc>
        <w:tc>
          <w:tcPr>
            <w:tcW w:w="1181" w:type="pct"/>
          </w:tcPr>
          <w:p w14:paraId="660A0D89" w14:textId="77777777" w:rsidR="00213CB9" w:rsidRPr="00F45796" w:rsidRDefault="00213CB9" w:rsidP="001A7E26">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c>
          <w:tcPr>
            <w:tcW w:w="1305" w:type="pct"/>
          </w:tcPr>
          <w:p w14:paraId="2AB62720" w14:textId="77777777" w:rsidR="00213CB9" w:rsidRDefault="00213CB9" w:rsidP="001A7E26">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522" w:type="pct"/>
          </w:tcPr>
          <w:p w14:paraId="2907AEBF" w14:textId="77777777" w:rsidR="00213CB9" w:rsidRDefault="00213CB9" w:rsidP="001A7E26">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r>
      <w:tr w:rsidR="00213CB9" w:rsidRPr="00F45796" w14:paraId="4E504E5C" w14:textId="77777777" w:rsidTr="00BB2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pct"/>
          </w:tcPr>
          <w:p w14:paraId="55E1F282" w14:textId="77777777" w:rsidR="00213CB9" w:rsidRPr="00F45796" w:rsidRDefault="00213CB9" w:rsidP="001A7E26">
            <w:pPr>
              <w:spacing w:before="40" w:after="40"/>
              <w:rPr>
                <w:sz w:val="20"/>
                <w:szCs w:val="20"/>
              </w:rPr>
            </w:pPr>
            <w:r>
              <w:rPr>
                <w:sz w:val="20"/>
                <w:szCs w:val="20"/>
              </w:rPr>
              <w:t>C</w:t>
            </w:r>
            <w:r w:rsidRPr="00F45796">
              <w:rPr>
                <w:sz w:val="20"/>
                <w:szCs w:val="20"/>
              </w:rPr>
              <w:t xml:space="preserve">overage </w:t>
            </w:r>
            <w:r>
              <w:rPr>
                <w:sz w:val="20"/>
                <w:szCs w:val="20"/>
              </w:rPr>
              <w:t>obligation?</w:t>
            </w:r>
          </w:p>
        </w:tc>
        <w:tc>
          <w:tcPr>
            <w:tcW w:w="1181" w:type="pct"/>
          </w:tcPr>
          <w:p w14:paraId="58214AAE" w14:textId="77777777" w:rsidR="00213CB9" w:rsidRPr="00F45796" w:rsidRDefault="00213CB9" w:rsidP="001A7E26">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F45796">
              <w:rPr>
                <w:sz w:val="20"/>
                <w:szCs w:val="20"/>
              </w:rPr>
              <w:t>Yes</w:t>
            </w:r>
          </w:p>
        </w:tc>
        <w:tc>
          <w:tcPr>
            <w:tcW w:w="1305" w:type="pct"/>
          </w:tcPr>
          <w:p w14:paraId="103ACCCE" w14:textId="77777777" w:rsidR="00213CB9" w:rsidRDefault="00213CB9" w:rsidP="001A7E26">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w:t>
            </w:r>
          </w:p>
        </w:tc>
        <w:tc>
          <w:tcPr>
            <w:tcW w:w="1522" w:type="pct"/>
          </w:tcPr>
          <w:p w14:paraId="3ACFBB46" w14:textId="77777777" w:rsidR="00213CB9" w:rsidRPr="00F45796" w:rsidRDefault="00213CB9" w:rsidP="001A7E26">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w:t>
            </w:r>
          </w:p>
        </w:tc>
      </w:tr>
      <w:tr w:rsidR="00213CB9" w:rsidRPr="00F45796" w14:paraId="129852AC" w14:textId="77777777" w:rsidTr="00BB26E4">
        <w:tc>
          <w:tcPr>
            <w:cnfStyle w:val="001000000000" w:firstRow="0" w:lastRow="0" w:firstColumn="1" w:lastColumn="0" w:oddVBand="0" w:evenVBand="0" w:oddHBand="0" w:evenHBand="0" w:firstRowFirstColumn="0" w:firstRowLastColumn="0" w:lastRowFirstColumn="0" w:lastRowLastColumn="0"/>
            <w:tcW w:w="993" w:type="pct"/>
          </w:tcPr>
          <w:p w14:paraId="79DB08C5" w14:textId="501FD6C3" w:rsidR="00213CB9" w:rsidRPr="00F45796" w:rsidRDefault="00213CB9" w:rsidP="001A7E26">
            <w:pPr>
              <w:spacing w:before="40" w:after="40"/>
              <w:rPr>
                <w:sz w:val="20"/>
                <w:szCs w:val="20"/>
              </w:rPr>
            </w:pPr>
            <w:r>
              <w:rPr>
                <w:sz w:val="20"/>
                <w:szCs w:val="20"/>
              </w:rPr>
              <w:t>Reduction of the</w:t>
            </w:r>
            <w:r w:rsidRPr="00F45796">
              <w:rPr>
                <w:sz w:val="20"/>
                <w:szCs w:val="20"/>
              </w:rPr>
              <w:t xml:space="preserve"> list?</w:t>
            </w:r>
          </w:p>
        </w:tc>
        <w:tc>
          <w:tcPr>
            <w:tcW w:w="1181" w:type="pct"/>
          </w:tcPr>
          <w:p w14:paraId="62EC563D" w14:textId="77777777" w:rsidR="00213CB9" w:rsidRPr="00F45796" w:rsidRDefault="00213CB9" w:rsidP="001A7E26">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5796">
              <w:rPr>
                <w:sz w:val="20"/>
                <w:szCs w:val="20"/>
              </w:rPr>
              <w:t>Yes</w:t>
            </w:r>
          </w:p>
        </w:tc>
        <w:tc>
          <w:tcPr>
            <w:tcW w:w="1305" w:type="pct"/>
          </w:tcPr>
          <w:p w14:paraId="1FB558EC" w14:textId="77777777" w:rsidR="00213CB9" w:rsidRDefault="00213CB9" w:rsidP="001A7E26">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522" w:type="pct"/>
          </w:tcPr>
          <w:p w14:paraId="0B212BC1" w14:textId="77777777" w:rsidR="00213CB9" w:rsidRPr="00F45796" w:rsidRDefault="00213CB9" w:rsidP="001A7E26">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r>
    </w:tbl>
    <w:p w14:paraId="78A855DD" w14:textId="707EE668" w:rsidR="009B78F8" w:rsidRDefault="00860AAB" w:rsidP="008E3EE1">
      <w:pPr>
        <w:pStyle w:val="Introduction"/>
        <w:rPr>
          <w:rFonts w:asciiTheme="majorHAnsi" w:eastAsiaTheme="majorEastAsia" w:hAnsiTheme="majorHAnsi" w:cstheme="majorBidi"/>
          <w:b/>
          <w:color w:val="6D7989" w:themeColor="accent4" w:themeShade="BF"/>
          <w:sz w:val="36"/>
          <w:szCs w:val="26"/>
        </w:rPr>
      </w:pPr>
      <w:r>
        <w:rPr>
          <w:color w:val="000000" w:themeColor="text1"/>
          <w:sz w:val="22"/>
          <w:lang w:val="en-AU"/>
        </w:rPr>
        <w:t xml:space="preserve">Reforms </w:t>
      </w:r>
      <w:r w:rsidR="006D6C72">
        <w:rPr>
          <w:color w:val="000000" w:themeColor="text1"/>
          <w:sz w:val="22"/>
          <w:lang w:val="en-AU"/>
        </w:rPr>
        <w:t xml:space="preserve">to </w:t>
      </w:r>
      <w:r>
        <w:rPr>
          <w:color w:val="000000" w:themeColor="text1"/>
          <w:sz w:val="22"/>
          <w:lang w:val="en-AU"/>
        </w:rPr>
        <w:t xml:space="preserve">the scheme cannot be considered in isolation from the questions of the </w:t>
      </w:r>
      <w:r w:rsidR="00B2533E">
        <w:rPr>
          <w:color w:val="000000" w:themeColor="text1"/>
          <w:sz w:val="22"/>
          <w:lang w:val="en-AU"/>
        </w:rPr>
        <w:t>composition of the anti</w:t>
      </w:r>
      <w:r w:rsidR="006E7C1B">
        <w:rPr>
          <w:color w:val="000000" w:themeColor="text1"/>
          <w:sz w:val="22"/>
          <w:lang w:val="en-AU"/>
        </w:rPr>
        <w:noBreakHyphen/>
      </w:r>
      <w:r w:rsidR="00B2533E">
        <w:rPr>
          <w:color w:val="000000" w:themeColor="text1"/>
          <w:sz w:val="22"/>
          <w:lang w:val="en-AU"/>
        </w:rPr>
        <w:t>siphoning list</w:t>
      </w:r>
      <w:r w:rsidR="00B623FE">
        <w:rPr>
          <w:color w:val="000000" w:themeColor="text1"/>
          <w:sz w:val="22"/>
          <w:lang w:val="en-AU"/>
        </w:rPr>
        <w:t>. Wh</w:t>
      </w:r>
      <w:r w:rsidR="00C21ACB">
        <w:rPr>
          <w:color w:val="000000" w:themeColor="text1"/>
          <w:sz w:val="22"/>
          <w:lang w:val="en-AU"/>
        </w:rPr>
        <w:t xml:space="preserve">ere relevant, the reform models reference the proposed </w:t>
      </w:r>
      <w:r w:rsidR="00B623FE">
        <w:rPr>
          <w:color w:val="000000" w:themeColor="text1"/>
          <w:sz w:val="22"/>
          <w:lang w:val="en-AU"/>
        </w:rPr>
        <w:t>list options in Chapter 7.</w:t>
      </w:r>
      <w:bookmarkEnd w:id="153"/>
      <w:r w:rsidR="009B78F8">
        <w:br w:type="page"/>
      </w:r>
    </w:p>
    <w:p w14:paraId="6CF30721" w14:textId="4F5A0F61" w:rsidR="008B0387" w:rsidRPr="004261DE" w:rsidRDefault="008276A1" w:rsidP="004261DE">
      <w:pPr>
        <w:pStyle w:val="Heading2"/>
      </w:pPr>
      <w:bookmarkStart w:id="155" w:name="_Toc140842903"/>
      <w:bookmarkStart w:id="156" w:name="_Toc141369805"/>
      <w:bookmarkStart w:id="157" w:name="_Toc143265596"/>
      <w:bookmarkStart w:id="158" w:name="_Hlk140222473"/>
      <w:bookmarkStart w:id="159" w:name="_Hlk140441327"/>
      <w:r>
        <w:lastRenderedPageBreak/>
        <w:t xml:space="preserve">Model 1: </w:t>
      </w:r>
      <w:r w:rsidR="008B0387" w:rsidRPr="00EB6AD5">
        <w:t>Free</w:t>
      </w:r>
      <w:r w:rsidR="00FB671D">
        <w:t>-</w:t>
      </w:r>
      <w:r w:rsidR="008B0387" w:rsidRPr="00EB6AD5">
        <w:t>to</w:t>
      </w:r>
      <w:r w:rsidR="00FB671D">
        <w:t>-</w:t>
      </w:r>
      <w:r w:rsidR="008B0387" w:rsidRPr="00EB6AD5">
        <w:t>view</w:t>
      </w:r>
      <w:bookmarkEnd w:id="155"/>
      <w:bookmarkEnd w:id="156"/>
      <w:bookmarkEnd w:id="157"/>
    </w:p>
    <w:p w14:paraId="426562F7" w14:textId="4D0CCFC8" w:rsidR="00260ACA" w:rsidRPr="00A9605A" w:rsidRDefault="00260ACA" w:rsidP="00A9605A">
      <w:pPr>
        <w:pStyle w:val="Heading3"/>
        <w:rPr>
          <w:sz w:val="28"/>
          <w:szCs w:val="28"/>
        </w:rPr>
      </w:pPr>
      <w:bookmarkStart w:id="160" w:name="_Toc140842904"/>
      <w:r w:rsidRPr="00A9605A">
        <w:rPr>
          <w:sz w:val="28"/>
          <w:szCs w:val="28"/>
        </w:rPr>
        <w:t>Overview</w:t>
      </w:r>
      <w:bookmarkEnd w:id="160"/>
    </w:p>
    <w:p w14:paraId="46927FD0" w14:textId="7F8C19CC" w:rsidR="0062137E" w:rsidRPr="00F5016C" w:rsidRDefault="00260ACA" w:rsidP="0062137E">
      <w:pPr>
        <w:spacing w:after="0"/>
      </w:pPr>
      <w:bookmarkStart w:id="161" w:name="_Hlk139541351"/>
      <w:bookmarkStart w:id="162" w:name="_Hlk139011079"/>
      <w:bookmarkStart w:id="163" w:name="_Hlk139016317"/>
      <w:r w:rsidRPr="00EB6AD5">
        <w:t xml:space="preserve">Under this </w:t>
      </w:r>
      <w:r w:rsidR="00C85EE6">
        <w:t>model</w:t>
      </w:r>
      <w:r w:rsidRPr="00EB6AD5">
        <w:t xml:space="preserve">, the </w:t>
      </w:r>
      <w:r w:rsidR="00FB671D">
        <w:t xml:space="preserve">current </w:t>
      </w:r>
      <w:r w:rsidRPr="00EB6AD5">
        <w:t xml:space="preserve">anti-siphoning scheme would </w:t>
      </w:r>
      <w:r w:rsidR="00FB671D">
        <w:t xml:space="preserve">be replaced by a new scheme. This new scheme would </w:t>
      </w:r>
      <w:r w:rsidR="009E5A30">
        <w:t xml:space="preserve">not </w:t>
      </w:r>
      <w:r w:rsidR="008D0BA0">
        <w:t xml:space="preserve">impose any </w:t>
      </w:r>
      <w:r w:rsidR="008D0BA0" w:rsidRPr="00F5016C">
        <w:t>restriction</w:t>
      </w:r>
      <w:r w:rsidR="00226F81">
        <w:t>s</w:t>
      </w:r>
      <w:r w:rsidR="008D0BA0">
        <w:t xml:space="preserve"> on the acquisition of </w:t>
      </w:r>
      <w:r w:rsidR="00403C67">
        <w:t xml:space="preserve">media </w:t>
      </w:r>
      <w:r w:rsidR="008D0BA0">
        <w:t>rights</w:t>
      </w:r>
      <w:r w:rsidR="00A96816">
        <w:t xml:space="preserve"> to </w:t>
      </w:r>
      <w:r w:rsidR="000A7C43">
        <w:t>listed</w:t>
      </w:r>
      <w:r w:rsidR="00101185" w:rsidRPr="00EB6AD5">
        <w:t xml:space="preserve"> </w:t>
      </w:r>
      <w:r w:rsidR="006B3749">
        <w:t>events</w:t>
      </w:r>
      <w:r w:rsidR="002B60D3">
        <w:t>. However, if coverage of those events is made available to audiences in Australia, th</w:t>
      </w:r>
      <w:r w:rsidR="00F76104">
        <w:t xml:space="preserve">e </w:t>
      </w:r>
      <w:r w:rsidR="00403C67">
        <w:t xml:space="preserve">relevant </w:t>
      </w:r>
      <w:r w:rsidR="00F76104">
        <w:t xml:space="preserve">content service </w:t>
      </w:r>
      <w:r w:rsidR="0062137E" w:rsidRPr="00F5016C">
        <w:t>(any online, broadcast</w:t>
      </w:r>
      <w:r w:rsidR="001342F4" w:rsidRPr="00F5016C">
        <w:t xml:space="preserve">ing </w:t>
      </w:r>
      <w:r w:rsidR="0062137E" w:rsidRPr="00F5016C">
        <w:t xml:space="preserve">or other media service) </w:t>
      </w:r>
      <w:r w:rsidR="002B60D3">
        <w:t xml:space="preserve">would need to </w:t>
      </w:r>
      <w:r w:rsidR="00403C67">
        <w:t>ensure that coverage is</w:t>
      </w:r>
      <w:r w:rsidR="00BB7366">
        <w:t>:</w:t>
      </w:r>
    </w:p>
    <w:p w14:paraId="7D3E1F7B" w14:textId="77777777" w:rsidR="0062137E" w:rsidRPr="00F5016C" w:rsidRDefault="00403C67" w:rsidP="001A687D">
      <w:pPr>
        <w:pStyle w:val="ListParagraph"/>
        <w:numPr>
          <w:ilvl w:val="0"/>
          <w:numId w:val="20"/>
        </w:numPr>
        <w:spacing w:after="0"/>
        <w:contextualSpacing w:val="0"/>
      </w:pPr>
      <w:r>
        <w:t>m</w:t>
      </w:r>
      <w:r w:rsidR="000A7C43">
        <w:t xml:space="preserve">ade available </w:t>
      </w:r>
      <w:r w:rsidR="0062137E" w:rsidRPr="00F5016C">
        <w:t xml:space="preserve">to </w:t>
      </w:r>
      <w:r w:rsidR="000A7C43">
        <w:t xml:space="preserve">the Australian public for </w:t>
      </w:r>
      <w:r w:rsidR="000A7C43" w:rsidRPr="007B0730">
        <w:rPr>
          <w:u w:val="single"/>
        </w:rPr>
        <w:t>free</w:t>
      </w:r>
      <w:r w:rsidR="000A7C43">
        <w:t xml:space="preserve"> and </w:t>
      </w:r>
      <w:r w:rsidR="002B60D3">
        <w:t xml:space="preserve">on </w:t>
      </w:r>
      <w:r w:rsidR="009B37BD">
        <w:t xml:space="preserve">a </w:t>
      </w:r>
      <w:r w:rsidR="006B3749" w:rsidRPr="007B0730">
        <w:rPr>
          <w:u w:val="single"/>
        </w:rPr>
        <w:t>broadly available technology platform</w:t>
      </w:r>
      <w:r w:rsidR="00CE479B">
        <w:t xml:space="preserve"> (an </w:t>
      </w:r>
      <w:r w:rsidR="00437118" w:rsidRPr="00F5016C">
        <w:t>‘</w:t>
      </w:r>
      <w:r w:rsidR="00CE479B">
        <w:t xml:space="preserve">availability </w:t>
      </w:r>
      <w:r w:rsidR="00CE479B" w:rsidRPr="00F5016C">
        <w:t>obligation</w:t>
      </w:r>
      <w:r w:rsidR="00437118" w:rsidRPr="00F5016C">
        <w:t>’</w:t>
      </w:r>
      <w:r w:rsidR="00CE479B">
        <w:t>)</w:t>
      </w:r>
      <w:r w:rsidR="00BB7366">
        <w:t xml:space="preserve">; </w:t>
      </w:r>
      <w:r w:rsidR="00F76104">
        <w:t>and</w:t>
      </w:r>
    </w:p>
    <w:p w14:paraId="534AB87B" w14:textId="3CC6A7C3" w:rsidR="00722C64" w:rsidRDefault="00F76104" w:rsidP="001A687D">
      <w:pPr>
        <w:pStyle w:val="ListParagraph"/>
        <w:numPr>
          <w:ilvl w:val="0"/>
          <w:numId w:val="20"/>
        </w:numPr>
        <w:spacing w:after="0"/>
        <w:contextualSpacing w:val="0"/>
      </w:pPr>
      <w:r w:rsidRPr="007B0730">
        <w:rPr>
          <w:u w:val="single"/>
        </w:rPr>
        <w:t>live</w:t>
      </w:r>
      <w:r>
        <w:t xml:space="preserve"> and </w:t>
      </w:r>
      <w:r w:rsidR="00B54EE2" w:rsidRPr="007B0730">
        <w:rPr>
          <w:u w:val="single"/>
        </w:rPr>
        <w:t>in full</w:t>
      </w:r>
      <w:r w:rsidR="00CE479B">
        <w:t xml:space="preserve"> (a </w:t>
      </w:r>
      <w:r w:rsidR="00437118" w:rsidRPr="00F5016C">
        <w:t>‘</w:t>
      </w:r>
      <w:r w:rsidR="00CE479B">
        <w:t xml:space="preserve">coverage </w:t>
      </w:r>
      <w:r w:rsidR="00CE479B" w:rsidRPr="00F5016C">
        <w:t>obligation</w:t>
      </w:r>
      <w:r w:rsidR="00437118" w:rsidRPr="00F5016C">
        <w:t>’</w:t>
      </w:r>
      <w:r w:rsidR="00CE479B">
        <w:t>)</w:t>
      </w:r>
      <w:r w:rsidR="00101185" w:rsidRPr="00EB6AD5">
        <w:t>.</w:t>
      </w:r>
    </w:p>
    <w:bookmarkEnd w:id="161"/>
    <w:p w14:paraId="749417D4" w14:textId="2C1EB909" w:rsidR="00954418" w:rsidRDefault="00954418" w:rsidP="0062137E">
      <w:pPr>
        <w:spacing w:after="0"/>
      </w:pPr>
      <w:r w:rsidRPr="00EB3A87">
        <w:t xml:space="preserve">The free-to-view model described in this paper </w:t>
      </w:r>
      <w:r w:rsidR="006F1588" w:rsidRPr="00EB3A87">
        <w:t xml:space="preserve">draws on aspects of </w:t>
      </w:r>
      <w:r w:rsidRPr="00EB3A87">
        <w:t xml:space="preserve">proposals for reform of the scheme advanced by Foxtel, Optus and </w:t>
      </w:r>
      <w:proofErr w:type="spellStart"/>
      <w:r w:rsidR="00507857" w:rsidRPr="00EB3A87">
        <w:t>Jane</w:t>
      </w:r>
      <w:r w:rsidR="00507857">
        <w:t>z</w:t>
      </w:r>
      <w:proofErr w:type="spellEnd"/>
      <w:r w:rsidR="00507857" w:rsidRPr="00EB3A87">
        <w:t xml:space="preserve"> </w:t>
      </w:r>
      <w:r w:rsidRPr="00EB3A87">
        <w:t xml:space="preserve">Media </w:t>
      </w:r>
      <w:r w:rsidR="006F1588" w:rsidRPr="00EB3A87">
        <w:t>in their respective submissions to the i</w:t>
      </w:r>
      <w:r w:rsidRPr="00EB3A87">
        <w:t>nitial phase of review.</w:t>
      </w:r>
    </w:p>
    <w:p w14:paraId="7063155A" w14:textId="77777777" w:rsidR="00E57B92" w:rsidRDefault="00E57B92" w:rsidP="00A9605A">
      <w:pPr>
        <w:pStyle w:val="Heading3"/>
        <w:rPr>
          <w:rFonts w:asciiTheme="minorHAnsi" w:eastAsiaTheme="minorHAnsi" w:hAnsiTheme="minorHAnsi" w:cstheme="minorBidi"/>
          <w:b/>
          <w:color w:val="000000" w:themeColor="text1"/>
        </w:rPr>
      </w:pPr>
      <w:bookmarkStart w:id="164" w:name="_Toc140842905"/>
      <w:bookmarkStart w:id="165" w:name="_Hlk139533695"/>
      <w:bookmarkEnd w:id="162"/>
      <w:bookmarkEnd w:id="163"/>
      <w:r w:rsidRPr="00A9605A">
        <w:rPr>
          <w:sz w:val="28"/>
          <w:szCs w:val="28"/>
        </w:rPr>
        <w:t>Mechanism</w:t>
      </w:r>
      <w:bookmarkEnd w:id="164"/>
    </w:p>
    <w:bookmarkEnd w:id="158"/>
    <w:p w14:paraId="243708EB" w14:textId="31AD55E7" w:rsidR="00A27FB6" w:rsidRDefault="00974672" w:rsidP="00722C64">
      <w:pPr>
        <w:pStyle w:val="Heading5"/>
        <w:spacing w:before="160" w:after="80"/>
        <w:rPr>
          <w:rFonts w:asciiTheme="minorHAnsi" w:eastAsiaTheme="minorHAnsi" w:hAnsiTheme="minorHAnsi" w:cstheme="minorBidi"/>
          <w:b w:val="0"/>
          <w:color w:val="000000" w:themeColor="text1"/>
        </w:rPr>
      </w:pPr>
      <w:r w:rsidRPr="007B0730">
        <w:rPr>
          <w:rFonts w:asciiTheme="minorHAnsi" w:eastAsiaTheme="minorHAnsi" w:hAnsiTheme="minorHAnsi" w:cstheme="minorBidi"/>
          <w:b w:val="0"/>
          <w:color w:val="000000" w:themeColor="text1"/>
        </w:rPr>
        <w:t>Th</w:t>
      </w:r>
      <w:r w:rsidR="009D6332" w:rsidRPr="007B0730">
        <w:rPr>
          <w:rFonts w:asciiTheme="minorHAnsi" w:eastAsiaTheme="minorHAnsi" w:hAnsiTheme="minorHAnsi" w:cstheme="minorBidi"/>
          <w:b w:val="0"/>
          <w:color w:val="000000" w:themeColor="text1"/>
        </w:rPr>
        <w:t>e current scheme – a</w:t>
      </w:r>
      <w:r w:rsidR="00D31AAB" w:rsidRPr="007B0730">
        <w:rPr>
          <w:rFonts w:asciiTheme="minorHAnsi" w:eastAsiaTheme="minorHAnsi" w:hAnsiTheme="minorHAnsi" w:cstheme="minorBidi"/>
          <w:b w:val="0"/>
          <w:color w:val="000000" w:themeColor="text1"/>
        </w:rPr>
        <w:t>s set out in</w:t>
      </w:r>
      <w:r w:rsidR="00557EB2" w:rsidRPr="007B0730">
        <w:rPr>
          <w:rFonts w:asciiTheme="minorHAnsi" w:eastAsiaTheme="minorHAnsi" w:hAnsiTheme="minorHAnsi" w:cstheme="minorBidi"/>
          <w:b w:val="0"/>
          <w:color w:val="000000" w:themeColor="text1"/>
        </w:rPr>
        <w:t xml:space="preserve"> section 115 </w:t>
      </w:r>
      <w:r w:rsidR="00064A71">
        <w:rPr>
          <w:rFonts w:asciiTheme="minorHAnsi" w:eastAsiaTheme="minorHAnsi" w:hAnsiTheme="minorHAnsi" w:cstheme="minorBidi"/>
          <w:b w:val="0"/>
          <w:color w:val="000000" w:themeColor="text1"/>
        </w:rPr>
        <w:t>of the BSA</w:t>
      </w:r>
      <w:r w:rsidR="00557EB2" w:rsidRPr="007B0730">
        <w:rPr>
          <w:rFonts w:asciiTheme="minorHAnsi" w:eastAsiaTheme="minorHAnsi" w:hAnsiTheme="minorHAnsi" w:cstheme="minorBidi"/>
          <w:b w:val="0"/>
          <w:color w:val="000000" w:themeColor="text1"/>
        </w:rPr>
        <w:t xml:space="preserve"> and</w:t>
      </w:r>
      <w:r w:rsidR="00D31AAB" w:rsidRPr="007B0730">
        <w:rPr>
          <w:rFonts w:asciiTheme="minorHAnsi" w:eastAsiaTheme="minorHAnsi" w:hAnsiTheme="minorHAnsi" w:cstheme="minorBidi"/>
          <w:b w:val="0"/>
          <w:color w:val="000000" w:themeColor="text1"/>
        </w:rPr>
        <w:t xml:space="preserve"> </w:t>
      </w:r>
      <w:bookmarkStart w:id="166" w:name="_Hlk140447896"/>
      <w:r w:rsidR="002B739C" w:rsidRPr="007B0730">
        <w:rPr>
          <w:rFonts w:asciiTheme="minorHAnsi" w:eastAsiaTheme="minorHAnsi" w:hAnsiTheme="minorHAnsi" w:cstheme="minorBidi"/>
          <w:b w:val="0"/>
          <w:color w:val="000000" w:themeColor="text1"/>
        </w:rPr>
        <w:t xml:space="preserve">paragraph 10(1)(e) </w:t>
      </w:r>
      <w:r w:rsidR="00064A71">
        <w:rPr>
          <w:rFonts w:asciiTheme="minorHAnsi" w:eastAsiaTheme="minorHAnsi" w:hAnsiTheme="minorHAnsi" w:cstheme="minorBidi"/>
          <w:b w:val="0"/>
          <w:color w:val="000000" w:themeColor="text1"/>
        </w:rPr>
        <w:t>of</w:t>
      </w:r>
      <w:r w:rsidR="00064A71" w:rsidRPr="007B0730">
        <w:rPr>
          <w:rFonts w:asciiTheme="minorHAnsi" w:eastAsiaTheme="minorHAnsi" w:hAnsiTheme="minorHAnsi" w:cstheme="minorBidi"/>
          <w:b w:val="0"/>
          <w:color w:val="000000" w:themeColor="text1"/>
        </w:rPr>
        <w:t xml:space="preserve"> </w:t>
      </w:r>
      <w:r w:rsidR="002B739C" w:rsidRPr="007B0730">
        <w:rPr>
          <w:rFonts w:asciiTheme="minorHAnsi" w:eastAsiaTheme="minorHAnsi" w:hAnsiTheme="minorHAnsi" w:cstheme="minorBidi"/>
          <w:b w:val="0"/>
          <w:color w:val="000000" w:themeColor="text1"/>
        </w:rPr>
        <w:t xml:space="preserve">Schedule 2 </w:t>
      </w:r>
      <w:r w:rsidR="00064A71">
        <w:rPr>
          <w:rFonts w:asciiTheme="minorHAnsi" w:eastAsiaTheme="minorHAnsi" w:hAnsiTheme="minorHAnsi" w:cstheme="minorBidi"/>
          <w:b w:val="0"/>
          <w:color w:val="000000" w:themeColor="text1"/>
        </w:rPr>
        <w:t>to</w:t>
      </w:r>
      <w:r w:rsidR="00064A71" w:rsidRPr="007B0730">
        <w:rPr>
          <w:rFonts w:asciiTheme="minorHAnsi" w:eastAsiaTheme="minorHAnsi" w:hAnsiTheme="minorHAnsi" w:cstheme="minorBidi"/>
          <w:b w:val="0"/>
          <w:color w:val="000000" w:themeColor="text1"/>
        </w:rPr>
        <w:t xml:space="preserve"> </w:t>
      </w:r>
      <w:r w:rsidR="002B739C" w:rsidRPr="007B0730">
        <w:rPr>
          <w:rFonts w:asciiTheme="minorHAnsi" w:eastAsiaTheme="minorHAnsi" w:hAnsiTheme="minorHAnsi" w:cstheme="minorBidi"/>
          <w:b w:val="0"/>
          <w:color w:val="000000" w:themeColor="text1"/>
        </w:rPr>
        <w:t>the BSA</w:t>
      </w:r>
      <w:r w:rsidR="009D6332" w:rsidRPr="007B0730">
        <w:rPr>
          <w:rFonts w:asciiTheme="minorHAnsi" w:eastAsiaTheme="minorHAnsi" w:hAnsiTheme="minorHAnsi" w:cstheme="minorBidi"/>
          <w:b w:val="0"/>
          <w:color w:val="000000" w:themeColor="text1"/>
        </w:rPr>
        <w:t xml:space="preserve"> </w:t>
      </w:r>
      <w:bookmarkEnd w:id="166"/>
      <w:r w:rsidR="009D6332" w:rsidRPr="007B0730">
        <w:rPr>
          <w:rFonts w:asciiTheme="minorHAnsi" w:eastAsiaTheme="minorHAnsi" w:hAnsiTheme="minorHAnsi" w:cstheme="minorBidi"/>
          <w:b w:val="0"/>
          <w:color w:val="000000" w:themeColor="text1"/>
        </w:rPr>
        <w:t>– would be repealed and replaced w</w:t>
      </w:r>
      <w:r w:rsidR="00A27FB6" w:rsidRPr="007B0730">
        <w:rPr>
          <w:rFonts w:asciiTheme="minorHAnsi" w:eastAsiaTheme="minorHAnsi" w:hAnsiTheme="minorHAnsi" w:cstheme="minorBidi"/>
          <w:b w:val="0"/>
          <w:color w:val="000000" w:themeColor="text1"/>
        </w:rPr>
        <w:t xml:space="preserve">ith a new set of </w:t>
      </w:r>
      <w:r w:rsidR="00BB7366" w:rsidRPr="007B0730">
        <w:rPr>
          <w:rFonts w:asciiTheme="minorHAnsi" w:eastAsiaTheme="minorHAnsi" w:hAnsiTheme="minorHAnsi" w:cstheme="minorBidi"/>
          <w:b w:val="0"/>
          <w:color w:val="000000" w:themeColor="text1"/>
        </w:rPr>
        <w:t xml:space="preserve">availability and </w:t>
      </w:r>
      <w:r w:rsidR="00A27FB6" w:rsidRPr="007B0730">
        <w:rPr>
          <w:rFonts w:asciiTheme="minorHAnsi" w:eastAsiaTheme="minorHAnsi" w:hAnsiTheme="minorHAnsi" w:cstheme="minorBidi"/>
          <w:b w:val="0"/>
          <w:color w:val="000000" w:themeColor="text1"/>
        </w:rPr>
        <w:t>coverage obligations. The</w:t>
      </w:r>
      <w:r w:rsidR="00722C64" w:rsidRPr="007B0730">
        <w:rPr>
          <w:rFonts w:asciiTheme="minorHAnsi" w:eastAsiaTheme="minorHAnsi" w:hAnsiTheme="minorHAnsi" w:cstheme="minorBidi"/>
          <w:b w:val="0"/>
          <w:color w:val="000000" w:themeColor="text1"/>
        </w:rPr>
        <w:t>se</w:t>
      </w:r>
      <w:r w:rsidR="00A27FB6" w:rsidRPr="007B0730">
        <w:rPr>
          <w:rFonts w:asciiTheme="minorHAnsi" w:eastAsiaTheme="minorHAnsi" w:hAnsiTheme="minorHAnsi" w:cstheme="minorBidi"/>
          <w:b w:val="0"/>
          <w:color w:val="000000" w:themeColor="text1"/>
        </w:rPr>
        <w:t xml:space="preserve"> obligations would </w:t>
      </w:r>
      <w:r w:rsidR="00EC36D4" w:rsidRPr="007B0730">
        <w:rPr>
          <w:rFonts w:asciiTheme="minorHAnsi" w:eastAsiaTheme="minorHAnsi" w:hAnsiTheme="minorHAnsi" w:cstheme="minorBidi"/>
          <w:b w:val="0"/>
          <w:color w:val="000000" w:themeColor="text1"/>
        </w:rPr>
        <w:t>apply to</w:t>
      </w:r>
      <w:r w:rsidR="00A27FB6" w:rsidRPr="007B0730">
        <w:rPr>
          <w:rFonts w:asciiTheme="minorHAnsi" w:eastAsiaTheme="minorHAnsi" w:hAnsiTheme="minorHAnsi" w:cstheme="minorBidi"/>
          <w:b w:val="0"/>
          <w:color w:val="000000" w:themeColor="text1"/>
        </w:rPr>
        <w:t xml:space="preserve"> </w:t>
      </w:r>
      <w:r w:rsidR="00BB7366" w:rsidRPr="007B0730">
        <w:rPr>
          <w:rFonts w:asciiTheme="minorHAnsi" w:eastAsiaTheme="minorHAnsi" w:hAnsiTheme="minorHAnsi" w:cstheme="minorBidi"/>
          <w:b w:val="0"/>
          <w:color w:val="000000" w:themeColor="text1"/>
        </w:rPr>
        <w:t xml:space="preserve">any </w:t>
      </w:r>
      <w:r w:rsidR="00403C67" w:rsidRPr="007B0730">
        <w:rPr>
          <w:rFonts w:asciiTheme="minorHAnsi" w:eastAsiaTheme="minorHAnsi" w:hAnsiTheme="minorHAnsi" w:cstheme="minorBidi"/>
          <w:b w:val="0"/>
          <w:color w:val="000000" w:themeColor="text1"/>
        </w:rPr>
        <w:t xml:space="preserve">content service that </w:t>
      </w:r>
      <w:r w:rsidR="00F76104" w:rsidRPr="007B0730">
        <w:rPr>
          <w:rFonts w:asciiTheme="minorHAnsi" w:eastAsiaTheme="minorHAnsi" w:hAnsiTheme="minorHAnsi" w:cstheme="minorBidi"/>
          <w:b w:val="0"/>
          <w:color w:val="000000" w:themeColor="text1"/>
        </w:rPr>
        <w:t>provide</w:t>
      </w:r>
      <w:r w:rsidR="00D46C61" w:rsidRPr="007B0730">
        <w:rPr>
          <w:rFonts w:asciiTheme="minorHAnsi" w:eastAsiaTheme="minorHAnsi" w:hAnsiTheme="minorHAnsi" w:cstheme="minorBidi"/>
          <w:b w:val="0"/>
          <w:color w:val="000000" w:themeColor="text1"/>
        </w:rPr>
        <w:t>s</w:t>
      </w:r>
      <w:r w:rsidR="00F76104" w:rsidRPr="007B0730">
        <w:rPr>
          <w:rFonts w:asciiTheme="minorHAnsi" w:eastAsiaTheme="minorHAnsi" w:hAnsiTheme="minorHAnsi" w:cstheme="minorBidi"/>
          <w:b w:val="0"/>
          <w:color w:val="000000" w:themeColor="text1"/>
        </w:rPr>
        <w:t xml:space="preserve"> </w:t>
      </w:r>
      <w:r w:rsidR="00BB7366" w:rsidRPr="007B0730">
        <w:rPr>
          <w:rFonts w:asciiTheme="minorHAnsi" w:eastAsiaTheme="minorHAnsi" w:hAnsiTheme="minorHAnsi" w:cstheme="minorBidi"/>
          <w:b w:val="0"/>
          <w:color w:val="000000" w:themeColor="text1"/>
        </w:rPr>
        <w:t xml:space="preserve">coverage of a listed event to </w:t>
      </w:r>
      <w:r w:rsidR="00457784" w:rsidRPr="007B0730">
        <w:rPr>
          <w:rFonts w:asciiTheme="minorHAnsi" w:eastAsiaTheme="minorHAnsi" w:hAnsiTheme="minorHAnsi" w:cstheme="minorBidi"/>
          <w:b w:val="0"/>
          <w:color w:val="000000" w:themeColor="text1"/>
        </w:rPr>
        <w:t>audiences in Australia</w:t>
      </w:r>
      <w:r w:rsidR="00EC36D4" w:rsidRPr="007B0730">
        <w:rPr>
          <w:rFonts w:asciiTheme="minorHAnsi" w:eastAsiaTheme="minorHAnsi" w:hAnsiTheme="minorHAnsi" w:cstheme="minorBidi"/>
          <w:b w:val="0"/>
          <w:color w:val="000000" w:themeColor="text1"/>
        </w:rPr>
        <w:t>.</w:t>
      </w:r>
    </w:p>
    <w:bookmarkEnd w:id="165"/>
    <w:p w14:paraId="6E5DF683" w14:textId="0138F21C" w:rsidR="00B338FB" w:rsidRPr="004159D6" w:rsidRDefault="00893C2B" w:rsidP="004159D6">
      <w:pPr>
        <w:spacing w:after="0"/>
        <w:rPr>
          <w:b/>
        </w:rPr>
      </w:pPr>
      <w:r w:rsidRPr="004159D6">
        <w:rPr>
          <w:b/>
        </w:rPr>
        <w:t>Dealing with rights</w:t>
      </w:r>
    </w:p>
    <w:p w14:paraId="25C6E2F2" w14:textId="7D934869" w:rsidR="007B0730" w:rsidRDefault="00FA5167" w:rsidP="00B338FB">
      <w:pPr>
        <w:spacing w:after="0"/>
      </w:pPr>
      <w:r>
        <w:t>T</w:t>
      </w:r>
      <w:r w:rsidR="002078A5">
        <w:t>he free-to-view model</w:t>
      </w:r>
      <w:r>
        <w:t xml:space="preserve"> </w:t>
      </w:r>
      <w:r w:rsidR="00B338FB" w:rsidRPr="00B338FB">
        <w:t>would not</w:t>
      </w:r>
      <w:r w:rsidR="00B338FB">
        <w:rPr>
          <w:b/>
        </w:rPr>
        <w:t xml:space="preserve"> </w:t>
      </w:r>
      <w:r w:rsidR="00B338FB">
        <w:t xml:space="preserve">place any restriction on acquiring, holding or transferring the </w:t>
      </w:r>
      <w:r w:rsidR="00740F7D">
        <w:t xml:space="preserve">media </w:t>
      </w:r>
      <w:r w:rsidR="00B338FB">
        <w:t xml:space="preserve">rights to listed events. </w:t>
      </w:r>
      <w:r w:rsidR="006E4FBD">
        <w:t xml:space="preserve">Rather, this </w:t>
      </w:r>
      <w:r w:rsidR="006E354B">
        <w:t xml:space="preserve">model would impose obligations on content services where coverage is made available to audiences in Australia. </w:t>
      </w:r>
      <w:r w:rsidR="007B0730">
        <w:t xml:space="preserve">This marks a point of difference with </w:t>
      </w:r>
      <w:r w:rsidR="00226F81">
        <w:t xml:space="preserve">Models 2 and 3, </w:t>
      </w:r>
      <w:r w:rsidR="007B0730">
        <w:t xml:space="preserve">which </w:t>
      </w:r>
      <w:r w:rsidR="00226F81">
        <w:t>target the sequence of acquisition of rights to listed events in the same manner as the current scheme.</w:t>
      </w:r>
    </w:p>
    <w:p w14:paraId="59FD325B" w14:textId="77777777" w:rsidR="002078A5" w:rsidRDefault="005E4402" w:rsidP="00B338FB">
      <w:pPr>
        <w:spacing w:after="0"/>
      </w:pPr>
      <w:r>
        <w:t xml:space="preserve">Although </w:t>
      </w:r>
      <w:r w:rsidR="002078A5">
        <w:t xml:space="preserve">rights acquisition </w:t>
      </w:r>
      <w:r w:rsidR="00C07857">
        <w:t xml:space="preserve">would </w:t>
      </w:r>
      <w:r w:rsidR="002078A5">
        <w:t xml:space="preserve">not </w:t>
      </w:r>
      <w:r w:rsidR="00C07857">
        <w:t xml:space="preserve">be </w:t>
      </w:r>
      <w:r w:rsidR="00E4789B">
        <w:t>regulated</w:t>
      </w:r>
      <w:r w:rsidR="002078A5">
        <w:t xml:space="preserve"> under the </w:t>
      </w:r>
      <w:r>
        <w:t xml:space="preserve">free-to-view model, this approach </w:t>
      </w:r>
      <w:r w:rsidR="002078A5">
        <w:t xml:space="preserve">would include specific provisions </w:t>
      </w:r>
      <w:r w:rsidR="008655EF">
        <w:t xml:space="preserve">(exceptions) </w:t>
      </w:r>
      <w:r w:rsidR="002078A5">
        <w:t xml:space="preserve">to </w:t>
      </w:r>
      <w:r>
        <w:t>ensure the availability and coverage obligations operate as intended and don’t create unworkable burden</w:t>
      </w:r>
      <w:r w:rsidR="00085E1E">
        <w:t>s</w:t>
      </w:r>
      <w:r>
        <w:t xml:space="preserve"> </w:t>
      </w:r>
      <w:r w:rsidR="002078A5">
        <w:t>for a</w:t>
      </w:r>
      <w:r>
        <w:t xml:space="preserve">ffected parties. </w:t>
      </w:r>
      <w:r w:rsidR="008655EF">
        <w:t>These are described in more detail in the ‘exceptions’ section below.</w:t>
      </w:r>
    </w:p>
    <w:p w14:paraId="6181C218" w14:textId="164DD9AC" w:rsidR="006E354B" w:rsidRDefault="006E354B" w:rsidP="006E354B">
      <w:pPr>
        <w:spacing w:after="0"/>
      </w:pPr>
      <w:r>
        <w:t xml:space="preserve">The availability and coverage obligations </w:t>
      </w:r>
      <w:r w:rsidR="004914C3">
        <w:t xml:space="preserve">of the free-to-view model </w:t>
      </w:r>
      <w:r>
        <w:t>would apply to any content service that makes coverage of the event available to audiences in Australia, irrespective of whether those rights are transferred from one coverage service provider to another</w:t>
      </w:r>
      <w:r w:rsidR="00F318C3">
        <w:t>.</w:t>
      </w:r>
    </w:p>
    <w:p w14:paraId="4A000848" w14:textId="77777777" w:rsidR="002A10BB" w:rsidRPr="004159D6" w:rsidRDefault="00B70334" w:rsidP="004159D6">
      <w:pPr>
        <w:spacing w:after="0"/>
        <w:rPr>
          <w:b/>
        </w:rPr>
      </w:pPr>
      <w:r w:rsidRPr="004159D6">
        <w:rPr>
          <w:b/>
        </w:rPr>
        <w:t>C</w:t>
      </w:r>
      <w:r w:rsidR="002A10BB" w:rsidRPr="004159D6">
        <w:rPr>
          <w:b/>
        </w:rPr>
        <w:t>ontent service</w:t>
      </w:r>
    </w:p>
    <w:p w14:paraId="7E4A8BC4" w14:textId="43A44778" w:rsidR="004159D6" w:rsidRDefault="00756E28" w:rsidP="004159D6">
      <w:pPr>
        <w:spacing w:after="0"/>
      </w:pPr>
      <w:r>
        <w:t>For the purposes of the scheme, a</w:t>
      </w:r>
      <w:r w:rsidR="00AB75AE">
        <w:t xml:space="preserve"> c</w:t>
      </w:r>
      <w:r w:rsidR="004159D6">
        <w:t xml:space="preserve">ontent service would </w:t>
      </w:r>
      <w:r w:rsidR="0094320E">
        <w:t xml:space="preserve">be </w:t>
      </w:r>
      <w:r w:rsidR="004159D6">
        <w:t>defined to include:</w:t>
      </w:r>
    </w:p>
    <w:p w14:paraId="0CE0E7B3" w14:textId="58F2282D" w:rsidR="004159D6" w:rsidRDefault="004159D6" w:rsidP="00196BB6">
      <w:pPr>
        <w:pStyle w:val="ListParagraph"/>
        <w:numPr>
          <w:ilvl w:val="0"/>
          <w:numId w:val="16"/>
        </w:numPr>
        <w:spacing w:after="120"/>
        <w:ind w:left="357" w:hanging="357"/>
        <w:contextualSpacing w:val="0"/>
      </w:pPr>
      <w:r w:rsidRPr="00AE31D2">
        <w:t>a service that delivers content</w:t>
      </w:r>
      <w:r w:rsidR="00B63408">
        <w:rPr>
          <w:rStyle w:val="FootnoteReference"/>
        </w:rPr>
        <w:footnoteReference w:id="85"/>
      </w:r>
      <w:r w:rsidRPr="00AE31D2">
        <w:t xml:space="preserve"> to persons having equipment appropriate for receiving that content, where the delivery of the service is by means of a carriage service</w:t>
      </w:r>
      <w:r w:rsidR="00F678EE">
        <w:t>;</w:t>
      </w:r>
      <w:r w:rsidR="00E4789B">
        <w:rPr>
          <w:rStyle w:val="FootnoteReference"/>
        </w:rPr>
        <w:footnoteReference w:id="86"/>
      </w:r>
      <w:r w:rsidR="00F678EE">
        <w:t xml:space="preserve"> </w:t>
      </w:r>
      <w:r w:rsidRPr="00AE31D2">
        <w:t>or</w:t>
      </w:r>
    </w:p>
    <w:p w14:paraId="179A5B91" w14:textId="77777777" w:rsidR="00DB7C49" w:rsidRDefault="004159D6" w:rsidP="00601CFD">
      <w:pPr>
        <w:pStyle w:val="ListParagraph"/>
        <w:numPr>
          <w:ilvl w:val="0"/>
          <w:numId w:val="16"/>
        </w:numPr>
        <w:spacing w:after="0"/>
      </w:pPr>
      <w:r w:rsidRPr="00AE31D2">
        <w:t>a service that allows end</w:t>
      </w:r>
      <w:r w:rsidRPr="00AE31D2">
        <w:noBreakHyphen/>
        <w:t>users to access content using a carriage service</w:t>
      </w:r>
      <w:r>
        <w:t>.</w:t>
      </w:r>
    </w:p>
    <w:p w14:paraId="17B77B0E" w14:textId="77777777" w:rsidR="009E0FF9" w:rsidRPr="00AC2B9B" w:rsidRDefault="00BC4C73" w:rsidP="009E0FF9">
      <w:pPr>
        <w:spacing w:after="0"/>
      </w:pPr>
      <w:r>
        <w:t>A content service provider would be a person who provides a content service</w:t>
      </w:r>
      <w:r w:rsidR="009E0FF9">
        <w:t xml:space="preserve"> to the public </w:t>
      </w:r>
      <w:r w:rsidR="009E0FF9" w:rsidRPr="00AC2B9B">
        <w:t>(</w:t>
      </w:r>
      <w:r w:rsidR="00740F7D">
        <w:t xml:space="preserve">i.e. </w:t>
      </w:r>
      <w:r w:rsidR="009E0FF9" w:rsidRPr="00AC2B9B">
        <w:t>to at least one person outside the immediate circle of the person who provides the service</w:t>
      </w:r>
      <w:r w:rsidR="0094320E">
        <w:t>)</w:t>
      </w:r>
      <w:r w:rsidR="009E0FF9">
        <w:t>.</w:t>
      </w:r>
      <w:r w:rsidR="009E0FF9" w:rsidRPr="00AC2B9B">
        <w:rPr>
          <w:rStyle w:val="FootnoteReference"/>
        </w:rPr>
        <w:footnoteReference w:id="87"/>
      </w:r>
    </w:p>
    <w:p w14:paraId="7FB1068E" w14:textId="246740F4" w:rsidR="00BB3498" w:rsidRDefault="00B63408" w:rsidP="00DB7C49">
      <w:pPr>
        <w:spacing w:after="0"/>
      </w:pPr>
      <w:r>
        <w:lastRenderedPageBreak/>
        <w:t>Th</w:t>
      </w:r>
      <w:r w:rsidR="00BC4C73">
        <w:t xml:space="preserve">ese definitions </w:t>
      </w:r>
      <w:r w:rsidR="00886201">
        <w:t>of</w:t>
      </w:r>
      <w:r w:rsidR="00BC4C73">
        <w:t xml:space="preserve"> ‘content service’ and ‘content service provider’ are </w:t>
      </w:r>
      <w:r>
        <w:t xml:space="preserve">used in </w:t>
      </w:r>
      <w:r w:rsidR="00886201">
        <w:t>each of</w:t>
      </w:r>
      <w:r>
        <w:t xml:space="preserve"> three reform models</w:t>
      </w:r>
      <w:r w:rsidR="00D678BF">
        <w:t xml:space="preserve"> canvassed in this paper</w:t>
      </w:r>
      <w:r>
        <w:t>.</w:t>
      </w:r>
      <w:r w:rsidR="0004149C">
        <w:t xml:space="preserve"> </w:t>
      </w:r>
      <w:r w:rsidR="00BC4C73">
        <w:t>They are based</w:t>
      </w:r>
      <w:r w:rsidR="0004149C">
        <w:t xml:space="preserve"> on </w:t>
      </w:r>
      <w:r w:rsidR="00BC4C73">
        <w:t xml:space="preserve">comparable </w:t>
      </w:r>
      <w:r w:rsidR="0004149C">
        <w:t>definition</w:t>
      </w:r>
      <w:r w:rsidR="00774F1F">
        <w:t>s</w:t>
      </w:r>
      <w:r w:rsidR="0004149C">
        <w:t xml:space="preserve"> </w:t>
      </w:r>
      <w:r w:rsidR="003F299A">
        <w:t xml:space="preserve">in Schedule 7 to the </w:t>
      </w:r>
      <w:r w:rsidR="00886201">
        <w:t>BSA</w:t>
      </w:r>
      <w:r w:rsidR="003F299A" w:rsidRPr="003F299A">
        <w:t>.</w:t>
      </w:r>
      <w:r w:rsidR="0004149C" w:rsidRPr="003F299A">
        <w:rPr>
          <w:rStyle w:val="FootnoteReference"/>
        </w:rPr>
        <w:footnoteReference w:id="88"/>
      </w:r>
      <w:r w:rsidR="003F7E82">
        <w:t xml:space="preserve"> </w:t>
      </w:r>
      <w:r w:rsidR="003F299A">
        <w:t>However, th</w:t>
      </w:r>
      <w:r w:rsidR="00BC4C73">
        <w:t>ey don’t</w:t>
      </w:r>
      <w:r w:rsidR="00B752C6">
        <w:t xml:space="preserve"> </w:t>
      </w:r>
      <w:r w:rsidR="00886201">
        <w:t>incorporate</w:t>
      </w:r>
      <w:r w:rsidR="003F299A">
        <w:t xml:space="preserve"> the range of exceptions contained in Schedule 2 </w:t>
      </w:r>
      <w:r w:rsidR="002455CF">
        <w:t xml:space="preserve">to the BSA </w:t>
      </w:r>
      <w:r w:rsidR="003F299A">
        <w:t xml:space="preserve">as </w:t>
      </w:r>
      <w:r w:rsidR="003F7E82">
        <w:t>it is intended that the anti</w:t>
      </w:r>
      <w:r w:rsidR="002455CF">
        <w:noBreakHyphen/>
      </w:r>
      <w:r w:rsidR="003F7E82">
        <w:t xml:space="preserve">siphoning scheme apply to all providers of content services. </w:t>
      </w:r>
      <w:r w:rsidR="00BC75E6">
        <w:t>A narrower definition of ‘online content service’ wouldn’t be appropriate for this model as it wouldn’t capture services that are not provided using the internet (namely, broadcasting services).</w:t>
      </w:r>
    </w:p>
    <w:p w14:paraId="77477E26" w14:textId="28338504" w:rsidR="00F67C95" w:rsidRDefault="00886201" w:rsidP="008655EF">
      <w:pPr>
        <w:spacing w:after="0"/>
      </w:pPr>
      <w:r>
        <w:t xml:space="preserve">In addition, the free-to-view model would contain provisions relating to the </w:t>
      </w:r>
      <w:r w:rsidRPr="00886201">
        <w:rPr>
          <w:u w:val="single"/>
        </w:rPr>
        <w:t>application</w:t>
      </w:r>
      <w:r>
        <w:t xml:space="preserve"> of the availability and </w:t>
      </w:r>
      <w:r w:rsidRPr="00AC2B9B">
        <w:t xml:space="preserve">coverage obligations. Under the model, a person – </w:t>
      </w:r>
      <w:r w:rsidR="008655EF" w:rsidRPr="00AC2B9B">
        <w:t>whether they are a content service provider or not</w:t>
      </w:r>
      <w:r w:rsidRPr="00AC2B9B">
        <w:t xml:space="preserve"> – </w:t>
      </w:r>
      <w:r w:rsidR="008655EF" w:rsidRPr="00AC2B9B">
        <w:t xml:space="preserve">could hold a media right to a listed event </w:t>
      </w:r>
      <w:r w:rsidR="008655EF" w:rsidRPr="00AC2B9B">
        <w:rPr>
          <w:u w:val="single"/>
        </w:rPr>
        <w:t>without</w:t>
      </w:r>
      <w:r w:rsidR="008655EF" w:rsidRPr="00AC2B9B">
        <w:t xml:space="preserve"> triggering the availability and coverage obligations. </w:t>
      </w:r>
      <w:r w:rsidRPr="00AC2B9B">
        <w:t>This is an important construction.</w:t>
      </w:r>
    </w:p>
    <w:p w14:paraId="0CBF6E7F" w14:textId="4280651E" w:rsidR="00573669" w:rsidRPr="00AC2B9B" w:rsidRDefault="00886201" w:rsidP="005734D1">
      <w:pPr>
        <w:spacing w:after="0"/>
      </w:pPr>
      <w:r w:rsidRPr="00AC2B9B">
        <w:t xml:space="preserve">If </w:t>
      </w:r>
      <w:r w:rsidR="00F67C95">
        <w:t xml:space="preserve">a person that held a right to a listed event </w:t>
      </w:r>
      <w:r w:rsidRPr="00AC2B9B">
        <w:t xml:space="preserve">were </w:t>
      </w:r>
      <w:r w:rsidR="005734D1">
        <w:t xml:space="preserve">to be </w:t>
      </w:r>
      <w:r w:rsidR="00573669" w:rsidRPr="00AC2B9B">
        <w:t>s</w:t>
      </w:r>
      <w:r w:rsidRPr="00AC2B9B">
        <w:t>ubject to the obligations</w:t>
      </w:r>
      <w:r w:rsidR="00181B14">
        <w:t xml:space="preserve"> simply </w:t>
      </w:r>
      <w:r w:rsidR="00556DEA">
        <w:t xml:space="preserve">as a product of </w:t>
      </w:r>
      <w:r w:rsidR="00181B14">
        <w:t>holding that right</w:t>
      </w:r>
      <w:r w:rsidRPr="00AC2B9B">
        <w:t xml:space="preserve">, </w:t>
      </w:r>
      <w:r w:rsidR="005734D1">
        <w:t xml:space="preserve">then </w:t>
      </w:r>
      <w:r w:rsidRPr="00AC2B9B">
        <w:t>th</w:t>
      </w:r>
      <w:r w:rsidR="00573669" w:rsidRPr="00AC2B9B">
        <w:t>is could have a range of unintended consequences. For example, a sports body or a sports rights broker or intermediary</w:t>
      </w:r>
      <w:r w:rsidR="00181B14">
        <w:t xml:space="preserve"> may, depending on the circumstances, technically hold a right to a listed event. However, they may </w:t>
      </w:r>
      <w:r w:rsidR="00181B14" w:rsidRPr="00AC2B9B">
        <w:t>not actually be a content service provider</w:t>
      </w:r>
      <w:r w:rsidR="005734D1">
        <w:t xml:space="preserve"> or otherwise be capable of providing coverage of the event to Australian audiences. It would be unreasonable to impose the obligations in these circumstances.</w:t>
      </w:r>
    </w:p>
    <w:p w14:paraId="26FEA6D3" w14:textId="5ED5559E" w:rsidR="008655EF" w:rsidRDefault="00573669" w:rsidP="008655EF">
      <w:pPr>
        <w:spacing w:after="0"/>
      </w:pPr>
      <w:r w:rsidRPr="00AC2B9B">
        <w:t>As such, the obligations under the free-to-view model</w:t>
      </w:r>
      <w:r w:rsidR="008655EF">
        <w:t xml:space="preserve"> would apply </w:t>
      </w:r>
      <w:r w:rsidR="00556DEA">
        <w:t xml:space="preserve">only </w:t>
      </w:r>
      <w:r w:rsidR="008655EF">
        <w:t xml:space="preserve">to content </w:t>
      </w:r>
      <w:r w:rsidR="008655EF" w:rsidRPr="00AC2B9B">
        <w:t>service</w:t>
      </w:r>
      <w:r w:rsidRPr="00AC2B9B">
        <w:t xml:space="preserve">s </w:t>
      </w:r>
      <w:r w:rsidR="008655EF" w:rsidRPr="00AC2B9B">
        <w:t xml:space="preserve">that actually </w:t>
      </w:r>
      <w:r w:rsidR="008655EF" w:rsidRPr="00AC2B9B">
        <w:rPr>
          <w:u w:val="single"/>
        </w:rPr>
        <w:t>provide coverage</w:t>
      </w:r>
      <w:r w:rsidR="008655EF">
        <w:t xml:space="preserve"> of a listed event to </w:t>
      </w:r>
      <w:r w:rsidR="008655EF" w:rsidRPr="00DE108D">
        <w:rPr>
          <w:u w:val="single"/>
        </w:rPr>
        <w:t>audiences in Australia</w:t>
      </w:r>
      <w:r w:rsidR="008655EF">
        <w:t>.</w:t>
      </w:r>
    </w:p>
    <w:p w14:paraId="1252B855" w14:textId="39426FA8" w:rsidR="00573669" w:rsidRPr="00AC2B9B" w:rsidRDefault="00573669" w:rsidP="008655EF">
      <w:pPr>
        <w:spacing w:after="0"/>
      </w:pPr>
      <w:r w:rsidRPr="00AC2B9B">
        <w:t xml:space="preserve">To meet the threshold of </w:t>
      </w:r>
      <w:r w:rsidR="00556DEA">
        <w:t>‘</w:t>
      </w:r>
      <w:r w:rsidRPr="00AC2B9B">
        <w:t>providing coverage of listed events to audiences in Australia</w:t>
      </w:r>
      <w:r w:rsidR="00556DEA">
        <w:t>’</w:t>
      </w:r>
      <w:r w:rsidRPr="00AC2B9B">
        <w:t>, the coverage would need to be provided:</w:t>
      </w:r>
    </w:p>
    <w:p w14:paraId="0A7659E4" w14:textId="05CF3D1C" w:rsidR="008655EF" w:rsidRDefault="008655EF" w:rsidP="00355EA7">
      <w:pPr>
        <w:pStyle w:val="ListParagraph"/>
        <w:numPr>
          <w:ilvl w:val="0"/>
          <w:numId w:val="17"/>
        </w:numPr>
        <w:spacing w:after="120"/>
        <w:ind w:left="357" w:hanging="357"/>
        <w:contextualSpacing w:val="0"/>
      </w:pPr>
      <w:r>
        <w:t>in a manner that is accessible to, or delivered to, one or more end-users in Australia;</w:t>
      </w:r>
      <w:r>
        <w:rPr>
          <w:rStyle w:val="FootnoteReference"/>
        </w:rPr>
        <w:footnoteReference w:id="89"/>
      </w:r>
      <w:r w:rsidRPr="0099458F">
        <w:rPr>
          <w:rStyle w:val="FootnoteReference"/>
        </w:rPr>
        <w:t xml:space="preserve"> </w:t>
      </w:r>
      <w:r>
        <w:t>and</w:t>
      </w:r>
    </w:p>
    <w:p w14:paraId="6F6055BC" w14:textId="77777777" w:rsidR="008655EF" w:rsidRDefault="008655EF" w:rsidP="00601CFD">
      <w:pPr>
        <w:pStyle w:val="ListParagraph"/>
        <w:numPr>
          <w:ilvl w:val="0"/>
          <w:numId w:val="17"/>
        </w:numPr>
        <w:spacing w:after="0"/>
      </w:pPr>
      <w:r>
        <w:t>wholly or partly for the purpose of serving Australian audiences;</w:t>
      </w:r>
      <w:r w:rsidR="009412B1" w:rsidRPr="00AC2B9B">
        <w:rPr>
          <w:rStyle w:val="FootnoteReference"/>
        </w:rPr>
        <w:footnoteReference w:id="90"/>
      </w:r>
    </w:p>
    <w:p w14:paraId="11E9BA49" w14:textId="2093B63D" w:rsidR="008655EF" w:rsidRDefault="008655EF" w:rsidP="008655EF">
      <w:pPr>
        <w:spacing w:after="0"/>
      </w:pPr>
      <w:r>
        <w:t xml:space="preserve">where that coverage comprises video </w:t>
      </w:r>
      <w:r w:rsidR="00AC2B9B" w:rsidRPr="00AC2B9B">
        <w:t>footage</w:t>
      </w:r>
      <w:r w:rsidRPr="00AC2B9B">
        <w:t xml:space="preserve"> of </w:t>
      </w:r>
      <w:r w:rsidR="009412B1" w:rsidRPr="00AC2B9B">
        <w:t>a</w:t>
      </w:r>
      <w:r>
        <w:t xml:space="preserve"> part or the whole of the sporting event, irrespective of the technical characteristics of the provision or transmission.</w:t>
      </w:r>
    </w:p>
    <w:p w14:paraId="4E9C371E" w14:textId="5DC2FA21" w:rsidR="00BD7AD8" w:rsidRDefault="00BD7AD8" w:rsidP="00C975BD">
      <w:pPr>
        <w:spacing w:after="0"/>
        <w:rPr>
          <w:b/>
        </w:rPr>
      </w:pPr>
      <w:r>
        <w:rPr>
          <w:b/>
        </w:rPr>
        <w:t>Availab</w:t>
      </w:r>
      <w:r w:rsidR="007D3D08">
        <w:rPr>
          <w:b/>
        </w:rPr>
        <w:t>ilit</w:t>
      </w:r>
      <w:r>
        <w:rPr>
          <w:b/>
        </w:rPr>
        <w:t>y obligation</w:t>
      </w:r>
    </w:p>
    <w:p w14:paraId="59FB675E" w14:textId="2F5E924C" w:rsidR="00BD7AD8" w:rsidRDefault="00A429A7" w:rsidP="00BD7AD8">
      <w:pPr>
        <w:spacing w:after="0"/>
      </w:pPr>
      <w:r>
        <w:t xml:space="preserve">In order to </w:t>
      </w:r>
      <w:r w:rsidR="00556DEA">
        <w:t>satisfy</w:t>
      </w:r>
      <w:r>
        <w:t xml:space="preserve"> the availability obligation, a content service would need to provide coverage of the listed event</w:t>
      </w:r>
      <w:r w:rsidR="00BD7AD8">
        <w:t xml:space="preserve"> </w:t>
      </w:r>
      <w:r w:rsidR="00BD7AD8" w:rsidRPr="00F5016C">
        <w:t xml:space="preserve">to the Australian public for </w:t>
      </w:r>
      <w:r w:rsidR="00BD7AD8" w:rsidRPr="007B0730">
        <w:rPr>
          <w:u w:val="single"/>
        </w:rPr>
        <w:t>free</w:t>
      </w:r>
      <w:r w:rsidR="00BD7AD8" w:rsidRPr="00F5016C">
        <w:t xml:space="preserve"> and on a </w:t>
      </w:r>
      <w:r w:rsidR="00BD7AD8" w:rsidRPr="007B0730">
        <w:rPr>
          <w:u w:val="single"/>
        </w:rPr>
        <w:t>broadly available technology platform</w:t>
      </w:r>
      <w:r w:rsidR="00BD7AD8">
        <w:t>.</w:t>
      </w:r>
    </w:p>
    <w:p w14:paraId="1CB96973" w14:textId="5A1F2BF3" w:rsidR="00302495" w:rsidRPr="00302495" w:rsidRDefault="00302495" w:rsidP="00302495">
      <w:pPr>
        <w:spacing w:after="0"/>
        <w:rPr>
          <w:u w:val="single"/>
        </w:rPr>
      </w:pPr>
      <w:r w:rsidRPr="00302495">
        <w:rPr>
          <w:u w:val="single"/>
        </w:rPr>
        <w:t>Free availability</w:t>
      </w:r>
    </w:p>
    <w:p w14:paraId="100F34A0" w14:textId="78E5E7E9" w:rsidR="00BC0AE9" w:rsidRDefault="00302495" w:rsidP="00302495">
      <w:pPr>
        <w:spacing w:after="0"/>
        <w:rPr>
          <w:szCs w:val="18"/>
        </w:rPr>
      </w:pPr>
      <w:bookmarkStart w:id="167" w:name="_Hlk139980783"/>
      <w:r>
        <w:t>The coverage of listed events would need to be ‘free’.</w:t>
      </w:r>
      <w:r>
        <w:rPr>
          <w:szCs w:val="18"/>
        </w:rPr>
        <w:t xml:space="preserve"> Under this model, coverage would be </w:t>
      </w:r>
      <w:r w:rsidRPr="00E169F1">
        <w:rPr>
          <w:szCs w:val="18"/>
        </w:rPr>
        <w:t xml:space="preserve">‘free’ </w:t>
      </w:r>
      <w:r>
        <w:rPr>
          <w:szCs w:val="18"/>
        </w:rPr>
        <w:t xml:space="preserve">if viewers of the event are not required to explicitly pay to access coverage. </w:t>
      </w:r>
      <w:r w:rsidR="00C03757">
        <w:rPr>
          <w:szCs w:val="18"/>
        </w:rPr>
        <w:t>In other words, t</w:t>
      </w:r>
      <w:r>
        <w:rPr>
          <w:szCs w:val="18"/>
        </w:rPr>
        <w:t xml:space="preserve">here are no </w:t>
      </w:r>
      <w:r w:rsidRPr="008E7338">
        <w:rPr>
          <w:szCs w:val="18"/>
        </w:rPr>
        <w:t>direct</w:t>
      </w:r>
      <w:r>
        <w:rPr>
          <w:szCs w:val="18"/>
        </w:rPr>
        <w:t xml:space="preserve"> or explicit</w:t>
      </w:r>
      <w:r w:rsidRPr="008E7338">
        <w:rPr>
          <w:szCs w:val="18"/>
        </w:rPr>
        <w:t xml:space="preserve"> payments</w:t>
      </w:r>
      <w:r>
        <w:rPr>
          <w:szCs w:val="18"/>
        </w:rPr>
        <w:t>,</w:t>
      </w:r>
      <w:r w:rsidRPr="008E7338">
        <w:rPr>
          <w:szCs w:val="18"/>
        </w:rPr>
        <w:t xml:space="preserve"> </w:t>
      </w:r>
      <w:r>
        <w:rPr>
          <w:szCs w:val="18"/>
        </w:rPr>
        <w:t>such</w:t>
      </w:r>
      <w:r w:rsidRPr="008E7338">
        <w:rPr>
          <w:szCs w:val="18"/>
        </w:rPr>
        <w:t xml:space="preserve"> </w:t>
      </w:r>
      <w:r w:rsidR="004C7E29">
        <w:rPr>
          <w:szCs w:val="18"/>
        </w:rPr>
        <w:t>as</w:t>
      </w:r>
      <w:r w:rsidRPr="008E7338">
        <w:rPr>
          <w:szCs w:val="18"/>
        </w:rPr>
        <w:t xml:space="preserve"> subscription fees or pay-per-view </w:t>
      </w:r>
      <w:r>
        <w:rPr>
          <w:szCs w:val="18"/>
        </w:rPr>
        <w:t xml:space="preserve">charges, associated with the </w:t>
      </w:r>
      <w:r w:rsidRPr="008E7338">
        <w:rPr>
          <w:szCs w:val="18"/>
        </w:rPr>
        <w:t>coverage</w:t>
      </w:r>
      <w:r>
        <w:rPr>
          <w:szCs w:val="18"/>
        </w:rPr>
        <w:t xml:space="preserve"> of the event by the content service.</w:t>
      </w:r>
    </w:p>
    <w:p w14:paraId="32629B6B" w14:textId="15FD7E95" w:rsidR="00302495" w:rsidRDefault="00302495" w:rsidP="00302495">
      <w:pPr>
        <w:spacing w:after="0"/>
        <w:rPr>
          <w:szCs w:val="18"/>
        </w:rPr>
      </w:pPr>
      <w:r>
        <w:rPr>
          <w:szCs w:val="18"/>
        </w:rPr>
        <w:t>The free coverage obligation would not restrict the provision of advertising as part of the coverage. Nor would it extend to any ‘implicit costs’ associated with viewing the event, such as internet access</w:t>
      </w:r>
      <w:r w:rsidRPr="008E7338">
        <w:rPr>
          <w:szCs w:val="18"/>
        </w:rPr>
        <w:t xml:space="preserve"> charge</w:t>
      </w:r>
      <w:r>
        <w:rPr>
          <w:szCs w:val="18"/>
        </w:rPr>
        <w:t>s</w:t>
      </w:r>
      <w:r w:rsidR="00AD7BBF">
        <w:rPr>
          <w:szCs w:val="18"/>
        </w:rPr>
        <w:t>,</w:t>
      </w:r>
      <w:r w:rsidRPr="008E7338">
        <w:rPr>
          <w:szCs w:val="18"/>
        </w:rPr>
        <w:t xml:space="preserve"> the costs </w:t>
      </w:r>
      <w:r>
        <w:rPr>
          <w:szCs w:val="18"/>
        </w:rPr>
        <w:t xml:space="preserve">of </w:t>
      </w:r>
      <w:r w:rsidRPr="008E7338">
        <w:rPr>
          <w:szCs w:val="18"/>
        </w:rPr>
        <w:t>reception equipment</w:t>
      </w:r>
      <w:r>
        <w:rPr>
          <w:szCs w:val="18"/>
        </w:rPr>
        <w:t xml:space="preserve"> or devices</w:t>
      </w:r>
      <w:r w:rsidR="00AD7BBF">
        <w:rPr>
          <w:szCs w:val="18"/>
        </w:rPr>
        <w:t xml:space="preserve">, or </w:t>
      </w:r>
      <w:r w:rsidR="007C1D44">
        <w:rPr>
          <w:szCs w:val="18"/>
        </w:rPr>
        <w:t>any requirement for users to have an account with the service.</w:t>
      </w:r>
    </w:p>
    <w:bookmarkEnd w:id="167"/>
    <w:p w14:paraId="0BF121AE" w14:textId="77777777" w:rsidR="00302495" w:rsidRPr="00302495" w:rsidRDefault="00302495" w:rsidP="00C975BD">
      <w:pPr>
        <w:spacing w:after="0"/>
        <w:rPr>
          <w:u w:val="single"/>
        </w:rPr>
      </w:pPr>
      <w:r w:rsidRPr="00302495">
        <w:rPr>
          <w:u w:val="single"/>
        </w:rPr>
        <w:lastRenderedPageBreak/>
        <w:t>A broadly available technology platform</w:t>
      </w:r>
    </w:p>
    <w:p w14:paraId="3CA5C077" w14:textId="6799D1C2" w:rsidR="0032079F" w:rsidRDefault="00302495" w:rsidP="00C975BD">
      <w:pPr>
        <w:spacing w:after="0"/>
      </w:pPr>
      <w:r>
        <w:t>A c</w:t>
      </w:r>
      <w:r w:rsidR="00CF5706">
        <w:t xml:space="preserve">ontent service could use any technology platform to </w:t>
      </w:r>
      <w:r w:rsidR="00F36FA3">
        <w:t>provide</w:t>
      </w:r>
      <w:r w:rsidR="00CF5706">
        <w:t xml:space="preserve"> coverage </w:t>
      </w:r>
      <w:r>
        <w:t>of the listed event to Australians</w:t>
      </w:r>
      <w:r w:rsidR="00CF5706">
        <w:t xml:space="preserve"> as </w:t>
      </w:r>
      <w:r w:rsidR="00A429A7">
        <w:t xml:space="preserve">the definition of a content service </w:t>
      </w:r>
      <w:r w:rsidR="00BC0AE9">
        <w:t xml:space="preserve">– adopted from Schedule 7 to the BSA – </w:t>
      </w:r>
      <w:r w:rsidR="00A429A7">
        <w:t>is technology-neutral</w:t>
      </w:r>
      <w:r w:rsidR="00CF5706">
        <w:t xml:space="preserve"> and </w:t>
      </w:r>
      <w:r w:rsidR="00A429A7">
        <w:t>linked to the provision of content via a carriage service</w:t>
      </w:r>
      <w:r w:rsidR="00CF5706">
        <w:t>.</w:t>
      </w:r>
      <w:r w:rsidR="00A429A7">
        <w:rPr>
          <w:rStyle w:val="FootnoteReference"/>
        </w:rPr>
        <w:footnoteReference w:id="91"/>
      </w:r>
      <w:r w:rsidR="00A429A7">
        <w:t xml:space="preserve"> </w:t>
      </w:r>
      <w:r w:rsidR="008742B1">
        <w:t xml:space="preserve">However, the </w:t>
      </w:r>
      <w:r w:rsidR="00F36FA3">
        <w:t>content service provider</w:t>
      </w:r>
      <w:r w:rsidR="008742B1">
        <w:t xml:space="preserve"> would need to satisfy a requirement </w:t>
      </w:r>
      <w:r w:rsidR="00F36FA3">
        <w:t xml:space="preserve">that the </w:t>
      </w:r>
      <w:r w:rsidR="00CF5706">
        <w:t xml:space="preserve">technology platform </w:t>
      </w:r>
      <w:r w:rsidR="00BC0AE9">
        <w:t xml:space="preserve">used to provide coverage of the event </w:t>
      </w:r>
      <w:r w:rsidR="00F36FA3">
        <w:t>is</w:t>
      </w:r>
      <w:r w:rsidR="008742B1">
        <w:t xml:space="preserve"> </w:t>
      </w:r>
      <w:r w:rsidR="00723AE6">
        <w:t>‘</w:t>
      </w:r>
      <w:r w:rsidR="00723AE6" w:rsidRPr="00BC0AE9">
        <w:rPr>
          <w:u w:val="single"/>
        </w:rPr>
        <w:t>broadly available</w:t>
      </w:r>
      <w:r w:rsidR="00723AE6">
        <w:t>’</w:t>
      </w:r>
      <w:r w:rsidR="007C1D44">
        <w:t xml:space="preserve"> to the Australian population.</w:t>
      </w:r>
    </w:p>
    <w:p w14:paraId="3FF058C3" w14:textId="1310DDD0" w:rsidR="00BC0AE9" w:rsidRDefault="00BC0AE9" w:rsidP="00C975BD">
      <w:pPr>
        <w:spacing w:after="0"/>
      </w:pPr>
      <w:r>
        <w:t xml:space="preserve">This element of the obligation would be important to fulfil the objective of the scheme of </w:t>
      </w:r>
      <w:r w:rsidR="00C03757">
        <w:t xml:space="preserve">supporting </w:t>
      </w:r>
      <w:r>
        <w:t>free</w:t>
      </w:r>
      <w:r w:rsidR="00C03757">
        <w:t xml:space="preserve"> access to televised</w:t>
      </w:r>
      <w:r>
        <w:t xml:space="preserve"> coverage of </w:t>
      </w:r>
      <w:r w:rsidR="00B5207D">
        <w:t xml:space="preserve">nationally important and culturally significant </w:t>
      </w:r>
      <w:r>
        <w:t xml:space="preserve">sporting events to all Australians. If content services were able to use a technology platform available to only a subset or portion of the </w:t>
      </w:r>
      <w:r w:rsidR="007C1D44">
        <w:t xml:space="preserve">Australian </w:t>
      </w:r>
      <w:r>
        <w:t>population, it would be unlikely to support this objective.</w:t>
      </w:r>
    </w:p>
    <w:p w14:paraId="028A1553" w14:textId="091A4257" w:rsidR="003A23B4" w:rsidRDefault="00BC0AE9" w:rsidP="00C975BD">
      <w:pPr>
        <w:spacing w:after="0"/>
      </w:pPr>
      <w:r>
        <w:t>However, this threshold</w:t>
      </w:r>
      <w:r w:rsidR="00E77150">
        <w:t xml:space="preserve"> injects a degree of uncertainty into the model. While there </w:t>
      </w:r>
      <w:r w:rsidR="009E3182">
        <w:t xml:space="preserve">is no standard for what might constitute </w:t>
      </w:r>
      <w:r w:rsidR="00BE5818">
        <w:t xml:space="preserve">a </w:t>
      </w:r>
      <w:r w:rsidR="00F36FA3">
        <w:t>‘</w:t>
      </w:r>
      <w:r w:rsidR="00C975BD">
        <w:t>broadly available</w:t>
      </w:r>
      <w:r w:rsidR="00BE5818">
        <w:t xml:space="preserve"> technology platform</w:t>
      </w:r>
      <w:r w:rsidR="00F36FA3">
        <w:t>’</w:t>
      </w:r>
      <w:r w:rsidR="00BE5818">
        <w:t xml:space="preserve">, </w:t>
      </w:r>
      <w:r w:rsidR="00E77150">
        <w:t>fr</w:t>
      </w:r>
      <w:r w:rsidR="00C975BD">
        <w:t xml:space="preserve">ee-to-air </w:t>
      </w:r>
      <w:r w:rsidR="00BD4DB7">
        <w:t>television</w:t>
      </w:r>
      <w:r w:rsidR="00C975BD">
        <w:t xml:space="preserve"> services </w:t>
      </w:r>
      <w:r w:rsidR="00E41766">
        <w:t xml:space="preserve">provide a useful </w:t>
      </w:r>
      <w:r w:rsidR="00C975BD">
        <w:t>benchmark.</w:t>
      </w:r>
    </w:p>
    <w:p w14:paraId="0660B486" w14:textId="0EEE8E5A" w:rsidR="00E41766" w:rsidRDefault="00E7441A" w:rsidP="00C975BD">
      <w:pPr>
        <w:spacing w:after="0"/>
      </w:pPr>
      <w:r w:rsidRPr="001B1705">
        <w:t>In 2017, 98 per cent of Australian households were able to receive terrestrial television services on every working set in the household.</w:t>
      </w:r>
      <w:r w:rsidR="00DD0F01" w:rsidRPr="001B1705">
        <w:rPr>
          <w:rStyle w:val="FootnoteReference"/>
        </w:rPr>
        <w:footnoteReference w:id="92"/>
      </w:r>
      <w:r w:rsidRPr="001B1705">
        <w:t xml:space="preserve"> </w:t>
      </w:r>
      <w:r w:rsidR="00F678EE">
        <w:t>Other</w:t>
      </w:r>
      <w:r w:rsidR="001B1705" w:rsidRPr="001B1705">
        <w:t xml:space="preserve"> estimates suggest that f</w:t>
      </w:r>
      <w:r w:rsidR="00C975BD" w:rsidRPr="001B1705">
        <w:t xml:space="preserve">ree-to-air </w:t>
      </w:r>
      <w:r w:rsidR="00BD4DB7" w:rsidRPr="001B1705">
        <w:t xml:space="preserve">television </w:t>
      </w:r>
      <w:r w:rsidR="00C975BD" w:rsidRPr="001B1705">
        <w:t xml:space="preserve">broadcasting services </w:t>
      </w:r>
      <w:r w:rsidR="00427C4B" w:rsidRPr="001B1705">
        <w:t>reach</w:t>
      </w:r>
      <w:r w:rsidR="00C975BD" w:rsidRPr="001B1705">
        <w:t xml:space="preserve"> 99</w:t>
      </w:r>
      <w:r w:rsidR="00BA1F37" w:rsidRPr="001B1705">
        <w:t xml:space="preserve"> per cent</w:t>
      </w:r>
      <w:r w:rsidR="001B1705" w:rsidRPr="001B1705">
        <w:t xml:space="preserve"> </w:t>
      </w:r>
      <w:r w:rsidR="00C975BD" w:rsidRPr="001B1705">
        <w:t>of the Australian population via commonly available reception equipment (television sets, set</w:t>
      </w:r>
      <w:r w:rsidR="003E677B">
        <w:noBreakHyphen/>
      </w:r>
      <w:r w:rsidR="00C975BD" w:rsidRPr="001B1705">
        <w:t>top</w:t>
      </w:r>
      <w:r w:rsidR="003E677B">
        <w:noBreakHyphen/>
      </w:r>
      <w:r w:rsidR="00C975BD" w:rsidRPr="001B1705">
        <w:t xml:space="preserve">boxes and other devices with an inbuilt </w:t>
      </w:r>
      <w:r w:rsidR="00445AD3" w:rsidRPr="00445AD3">
        <w:t xml:space="preserve">radio frequency </w:t>
      </w:r>
      <w:r w:rsidR="00445AD3">
        <w:t>(</w:t>
      </w:r>
      <w:r w:rsidR="00C975BD" w:rsidRPr="001B1705">
        <w:t>RF tuner</w:t>
      </w:r>
      <w:r w:rsidR="00445AD3">
        <w:t>)</w:t>
      </w:r>
      <w:r w:rsidR="00C975BD" w:rsidRPr="001B1705">
        <w:t>, or connected to a device with an RF tuner).</w:t>
      </w:r>
      <w:r w:rsidR="001B1705" w:rsidRPr="001B1705">
        <w:rPr>
          <w:rStyle w:val="FootnoteReference"/>
        </w:rPr>
        <w:footnoteReference w:id="93"/>
      </w:r>
    </w:p>
    <w:p w14:paraId="6ABC9B6F" w14:textId="70D7CAF7" w:rsidR="00682A75" w:rsidRDefault="00D22837" w:rsidP="00855DDE">
      <w:pPr>
        <w:spacing w:after="0"/>
      </w:pPr>
      <w:r w:rsidRPr="00EF6877">
        <w:t>For t</w:t>
      </w:r>
      <w:r w:rsidR="00F36FA3" w:rsidRPr="00EF6877">
        <w:t>he</w:t>
      </w:r>
      <w:r w:rsidRPr="00EF6877">
        <w:t xml:space="preserve"> </w:t>
      </w:r>
      <w:r w:rsidR="00BE5818" w:rsidRPr="00EF6877">
        <w:t>f</w:t>
      </w:r>
      <w:r w:rsidR="00714796" w:rsidRPr="00EF6877">
        <w:t xml:space="preserve">ree-to-view </w:t>
      </w:r>
      <w:r w:rsidRPr="00EF6877">
        <w:t xml:space="preserve">model, </w:t>
      </w:r>
      <w:r w:rsidR="00BC0AE9" w:rsidRPr="00EF6877">
        <w:t>it is proposed that</w:t>
      </w:r>
      <w:r w:rsidR="00F36FA3" w:rsidRPr="00EF6877">
        <w:t xml:space="preserve"> the content service must provide coverage using a platform that is </w:t>
      </w:r>
      <w:r w:rsidRPr="00EF6877">
        <w:t xml:space="preserve">available to a minimum of </w:t>
      </w:r>
      <w:r w:rsidRPr="00EF6877">
        <w:rPr>
          <w:u w:val="single"/>
        </w:rPr>
        <w:t>99 per cent of the Australian population</w:t>
      </w:r>
      <w:r w:rsidRPr="00EF6877">
        <w:t>.</w:t>
      </w:r>
      <w:r w:rsidR="00E41766" w:rsidRPr="00EF6877">
        <w:t xml:space="preserve"> </w:t>
      </w:r>
      <w:r w:rsidR="00855DDE" w:rsidRPr="00EF6877">
        <w:t>As at September 2020, 99.</w:t>
      </w:r>
      <w:r w:rsidR="006E7C1B" w:rsidRPr="006E7C1B">
        <w:t>3 </w:t>
      </w:r>
      <w:r w:rsidR="006E7C1B" w:rsidRPr="00EF6877">
        <w:t>per</w:t>
      </w:r>
      <w:r w:rsidR="006E7C1B">
        <w:t> </w:t>
      </w:r>
      <w:r w:rsidR="00855DDE" w:rsidRPr="00EF6877">
        <w:t>cent of premises could connect to the</w:t>
      </w:r>
      <w:r w:rsidR="001D7B1A">
        <w:t xml:space="preserve"> National Broadband Network</w:t>
      </w:r>
      <w:r w:rsidR="00855DDE" w:rsidRPr="00EF6877">
        <w:t xml:space="preserve"> </w:t>
      </w:r>
      <w:r w:rsidR="001D7B1A">
        <w:t>(</w:t>
      </w:r>
      <w:r w:rsidR="00855DDE" w:rsidRPr="00EF6877">
        <w:t>NBN</w:t>
      </w:r>
      <w:r w:rsidR="001D7B1A">
        <w:t>)</w:t>
      </w:r>
      <w:r w:rsidR="00855DDE" w:rsidRPr="00EF6877">
        <w:rPr>
          <w:rStyle w:val="FootnoteReference"/>
        </w:rPr>
        <w:footnoteReference w:id="94"/>
      </w:r>
      <w:r w:rsidR="008E3EE1" w:rsidRPr="00EF6877">
        <w:t xml:space="preserve"> </w:t>
      </w:r>
      <w:r w:rsidR="009B0273" w:rsidRPr="00EF6877">
        <w:t xml:space="preserve">and </w:t>
      </w:r>
      <w:r w:rsidR="00EF6877" w:rsidRPr="00EF6877">
        <w:t xml:space="preserve">99.4 </w:t>
      </w:r>
      <w:r w:rsidR="009B0273" w:rsidRPr="00EF6877">
        <w:t xml:space="preserve">per cent of </w:t>
      </w:r>
      <w:r w:rsidR="009B0273" w:rsidRPr="006E7C1B">
        <w:rPr>
          <w:sz w:val="24"/>
        </w:rPr>
        <w:t>the</w:t>
      </w:r>
      <w:r w:rsidR="009B0273" w:rsidRPr="00EF6877">
        <w:t xml:space="preserve"> population </w:t>
      </w:r>
      <w:r w:rsidR="00EF6877" w:rsidRPr="00EF6877">
        <w:t xml:space="preserve">are currently able to access Telstra’s 4G </w:t>
      </w:r>
      <w:r w:rsidR="009B0273" w:rsidRPr="00EF6877">
        <w:t>services.</w:t>
      </w:r>
      <w:r w:rsidR="009B0273" w:rsidRPr="00EF6877">
        <w:rPr>
          <w:rStyle w:val="FootnoteReference"/>
        </w:rPr>
        <w:footnoteReference w:id="95"/>
      </w:r>
      <w:r w:rsidR="009B0273" w:rsidRPr="00EF6877">
        <w:t xml:space="preserve"> </w:t>
      </w:r>
      <w:r w:rsidR="00BE5818" w:rsidRPr="00EF6877">
        <w:t xml:space="preserve">On this simple metric, </w:t>
      </w:r>
      <w:r w:rsidR="00BC0AE9" w:rsidRPr="00EF6877">
        <w:t>content</w:t>
      </w:r>
      <w:r w:rsidR="00BE5818" w:rsidRPr="00EF6877">
        <w:t xml:space="preserve"> services that </w:t>
      </w:r>
      <w:r w:rsidR="00BC0AE9" w:rsidRPr="00EF6877">
        <w:t>were delivered</w:t>
      </w:r>
      <w:r w:rsidR="00BE5818" w:rsidRPr="00EF6877">
        <w:t xml:space="preserve"> online </w:t>
      </w:r>
      <w:r w:rsidR="00BC0AE9" w:rsidRPr="00EF6877">
        <w:t>would be</w:t>
      </w:r>
      <w:r w:rsidR="007C5F9B" w:rsidRPr="00EF6877">
        <w:t xml:space="preserve"> likely to</w:t>
      </w:r>
      <w:r w:rsidR="00BE5818" w:rsidRPr="00EF6877">
        <w:t xml:space="preserve"> satisfy the requirement of being broadly available.</w:t>
      </w:r>
    </w:p>
    <w:p w14:paraId="1DBC0AD6" w14:textId="21924F62" w:rsidR="00D26BF1" w:rsidRDefault="00E41766" w:rsidP="00E41766">
      <w:pPr>
        <w:spacing w:after="0"/>
      </w:pPr>
      <w:r>
        <w:t xml:space="preserve">However, </w:t>
      </w:r>
      <w:r w:rsidR="00BE5818" w:rsidRPr="00682A75">
        <w:rPr>
          <w:u w:val="single"/>
        </w:rPr>
        <w:t>availability doe</w:t>
      </w:r>
      <w:r w:rsidR="00CF5706" w:rsidRPr="00682A75">
        <w:rPr>
          <w:u w:val="single"/>
        </w:rPr>
        <w:t xml:space="preserve">sn’t </w:t>
      </w:r>
      <w:r w:rsidR="007C5F9B" w:rsidRPr="00682A75">
        <w:rPr>
          <w:u w:val="single"/>
        </w:rPr>
        <w:t>equate to access</w:t>
      </w:r>
      <w:r w:rsidR="00CF5706">
        <w:t xml:space="preserve"> by consumers, and factors </w:t>
      </w:r>
      <w:r w:rsidR="00BC0AE9">
        <w:t>such as</w:t>
      </w:r>
      <w:r w:rsidR="00CF5706">
        <w:t xml:space="preserve"> </w:t>
      </w:r>
      <w:r w:rsidR="009B0273">
        <w:t xml:space="preserve">take-up, </w:t>
      </w:r>
      <w:r w:rsidR="00F36FA3">
        <w:t>service cost</w:t>
      </w:r>
      <w:r w:rsidR="009B0273">
        <w:t xml:space="preserve"> and service capability are</w:t>
      </w:r>
      <w:r w:rsidR="00F36FA3">
        <w:t xml:space="preserve"> relevant to consideration of whether the model is capable of delivering on the objective of </w:t>
      </w:r>
      <w:r w:rsidR="00D73927">
        <w:t xml:space="preserve">supporting </w:t>
      </w:r>
      <w:r w:rsidR="00F36FA3">
        <w:t xml:space="preserve">free access to </w:t>
      </w:r>
      <w:r w:rsidR="00C03757">
        <w:t xml:space="preserve">televised </w:t>
      </w:r>
      <w:r w:rsidR="00F36FA3">
        <w:t xml:space="preserve">coverage of </w:t>
      </w:r>
      <w:r w:rsidR="00B5207D">
        <w:t xml:space="preserve">nationally important and culturally significant </w:t>
      </w:r>
      <w:r w:rsidR="00F36FA3">
        <w:t xml:space="preserve">sporting events. </w:t>
      </w:r>
      <w:r w:rsidR="00D73927">
        <w:t>This issue is discussed in more detail below.</w:t>
      </w:r>
    </w:p>
    <w:p w14:paraId="52FCE64C" w14:textId="04FC1A94" w:rsidR="00BD7AD8" w:rsidRDefault="00BD7AD8" w:rsidP="00C9576F">
      <w:pPr>
        <w:spacing w:after="0"/>
        <w:rPr>
          <w:b/>
        </w:rPr>
      </w:pPr>
      <w:r>
        <w:rPr>
          <w:b/>
        </w:rPr>
        <w:t>Coverage obligation</w:t>
      </w:r>
    </w:p>
    <w:p w14:paraId="4B1BC574" w14:textId="117B7805" w:rsidR="00BD7AD8" w:rsidRDefault="00BD7AD8" w:rsidP="00BD7AD8">
      <w:pPr>
        <w:spacing w:after="0"/>
      </w:pPr>
      <w:r>
        <w:t xml:space="preserve">In order to meet the coverage obligation, a content service would need to provide coverage of the listed event </w:t>
      </w:r>
      <w:r w:rsidRPr="007B0730">
        <w:rPr>
          <w:u w:val="single"/>
        </w:rPr>
        <w:t>live</w:t>
      </w:r>
      <w:r w:rsidRPr="00F5016C">
        <w:t xml:space="preserve"> and </w:t>
      </w:r>
      <w:r w:rsidRPr="007B0730">
        <w:rPr>
          <w:u w:val="single"/>
        </w:rPr>
        <w:t>in full</w:t>
      </w:r>
      <w:r>
        <w:t>.</w:t>
      </w:r>
    </w:p>
    <w:p w14:paraId="0372D6CD" w14:textId="48B81628" w:rsidR="005A12E9" w:rsidRPr="00BD7AD8" w:rsidRDefault="00AB03E0" w:rsidP="00C9576F">
      <w:pPr>
        <w:spacing w:after="0"/>
        <w:rPr>
          <w:u w:val="single"/>
        </w:rPr>
      </w:pPr>
      <w:r w:rsidRPr="00BD7AD8">
        <w:rPr>
          <w:u w:val="single"/>
        </w:rPr>
        <w:t xml:space="preserve">Live </w:t>
      </w:r>
      <w:r w:rsidR="005A12E9" w:rsidRPr="00BD7AD8">
        <w:rPr>
          <w:u w:val="single"/>
        </w:rPr>
        <w:t>coverage</w:t>
      </w:r>
    </w:p>
    <w:p w14:paraId="6875877D" w14:textId="5FB46A61" w:rsidR="00355EA7" w:rsidRDefault="005F101E" w:rsidP="00355EA7">
      <w:pPr>
        <w:spacing w:after="0"/>
        <w:rPr>
          <w:szCs w:val="18"/>
        </w:rPr>
      </w:pPr>
      <w:r>
        <w:t>Events w</w:t>
      </w:r>
      <w:r w:rsidR="00CF5706">
        <w:t>ould</w:t>
      </w:r>
      <w:r>
        <w:t xml:space="preserve"> be required to be shown ‘live’. </w:t>
      </w:r>
      <w:r w:rsidR="00646CC2">
        <w:rPr>
          <w:szCs w:val="18"/>
        </w:rPr>
        <w:t>The term ‘live’ would refer to</w:t>
      </w:r>
      <w:r w:rsidR="000A173E">
        <w:rPr>
          <w:szCs w:val="18"/>
        </w:rPr>
        <w:t xml:space="preserve"> coverage of the event at the time that the event occurs. </w:t>
      </w:r>
      <w:r w:rsidR="008C5EDB">
        <w:rPr>
          <w:szCs w:val="18"/>
        </w:rPr>
        <w:t xml:space="preserve">This definition would </w:t>
      </w:r>
      <w:r w:rsidR="000A173E">
        <w:rPr>
          <w:szCs w:val="18"/>
        </w:rPr>
        <w:t xml:space="preserve">require coverage of events to occur as play takes place, recognising </w:t>
      </w:r>
      <w:r w:rsidR="007D3D08">
        <w:rPr>
          <w:szCs w:val="18"/>
        </w:rPr>
        <w:t>the primacy of sport being live</w:t>
      </w:r>
      <w:r w:rsidR="000A173E">
        <w:rPr>
          <w:szCs w:val="18"/>
        </w:rPr>
        <w:t xml:space="preserve"> </w:t>
      </w:r>
      <w:r w:rsidR="007D3D08">
        <w:rPr>
          <w:szCs w:val="18"/>
        </w:rPr>
        <w:t>as opposed to other genres of entertainment content.</w:t>
      </w:r>
      <w:r w:rsidR="00355EA7">
        <w:rPr>
          <w:szCs w:val="18"/>
        </w:rPr>
        <w:br w:type="page"/>
      </w:r>
    </w:p>
    <w:p w14:paraId="1099FCA1" w14:textId="3BA27977" w:rsidR="000A173E" w:rsidRDefault="005F101E" w:rsidP="005A12E9">
      <w:pPr>
        <w:spacing w:after="0"/>
        <w:rPr>
          <w:szCs w:val="18"/>
        </w:rPr>
      </w:pPr>
      <w:r>
        <w:rPr>
          <w:szCs w:val="18"/>
        </w:rPr>
        <w:lastRenderedPageBreak/>
        <w:t xml:space="preserve">However, </w:t>
      </w:r>
      <w:r w:rsidR="000A173E">
        <w:rPr>
          <w:szCs w:val="18"/>
        </w:rPr>
        <w:t>exceptions would be permitted in particular circumstances, and this would include the circumstance where coverage was delayed due to:</w:t>
      </w:r>
    </w:p>
    <w:p w14:paraId="2AB4D9F5" w14:textId="27B0E8F8" w:rsidR="000A173E" w:rsidRPr="007E28C9" w:rsidRDefault="005F101E" w:rsidP="002B1D55">
      <w:pPr>
        <w:pStyle w:val="ListParagraph"/>
        <w:numPr>
          <w:ilvl w:val="0"/>
          <w:numId w:val="37"/>
        </w:numPr>
        <w:contextualSpacing w:val="0"/>
        <w:rPr>
          <w:szCs w:val="18"/>
        </w:rPr>
      </w:pPr>
      <w:r w:rsidRPr="000A173E">
        <w:rPr>
          <w:szCs w:val="18"/>
        </w:rPr>
        <w:t xml:space="preserve">the technical </w:t>
      </w:r>
      <w:r w:rsidR="002B1AC4" w:rsidRPr="000A173E">
        <w:rPr>
          <w:szCs w:val="18"/>
        </w:rPr>
        <w:t>parameters</w:t>
      </w:r>
      <w:r w:rsidRPr="000A173E">
        <w:rPr>
          <w:szCs w:val="18"/>
        </w:rPr>
        <w:t xml:space="preserve"> of the </w:t>
      </w:r>
      <w:r w:rsidR="008C5EDB" w:rsidRPr="000A173E">
        <w:rPr>
          <w:szCs w:val="18"/>
        </w:rPr>
        <w:t xml:space="preserve">particular </w:t>
      </w:r>
      <w:r w:rsidR="007D3D08" w:rsidRPr="000A173E">
        <w:rPr>
          <w:szCs w:val="18"/>
        </w:rPr>
        <w:t>technology</w:t>
      </w:r>
      <w:r w:rsidRPr="000A173E">
        <w:rPr>
          <w:szCs w:val="18"/>
        </w:rPr>
        <w:t xml:space="preserve"> platform</w:t>
      </w:r>
      <w:r w:rsidR="000A173E">
        <w:rPr>
          <w:szCs w:val="18"/>
        </w:rPr>
        <w:t xml:space="preserve"> (for example, where coverage via a particular technology or combination of technologies </w:t>
      </w:r>
      <w:r w:rsidR="00F34D0C">
        <w:rPr>
          <w:szCs w:val="18"/>
        </w:rPr>
        <w:t xml:space="preserve">unavoidably </w:t>
      </w:r>
      <w:r w:rsidR="000A173E">
        <w:rPr>
          <w:szCs w:val="18"/>
        </w:rPr>
        <w:t xml:space="preserve">involves a </w:t>
      </w:r>
      <w:r w:rsidR="00F34D0C">
        <w:rPr>
          <w:szCs w:val="18"/>
        </w:rPr>
        <w:t>‘lag’</w:t>
      </w:r>
      <w:r w:rsidR="000A173E">
        <w:rPr>
          <w:szCs w:val="18"/>
        </w:rPr>
        <w:t xml:space="preserve"> between play occurring and coverage being </w:t>
      </w:r>
      <w:r w:rsidR="00F34D0C">
        <w:rPr>
          <w:szCs w:val="18"/>
        </w:rPr>
        <w:t>available to the user of the content service</w:t>
      </w:r>
      <w:r w:rsidR="000A173E">
        <w:rPr>
          <w:szCs w:val="18"/>
        </w:rPr>
        <w:t>);</w:t>
      </w:r>
      <w:r w:rsidR="00455C23">
        <w:rPr>
          <w:szCs w:val="18"/>
        </w:rPr>
        <w:t xml:space="preserve"> and</w:t>
      </w:r>
    </w:p>
    <w:p w14:paraId="46A010BC" w14:textId="770B3B84" w:rsidR="00E71777" w:rsidRPr="007E28C9" w:rsidRDefault="008C5EDB" w:rsidP="002B1D55">
      <w:pPr>
        <w:pStyle w:val="ListParagraph"/>
        <w:numPr>
          <w:ilvl w:val="0"/>
          <w:numId w:val="37"/>
        </w:numPr>
        <w:contextualSpacing w:val="0"/>
        <w:rPr>
          <w:szCs w:val="18"/>
        </w:rPr>
      </w:pPr>
      <w:r w:rsidRPr="000A173E">
        <w:rPr>
          <w:szCs w:val="18"/>
        </w:rPr>
        <w:t xml:space="preserve">unforeseen </w:t>
      </w:r>
      <w:r w:rsidR="000A173E">
        <w:rPr>
          <w:szCs w:val="18"/>
        </w:rPr>
        <w:t xml:space="preserve">technical or </w:t>
      </w:r>
      <w:r w:rsidRPr="000A173E">
        <w:rPr>
          <w:szCs w:val="18"/>
        </w:rPr>
        <w:t>service outages</w:t>
      </w:r>
      <w:r w:rsidR="000A173E">
        <w:rPr>
          <w:szCs w:val="18"/>
        </w:rPr>
        <w:t xml:space="preserve">, </w:t>
      </w:r>
      <w:r w:rsidR="0046243D" w:rsidRPr="000A173E">
        <w:rPr>
          <w:szCs w:val="18"/>
        </w:rPr>
        <w:t xml:space="preserve">particularly those that are outside the control of the </w:t>
      </w:r>
      <w:r w:rsidR="00F34D0C">
        <w:rPr>
          <w:szCs w:val="18"/>
        </w:rPr>
        <w:t xml:space="preserve">content </w:t>
      </w:r>
      <w:r w:rsidR="0046243D" w:rsidRPr="000A173E">
        <w:rPr>
          <w:szCs w:val="18"/>
        </w:rPr>
        <w:t>service</w:t>
      </w:r>
      <w:r w:rsidR="000A173E">
        <w:rPr>
          <w:szCs w:val="18"/>
        </w:rPr>
        <w:t xml:space="preserve"> </w:t>
      </w:r>
      <w:r w:rsidR="003E1D6D">
        <w:rPr>
          <w:szCs w:val="18"/>
        </w:rPr>
        <w:t xml:space="preserve">provider </w:t>
      </w:r>
      <w:r w:rsidR="000A173E">
        <w:rPr>
          <w:szCs w:val="18"/>
        </w:rPr>
        <w:t xml:space="preserve">(for example, a network outage by a carriage </w:t>
      </w:r>
      <w:r w:rsidR="00D31EC6">
        <w:rPr>
          <w:szCs w:val="18"/>
        </w:rPr>
        <w:t>service</w:t>
      </w:r>
      <w:r w:rsidR="000A173E">
        <w:rPr>
          <w:szCs w:val="18"/>
        </w:rPr>
        <w:t xml:space="preserve"> that impacts on the abil</w:t>
      </w:r>
      <w:r w:rsidR="00D31EC6">
        <w:rPr>
          <w:szCs w:val="18"/>
        </w:rPr>
        <w:t>i</w:t>
      </w:r>
      <w:r w:rsidR="000A173E">
        <w:rPr>
          <w:szCs w:val="18"/>
        </w:rPr>
        <w:t>ty of a content service provider to provide live coverage of the event)</w:t>
      </w:r>
      <w:r w:rsidR="00455C23">
        <w:rPr>
          <w:szCs w:val="18"/>
        </w:rPr>
        <w:t>.</w:t>
      </w:r>
    </w:p>
    <w:p w14:paraId="07FF50D0" w14:textId="04F727B9" w:rsidR="007A7051" w:rsidRDefault="000A173E" w:rsidP="002B1D55">
      <w:pPr>
        <w:rPr>
          <w:szCs w:val="18"/>
        </w:rPr>
      </w:pPr>
      <w:r>
        <w:rPr>
          <w:szCs w:val="18"/>
        </w:rPr>
        <w:t>Even with these exceptions, this live coverage obligation</w:t>
      </w:r>
      <w:r w:rsidR="008C5EDB">
        <w:rPr>
          <w:szCs w:val="18"/>
        </w:rPr>
        <w:t xml:space="preserve"> is unlikely to be practicable for competitions that involve </w:t>
      </w:r>
      <w:r w:rsidR="007A7051">
        <w:rPr>
          <w:szCs w:val="18"/>
        </w:rPr>
        <w:t>significant amounts of simultaneous play. This could include:</w:t>
      </w:r>
    </w:p>
    <w:p w14:paraId="68CBF03C" w14:textId="18BBA5EC" w:rsidR="007A7051" w:rsidRDefault="007A7051" w:rsidP="00D72A24">
      <w:pPr>
        <w:pStyle w:val="ListParagraph"/>
        <w:numPr>
          <w:ilvl w:val="0"/>
          <w:numId w:val="39"/>
        </w:numPr>
        <w:contextualSpacing w:val="0"/>
        <w:rPr>
          <w:szCs w:val="18"/>
        </w:rPr>
      </w:pPr>
      <w:r>
        <w:rPr>
          <w:szCs w:val="18"/>
        </w:rPr>
        <w:t xml:space="preserve">competitions involving </w:t>
      </w:r>
      <w:r w:rsidR="003E1D6D" w:rsidRPr="007A7051">
        <w:rPr>
          <w:szCs w:val="18"/>
        </w:rPr>
        <w:t>single sports</w:t>
      </w:r>
      <w:r>
        <w:rPr>
          <w:szCs w:val="18"/>
        </w:rPr>
        <w:t>,</w:t>
      </w:r>
      <w:r w:rsidR="003E1D6D" w:rsidRPr="007A7051">
        <w:rPr>
          <w:szCs w:val="18"/>
        </w:rPr>
        <w:t xml:space="preserve"> </w:t>
      </w:r>
      <w:r>
        <w:rPr>
          <w:szCs w:val="18"/>
        </w:rPr>
        <w:t xml:space="preserve">but </w:t>
      </w:r>
      <w:r w:rsidR="003E1D6D" w:rsidRPr="007A7051">
        <w:rPr>
          <w:szCs w:val="18"/>
        </w:rPr>
        <w:t xml:space="preserve">with events </w:t>
      </w:r>
      <w:r>
        <w:rPr>
          <w:szCs w:val="18"/>
        </w:rPr>
        <w:t xml:space="preserve">or play </w:t>
      </w:r>
      <w:r w:rsidR="003E1D6D" w:rsidRPr="007A7051">
        <w:rPr>
          <w:szCs w:val="18"/>
        </w:rPr>
        <w:t xml:space="preserve">taking place </w:t>
      </w:r>
      <w:r w:rsidRPr="007A7051">
        <w:rPr>
          <w:szCs w:val="18"/>
        </w:rPr>
        <w:t xml:space="preserve">concurrently </w:t>
      </w:r>
      <w:r w:rsidR="003E1D6D" w:rsidRPr="007A7051">
        <w:rPr>
          <w:szCs w:val="18"/>
        </w:rPr>
        <w:t xml:space="preserve">(such as tennis </w:t>
      </w:r>
      <w:r>
        <w:rPr>
          <w:szCs w:val="18"/>
        </w:rPr>
        <w:t xml:space="preserve">and golf </w:t>
      </w:r>
      <w:r w:rsidR="003E1D6D" w:rsidRPr="00D72A24">
        <w:rPr>
          <w:szCs w:val="18"/>
        </w:rPr>
        <w:t>tournament</w:t>
      </w:r>
      <w:r w:rsidRPr="00D72A24">
        <w:rPr>
          <w:szCs w:val="18"/>
        </w:rPr>
        <w:t>s;</w:t>
      </w:r>
      <w:r>
        <w:rPr>
          <w:szCs w:val="18"/>
        </w:rPr>
        <w:t xml:space="preserve"> and</w:t>
      </w:r>
    </w:p>
    <w:p w14:paraId="72CC223C" w14:textId="71D90DAC" w:rsidR="007A7051" w:rsidRDefault="003E1D6D" w:rsidP="002B1D55">
      <w:pPr>
        <w:pStyle w:val="ListParagraph"/>
        <w:numPr>
          <w:ilvl w:val="0"/>
          <w:numId w:val="39"/>
        </w:numPr>
        <w:contextualSpacing w:val="0"/>
        <w:rPr>
          <w:szCs w:val="18"/>
        </w:rPr>
      </w:pPr>
      <w:r w:rsidRPr="007A7051">
        <w:rPr>
          <w:szCs w:val="18"/>
        </w:rPr>
        <w:t xml:space="preserve">competitions that involve </w:t>
      </w:r>
      <w:r w:rsidR="008C5EDB">
        <w:rPr>
          <w:szCs w:val="18"/>
        </w:rPr>
        <w:t xml:space="preserve">multiple </w:t>
      </w:r>
      <w:r w:rsidRPr="007A7051">
        <w:rPr>
          <w:szCs w:val="18"/>
        </w:rPr>
        <w:t>sports and multiple</w:t>
      </w:r>
      <w:r w:rsidR="007A7051" w:rsidRPr="007A7051">
        <w:rPr>
          <w:szCs w:val="18"/>
        </w:rPr>
        <w:t xml:space="preserve"> events taking place concurrently (such as</w:t>
      </w:r>
      <w:r w:rsidR="008C5EDB">
        <w:rPr>
          <w:szCs w:val="18"/>
        </w:rPr>
        <w:t xml:space="preserve"> the Summer and Winter Olympic Games and the Commonwealth Games</w:t>
      </w:r>
      <w:r w:rsidR="007A7051" w:rsidRPr="007A7051">
        <w:rPr>
          <w:szCs w:val="18"/>
        </w:rPr>
        <w:t>)</w:t>
      </w:r>
      <w:r w:rsidR="008C5EDB" w:rsidRPr="007A7051">
        <w:rPr>
          <w:szCs w:val="18"/>
        </w:rPr>
        <w:t>.</w:t>
      </w:r>
    </w:p>
    <w:p w14:paraId="1C4A3BFA" w14:textId="6C45458C" w:rsidR="00C9576F" w:rsidRDefault="00C9576F" w:rsidP="00C9576F">
      <w:pPr>
        <w:spacing w:after="0"/>
        <w:rPr>
          <w:szCs w:val="18"/>
        </w:rPr>
      </w:pPr>
      <w:r w:rsidRPr="007A7051">
        <w:rPr>
          <w:szCs w:val="18"/>
        </w:rPr>
        <w:t>A</w:t>
      </w:r>
      <w:r w:rsidR="008C5EDB" w:rsidRPr="007A7051">
        <w:rPr>
          <w:szCs w:val="18"/>
        </w:rPr>
        <w:t xml:space="preserve"> </w:t>
      </w:r>
      <w:r w:rsidR="008C5EDB">
        <w:rPr>
          <w:szCs w:val="18"/>
        </w:rPr>
        <w:t xml:space="preserve">reduction in the number of events on the list </w:t>
      </w:r>
      <w:r w:rsidR="002B1AC4">
        <w:rPr>
          <w:szCs w:val="18"/>
        </w:rPr>
        <w:t>would</w:t>
      </w:r>
      <w:r>
        <w:rPr>
          <w:szCs w:val="18"/>
        </w:rPr>
        <w:t xml:space="preserve"> be required to ensure the live coverage requirement is workable</w:t>
      </w:r>
      <w:r w:rsidR="007A7051">
        <w:rPr>
          <w:szCs w:val="18"/>
        </w:rPr>
        <w:t xml:space="preserve"> for these and other competitions</w:t>
      </w:r>
      <w:r>
        <w:rPr>
          <w:szCs w:val="18"/>
        </w:rPr>
        <w:t>, and this</w:t>
      </w:r>
      <w:r w:rsidR="00272C36">
        <w:rPr>
          <w:szCs w:val="18"/>
        </w:rPr>
        <w:t xml:space="preserve"> option for the list is </w:t>
      </w:r>
      <w:r w:rsidR="00D31EC6" w:rsidRPr="007A7051">
        <w:rPr>
          <w:szCs w:val="18"/>
        </w:rPr>
        <w:t>detailed</w:t>
      </w:r>
      <w:r w:rsidR="008C5EDB">
        <w:rPr>
          <w:szCs w:val="18"/>
        </w:rPr>
        <w:t xml:space="preserve"> </w:t>
      </w:r>
      <w:r w:rsidR="00272C36">
        <w:rPr>
          <w:szCs w:val="18"/>
        </w:rPr>
        <w:t>in Chapter 7</w:t>
      </w:r>
      <w:r w:rsidR="008C5EDB">
        <w:rPr>
          <w:szCs w:val="18"/>
        </w:rPr>
        <w:t>.</w:t>
      </w:r>
    </w:p>
    <w:p w14:paraId="66EBBA1D" w14:textId="77777777" w:rsidR="005A12E9" w:rsidRPr="00BD7AD8" w:rsidRDefault="005A12E9" w:rsidP="00C9576F">
      <w:pPr>
        <w:spacing w:after="0"/>
        <w:rPr>
          <w:szCs w:val="18"/>
          <w:u w:val="single"/>
        </w:rPr>
      </w:pPr>
      <w:r w:rsidRPr="00BD7AD8">
        <w:rPr>
          <w:u w:val="single"/>
        </w:rPr>
        <w:t>In</w:t>
      </w:r>
      <w:r w:rsidR="005F101E" w:rsidRPr="00BD7AD8">
        <w:rPr>
          <w:u w:val="single"/>
        </w:rPr>
        <w:t>-</w:t>
      </w:r>
      <w:r w:rsidRPr="00BD7AD8">
        <w:rPr>
          <w:u w:val="single"/>
        </w:rPr>
        <w:t>full coverage</w:t>
      </w:r>
    </w:p>
    <w:p w14:paraId="2DAB8ABB" w14:textId="3889F822" w:rsidR="00C03757" w:rsidRDefault="005F101E" w:rsidP="00726E9D">
      <w:pPr>
        <w:spacing w:after="0"/>
        <w:rPr>
          <w:szCs w:val="18"/>
        </w:rPr>
      </w:pPr>
      <w:r>
        <w:t xml:space="preserve">Events will be required to be shown ‘in full’. </w:t>
      </w:r>
      <w:r w:rsidR="008927C3">
        <w:rPr>
          <w:szCs w:val="18"/>
        </w:rPr>
        <w:t xml:space="preserve">This </w:t>
      </w:r>
      <w:r w:rsidR="00C9576F">
        <w:rPr>
          <w:szCs w:val="18"/>
        </w:rPr>
        <w:t>obligation</w:t>
      </w:r>
      <w:r w:rsidR="008927C3">
        <w:rPr>
          <w:szCs w:val="18"/>
        </w:rPr>
        <w:t xml:space="preserve"> would be satisfied</w:t>
      </w:r>
      <w:r w:rsidR="00AB03E0">
        <w:rPr>
          <w:szCs w:val="18"/>
        </w:rPr>
        <w:t xml:space="preserve"> if </w:t>
      </w:r>
      <w:r w:rsidR="00AB03E0" w:rsidRPr="000452F4">
        <w:rPr>
          <w:szCs w:val="18"/>
        </w:rPr>
        <w:t xml:space="preserve">the whole of an event </w:t>
      </w:r>
      <w:r w:rsidR="00AB03E0">
        <w:rPr>
          <w:szCs w:val="18"/>
        </w:rPr>
        <w:t>is shown</w:t>
      </w:r>
      <w:r w:rsidR="008927C3">
        <w:rPr>
          <w:szCs w:val="18"/>
        </w:rPr>
        <w:t>,</w:t>
      </w:r>
      <w:r w:rsidR="00AB03E0" w:rsidRPr="000452F4">
        <w:rPr>
          <w:szCs w:val="18"/>
        </w:rPr>
        <w:t xml:space="preserve"> </w:t>
      </w:r>
      <w:r w:rsidR="008927C3">
        <w:rPr>
          <w:szCs w:val="18"/>
        </w:rPr>
        <w:t xml:space="preserve">apart </w:t>
      </w:r>
      <w:r w:rsidR="00D0319D">
        <w:rPr>
          <w:szCs w:val="18"/>
        </w:rPr>
        <w:t xml:space="preserve">from </w:t>
      </w:r>
      <w:r w:rsidR="00AB03E0" w:rsidRPr="000452F4">
        <w:rPr>
          <w:szCs w:val="18"/>
        </w:rPr>
        <w:t>an insubstantial proportion of the event.</w:t>
      </w:r>
      <w:r w:rsidR="00AB03E0">
        <w:rPr>
          <w:szCs w:val="18"/>
        </w:rPr>
        <w:t xml:space="preserve"> </w:t>
      </w:r>
      <w:r w:rsidR="00AB03E0" w:rsidRPr="000452F4">
        <w:rPr>
          <w:szCs w:val="18"/>
        </w:rPr>
        <w:t>For example, interruptions by way of commercial breaks, news breaks, program promotions, announcements or brief crosses to other live events would amount to an insubstantial proportion of the event.</w:t>
      </w:r>
    </w:p>
    <w:p w14:paraId="7C4FD1A2" w14:textId="2000F5F6" w:rsidR="00726E9D" w:rsidRDefault="004C4E7B" w:rsidP="00726E9D">
      <w:pPr>
        <w:spacing w:after="0"/>
        <w:rPr>
          <w:szCs w:val="18"/>
        </w:rPr>
      </w:pPr>
      <w:r>
        <w:rPr>
          <w:szCs w:val="18"/>
        </w:rPr>
        <w:t>This</w:t>
      </w:r>
      <w:r w:rsidR="007D3D08">
        <w:rPr>
          <w:szCs w:val="18"/>
        </w:rPr>
        <w:t xml:space="preserve"> proposed construction </w:t>
      </w:r>
      <w:r>
        <w:rPr>
          <w:szCs w:val="18"/>
        </w:rPr>
        <w:t>is drawn from existing statutory definitions of televising the whole of an event.</w:t>
      </w:r>
      <w:r w:rsidR="00FE64A1">
        <w:rPr>
          <w:rStyle w:val="FootnoteReference"/>
          <w:szCs w:val="18"/>
        </w:rPr>
        <w:footnoteReference w:id="96"/>
      </w:r>
      <w:r w:rsidR="00AB03E0" w:rsidRPr="009F540E">
        <w:rPr>
          <w:szCs w:val="18"/>
        </w:rPr>
        <w:t xml:space="preserve"> </w:t>
      </w:r>
      <w:r w:rsidR="00647D8B">
        <w:rPr>
          <w:szCs w:val="18"/>
        </w:rPr>
        <w:t>A</w:t>
      </w:r>
      <w:r w:rsidR="007A7051">
        <w:rPr>
          <w:szCs w:val="18"/>
        </w:rPr>
        <w:t>s with live coverage, a</w:t>
      </w:r>
      <w:r w:rsidR="00726E9D">
        <w:rPr>
          <w:szCs w:val="18"/>
        </w:rPr>
        <w:t xml:space="preserve"> failure to provide in full coverage due to unforeseen </w:t>
      </w:r>
      <w:r w:rsidR="007A7051">
        <w:rPr>
          <w:szCs w:val="18"/>
        </w:rPr>
        <w:t xml:space="preserve">technical or </w:t>
      </w:r>
      <w:r w:rsidR="00726E9D">
        <w:rPr>
          <w:szCs w:val="18"/>
        </w:rPr>
        <w:t>service outages</w:t>
      </w:r>
      <w:r w:rsidR="007A7051">
        <w:rPr>
          <w:szCs w:val="18"/>
        </w:rPr>
        <w:t xml:space="preserve">, </w:t>
      </w:r>
      <w:r w:rsidR="00CE7F64">
        <w:rPr>
          <w:szCs w:val="18"/>
        </w:rPr>
        <w:t>unplanned interruptions to play</w:t>
      </w:r>
      <w:r w:rsidR="00D4012E">
        <w:rPr>
          <w:szCs w:val="18"/>
        </w:rPr>
        <w:t xml:space="preserve">, </w:t>
      </w:r>
      <w:r w:rsidR="007A7051">
        <w:rPr>
          <w:szCs w:val="18"/>
        </w:rPr>
        <w:t>or as a result of the nature</w:t>
      </w:r>
      <w:r w:rsidR="00726E9D">
        <w:rPr>
          <w:szCs w:val="18"/>
        </w:rPr>
        <w:t xml:space="preserve"> of the </w:t>
      </w:r>
      <w:r w:rsidR="007A7051">
        <w:rPr>
          <w:szCs w:val="18"/>
        </w:rPr>
        <w:t>contractual arrangement</w:t>
      </w:r>
      <w:r w:rsidR="00D4012E">
        <w:rPr>
          <w:szCs w:val="18"/>
        </w:rPr>
        <w:t>s</w:t>
      </w:r>
      <w:r w:rsidR="007A7051">
        <w:rPr>
          <w:szCs w:val="18"/>
        </w:rPr>
        <w:t xml:space="preserve"> for rights (detailed in the following section),</w:t>
      </w:r>
      <w:r w:rsidR="00726E9D">
        <w:rPr>
          <w:szCs w:val="18"/>
        </w:rPr>
        <w:t xml:space="preserve"> would </w:t>
      </w:r>
      <w:r w:rsidR="00647D8B">
        <w:rPr>
          <w:szCs w:val="18"/>
        </w:rPr>
        <w:t>not result in a breach of this obligation.</w:t>
      </w:r>
    </w:p>
    <w:p w14:paraId="76BFD2F8" w14:textId="77777777" w:rsidR="007D3D08" w:rsidRDefault="00DE1F29" w:rsidP="00DE1F29">
      <w:pPr>
        <w:spacing w:after="0"/>
        <w:rPr>
          <w:b/>
          <w:color w:val="000000"/>
          <w:shd w:val="clear" w:color="auto" w:fill="FFFFFF"/>
        </w:rPr>
      </w:pPr>
      <w:r>
        <w:rPr>
          <w:b/>
          <w:color w:val="000000"/>
          <w:shd w:val="clear" w:color="auto" w:fill="FFFFFF"/>
        </w:rPr>
        <w:t>Exception</w:t>
      </w:r>
      <w:r w:rsidR="007D3D08">
        <w:rPr>
          <w:b/>
          <w:color w:val="000000"/>
          <w:shd w:val="clear" w:color="auto" w:fill="FFFFFF"/>
        </w:rPr>
        <w:t>s</w:t>
      </w:r>
    </w:p>
    <w:p w14:paraId="380D653C" w14:textId="5FE8AE64" w:rsidR="007D3D08" w:rsidRPr="00706BBF" w:rsidRDefault="007D3D08" w:rsidP="00DE1F29">
      <w:pPr>
        <w:spacing w:after="0"/>
        <w:rPr>
          <w:szCs w:val="18"/>
        </w:rPr>
      </w:pPr>
      <w:r w:rsidRPr="00706BBF">
        <w:rPr>
          <w:szCs w:val="18"/>
        </w:rPr>
        <w:t>The free-to-view model would provide for exceptions to the availability and coverage obligations in two circumstances: ancillary coverage; and partial rights.</w:t>
      </w:r>
    </w:p>
    <w:p w14:paraId="74F1936C" w14:textId="7C770BDD" w:rsidR="00DE1F29" w:rsidRPr="007D3D08" w:rsidRDefault="007D3D08" w:rsidP="00DE1F29">
      <w:pPr>
        <w:spacing w:after="0"/>
        <w:rPr>
          <w:color w:val="000000"/>
          <w:u w:val="single"/>
          <w:shd w:val="clear" w:color="auto" w:fill="FFFFFF"/>
        </w:rPr>
      </w:pPr>
      <w:r w:rsidRPr="007D3D08">
        <w:rPr>
          <w:color w:val="000000"/>
          <w:u w:val="single"/>
          <w:shd w:val="clear" w:color="auto" w:fill="FFFFFF"/>
        </w:rPr>
        <w:t>A</w:t>
      </w:r>
      <w:r w:rsidR="00DE1F29" w:rsidRPr="007D3D08">
        <w:rPr>
          <w:color w:val="000000"/>
          <w:u w:val="single"/>
          <w:shd w:val="clear" w:color="auto" w:fill="FFFFFF"/>
        </w:rPr>
        <w:t>ncillary coverage</w:t>
      </w:r>
    </w:p>
    <w:p w14:paraId="72B19443" w14:textId="77777777" w:rsidR="00DE1F29" w:rsidRPr="00BF4A57" w:rsidRDefault="00DE1F29" w:rsidP="00DE1F29">
      <w:pPr>
        <w:spacing w:after="0"/>
        <w:rPr>
          <w:szCs w:val="18"/>
        </w:rPr>
      </w:pPr>
      <w:r w:rsidRPr="00BF4A57">
        <w:rPr>
          <w:szCs w:val="18"/>
        </w:rPr>
        <w:t>The new scheme would provide an exception from the availability and coverage obligations for ancillary coverage. Ancillary coverage would be defined to include coverage that is:</w:t>
      </w:r>
    </w:p>
    <w:p w14:paraId="2191BC43" w14:textId="7E0F1FCF" w:rsidR="00DE1F29" w:rsidRPr="00BF4A57" w:rsidRDefault="00DE1F29" w:rsidP="00355EA7">
      <w:pPr>
        <w:pStyle w:val="ListParagraph"/>
        <w:numPr>
          <w:ilvl w:val="0"/>
          <w:numId w:val="18"/>
        </w:numPr>
        <w:spacing w:after="120"/>
        <w:ind w:left="357" w:hanging="357"/>
        <w:contextualSpacing w:val="0"/>
        <w:rPr>
          <w:szCs w:val="18"/>
        </w:rPr>
      </w:pPr>
      <w:r w:rsidRPr="00BF4A57">
        <w:rPr>
          <w:szCs w:val="18"/>
        </w:rPr>
        <w:t>not more than an insubstantial portion of the event (such as highlights provided in news bulletins); or</w:t>
      </w:r>
    </w:p>
    <w:p w14:paraId="0C674990" w14:textId="7AD9B8C2" w:rsidR="00DE1F29" w:rsidRPr="00BF4A57" w:rsidRDefault="00DE1F29" w:rsidP="00601CFD">
      <w:pPr>
        <w:pStyle w:val="ListParagraph"/>
        <w:numPr>
          <w:ilvl w:val="0"/>
          <w:numId w:val="18"/>
        </w:numPr>
        <w:spacing w:after="0"/>
        <w:rPr>
          <w:szCs w:val="18"/>
        </w:rPr>
      </w:pPr>
      <w:r w:rsidRPr="00BF4A57">
        <w:rPr>
          <w:szCs w:val="18"/>
        </w:rPr>
        <w:t>coverage that is secondary to the primary coverage of the event (such as a replay of the event).</w:t>
      </w:r>
    </w:p>
    <w:p w14:paraId="717DD4E1" w14:textId="6C324508" w:rsidR="00DE1F29" w:rsidRPr="00BF4A57" w:rsidRDefault="00DE1F29" w:rsidP="00DE1F29">
      <w:pPr>
        <w:spacing w:after="0"/>
        <w:rPr>
          <w:szCs w:val="18"/>
        </w:rPr>
      </w:pPr>
      <w:r w:rsidRPr="00BF4A57">
        <w:rPr>
          <w:szCs w:val="18"/>
        </w:rPr>
        <w:t>This exception will be important to avoid imposing the live and in full obligations on entities that are legitimately not providing, and are not authorised to provide, this type of coverage.</w:t>
      </w:r>
    </w:p>
    <w:p w14:paraId="035CA517" w14:textId="5F8F45FB" w:rsidR="00C9576F" w:rsidRPr="007D3D08" w:rsidRDefault="007D3D08" w:rsidP="00AB03E0">
      <w:pPr>
        <w:spacing w:after="0"/>
        <w:rPr>
          <w:color w:val="000000"/>
          <w:u w:val="single"/>
          <w:shd w:val="clear" w:color="auto" w:fill="FFFFFF"/>
        </w:rPr>
      </w:pPr>
      <w:r w:rsidRPr="007D3D08">
        <w:rPr>
          <w:color w:val="000000"/>
          <w:u w:val="single"/>
          <w:shd w:val="clear" w:color="auto" w:fill="FFFFFF"/>
        </w:rPr>
        <w:t>P</w:t>
      </w:r>
      <w:r w:rsidR="00DE1F29" w:rsidRPr="007D3D08">
        <w:rPr>
          <w:color w:val="000000"/>
          <w:u w:val="single"/>
          <w:shd w:val="clear" w:color="auto" w:fill="FFFFFF"/>
        </w:rPr>
        <w:t>artial rights</w:t>
      </w:r>
    </w:p>
    <w:p w14:paraId="143625D2" w14:textId="445E0A20" w:rsidR="00C9576F" w:rsidRPr="00CF499D" w:rsidRDefault="00C9576F" w:rsidP="00AB03E0">
      <w:pPr>
        <w:spacing w:after="0"/>
      </w:pPr>
      <w:r w:rsidRPr="00CF499D">
        <w:t xml:space="preserve">The live and </w:t>
      </w:r>
      <w:r w:rsidR="00631D77" w:rsidRPr="00CF499D">
        <w:t>in full</w:t>
      </w:r>
      <w:r w:rsidRPr="00CF499D">
        <w:t xml:space="preserve"> coverage</w:t>
      </w:r>
      <w:r w:rsidR="00631D77" w:rsidRPr="00CF499D">
        <w:t xml:space="preserve"> obligation would be </w:t>
      </w:r>
      <w:r w:rsidR="00AE23D8" w:rsidRPr="00CF499D">
        <w:t>contingent</w:t>
      </w:r>
      <w:r w:rsidR="00631D77" w:rsidRPr="00CF499D">
        <w:t xml:space="preserve"> on the </w:t>
      </w:r>
      <w:r w:rsidR="00AE23D8" w:rsidRPr="00CF499D">
        <w:t>scope</w:t>
      </w:r>
      <w:r w:rsidR="00631D77" w:rsidRPr="00CF499D">
        <w:t xml:space="preserve"> of the rights </w:t>
      </w:r>
      <w:r w:rsidR="00E34432" w:rsidRPr="00CF499D">
        <w:t xml:space="preserve">made available by the rights holder </w:t>
      </w:r>
      <w:r w:rsidR="00DC5297" w:rsidRPr="00CF499D">
        <w:t xml:space="preserve">to the content service provider </w:t>
      </w:r>
      <w:r w:rsidR="00E34432" w:rsidRPr="00CF499D">
        <w:t xml:space="preserve">and, in turn, the rights acquired by the </w:t>
      </w:r>
      <w:r w:rsidR="00DC5297" w:rsidRPr="00CF499D">
        <w:t>content service provider.</w:t>
      </w:r>
    </w:p>
    <w:p w14:paraId="7C55A12F" w14:textId="1FE735C9" w:rsidR="00C9576F" w:rsidRPr="00CF499D" w:rsidRDefault="00E34432" w:rsidP="00AB03E0">
      <w:pPr>
        <w:spacing w:after="0"/>
      </w:pPr>
      <w:r w:rsidRPr="00CF499D">
        <w:lastRenderedPageBreak/>
        <w:t>I</w:t>
      </w:r>
      <w:r w:rsidR="00AE23D8" w:rsidRPr="00CF499D">
        <w:t>f</w:t>
      </w:r>
      <w:r w:rsidR="00906A0D" w:rsidRPr="00CF499D">
        <w:t xml:space="preserve"> </w:t>
      </w:r>
      <w:r w:rsidR="00C9576F" w:rsidRPr="00CF499D">
        <w:t>a</w:t>
      </w:r>
      <w:r w:rsidRPr="00CF499D">
        <w:t xml:space="preserve"> sports body or other rights holder only ma</w:t>
      </w:r>
      <w:r w:rsidR="00C9576F" w:rsidRPr="00CF499D">
        <w:t>de</w:t>
      </w:r>
      <w:r w:rsidRPr="00CF499D">
        <w:t xml:space="preserve"> available the right</w:t>
      </w:r>
      <w:r w:rsidR="00C9576F" w:rsidRPr="00CF499D">
        <w:t>s</w:t>
      </w:r>
      <w:r w:rsidRPr="00CF499D">
        <w:t xml:space="preserve"> to provide coverage of a portion </w:t>
      </w:r>
      <w:r w:rsidR="00C9576F" w:rsidRPr="00CF499D">
        <w:t xml:space="preserve">of </w:t>
      </w:r>
      <w:r w:rsidRPr="00CF499D">
        <w:t xml:space="preserve">a listed event, </w:t>
      </w:r>
      <w:r w:rsidR="00C9576F" w:rsidRPr="00CF499D">
        <w:t xml:space="preserve">or to provide only delayed coverage of an event, </w:t>
      </w:r>
      <w:r w:rsidRPr="00CF499D">
        <w:t>then the</w:t>
      </w:r>
      <w:r w:rsidR="00C9576F" w:rsidRPr="00CF499D">
        <w:t xml:space="preserve"> live and in full </w:t>
      </w:r>
      <w:r w:rsidRPr="00CF499D">
        <w:t>requirement</w:t>
      </w:r>
      <w:r w:rsidR="00C9576F" w:rsidRPr="00CF499D">
        <w:t>s</w:t>
      </w:r>
      <w:r w:rsidRPr="00CF499D">
        <w:t xml:space="preserve"> would be</w:t>
      </w:r>
      <w:r w:rsidR="00C9576F" w:rsidRPr="00CF499D">
        <w:t xml:space="preserve"> deemed to have been met, provided that the content service provider fully utilised the rights that they held.</w:t>
      </w:r>
    </w:p>
    <w:p w14:paraId="7C15753E" w14:textId="04071B97" w:rsidR="00670E36" w:rsidRPr="00CF499D" w:rsidRDefault="00E34432" w:rsidP="00670E36">
      <w:pPr>
        <w:spacing w:after="0"/>
      </w:pPr>
      <w:r w:rsidRPr="00CF499D">
        <w:t xml:space="preserve">Similarly, if a </w:t>
      </w:r>
      <w:r w:rsidR="00DC5297" w:rsidRPr="00CF499D">
        <w:t>content service provider</w:t>
      </w:r>
      <w:r w:rsidRPr="00CF499D">
        <w:t xml:space="preserve"> acquired the </w:t>
      </w:r>
      <w:r w:rsidR="00C9576F" w:rsidRPr="00CF499D">
        <w:t xml:space="preserve">delayed coverage rights or a </w:t>
      </w:r>
      <w:r w:rsidRPr="00CF499D">
        <w:t>right to provide coverage of only a portion of the list</w:t>
      </w:r>
      <w:r w:rsidR="008E111B" w:rsidRPr="00CF499D">
        <w:t>ed</w:t>
      </w:r>
      <w:r w:rsidRPr="00CF499D">
        <w:t xml:space="preserve"> event, then the </w:t>
      </w:r>
      <w:r w:rsidR="00C9576F" w:rsidRPr="00CF499D">
        <w:t xml:space="preserve">relevant obligations would </w:t>
      </w:r>
      <w:r w:rsidR="00670E36" w:rsidRPr="00CF499D">
        <w:t>be deemed to have been met, provided that the content service provider fully utilised the rights held.</w:t>
      </w:r>
    </w:p>
    <w:p w14:paraId="5E3FBE63" w14:textId="453D4AC8" w:rsidR="00E34432" w:rsidRPr="00CF499D" w:rsidRDefault="008416C4" w:rsidP="00AB03E0">
      <w:pPr>
        <w:spacing w:after="0"/>
      </w:pPr>
      <w:r w:rsidRPr="00CF499D">
        <w:t>This</w:t>
      </w:r>
      <w:r w:rsidR="00670E36" w:rsidRPr="00CF499D">
        <w:t xml:space="preserve"> </w:t>
      </w:r>
      <w:r w:rsidRPr="00CF499D">
        <w:t>would</w:t>
      </w:r>
      <w:r w:rsidR="00E34432" w:rsidRPr="00CF499D">
        <w:t xml:space="preserve"> prevent the situation of a party being in breach of the </w:t>
      </w:r>
      <w:r w:rsidR="00C9576F" w:rsidRPr="00CF499D">
        <w:t xml:space="preserve">live and in </w:t>
      </w:r>
      <w:r w:rsidR="00E34432" w:rsidRPr="00CF499D">
        <w:t>full coverage obligation</w:t>
      </w:r>
      <w:r w:rsidR="00670E36" w:rsidRPr="00CF499D">
        <w:t xml:space="preserve"> </w:t>
      </w:r>
      <w:r w:rsidR="00E34432" w:rsidRPr="00CF499D">
        <w:t>in the circumstance</w:t>
      </w:r>
      <w:r w:rsidR="00C9576F" w:rsidRPr="00CF499D">
        <w:t>s</w:t>
      </w:r>
      <w:r w:rsidR="00E34432" w:rsidRPr="00CF499D">
        <w:t xml:space="preserve"> where they don’t hold rights </w:t>
      </w:r>
      <w:r w:rsidR="003D6406" w:rsidRPr="00CF499D">
        <w:t xml:space="preserve">that are </w:t>
      </w:r>
      <w:r w:rsidR="00C9576F" w:rsidRPr="00CF499D">
        <w:t xml:space="preserve">sufficient to enable them to fulfil that obligation. </w:t>
      </w:r>
      <w:r w:rsidR="008E111B" w:rsidRPr="00CF499D">
        <w:t xml:space="preserve">This approach </w:t>
      </w:r>
      <w:r w:rsidR="00D0319D" w:rsidRPr="00CF499D">
        <w:t>i</w:t>
      </w:r>
      <w:r w:rsidR="00D0319D">
        <w:t>s</w:t>
      </w:r>
      <w:r w:rsidR="00D0319D" w:rsidRPr="00CF499D">
        <w:t xml:space="preserve"> </w:t>
      </w:r>
      <w:r w:rsidR="008E111B" w:rsidRPr="00CF499D">
        <w:t xml:space="preserve">modelled on the obligations stipulated under the </w:t>
      </w:r>
      <w:r w:rsidR="005B7973" w:rsidRPr="00CF499D">
        <w:t>existing</w:t>
      </w:r>
      <w:r w:rsidR="008E111B" w:rsidRPr="00CF499D">
        <w:t xml:space="preserve"> anti-hoarding rules in the BSA.</w:t>
      </w:r>
      <w:r w:rsidR="008E111B" w:rsidRPr="00CF499D">
        <w:rPr>
          <w:vertAlign w:val="superscript"/>
        </w:rPr>
        <w:footnoteReference w:id="97"/>
      </w:r>
    </w:p>
    <w:p w14:paraId="6427133E" w14:textId="77777777" w:rsidR="00C8059D" w:rsidRPr="00A9605A" w:rsidRDefault="006A035A" w:rsidP="00A9605A">
      <w:pPr>
        <w:pStyle w:val="Heading3"/>
        <w:rPr>
          <w:sz w:val="28"/>
          <w:szCs w:val="28"/>
        </w:rPr>
      </w:pPr>
      <w:bookmarkStart w:id="169" w:name="_Toc140842906"/>
      <w:bookmarkStart w:id="170" w:name="_Hlk139016296"/>
      <w:r>
        <w:rPr>
          <w:sz w:val="28"/>
          <w:szCs w:val="28"/>
        </w:rPr>
        <w:t>Comparison with the</w:t>
      </w:r>
      <w:r w:rsidR="00C8059D" w:rsidRPr="00A9605A">
        <w:rPr>
          <w:sz w:val="28"/>
          <w:szCs w:val="28"/>
        </w:rPr>
        <w:t xml:space="preserve"> current scheme</w:t>
      </w:r>
      <w:bookmarkEnd w:id="169"/>
    </w:p>
    <w:p w14:paraId="4A1A2C08" w14:textId="77777777" w:rsidR="002B1AC4" w:rsidRDefault="000D4FBA" w:rsidP="00EB3A87">
      <w:bookmarkStart w:id="171" w:name="_Hlk139531919"/>
      <w:r w:rsidRPr="008B50E4">
        <w:t>This model</w:t>
      </w:r>
      <w:r w:rsidR="00B27CD2" w:rsidRPr="008B50E4">
        <w:t xml:space="preserve"> would </w:t>
      </w:r>
      <w:r w:rsidR="00B65ADA">
        <w:t xml:space="preserve">represent a departure from the </w:t>
      </w:r>
      <w:r w:rsidR="00CE479B">
        <w:t xml:space="preserve">current </w:t>
      </w:r>
      <w:r w:rsidR="0074695E">
        <w:t xml:space="preserve">anti-siphoning </w:t>
      </w:r>
      <w:r w:rsidR="00CE479B">
        <w:t xml:space="preserve">scheme that regulates the acquisition of the rights to televise listed events. </w:t>
      </w:r>
      <w:r w:rsidR="00053826">
        <w:t xml:space="preserve">It would focus on the circumstances associated with the coverage of listed events – whether coverage is available free on </w:t>
      </w:r>
      <w:r w:rsidR="0074695E">
        <w:t xml:space="preserve">a </w:t>
      </w:r>
      <w:r w:rsidR="00053826">
        <w:t>broadly available technology</w:t>
      </w:r>
      <w:r w:rsidR="0074695E">
        <w:t xml:space="preserve"> platform</w:t>
      </w:r>
      <w:r w:rsidR="00053826">
        <w:t>, and whether it is live and in full.</w:t>
      </w:r>
    </w:p>
    <w:p w14:paraId="69180812" w14:textId="5B6AAAFA" w:rsidR="00EB3A87" w:rsidRDefault="00053826" w:rsidP="00EB3A87">
      <w:r>
        <w:t>This model would not restrict any party from acquiring, holding or transferring rights, and would only consider the nature of the rights held with respect to the availability and coverage obligation</w:t>
      </w:r>
      <w:r w:rsidR="00EB3A87">
        <w:t>s (</w:t>
      </w:r>
      <w:r w:rsidR="002B1AC4">
        <w:t xml:space="preserve">effectively </w:t>
      </w:r>
      <w:r>
        <w:t xml:space="preserve">requiring a content service </w:t>
      </w:r>
      <w:r w:rsidR="002B1AC4">
        <w:t xml:space="preserve">that provides coverage of a listed event </w:t>
      </w:r>
      <w:r>
        <w:t>to fully exploit the rights they hold</w:t>
      </w:r>
      <w:r w:rsidR="002B1AC4">
        <w:t>).</w:t>
      </w:r>
      <w:r>
        <w:t xml:space="preserve"> </w:t>
      </w:r>
      <w:r w:rsidR="00EB3A87">
        <w:t>Under this approach, the existing scheme would be repealed, and no elements would be retained in the new framework.</w:t>
      </w:r>
    </w:p>
    <w:p w14:paraId="59FA7A39" w14:textId="77777777" w:rsidR="00C8059D" w:rsidRPr="00A9605A" w:rsidRDefault="00C8059D" w:rsidP="00A9605A">
      <w:pPr>
        <w:pStyle w:val="Heading3"/>
        <w:rPr>
          <w:sz w:val="28"/>
          <w:szCs w:val="28"/>
        </w:rPr>
      </w:pPr>
      <w:bookmarkStart w:id="172" w:name="_Toc140842907"/>
      <w:bookmarkStart w:id="173" w:name="_Hlk140222494"/>
      <w:bookmarkEnd w:id="170"/>
      <w:bookmarkEnd w:id="171"/>
      <w:r w:rsidRPr="00A9605A">
        <w:rPr>
          <w:sz w:val="28"/>
          <w:szCs w:val="28"/>
        </w:rPr>
        <w:t>Relationship to the list</w:t>
      </w:r>
      <w:bookmarkEnd w:id="172"/>
    </w:p>
    <w:p w14:paraId="792FB4D2" w14:textId="262E2E3C" w:rsidR="00C136B0" w:rsidRDefault="00EB3A87" w:rsidP="00D75E39">
      <w:pPr>
        <w:spacing w:after="0"/>
      </w:pPr>
      <w:r>
        <w:t xml:space="preserve">Elements of the free-to-view model will only work in a practical sense if they are coupled with a significant reduction in the number and </w:t>
      </w:r>
      <w:r w:rsidR="00D75E39">
        <w:t>range</w:t>
      </w:r>
      <w:r>
        <w:t xml:space="preserve"> of events on the list.</w:t>
      </w:r>
    </w:p>
    <w:p w14:paraId="3638CD82" w14:textId="54B07F79" w:rsidR="00D75E39" w:rsidRDefault="00D75E39" w:rsidP="00D75E39">
      <w:pPr>
        <w:spacing w:after="0"/>
      </w:pPr>
      <w:r>
        <w:t>The current list</w:t>
      </w:r>
      <w:r>
        <w:rPr>
          <w:rStyle w:val="FootnoteReference"/>
        </w:rPr>
        <w:footnoteReference w:id="98"/>
      </w:r>
      <w:r>
        <w:t xml:space="preserve"> was made in March 2023 as an interim arrangement while broader reforms were developed and progressed </w:t>
      </w:r>
      <w:r w:rsidR="0074695E">
        <w:t>as part of</w:t>
      </w:r>
      <w:r>
        <w:t xml:space="preserve"> this review. It contains events held as part of competitions across 11 sports</w:t>
      </w:r>
      <w:r w:rsidDel="00794B76">
        <w:t xml:space="preserve"> </w:t>
      </w:r>
      <w:r w:rsidR="000A16BA">
        <w:t xml:space="preserve">and has a duration of 3 years </w:t>
      </w:r>
      <w:r w:rsidR="000A16BA" w:rsidRPr="008E111B">
        <w:t>(expiring on 25 Mar</w:t>
      </w:r>
      <w:r w:rsidR="000A16BA">
        <w:t>ch</w:t>
      </w:r>
      <w:r w:rsidR="000A16BA" w:rsidRPr="008E111B">
        <w:t xml:space="preserve"> 2026).</w:t>
      </w:r>
      <w:r w:rsidR="000A16BA">
        <w:t xml:space="preserve"> </w:t>
      </w:r>
      <w:r>
        <w:t>It contains events held as part of competitions across 11 sports</w:t>
      </w:r>
      <w:r w:rsidR="00CD4391">
        <w:t xml:space="preserve"> </w:t>
      </w:r>
      <w:r>
        <w:t xml:space="preserve">and has a duration of 3 years </w:t>
      </w:r>
      <w:r w:rsidRPr="008E111B">
        <w:t xml:space="preserve">(expiring on </w:t>
      </w:r>
      <w:r w:rsidR="00930319" w:rsidRPr="008E111B">
        <w:t>25 Mar</w:t>
      </w:r>
      <w:r w:rsidR="003B52BB">
        <w:t>ch</w:t>
      </w:r>
      <w:r w:rsidR="00930319" w:rsidRPr="008E111B">
        <w:t xml:space="preserve"> 2026</w:t>
      </w:r>
      <w:r w:rsidRPr="008E111B">
        <w:t>).</w:t>
      </w:r>
    </w:p>
    <w:p w14:paraId="3444D78B" w14:textId="12173055" w:rsidR="008623D4" w:rsidRDefault="00C136B0" w:rsidP="008623D4">
      <w:r>
        <w:t xml:space="preserve">As noted </w:t>
      </w:r>
      <w:r w:rsidR="0074695E">
        <w:t>above</w:t>
      </w:r>
      <w:r>
        <w:t xml:space="preserve">, the </w:t>
      </w:r>
      <w:r w:rsidR="005A22EF">
        <w:t>coverage obligation</w:t>
      </w:r>
      <w:r w:rsidR="00D75E39">
        <w:t xml:space="preserve"> </w:t>
      </w:r>
      <w:r>
        <w:t>(</w:t>
      </w:r>
      <w:r w:rsidR="005A22EF">
        <w:t>live and in full</w:t>
      </w:r>
      <w:r>
        <w:t>)</w:t>
      </w:r>
      <w:r w:rsidR="00D75E39">
        <w:t xml:space="preserve"> </w:t>
      </w:r>
      <w:r w:rsidR="003B52BB">
        <w:t xml:space="preserve">is unlikely to be </w:t>
      </w:r>
      <w:r w:rsidR="005A22EF">
        <w:t xml:space="preserve">technically and financially feasible for competitions that involve multiple events that occur simultaneously: the Australian Open tennis tournament, the Summer and Winter Olympic Games, and the Commonwealth Games. These competitions can involve </w:t>
      </w:r>
      <w:r w:rsidR="004D58EB">
        <w:t>dozens</w:t>
      </w:r>
      <w:r w:rsidR="005A22EF">
        <w:t xml:space="preserve"> of events occurring simultaneously, and </w:t>
      </w:r>
      <w:r w:rsidR="0074695E">
        <w:t xml:space="preserve">a </w:t>
      </w:r>
      <w:r w:rsidR="005A22EF">
        <w:t xml:space="preserve">content service provider (or even a combination of providers) is </w:t>
      </w:r>
      <w:r w:rsidR="0074695E">
        <w:t>un</w:t>
      </w:r>
      <w:r w:rsidR="005A22EF">
        <w:t xml:space="preserve">likely to be able to provide live and </w:t>
      </w:r>
      <w:r w:rsidR="0074695E">
        <w:t xml:space="preserve">in </w:t>
      </w:r>
      <w:r w:rsidR="005A22EF">
        <w:t>full coverage of eve</w:t>
      </w:r>
      <w:r>
        <w:t>ry</w:t>
      </w:r>
      <w:r w:rsidR="005A22EF">
        <w:t xml:space="preserve"> single event.</w:t>
      </w:r>
    </w:p>
    <w:p w14:paraId="500DBB66" w14:textId="7F826FF8" w:rsidR="008623D4" w:rsidRDefault="008623D4" w:rsidP="008623D4">
      <w:r>
        <w:t xml:space="preserve">It may be possible to develop tailored coverage obligations for </w:t>
      </w:r>
      <w:r w:rsidR="0074695E">
        <w:t>these types of events</w:t>
      </w:r>
      <w:r>
        <w:t xml:space="preserve">. </w:t>
      </w:r>
      <w:r w:rsidR="00C136B0">
        <w:t>Such obligations</w:t>
      </w:r>
      <w:r>
        <w:t xml:space="preserve"> could, for example, require content services to provide coverage of a certain number of hours per day of the respective competitions. However, this would mean that live and in full coverage would only be in effect for a subset of events</w:t>
      </w:r>
      <w:r w:rsidR="00C136B0">
        <w:t xml:space="preserve"> played as part of these competitions.</w:t>
      </w:r>
      <w:r w:rsidR="00474997">
        <w:t xml:space="preserve"> For example, an ‘hours-based’ requirement for the Olympic Games would mean that only a small subset of events taking place as part of </w:t>
      </w:r>
      <w:r w:rsidR="003D7F93">
        <w:t>each Games</w:t>
      </w:r>
      <w:r w:rsidR="00474997">
        <w:t xml:space="preserve"> would need to be </w:t>
      </w:r>
      <w:r w:rsidR="00820D31">
        <w:t>shown</w:t>
      </w:r>
      <w:r w:rsidR="00474997">
        <w:t xml:space="preserve"> live during the </w:t>
      </w:r>
      <w:r w:rsidR="00820D31">
        <w:t xml:space="preserve">specified </w:t>
      </w:r>
      <w:r w:rsidR="00474997">
        <w:t>hours</w:t>
      </w:r>
      <w:r w:rsidR="00820D31">
        <w:t xml:space="preserve"> or during the relevant time period</w:t>
      </w:r>
      <w:r w:rsidR="00474997">
        <w:t>.</w:t>
      </w:r>
    </w:p>
    <w:p w14:paraId="39DB11F8" w14:textId="4A0E6E4F" w:rsidR="00E86DC2" w:rsidRDefault="00C136B0" w:rsidP="002C0522">
      <w:r>
        <w:t>In addition,</w:t>
      </w:r>
      <w:r w:rsidR="008623D4">
        <w:t xml:space="preserve"> the </w:t>
      </w:r>
      <w:r>
        <w:t>availability</w:t>
      </w:r>
      <w:r w:rsidR="008623D4">
        <w:t xml:space="preserve"> obligation </w:t>
      </w:r>
      <w:r>
        <w:t xml:space="preserve">(particularly the requirement for coverage to be free) </w:t>
      </w:r>
      <w:r w:rsidR="008623D4">
        <w:t xml:space="preserve">would severely </w:t>
      </w:r>
      <w:r>
        <w:t>impede</w:t>
      </w:r>
      <w:r w:rsidR="008623D4">
        <w:t xml:space="preserve"> the business model of subscription-based content services: subscription television broadcasting licensees; and subscription-based online content services. These entities would be unable to operate subscription-based models for coverage of a range of events that are currently included on the list, such as the weekly matches of the National Rugby League and Australian Rules Football </w:t>
      </w:r>
      <w:r w:rsidR="006564BD">
        <w:t>premierships</w:t>
      </w:r>
      <w:r w:rsidR="008623D4">
        <w:t>.</w:t>
      </w:r>
    </w:p>
    <w:p w14:paraId="25A0F942" w14:textId="7E6A2F48" w:rsidR="005B3C8B" w:rsidRDefault="00E86DC2" w:rsidP="002C0522">
      <w:r>
        <w:lastRenderedPageBreak/>
        <w:t>This impact could be moderated if the model was to include an exception to the application of the availability and coverage obligations on a given content service provider in the circumstances where the obligations were met by another content service provider. For example, an exception for a subscription television broadcasting licensee from the obligations where another content service provider offered free, live and in</w:t>
      </w:r>
      <w:r w:rsidR="006564BD">
        <w:noBreakHyphen/>
      </w:r>
      <w:r>
        <w:t>full coverage of the event.</w:t>
      </w:r>
    </w:p>
    <w:p w14:paraId="244D2FBC" w14:textId="4AA4CF6C" w:rsidR="008623D4" w:rsidRDefault="001355E9" w:rsidP="002C0522">
      <w:r>
        <w:t xml:space="preserve">However, this would add complexity and uncertainty to the scheme by rendering the liability for certain actions under the scheme by one party contingent upon the actions of another. It also wouldn’t work for </w:t>
      </w:r>
      <w:r w:rsidR="004C12C2">
        <w:t>the rights to</w:t>
      </w:r>
      <w:r>
        <w:t xml:space="preserve"> events that are held exclusively by the subscription-based service provide</w:t>
      </w:r>
      <w:r w:rsidR="004C12C2">
        <w:t>r</w:t>
      </w:r>
      <w:r>
        <w:t xml:space="preserve"> (i.e. </w:t>
      </w:r>
      <w:r w:rsidR="004C12C2">
        <w:t xml:space="preserve">where </w:t>
      </w:r>
      <w:r>
        <w:t>there is no ‘free’ coverage</w:t>
      </w:r>
      <w:r w:rsidR="004C12C2">
        <w:t xml:space="preserve"> of the particular event</w:t>
      </w:r>
      <w:r>
        <w:t>).</w:t>
      </w:r>
    </w:p>
    <w:p w14:paraId="402D1491" w14:textId="2FB63C39" w:rsidR="00C136B0" w:rsidRDefault="00C136B0" w:rsidP="002C0522">
      <w:r>
        <w:t xml:space="preserve">For these reasons, the free-to-view model is only considered to be feasible if coupled with </w:t>
      </w:r>
      <w:r w:rsidR="003B52BB">
        <w:t xml:space="preserve">a </w:t>
      </w:r>
      <w:r>
        <w:t xml:space="preserve">reduction in the list. A proposed list of this nature </w:t>
      </w:r>
      <w:r w:rsidR="003B52BB">
        <w:t xml:space="preserve">– a streamlined list – </w:t>
      </w:r>
      <w:r>
        <w:t>is outlined in Chapter 7.</w:t>
      </w:r>
    </w:p>
    <w:p w14:paraId="1C7ACD47" w14:textId="77777777" w:rsidR="00AB0AE7" w:rsidRPr="00AB0AE7" w:rsidRDefault="00AB0AE7" w:rsidP="00AB0AE7">
      <w:pPr>
        <w:pStyle w:val="Heading3"/>
        <w:rPr>
          <w:sz w:val="28"/>
          <w:szCs w:val="28"/>
        </w:rPr>
      </w:pPr>
      <w:bookmarkStart w:id="174" w:name="_Toc140842908"/>
      <w:bookmarkEnd w:id="173"/>
      <w:r w:rsidRPr="00AB0AE7">
        <w:rPr>
          <w:sz w:val="28"/>
          <w:szCs w:val="28"/>
        </w:rPr>
        <w:t>Comparison with the other models in this paper</w:t>
      </w:r>
      <w:bookmarkEnd w:id="174"/>
    </w:p>
    <w:p w14:paraId="2E21E506" w14:textId="7D313650" w:rsidR="00557F5E" w:rsidRPr="008C1467" w:rsidRDefault="00557F5E" w:rsidP="008C1467">
      <w:pPr>
        <w:spacing w:after="0"/>
      </w:pPr>
      <w:r w:rsidRPr="008C1467">
        <w:t>The free-to-view model shares few similarities with the other models proposed in this paper: the broadcasting safety net model (Model 2); and the free-to-air first model (Model 3).</w:t>
      </w:r>
    </w:p>
    <w:p w14:paraId="655BF4EA" w14:textId="63FD9292" w:rsidR="00557F5E" w:rsidRPr="008C1467" w:rsidRDefault="00557F5E" w:rsidP="001A687D">
      <w:pPr>
        <w:pStyle w:val="ListParagraph"/>
        <w:numPr>
          <w:ilvl w:val="0"/>
          <w:numId w:val="28"/>
        </w:numPr>
        <w:spacing w:after="0"/>
        <w:contextualSpacing w:val="0"/>
      </w:pPr>
      <w:r w:rsidRPr="008C1467">
        <w:t xml:space="preserve">The free-to-view model would operate as a set of obligations regarding the availability and coverage of anti-siphoning events, </w:t>
      </w:r>
      <w:r w:rsidR="0048597B" w:rsidRPr="008C1467">
        <w:t xml:space="preserve">along with provisions to ensure the application of these obligations to content services that provide coverage of listed events to audiences in Australia. </w:t>
      </w:r>
      <w:r w:rsidRPr="008C1467">
        <w:t xml:space="preserve">In contrast, Models 2 and 3 </w:t>
      </w:r>
      <w:r w:rsidR="003C36FB" w:rsidRPr="008C1467">
        <w:t xml:space="preserve">focus on rights acquisition and </w:t>
      </w:r>
      <w:r w:rsidRPr="008C1467">
        <w:t>would not contain any availability or coverage obligations</w:t>
      </w:r>
      <w:r w:rsidR="0048597B" w:rsidRPr="008C1467">
        <w:t xml:space="preserve"> or associated application provisions.</w:t>
      </w:r>
    </w:p>
    <w:p w14:paraId="13CF97C4" w14:textId="11ECE074" w:rsidR="004C79DA" w:rsidRPr="008C1467" w:rsidRDefault="00557F5E" w:rsidP="001A687D">
      <w:pPr>
        <w:pStyle w:val="ListParagraph"/>
        <w:numPr>
          <w:ilvl w:val="0"/>
          <w:numId w:val="28"/>
        </w:numPr>
        <w:spacing w:after="0"/>
        <w:contextualSpacing w:val="0"/>
      </w:pPr>
      <w:r w:rsidRPr="008C1467">
        <w:t xml:space="preserve">The free-to-view model </w:t>
      </w:r>
      <w:r w:rsidR="00420C04">
        <w:t>is expected to</w:t>
      </w:r>
      <w:r w:rsidR="00A219DB" w:rsidRPr="008C1467">
        <w:t xml:space="preserve"> be </w:t>
      </w:r>
      <w:r w:rsidR="0073585E">
        <w:t>relatively</w:t>
      </w:r>
      <w:r w:rsidR="00A219DB" w:rsidRPr="008C1467">
        <w:t xml:space="preserve"> </w:t>
      </w:r>
      <w:r w:rsidRPr="008C1467">
        <w:t xml:space="preserve">more complicated </w:t>
      </w:r>
      <w:r w:rsidR="004C79DA" w:rsidRPr="008C1467">
        <w:t>to implement and administer compared with Models</w:t>
      </w:r>
      <w:r w:rsidRPr="008C1467">
        <w:t xml:space="preserve"> 2 and 3</w:t>
      </w:r>
      <w:r w:rsidR="003C36FB" w:rsidRPr="008C1467">
        <w:t>. In particular, the requirement for content services to provide coverage using ‘broadly available technology platforms’</w:t>
      </w:r>
      <w:r w:rsidR="004C79DA" w:rsidRPr="008C1467">
        <w:t xml:space="preserve"> adds a degree of uncertainty, as do the exemptions </w:t>
      </w:r>
      <w:r w:rsidRPr="008C1467">
        <w:t xml:space="preserve">to prevent </w:t>
      </w:r>
      <w:r w:rsidR="00F53B3A">
        <w:t>unintended impacts</w:t>
      </w:r>
      <w:r w:rsidRPr="008C1467">
        <w:t xml:space="preserve"> in relation to the proposed </w:t>
      </w:r>
      <w:r w:rsidR="004C79DA" w:rsidRPr="008C1467">
        <w:t xml:space="preserve">availability and coverage </w:t>
      </w:r>
      <w:r w:rsidRPr="008C1467">
        <w:t>obligations.</w:t>
      </w:r>
    </w:p>
    <w:p w14:paraId="1DFDFD1E" w14:textId="77777777" w:rsidR="004C79DA" w:rsidRPr="008C1467" w:rsidRDefault="004C79DA" w:rsidP="001A687D">
      <w:pPr>
        <w:pStyle w:val="ListParagraph"/>
        <w:numPr>
          <w:ilvl w:val="0"/>
          <w:numId w:val="28"/>
        </w:numPr>
        <w:spacing w:after="0"/>
        <w:contextualSpacing w:val="0"/>
      </w:pPr>
      <w:r w:rsidRPr="008C1467">
        <w:t xml:space="preserve">The free-to-view model would also </w:t>
      </w:r>
      <w:r w:rsidR="00557F5E" w:rsidRPr="008C1467">
        <w:t xml:space="preserve">require a significant reduction in the list to enable these obligations to be practicable, which is not the case with </w:t>
      </w:r>
      <w:r w:rsidRPr="008C1467">
        <w:t>Models</w:t>
      </w:r>
      <w:r w:rsidR="00557F5E" w:rsidRPr="008C1467">
        <w:t xml:space="preserve"> 2 and 3.</w:t>
      </w:r>
    </w:p>
    <w:p w14:paraId="33E4233E" w14:textId="042C764D" w:rsidR="004C12C2" w:rsidRDefault="004C12C2" w:rsidP="001A687D">
      <w:pPr>
        <w:pStyle w:val="ListParagraph"/>
        <w:numPr>
          <w:ilvl w:val="0"/>
          <w:numId w:val="28"/>
        </w:numPr>
        <w:spacing w:after="0"/>
        <w:contextualSpacing w:val="0"/>
      </w:pPr>
      <w:r>
        <w:t xml:space="preserve">For </w:t>
      </w:r>
      <w:r w:rsidR="007B3B4D">
        <w:t>c</w:t>
      </w:r>
      <w:r>
        <w:t>onsumer</w:t>
      </w:r>
      <w:r w:rsidR="007B3B4D">
        <w:t>s</w:t>
      </w:r>
      <w:r>
        <w:t>, the free-to-view model would provide surety of free, live and in-full coverage, although for a smaller set of events (given the necessity for a shorter list). Models 2 and 3 wouldn’t provide this explicit requirement, although there would be very strong incentives for free-to-air broadcasters to provide free, live and in full coverage. Models 2 and 3 would also have the potential to be applied to a wider range of competitions and events, as there would be no necessity for a shorter list (as is the case with the free-to-view model).</w:t>
      </w:r>
    </w:p>
    <w:p w14:paraId="5228D5F8" w14:textId="43265691" w:rsidR="004C79DA" w:rsidRPr="008C1467" w:rsidRDefault="004C79DA" w:rsidP="008C1467">
      <w:pPr>
        <w:spacing w:after="0"/>
      </w:pPr>
      <w:r w:rsidRPr="008C1467">
        <w:t xml:space="preserve">The key points of commonality with </w:t>
      </w:r>
      <w:r w:rsidR="008C1467">
        <w:t xml:space="preserve">Models 2 and 3 </w:t>
      </w:r>
      <w:r w:rsidR="008C1467" w:rsidRPr="008C1467">
        <w:t>include the</w:t>
      </w:r>
      <w:r w:rsidRPr="008C1467">
        <w:t xml:space="preserve"> definitions of ‘content service’, ‘content service provider’</w:t>
      </w:r>
      <w:r w:rsidR="001E5756" w:rsidRPr="008C1467">
        <w:t xml:space="preserve"> </w:t>
      </w:r>
      <w:r w:rsidRPr="008C1467">
        <w:t>and</w:t>
      </w:r>
      <w:r w:rsidR="008C1467" w:rsidRPr="008C1467">
        <w:t xml:space="preserve"> ‘Australian end-user.’</w:t>
      </w:r>
    </w:p>
    <w:p w14:paraId="03A559C6" w14:textId="77777777" w:rsidR="004C4E7B" w:rsidRPr="004C4E7B" w:rsidRDefault="004C4E7B" w:rsidP="004C4E7B">
      <w:pPr>
        <w:pStyle w:val="Heading3"/>
        <w:rPr>
          <w:sz w:val="28"/>
          <w:szCs w:val="28"/>
        </w:rPr>
      </w:pPr>
      <w:bookmarkStart w:id="175" w:name="_Toc140842909"/>
      <w:bookmarkStart w:id="176" w:name="_Hlk140222512"/>
      <w:r w:rsidRPr="004C4E7B">
        <w:rPr>
          <w:sz w:val="28"/>
          <w:szCs w:val="28"/>
        </w:rPr>
        <w:t>Preliminary assessment</w:t>
      </w:r>
      <w:bookmarkEnd w:id="175"/>
    </w:p>
    <w:p w14:paraId="7971A9C3" w14:textId="30D3C388" w:rsidR="008623D4" w:rsidRDefault="009702AE" w:rsidP="00252EFE">
      <w:pPr>
        <w:spacing w:after="0"/>
      </w:pPr>
      <w:r>
        <w:t xml:space="preserve">The free-to-view model would be a technology-neutral approach to regulating the coverage of </w:t>
      </w:r>
      <w:r w:rsidR="00B5207D">
        <w:t xml:space="preserve">nationally important and culturally significant </w:t>
      </w:r>
      <w:r>
        <w:t xml:space="preserve">sporting events. </w:t>
      </w:r>
      <w:r w:rsidR="006F241C">
        <w:t xml:space="preserve">It would seek to ensure that </w:t>
      </w:r>
      <w:r w:rsidR="00C136B0">
        <w:t xml:space="preserve">all </w:t>
      </w:r>
      <w:r w:rsidR="006F241C">
        <w:t>Australians are able to access free, live and in full coverage of these events where coverage is provided in Australia.</w:t>
      </w:r>
    </w:p>
    <w:p w14:paraId="188A9DD2" w14:textId="0C099063" w:rsidR="006F241C" w:rsidRDefault="006F241C" w:rsidP="00252EFE">
      <w:pPr>
        <w:spacing w:after="0"/>
      </w:pPr>
      <w:r>
        <w:t xml:space="preserve">By targeting the coverage outcome, rather than the preceding acquisition of rights, this model would avoid a number of the </w:t>
      </w:r>
      <w:r w:rsidR="00BA26E3">
        <w:t>acknowledged concerns with</w:t>
      </w:r>
      <w:r>
        <w:t xml:space="preserve"> the scheme</w:t>
      </w:r>
      <w:r w:rsidR="00E5475C">
        <w:t xml:space="preserve">, including that </w:t>
      </w:r>
      <w:r w:rsidR="00BA26E3">
        <w:t xml:space="preserve">it </w:t>
      </w:r>
      <w:r w:rsidR="00CE7D82">
        <w:t>imposes regulatory burdens, constrains the ability of sports bodies to freely market their content, and impairs the capacity of subscription television broadcasting licensees to bid for such rights.</w:t>
      </w:r>
    </w:p>
    <w:p w14:paraId="18D53E0F" w14:textId="23923B5F" w:rsidR="008623D4" w:rsidRDefault="00BA26E3" w:rsidP="00252EFE">
      <w:pPr>
        <w:spacing w:after="0"/>
      </w:pPr>
      <w:bookmarkStart w:id="177" w:name="_Hlk139987940"/>
      <w:r>
        <w:t>Sports bodies would have greater freedom to negotiate with content services regarding their rights</w:t>
      </w:r>
      <w:r w:rsidR="008623D4">
        <w:t>. T</w:t>
      </w:r>
      <w:r>
        <w:t xml:space="preserve">hese bodies noted through </w:t>
      </w:r>
      <w:r w:rsidR="008623D4">
        <w:t xml:space="preserve">submissions </w:t>
      </w:r>
      <w:r w:rsidR="00606A6A">
        <w:t xml:space="preserve">made through </w:t>
      </w:r>
      <w:r w:rsidR="008623D4">
        <w:t xml:space="preserve">the initial phase of the review that </w:t>
      </w:r>
      <w:r w:rsidR="00FD09F5">
        <w:t xml:space="preserve">the </w:t>
      </w:r>
      <w:r w:rsidR="008623D4">
        <w:t xml:space="preserve">ability to maximise revenue from these rights is critical </w:t>
      </w:r>
      <w:r w:rsidR="005B3C8B">
        <w:t xml:space="preserve">to </w:t>
      </w:r>
      <w:r w:rsidR="00B8283D">
        <w:t xml:space="preserve">their ability to invest in their respective sports at the grassroots level, </w:t>
      </w:r>
      <w:r w:rsidR="00B8283D">
        <w:lastRenderedPageBreak/>
        <w:t>and underpins their operations as not-for-profit entities</w:t>
      </w:r>
      <w:r w:rsidR="008623D4">
        <w:t>.</w:t>
      </w:r>
      <w:r w:rsidR="008623D4" w:rsidRPr="0037192C">
        <w:rPr>
          <w:vertAlign w:val="superscript"/>
        </w:rPr>
        <w:footnoteReference w:id="99"/>
      </w:r>
      <w:r w:rsidR="008623D4">
        <w:t xml:space="preserve"> </w:t>
      </w:r>
      <w:r w:rsidR="00DD3DE9">
        <w:t>They also argued that expanding online coverage allows them to engage a younger and wider audience.</w:t>
      </w:r>
      <w:r w:rsidR="00DD3DE9">
        <w:rPr>
          <w:rStyle w:val="FootnoteReference"/>
        </w:rPr>
        <w:footnoteReference w:id="100"/>
      </w:r>
    </w:p>
    <w:p w14:paraId="2A133C93" w14:textId="68099831" w:rsidR="00BC4715" w:rsidRDefault="00BA26E3" w:rsidP="00355EA7">
      <w:pPr>
        <w:spacing w:after="120"/>
      </w:pPr>
      <w:bookmarkStart w:id="178" w:name="_Hlk139977413"/>
      <w:bookmarkEnd w:id="177"/>
      <w:r>
        <w:t>Subscription television broadcasting licensees would not be restricted in terms of their acquisition of rights</w:t>
      </w:r>
      <w:r w:rsidR="00FD09F5">
        <w:t xml:space="preserve"> and would be able to acquire rights to listed events at any time. </w:t>
      </w:r>
      <w:r w:rsidR="0083202D">
        <w:t xml:space="preserve">This would align with Foxtel’s view that the scheme should be reformed </w:t>
      </w:r>
      <w:r w:rsidR="00E5475C">
        <w:t xml:space="preserve">to ensure that </w:t>
      </w:r>
      <w:r w:rsidR="0083202D">
        <w:t>listed events are made available to all potential acquirers of rights.</w:t>
      </w:r>
      <w:r w:rsidR="0083202D">
        <w:rPr>
          <w:rStyle w:val="FootnoteReference"/>
        </w:rPr>
        <w:footnoteReference w:id="101"/>
      </w:r>
      <w:r w:rsidR="0083202D">
        <w:t xml:space="preserve"> </w:t>
      </w:r>
      <w:r w:rsidR="00FD09F5">
        <w:t xml:space="preserve">In its submission to the initial phase of the review, Foxtel </w:t>
      </w:r>
      <w:r w:rsidR="00BC4715">
        <w:t>argued:</w:t>
      </w:r>
    </w:p>
    <w:p w14:paraId="203E26DC" w14:textId="21475ECC" w:rsidR="00BA26E3" w:rsidRPr="00D90CF9" w:rsidRDefault="00BC4715" w:rsidP="003A0AB1">
      <w:pPr>
        <w:pStyle w:val="Quote"/>
      </w:pPr>
      <w:r w:rsidRPr="00D90CF9">
        <w:t>It is no longer appropriate to maintain a legislative regime which aims to preserve access to nationally important and culturally significant events via a single medium which the majority of Australians are using increasingly less frequently as their primary means for media consumption</w:t>
      </w:r>
      <w:proofErr w:type="gramStart"/>
      <w:r>
        <w:t>…</w:t>
      </w:r>
      <w:r w:rsidR="003A0891">
        <w:t>‘</w:t>
      </w:r>
      <w:proofErr w:type="gramEnd"/>
      <w:r>
        <w:t>Free access’ should no longer be equated with ‘free-to-air television.’</w:t>
      </w:r>
      <w:r w:rsidR="00FD09F5" w:rsidRPr="00D90CF9">
        <w:rPr>
          <w:rStyle w:val="FootnoteReference"/>
        </w:rPr>
        <w:footnoteReference w:id="102"/>
      </w:r>
    </w:p>
    <w:bookmarkEnd w:id="178"/>
    <w:p w14:paraId="51C9A29F" w14:textId="1E42760A" w:rsidR="00252EFE" w:rsidRDefault="00FD09F5" w:rsidP="00355EA7">
      <w:pPr>
        <w:spacing w:before="400" w:after="0"/>
      </w:pPr>
      <w:r>
        <w:t>Th</w:t>
      </w:r>
      <w:r w:rsidR="00E5475C">
        <w:t xml:space="preserve">e free-to-view </w:t>
      </w:r>
      <w:r>
        <w:t xml:space="preserve">model would extend regulatory obligations regarding availability and coverage to content service </w:t>
      </w:r>
      <w:r w:rsidR="00463DB8">
        <w:t xml:space="preserve">providers </w:t>
      </w:r>
      <w:r>
        <w:t>that are not currently subject to the scheme</w:t>
      </w:r>
      <w:r w:rsidR="00C136B0">
        <w:t>, such as streaming services</w:t>
      </w:r>
      <w:r>
        <w:t xml:space="preserve">. In this regard, </w:t>
      </w:r>
      <w:r w:rsidR="00252EFE">
        <w:t xml:space="preserve">it would represent a broadening of the regulatory base with respect to the coverage of </w:t>
      </w:r>
      <w:r w:rsidR="00B5207D">
        <w:t xml:space="preserve">nationally important and culturally significant </w:t>
      </w:r>
      <w:r w:rsidR="00252EFE">
        <w:t>sporting events.</w:t>
      </w:r>
    </w:p>
    <w:p w14:paraId="3F708355" w14:textId="6B42CC5F" w:rsidR="00463DB8" w:rsidRDefault="006F241C" w:rsidP="00252EFE">
      <w:pPr>
        <w:spacing w:after="0"/>
      </w:pPr>
      <w:r>
        <w:t xml:space="preserve">While the </w:t>
      </w:r>
      <w:r w:rsidR="00252EFE">
        <w:t>free-to-view</w:t>
      </w:r>
      <w:r>
        <w:t xml:space="preserve"> model is </w:t>
      </w:r>
      <w:r w:rsidRPr="004C3C39">
        <w:rPr>
          <w:u w:val="single"/>
        </w:rPr>
        <w:t>technology-neutral</w:t>
      </w:r>
      <w:r>
        <w:t xml:space="preserve">, its ability to deliver on the overall objective of the scheme – free access to </w:t>
      </w:r>
      <w:r w:rsidR="005B207C">
        <w:t xml:space="preserve">televised coverage of </w:t>
      </w:r>
      <w:r w:rsidR="004C3C39">
        <w:t>nationally important and culturally significant events –</w:t>
      </w:r>
      <w:r>
        <w:t xml:space="preserve"> is </w:t>
      </w:r>
      <w:r w:rsidRPr="004C3C39">
        <w:rPr>
          <w:u w:val="single"/>
        </w:rPr>
        <w:t>technology-dependent</w:t>
      </w:r>
      <w:r w:rsidR="004E78D1">
        <w:rPr>
          <w:u w:val="single"/>
        </w:rPr>
        <w:t>, with implicit costs</w:t>
      </w:r>
      <w:r>
        <w:t xml:space="preserve">. </w:t>
      </w:r>
      <w:r w:rsidR="00463DB8">
        <w:t xml:space="preserve">As noted above, availability doesn’t equal access, and the practical realities of providing coverage </w:t>
      </w:r>
      <w:r w:rsidR="00F0354B">
        <w:t>of</w:t>
      </w:r>
      <w:r w:rsidR="00463DB8">
        <w:t xml:space="preserve"> listed events via a given technology or technologies are relevant to the </w:t>
      </w:r>
      <w:r w:rsidR="00C87665">
        <w:t>fulfilment</w:t>
      </w:r>
      <w:r w:rsidR="00463DB8">
        <w:t xml:space="preserve"> of the overall objective of the scheme. These factors are considered below in terms of access, cost and service capability.</w:t>
      </w:r>
    </w:p>
    <w:p w14:paraId="5A6B17FD" w14:textId="77777777" w:rsidR="004C3C39" w:rsidRPr="00E922AE" w:rsidRDefault="004C3C39" w:rsidP="00252EFE">
      <w:pPr>
        <w:spacing w:after="0"/>
        <w:rPr>
          <w:b/>
        </w:rPr>
      </w:pPr>
      <w:r w:rsidRPr="00E922AE">
        <w:rPr>
          <w:b/>
        </w:rPr>
        <w:t>Access</w:t>
      </w:r>
    </w:p>
    <w:p w14:paraId="59842305" w14:textId="77777777" w:rsidR="001C339C" w:rsidRDefault="001C339C" w:rsidP="00112DF0">
      <w:pPr>
        <w:spacing w:after="0"/>
        <w:rPr>
          <w:rFonts w:cstheme="minorHAnsi"/>
        </w:rPr>
      </w:pPr>
      <w:r>
        <w:rPr>
          <w:rFonts w:cstheme="minorHAnsi"/>
        </w:rPr>
        <w:t xml:space="preserve">The free-to-view model relies on </w:t>
      </w:r>
      <w:r w:rsidR="00B319C7">
        <w:rPr>
          <w:rFonts w:cstheme="minorHAnsi"/>
        </w:rPr>
        <w:t>consumers having</w:t>
      </w:r>
      <w:r>
        <w:rPr>
          <w:rFonts w:cstheme="minorHAnsi"/>
        </w:rPr>
        <w:t xml:space="preserve"> </w:t>
      </w:r>
      <w:r w:rsidR="00F0354B">
        <w:rPr>
          <w:rFonts w:cstheme="minorHAnsi"/>
        </w:rPr>
        <w:t xml:space="preserve">adequate </w:t>
      </w:r>
      <w:r>
        <w:rPr>
          <w:rFonts w:cstheme="minorHAnsi"/>
        </w:rPr>
        <w:t xml:space="preserve">access to </w:t>
      </w:r>
      <w:r w:rsidR="00F0354B">
        <w:rPr>
          <w:rFonts w:cstheme="minorHAnsi"/>
        </w:rPr>
        <w:t xml:space="preserve">the </w:t>
      </w:r>
      <w:r>
        <w:rPr>
          <w:rFonts w:cstheme="minorHAnsi"/>
        </w:rPr>
        <w:t>internet to ensure that listed events</w:t>
      </w:r>
      <w:r w:rsidR="00F0354B">
        <w:rPr>
          <w:rFonts w:cstheme="minorHAnsi"/>
        </w:rPr>
        <w:t xml:space="preserve"> can be viewed for free,</w:t>
      </w:r>
      <w:r>
        <w:rPr>
          <w:rFonts w:cstheme="minorHAnsi"/>
        </w:rPr>
        <w:t xml:space="preserve"> by </w:t>
      </w:r>
      <w:r w:rsidR="00F0354B">
        <w:rPr>
          <w:rFonts w:cstheme="minorHAnsi"/>
        </w:rPr>
        <w:t>all Australians.</w:t>
      </w:r>
      <w:r w:rsidR="00B319C7">
        <w:rPr>
          <w:rFonts w:cstheme="minorHAnsi"/>
        </w:rPr>
        <w:t xml:space="preserve"> In this context, internet access has </w:t>
      </w:r>
      <w:r w:rsidR="00625557">
        <w:rPr>
          <w:rFonts w:cstheme="minorHAnsi"/>
        </w:rPr>
        <w:t>two key aspects</w:t>
      </w:r>
      <w:r w:rsidR="00B319C7">
        <w:rPr>
          <w:rFonts w:cstheme="minorHAnsi"/>
        </w:rPr>
        <w:t>:</w:t>
      </w:r>
    </w:p>
    <w:p w14:paraId="3D40560D" w14:textId="77777777" w:rsidR="00B319C7" w:rsidRDefault="00B319C7" w:rsidP="001A687D">
      <w:pPr>
        <w:pStyle w:val="ListParagraph"/>
        <w:numPr>
          <w:ilvl w:val="0"/>
          <w:numId w:val="28"/>
        </w:numPr>
        <w:spacing w:after="0"/>
        <w:contextualSpacing w:val="0"/>
        <w:rPr>
          <w:rFonts w:cstheme="minorHAnsi"/>
        </w:rPr>
      </w:pPr>
      <w:r w:rsidRPr="00D90CF9">
        <w:rPr>
          <w:rFonts w:cstheme="minorHAnsi"/>
          <w:u w:val="single"/>
        </w:rPr>
        <w:t>Availability</w:t>
      </w:r>
      <w:r w:rsidR="00F0354B" w:rsidRPr="00F0354B">
        <w:rPr>
          <w:rFonts w:cstheme="minorHAnsi"/>
        </w:rPr>
        <w:t>:</w:t>
      </w:r>
      <w:r>
        <w:rPr>
          <w:rFonts w:cstheme="minorHAnsi"/>
        </w:rPr>
        <w:t xml:space="preserve"> refers to whether or not </w:t>
      </w:r>
      <w:r w:rsidR="00F0354B">
        <w:rPr>
          <w:rFonts w:cstheme="minorHAnsi"/>
        </w:rPr>
        <w:t>relevant</w:t>
      </w:r>
      <w:r>
        <w:rPr>
          <w:rFonts w:cstheme="minorHAnsi"/>
        </w:rPr>
        <w:t xml:space="preserve"> networks exist </w:t>
      </w:r>
      <w:r w:rsidR="00F0354B">
        <w:rPr>
          <w:rFonts w:cstheme="minorHAnsi"/>
        </w:rPr>
        <w:t xml:space="preserve">and </w:t>
      </w:r>
      <w:r w:rsidR="00F01206">
        <w:rPr>
          <w:rFonts w:cstheme="minorHAnsi"/>
        </w:rPr>
        <w:t xml:space="preserve">are </w:t>
      </w:r>
      <w:r w:rsidR="00F0354B">
        <w:rPr>
          <w:rFonts w:cstheme="minorHAnsi"/>
        </w:rPr>
        <w:t xml:space="preserve">in place across the country </w:t>
      </w:r>
      <w:r>
        <w:rPr>
          <w:rFonts w:cstheme="minorHAnsi"/>
        </w:rPr>
        <w:t xml:space="preserve">to connect consumers to </w:t>
      </w:r>
      <w:r w:rsidR="007A4293">
        <w:rPr>
          <w:rFonts w:cstheme="minorHAnsi"/>
        </w:rPr>
        <w:t>the</w:t>
      </w:r>
      <w:r>
        <w:rPr>
          <w:rFonts w:cstheme="minorHAnsi"/>
        </w:rPr>
        <w:t xml:space="preserve"> internet.</w:t>
      </w:r>
    </w:p>
    <w:p w14:paraId="68320564" w14:textId="7CA74D06" w:rsidR="00F0354B" w:rsidRDefault="00B319C7" w:rsidP="001A687D">
      <w:pPr>
        <w:pStyle w:val="ListParagraph"/>
        <w:numPr>
          <w:ilvl w:val="0"/>
          <w:numId w:val="28"/>
        </w:numPr>
        <w:spacing w:after="0"/>
        <w:contextualSpacing w:val="0"/>
        <w:rPr>
          <w:rFonts w:cstheme="minorHAnsi"/>
        </w:rPr>
      </w:pPr>
      <w:r w:rsidRPr="00D90CF9">
        <w:rPr>
          <w:rFonts w:cstheme="minorHAnsi"/>
          <w:u w:val="single"/>
        </w:rPr>
        <w:t>Take</w:t>
      </w:r>
      <w:r w:rsidR="001A1C82">
        <w:rPr>
          <w:rFonts w:cstheme="minorHAnsi"/>
          <w:u w:val="single"/>
        </w:rPr>
        <w:t>-</w:t>
      </w:r>
      <w:r w:rsidRPr="00D90CF9">
        <w:rPr>
          <w:rFonts w:cstheme="minorHAnsi"/>
          <w:u w:val="single"/>
        </w:rPr>
        <w:t>up</w:t>
      </w:r>
      <w:r w:rsidR="00F0354B" w:rsidRPr="00F0354B">
        <w:rPr>
          <w:rFonts w:cstheme="minorHAnsi"/>
        </w:rPr>
        <w:t>:</w:t>
      </w:r>
      <w:r w:rsidR="00F0354B">
        <w:rPr>
          <w:rFonts w:cstheme="minorHAnsi"/>
          <w:b/>
        </w:rPr>
        <w:t xml:space="preserve"> </w:t>
      </w:r>
      <w:r w:rsidR="00F0354B" w:rsidRPr="00F0354B">
        <w:rPr>
          <w:rFonts w:cstheme="minorHAnsi"/>
        </w:rPr>
        <w:t>refers to</w:t>
      </w:r>
      <w:r w:rsidR="00F0354B">
        <w:rPr>
          <w:rFonts w:cstheme="minorHAnsi"/>
          <w:b/>
        </w:rPr>
        <w:t xml:space="preserve"> </w:t>
      </w:r>
      <w:r>
        <w:rPr>
          <w:rFonts w:cstheme="minorHAnsi"/>
        </w:rPr>
        <w:t xml:space="preserve">whether consumers actually connect to </w:t>
      </w:r>
      <w:r w:rsidR="00F0354B">
        <w:rPr>
          <w:rFonts w:cstheme="minorHAnsi"/>
        </w:rPr>
        <w:t xml:space="preserve">the </w:t>
      </w:r>
      <w:r>
        <w:rPr>
          <w:rFonts w:cstheme="minorHAnsi"/>
        </w:rPr>
        <w:t>available networks.</w:t>
      </w:r>
    </w:p>
    <w:p w14:paraId="6205B0E8" w14:textId="77777777" w:rsidR="00B85708" w:rsidRPr="00EB09E7" w:rsidRDefault="00B85708" w:rsidP="00112DF0">
      <w:pPr>
        <w:spacing w:after="0"/>
        <w:rPr>
          <w:rFonts w:cstheme="minorHAnsi"/>
          <w:i/>
        </w:rPr>
      </w:pPr>
      <w:r w:rsidRPr="00EB09E7">
        <w:rPr>
          <w:rFonts w:cstheme="minorHAnsi"/>
          <w:i/>
        </w:rPr>
        <w:t>Availability</w:t>
      </w:r>
    </w:p>
    <w:p w14:paraId="67598FA1" w14:textId="3942CA67" w:rsidR="00644388" w:rsidRDefault="00F0354B" w:rsidP="00112DF0">
      <w:pPr>
        <w:spacing w:after="0"/>
      </w:pPr>
      <w:r>
        <w:rPr>
          <w:rFonts w:cstheme="minorHAnsi"/>
        </w:rPr>
        <w:t>In a contemporary environment, t</w:t>
      </w:r>
      <w:r w:rsidR="00002048">
        <w:rPr>
          <w:rFonts w:cstheme="minorHAnsi"/>
        </w:rPr>
        <w:t xml:space="preserve">he internet is </w:t>
      </w:r>
      <w:r w:rsidR="00002048" w:rsidRPr="002B1D55">
        <w:rPr>
          <w:rFonts w:cstheme="minorHAnsi"/>
        </w:rPr>
        <w:t>widely</w:t>
      </w:r>
      <w:r w:rsidR="00002048" w:rsidRPr="004E78D1">
        <w:rPr>
          <w:rFonts w:cstheme="minorHAnsi"/>
        </w:rPr>
        <w:t xml:space="preserve"> </w:t>
      </w:r>
      <w:r w:rsidR="00002048" w:rsidRPr="002B1D55">
        <w:rPr>
          <w:rFonts w:cstheme="minorHAnsi"/>
        </w:rPr>
        <w:t>available</w:t>
      </w:r>
      <w:r w:rsidR="00002048">
        <w:rPr>
          <w:rFonts w:cstheme="minorHAnsi"/>
        </w:rPr>
        <w:t xml:space="preserve"> to </w:t>
      </w:r>
      <w:r w:rsidR="00845055">
        <w:rPr>
          <w:rFonts w:cstheme="minorHAnsi"/>
        </w:rPr>
        <w:t>Australians</w:t>
      </w:r>
      <w:r>
        <w:rPr>
          <w:rFonts w:cstheme="minorHAnsi"/>
        </w:rPr>
        <w:t>.</w:t>
      </w:r>
      <w:r w:rsidR="00112DF0">
        <w:rPr>
          <w:rFonts w:cstheme="minorHAnsi"/>
        </w:rPr>
        <w:t xml:space="preserve"> </w:t>
      </w:r>
      <w:r w:rsidR="00112DF0">
        <w:t>As at September 2020, 99</w:t>
      </w:r>
      <w:r w:rsidR="00112DF0" w:rsidRPr="00D9463E">
        <w:rPr>
          <w:sz w:val="24"/>
        </w:rPr>
        <w:t>.</w:t>
      </w:r>
      <w:r w:rsidR="00D9463E">
        <w:t>3 </w:t>
      </w:r>
      <w:r w:rsidR="00112DF0">
        <w:t>per cent of premises could connect to the NBN</w:t>
      </w:r>
      <w:r w:rsidR="00E86E04">
        <w:t>.</w:t>
      </w:r>
      <w:r w:rsidR="00112DF0">
        <w:rPr>
          <w:rStyle w:val="FootnoteReference"/>
        </w:rPr>
        <w:footnoteReference w:id="103"/>
      </w:r>
      <w:r w:rsidR="009E3908">
        <w:t xml:space="preserve"> </w:t>
      </w:r>
      <w:r w:rsidR="005530A0">
        <w:rPr>
          <w:rFonts w:cstheme="minorHAnsi"/>
        </w:rPr>
        <w:t xml:space="preserve">Mobile </w:t>
      </w:r>
      <w:r w:rsidR="006D4F87">
        <w:rPr>
          <w:rFonts w:cstheme="minorHAnsi"/>
        </w:rPr>
        <w:t>internet</w:t>
      </w:r>
      <w:r w:rsidR="005530A0">
        <w:rPr>
          <w:rFonts w:cstheme="minorHAnsi"/>
        </w:rPr>
        <w:t xml:space="preserve"> coverage is also </w:t>
      </w:r>
      <w:r w:rsidR="00A26B2D">
        <w:rPr>
          <w:rFonts w:cstheme="minorHAnsi"/>
        </w:rPr>
        <w:t>high</w:t>
      </w:r>
      <w:r>
        <w:rPr>
          <w:rFonts w:cstheme="minorHAnsi"/>
        </w:rPr>
        <w:t>,</w:t>
      </w:r>
      <w:r w:rsidR="005530A0">
        <w:rPr>
          <w:rFonts w:cstheme="minorHAnsi"/>
        </w:rPr>
        <w:t xml:space="preserve"> </w:t>
      </w:r>
      <w:r w:rsidR="00F7049B">
        <w:rPr>
          <w:rFonts w:cstheme="minorHAnsi"/>
        </w:rPr>
        <w:t xml:space="preserve">with </w:t>
      </w:r>
      <w:r w:rsidR="00F7049B" w:rsidRPr="00112DF0">
        <w:t>99</w:t>
      </w:r>
      <w:r w:rsidR="00F7049B" w:rsidRPr="00D9463E">
        <w:rPr>
          <w:sz w:val="24"/>
        </w:rPr>
        <w:t>.4</w:t>
      </w:r>
      <w:r w:rsidR="00D9463E">
        <w:t> </w:t>
      </w:r>
      <w:r w:rsidR="00485115" w:rsidRPr="00112DF0">
        <w:t>per</w:t>
      </w:r>
      <w:r w:rsidR="00485115">
        <w:t> </w:t>
      </w:r>
      <w:r w:rsidR="005530A0" w:rsidRPr="00112DF0">
        <w:t>cent of the population</w:t>
      </w:r>
      <w:r w:rsidR="005530A0">
        <w:t xml:space="preserve"> able to access</w:t>
      </w:r>
      <w:r w:rsidR="00FB5CEF">
        <w:t xml:space="preserve"> Telstra’s</w:t>
      </w:r>
      <w:r w:rsidR="005530A0">
        <w:t xml:space="preserve"> 4G services</w:t>
      </w:r>
      <w:r w:rsidR="00D9463E">
        <w:rPr>
          <w:rStyle w:val="FootnoteReference"/>
        </w:rPr>
        <w:footnoteReference w:id="104"/>
      </w:r>
      <w:r w:rsidR="005530A0">
        <w:t xml:space="preserve"> and </w:t>
      </w:r>
      <w:r w:rsidR="001876CE">
        <w:t xml:space="preserve">85 </w:t>
      </w:r>
      <w:r w:rsidR="00FB5CEF">
        <w:t xml:space="preserve">per cent </w:t>
      </w:r>
      <w:r w:rsidR="003412C4">
        <w:t xml:space="preserve">able to access </w:t>
      </w:r>
      <w:r w:rsidR="0058713C">
        <w:t xml:space="preserve">its </w:t>
      </w:r>
      <w:r w:rsidR="00FB5CEF">
        <w:t>5G</w:t>
      </w:r>
      <w:r w:rsidR="00B85708">
        <w:t xml:space="preserve"> services</w:t>
      </w:r>
      <w:r w:rsidR="005530A0" w:rsidRPr="00112DF0">
        <w:t>.</w:t>
      </w:r>
      <w:r w:rsidR="005530A0">
        <w:rPr>
          <w:rStyle w:val="FootnoteReference"/>
        </w:rPr>
        <w:footnoteReference w:id="105"/>
      </w:r>
    </w:p>
    <w:p w14:paraId="118345A7" w14:textId="3B94D9A2" w:rsidR="00323AB6" w:rsidRDefault="00B85708" w:rsidP="00112DF0">
      <w:pPr>
        <w:spacing w:after="0"/>
      </w:pPr>
      <w:r>
        <w:t>However, with respect to mobile coverage, there are discrepancies in availability depending on which network a consumer uses.</w:t>
      </w:r>
    </w:p>
    <w:p w14:paraId="7413DF85" w14:textId="586DDC97" w:rsidR="00B85708" w:rsidRDefault="00B85708" w:rsidP="00323AB6">
      <w:pPr>
        <w:pStyle w:val="ListParagraph"/>
        <w:numPr>
          <w:ilvl w:val="0"/>
          <w:numId w:val="31"/>
        </w:numPr>
        <w:contextualSpacing w:val="0"/>
      </w:pPr>
      <w:r>
        <w:t>T</w:t>
      </w:r>
      <w:r w:rsidR="00FB5CEF">
        <w:t>he Optus 4G ne</w:t>
      </w:r>
      <w:r w:rsidR="005B3C8B">
        <w:t xml:space="preserve">twork </w:t>
      </w:r>
      <w:r w:rsidR="00FB5CEF">
        <w:t>reach</w:t>
      </w:r>
      <w:r>
        <w:t>es some</w:t>
      </w:r>
      <w:r w:rsidR="00FB5CEF" w:rsidRPr="00FB5CEF">
        <w:t xml:space="preserve"> 97.3</w:t>
      </w:r>
      <w:r w:rsidR="000C63A1">
        <w:t xml:space="preserve"> per cent</w:t>
      </w:r>
      <w:r w:rsidR="00FB5CEF" w:rsidRPr="00FB5CEF">
        <w:t xml:space="preserve"> of the </w:t>
      </w:r>
      <w:r>
        <w:t xml:space="preserve">Australian </w:t>
      </w:r>
      <w:r w:rsidR="00FB5CEF" w:rsidRPr="00FB5CEF">
        <w:t>population</w:t>
      </w:r>
      <w:r w:rsidR="005530A0">
        <w:t>.</w:t>
      </w:r>
      <w:r w:rsidR="005530A0">
        <w:rPr>
          <w:rStyle w:val="FootnoteReference"/>
        </w:rPr>
        <w:footnoteReference w:id="106"/>
      </w:r>
    </w:p>
    <w:p w14:paraId="0AC4E057" w14:textId="6C26A5F5" w:rsidR="005530A0" w:rsidRDefault="000770D7" w:rsidP="00323AB6">
      <w:pPr>
        <w:pStyle w:val="ListParagraph"/>
        <w:numPr>
          <w:ilvl w:val="0"/>
          <w:numId w:val="31"/>
        </w:numPr>
        <w:contextualSpacing w:val="0"/>
      </w:pPr>
      <w:r>
        <w:lastRenderedPageBreak/>
        <w:t>TPG’s</w:t>
      </w:r>
      <w:r w:rsidR="000C63A1">
        <w:t xml:space="preserve"> </w:t>
      </w:r>
      <w:r w:rsidR="00153C85">
        <w:t>(Vodafone’s)</w:t>
      </w:r>
      <w:r w:rsidR="000C63A1">
        <w:t xml:space="preserve"> business model focuses on metropolitan areas</w:t>
      </w:r>
      <w:r w:rsidR="00FB5CEF">
        <w:t xml:space="preserve">, with its 5G network covering </w:t>
      </w:r>
      <w:r w:rsidR="00153C85">
        <w:t xml:space="preserve">more than </w:t>
      </w:r>
      <w:r w:rsidR="00FB5CEF">
        <w:t>96 per cent of the population in Australia’s ten largest cities.</w:t>
      </w:r>
      <w:r w:rsidR="00FB5CEF">
        <w:rPr>
          <w:rStyle w:val="FootnoteReference"/>
        </w:rPr>
        <w:footnoteReference w:id="107"/>
      </w:r>
    </w:p>
    <w:p w14:paraId="31CAB30E" w14:textId="244112F4" w:rsidR="00323AB6" w:rsidRDefault="00323AB6" w:rsidP="00323AB6">
      <w:r>
        <w:t>Mobile-only users of the internet are a minor but significant portion of the Australian population.</w:t>
      </w:r>
    </w:p>
    <w:p w14:paraId="4843E937" w14:textId="6F80EB30" w:rsidR="00F629E7" w:rsidRPr="00F945D8" w:rsidRDefault="00977B31" w:rsidP="00D26BF1">
      <w:pPr>
        <w:pStyle w:val="ListParagraph"/>
        <w:numPr>
          <w:ilvl w:val="0"/>
          <w:numId w:val="71"/>
        </w:numPr>
        <w:contextualSpacing w:val="0"/>
      </w:pPr>
      <w:r>
        <w:t xml:space="preserve">In the 12 months to June 2020, 16 per cent of Australian adults were mobile-only users of the internet </w:t>
      </w:r>
      <w:r w:rsidR="003A0891">
        <w:t xml:space="preserve">at home </w:t>
      </w:r>
      <w:r>
        <w:t>(mobile broadband or mobile phone)</w:t>
      </w:r>
      <w:r w:rsidR="00C40601">
        <w:t>, including 21 per cent of those aged 18 to 24</w:t>
      </w:r>
      <w:r>
        <w:t>.</w:t>
      </w:r>
      <w:r>
        <w:rPr>
          <w:rStyle w:val="FootnoteReference"/>
        </w:rPr>
        <w:footnoteReference w:id="108"/>
      </w:r>
    </w:p>
    <w:p w14:paraId="59C7C656" w14:textId="3FCB7464" w:rsidR="00C40601" w:rsidRDefault="00C40601" w:rsidP="00C40601">
      <w:pPr>
        <w:pStyle w:val="ListParagraph"/>
        <w:numPr>
          <w:ilvl w:val="0"/>
          <w:numId w:val="71"/>
        </w:numPr>
        <w:contextualSpacing w:val="0"/>
      </w:pPr>
      <w:r>
        <w:t>A separate study found that certain groups, including First Nations people and those on the lowest incomes, tend to be overrepresented in this cohort of mobile-only users of the internet.</w:t>
      </w:r>
      <w:r>
        <w:rPr>
          <w:rStyle w:val="FootnoteReference"/>
        </w:rPr>
        <w:footnoteReference w:id="109"/>
      </w:r>
    </w:p>
    <w:p w14:paraId="1F6BD8A5" w14:textId="7B3D0627" w:rsidR="00977B31" w:rsidRDefault="00977B31" w:rsidP="003A0AB1">
      <w:r>
        <w:t xml:space="preserve">This is relevant to the question of whether the free-to-view model can deliver on the objective of the scheme, given the </w:t>
      </w:r>
      <w:r w:rsidR="007B6872">
        <w:t xml:space="preserve">variance in </w:t>
      </w:r>
      <w:r>
        <w:t>population coverage across mobile networks.</w:t>
      </w:r>
    </w:p>
    <w:p w14:paraId="0762ED10" w14:textId="77777777" w:rsidR="00B85708" w:rsidRPr="00EB09E7" w:rsidRDefault="005530A0" w:rsidP="00323AB6">
      <w:pPr>
        <w:rPr>
          <w:i/>
        </w:rPr>
      </w:pPr>
      <w:r w:rsidRPr="00EB09E7">
        <w:rPr>
          <w:i/>
        </w:rPr>
        <w:t>Take</w:t>
      </w:r>
      <w:r w:rsidR="001A1C82" w:rsidRPr="00EB09E7">
        <w:rPr>
          <w:i/>
        </w:rPr>
        <w:t>-</w:t>
      </w:r>
      <w:r w:rsidRPr="00EB09E7">
        <w:rPr>
          <w:i/>
        </w:rPr>
        <w:t>up</w:t>
      </w:r>
    </w:p>
    <w:p w14:paraId="792D3E59" w14:textId="6F220099" w:rsidR="00EB09E7" w:rsidRDefault="005530A0" w:rsidP="00EB09E7">
      <w:pPr>
        <w:spacing w:after="0"/>
      </w:pPr>
      <w:r w:rsidRPr="00D90CF9">
        <w:rPr>
          <w:u w:val="single"/>
        </w:rPr>
        <w:t>Take</w:t>
      </w:r>
      <w:r w:rsidR="001A1C82">
        <w:rPr>
          <w:u w:val="single"/>
        </w:rPr>
        <w:t>-</w:t>
      </w:r>
      <w:r w:rsidRPr="00D90CF9">
        <w:rPr>
          <w:u w:val="single"/>
        </w:rPr>
        <w:t xml:space="preserve">up </w:t>
      </w:r>
      <w:r w:rsidR="00B85708">
        <w:rPr>
          <w:u w:val="single"/>
        </w:rPr>
        <w:t>of broadband services</w:t>
      </w:r>
      <w:r w:rsidRPr="00D90CF9">
        <w:rPr>
          <w:u w:val="single"/>
        </w:rPr>
        <w:t xml:space="preserve"> is also high</w:t>
      </w:r>
      <w:r w:rsidR="001A1C82" w:rsidRPr="00977B31">
        <w:t xml:space="preserve"> </w:t>
      </w:r>
      <w:r w:rsidR="001A1C82" w:rsidRPr="001A1C82">
        <w:t>at</w:t>
      </w:r>
      <w:r w:rsidR="00E86E04">
        <w:t xml:space="preserve"> </w:t>
      </w:r>
      <w:r>
        <w:t xml:space="preserve">an </w:t>
      </w:r>
      <w:r w:rsidR="001A1C82" w:rsidRPr="001A1C82">
        <w:t>aggregate level</w:t>
      </w:r>
      <w:r w:rsidR="001A1C82">
        <w:t>.</w:t>
      </w:r>
    </w:p>
    <w:p w14:paraId="57BDDDBB" w14:textId="067DE64C" w:rsidR="00EB09E7" w:rsidRPr="00EB09E7" w:rsidRDefault="009E3908" w:rsidP="001A687D">
      <w:pPr>
        <w:pStyle w:val="ListParagraph"/>
        <w:numPr>
          <w:ilvl w:val="0"/>
          <w:numId w:val="32"/>
        </w:numPr>
        <w:spacing w:after="0"/>
        <w:contextualSpacing w:val="0"/>
      </w:pPr>
      <w:r>
        <w:t>93</w:t>
      </w:r>
      <w:r w:rsidR="00E86E04">
        <w:t> </w:t>
      </w:r>
      <w:r>
        <w:t xml:space="preserve">per cent of Australians </w:t>
      </w:r>
      <w:r w:rsidR="00C40601">
        <w:t xml:space="preserve">had a </w:t>
      </w:r>
      <w:r>
        <w:t>home internet con</w:t>
      </w:r>
      <w:r w:rsidR="005D1711">
        <w:t>nection</w:t>
      </w:r>
      <w:r w:rsidR="00C40601">
        <w:t xml:space="preserve"> at June</w:t>
      </w:r>
      <w:r w:rsidR="00C40601" w:rsidRPr="009E3908">
        <w:rPr>
          <w:rFonts w:cstheme="minorHAnsi"/>
        </w:rPr>
        <w:t xml:space="preserve"> 2022</w:t>
      </w:r>
      <w:r w:rsidR="00C40601">
        <w:rPr>
          <w:rFonts w:cstheme="minorHAnsi"/>
        </w:rPr>
        <w:t>.</w:t>
      </w:r>
      <w:r w:rsidR="00112DF0" w:rsidRPr="009E3908">
        <w:rPr>
          <w:rStyle w:val="FootnoteReference"/>
          <w:rFonts w:cstheme="minorHAnsi"/>
        </w:rPr>
        <w:footnoteReference w:id="110"/>
      </w:r>
    </w:p>
    <w:p w14:paraId="5A012864" w14:textId="26F896B3" w:rsidR="00E2599F" w:rsidRDefault="009B2C98" w:rsidP="001A687D">
      <w:pPr>
        <w:pStyle w:val="ListParagraph"/>
        <w:numPr>
          <w:ilvl w:val="0"/>
          <w:numId w:val="32"/>
        </w:numPr>
        <w:spacing w:after="0"/>
        <w:contextualSpacing w:val="0"/>
      </w:pPr>
      <w:r>
        <w:rPr>
          <w:rFonts w:cstheme="minorHAnsi"/>
        </w:rPr>
        <w:t>A</w:t>
      </w:r>
      <w:r w:rsidR="00A80CD9">
        <w:rPr>
          <w:rFonts w:cstheme="minorHAnsi"/>
        </w:rPr>
        <w:t>s a</w:t>
      </w:r>
      <w:r>
        <w:rPr>
          <w:rFonts w:cstheme="minorHAnsi"/>
        </w:rPr>
        <w:t>t 3</w:t>
      </w:r>
      <w:r w:rsidR="00A80CD9">
        <w:rPr>
          <w:rFonts w:cstheme="minorHAnsi"/>
        </w:rPr>
        <w:t>0</w:t>
      </w:r>
      <w:r w:rsidR="00D45FF6">
        <w:rPr>
          <w:rFonts w:cstheme="minorHAnsi"/>
        </w:rPr>
        <w:t xml:space="preserve"> December 2022, </w:t>
      </w:r>
      <w:r w:rsidR="0086156F">
        <w:rPr>
          <w:rFonts w:cstheme="minorHAnsi"/>
        </w:rPr>
        <w:t xml:space="preserve">analysis of 13 leading retailers revealed </w:t>
      </w:r>
      <w:r w:rsidR="00D45FF6">
        <w:rPr>
          <w:rFonts w:cstheme="minorHAnsi"/>
        </w:rPr>
        <w:t xml:space="preserve">there were </w:t>
      </w:r>
      <w:r w:rsidR="00D45FF6">
        <w:t>7.9 million retail broadband internet services in operation (7.5 million of which were NBN)</w:t>
      </w:r>
      <w:r w:rsidR="00A80CD9">
        <w:t>.</w:t>
      </w:r>
    </w:p>
    <w:p w14:paraId="01585791" w14:textId="02C1A5C5" w:rsidR="005D1711" w:rsidRDefault="00A80CD9" w:rsidP="001A687D">
      <w:pPr>
        <w:pStyle w:val="ListParagraph"/>
        <w:numPr>
          <w:ilvl w:val="0"/>
          <w:numId w:val="32"/>
        </w:numPr>
        <w:spacing w:after="0"/>
        <w:contextualSpacing w:val="0"/>
      </w:pPr>
      <w:r>
        <w:t>As at 31 December 2022, there were</w:t>
      </w:r>
      <w:r w:rsidR="009B2C98" w:rsidRPr="00EB09E7">
        <w:rPr>
          <w:rFonts w:cstheme="minorHAnsi"/>
        </w:rPr>
        <w:t xml:space="preserve"> </w:t>
      </w:r>
      <w:r w:rsidR="00D45FF6">
        <w:rPr>
          <w:rFonts w:cstheme="minorHAnsi"/>
        </w:rPr>
        <w:t xml:space="preserve">approximately </w:t>
      </w:r>
      <w:r w:rsidR="00D45FF6">
        <w:t>28.7 million mobile services</w:t>
      </w:r>
      <w:r w:rsidR="00D45FF6">
        <w:rPr>
          <w:rStyle w:val="FootnoteReference"/>
        </w:rPr>
        <w:footnoteReference w:id="111"/>
      </w:r>
      <w:r w:rsidR="00D45FF6">
        <w:rPr>
          <w:rFonts w:cstheme="minorHAnsi"/>
        </w:rPr>
        <w:t xml:space="preserve"> and </w:t>
      </w:r>
      <w:r w:rsidR="00EB09E7">
        <w:rPr>
          <w:rFonts w:cstheme="minorHAnsi"/>
        </w:rPr>
        <w:t xml:space="preserve">some </w:t>
      </w:r>
      <w:r w:rsidR="00D45FF6">
        <w:t>4.4 million mobile broadband services.</w:t>
      </w:r>
      <w:r w:rsidR="00D45FF6">
        <w:rPr>
          <w:rStyle w:val="FootnoteReference"/>
        </w:rPr>
        <w:footnoteReference w:id="112"/>
      </w:r>
    </w:p>
    <w:p w14:paraId="4138CD36" w14:textId="77777777" w:rsidR="00EB09E7" w:rsidRPr="00EB09E7" w:rsidRDefault="009A23E6" w:rsidP="00C229B1">
      <w:pPr>
        <w:spacing w:after="0"/>
        <w:rPr>
          <w:rFonts w:cstheme="minorHAnsi"/>
        </w:rPr>
      </w:pPr>
      <w:r>
        <w:rPr>
          <w:rFonts w:cstheme="minorHAnsi"/>
        </w:rPr>
        <w:t xml:space="preserve">However, </w:t>
      </w:r>
      <w:r w:rsidR="00657C46" w:rsidRPr="0023307A">
        <w:rPr>
          <w:rFonts w:cstheme="minorHAnsi"/>
          <w:u w:val="single"/>
        </w:rPr>
        <w:t>m</w:t>
      </w:r>
      <w:r w:rsidR="00A87F4D" w:rsidRPr="0023307A">
        <w:rPr>
          <w:rFonts w:cstheme="minorHAnsi"/>
          <w:u w:val="single"/>
        </w:rPr>
        <w:t>any Australia</w:t>
      </w:r>
      <w:r w:rsidR="00EB09E7">
        <w:rPr>
          <w:rFonts w:cstheme="minorHAnsi"/>
          <w:u w:val="single"/>
        </w:rPr>
        <w:t>ns</w:t>
      </w:r>
      <w:r w:rsidR="00A87F4D" w:rsidRPr="0023307A">
        <w:rPr>
          <w:rFonts w:cstheme="minorHAnsi"/>
          <w:u w:val="single"/>
        </w:rPr>
        <w:t xml:space="preserve"> </w:t>
      </w:r>
      <w:r w:rsidR="00A87F4D">
        <w:rPr>
          <w:rFonts w:cstheme="minorHAnsi"/>
          <w:u w:val="single"/>
        </w:rPr>
        <w:t xml:space="preserve">have </w:t>
      </w:r>
      <w:r w:rsidR="0023307A">
        <w:rPr>
          <w:rFonts w:cstheme="minorHAnsi"/>
          <w:u w:val="single"/>
        </w:rPr>
        <w:t>not taken up</w:t>
      </w:r>
      <w:r w:rsidR="00A87F4D" w:rsidRPr="0023307A">
        <w:rPr>
          <w:rFonts w:cstheme="minorHAnsi"/>
          <w:u w:val="single"/>
        </w:rPr>
        <w:t xml:space="preserve"> a home internet connection</w:t>
      </w:r>
      <w:r w:rsidR="00A87F4D" w:rsidRPr="00A87F4D">
        <w:rPr>
          <w:rFonts w:cstheme="minorHAnsi"/>
        </w:rPr>
        <w:t xml:space="preserve">. </w:t>
      </w:r>
      <w:r w:rsidR="001A1C82">
        <w:rPr>
          <w:rFonts w:cstheme="minorHAnsi"/>
        </w:rPr>
        <w:t xml:space="preserve">In 2022, </w:t>
      </w:r>
      <w:r w:rsidR="00EB09E7" w:rsidRPr="00EB09E7">
        <w:rPr>
          <w:rFonts w:cstheme="minorHAnsi"/>
        </w:rPr>
        <w:t>some</w:t>
      </w:r>
      <w:r w:rsidR="001A1C82">
        <w:rPr>
          <w:rFonts w:cstheme="minorHAnsi"/>
        </w:rPr>
        <w:t xml:space="preserve"> 6.82 per cent of Australians </w:t>
      </w:r>
      <w:r w:rsidR="001A1C82" w:rsidRPr="00EB09E7">
        <w:rPr>
          <w:rFonts w:cstheme="minorHAnsi"/>
        </w:rPr>
        <w:t>ha</w:t>
      </w:r>
      <w:r w:rsidR="00EB09E7" w:rsidRPr="00EB09E7">
        <w:rPr>
          <w:rFonts w:cstheme="minorHAnsi"/>
        </w:rPr>
        <w:t>d</w:t>
      </w:r>
      <w:r w:rsidR="001A1C82">
        <w:rPr>
          <w:rFonts w:cstheme="minorHAnsi"/>
        </w:rPr>
        <w:t xml:space="preserve"> no internet</w:t>
      </w:r>
      <w:r w:rsidR="00D45FF6">
        <w:rPr>
          <w:rFonts w:cstheme="minorHAnsi"/>
        </w:rPr>
        <w:t xml:space="preserve"> connection</w:t>
      </w:r>
      <w:r w:rsidR="001A1C82">
        <w:rPr>
          <w:rFonts w:cstheme="minorHAnsi"/>
        </w:rPr>
        <w:t xml:space="preserve"> at home</w:t>
      </w:r>
      <w:r w:rsidR="00EB09E7" w:rsidRPr="00EB09E7">
        <w:rPr>
          <w:rFonts w:cstheme="minorHAnsi"/>
        </w:rPr>
        <w:t>,</w:t>
      </w:r>
      <w:r w:rsidR="001A1C82">
        <w:rPr>
          <w:rStyle w:val="FootnoteReference"/>
          <w:rFonts w:cstheme="minorHAnsi"/>
        </w:rPr>
        <w:footnoteReference w:id="113"/>
      </w:r>
      <w:r w:rsidR="001A1C82">
        <w:rPr>
          <w:rFonts w:cstheme="minorHAnsi"/>
        </w:rPr>
        <w:t xml:space="preserve"> </w:t>
      </w:r>
      <w:r w:rsidR="00EB09E7" w:rsidRPr="00EB09E7">
        <w:rPr>
          <w:rFonts w:cstheme="minorHAnsi"/>
        </w:rPr>
        <w:t>and l</w:t>
      </w:r>
      <w:r w:rsidR="00DB221B" w:rsidRPr="00EB09E7">
        <w:rPr>
          <w:rFonts w:cstheme="minorHAnsi"/>
        </w:rPr>
        <w:t>ower</w:t>
      </w:r>
      <w:r w:rsidR="00DB221B">
        <w:rPr>
          <w:rFonts w:cstheme="minorHAnsi"/>
        </w:rPr>
        <w:t xml:space="preserve"> take-up is </w:t>
      </w:r>
      <w:r w:rsidR="00EB09E7" w:rsidRPr="00EB09E7">
        <w:rPr>
          <w:rFonts w:cstheme="minorHAnsi"/>
        </w:rPr>
        <w:t>more</w:t>
      </w:r>
      <w:r w:rsidR="00DB221B">
        <w:rPr>
          <w:rFonts w:cstheme="minorHAnsi"/>
        </w:rPr>
        <w:t xml:space="preserve"> prevalent among particular groups</w:t>
      </w:r>
      <w:r w:rsidR="00EB09E7" w:rsidRPr="00EB09E7">
        <w:rPr>
          <w:rFonts w:cstheme="minorHAnsi"/>
        </w:rPr>
        <w:t>:</w:t>
      </w:r>
    </w:p>
    <w:p w14:paraId="245B08B9" w14:textId="29BA277F" w:rsidR="00EB09E7" w:rsidRDefault="001A1C82" w:rsidP="001A687D">
      <w:pPr>
        <w:pStyle w:val="ListParagraph"/>
        <w:numPr>
          <w:ilvl w:val="0"/>
          <w:numId w:val="33"/>
        </w:numPr>
        <w:spacing w:after="0"/>
        <w:contextualSpacing w:val="0"/>
        <w:rPr>
          <w:rFonts w:cstheme="minorHAnsi"/>
        </w:rPr>
      </w:pPr>
      <w:r>
        <w:rPr>
          <w:rFonts w:cstheme="minorHAnsi"/>
        </w:rPr>
        <w:t>8.</w:t>
      </w:r>
      <w:r w:rsidR="00EB09E7">
        <w:rPr>
          <w:rFonts w:cstheme="minorHAnsi"/>
        </w:rPr>
        <w:t>5</w:t>
      </w:r>
      <w:r w:rsidRPr="00EB09E7">
        <w:rPr>
          <w:rFonts w:cstheme="minorHAnsi"/>
        </w:rPr>
        <w:t>1</w:t>
      </w:r>
      <w:r>
        <w:rPr>
          <w:rFonts w:cstheme="minorHAnsi"/>
        </w:rPr>
        <w:t xml:space="preserve"> per cent of regional Australians had no internet connection at home</w:t>
      </w:r>
      <w:r w:rsidR="00EB09E7">
        <w:rPr>
          <w:rFonts w:cstheme="minorHAnsi"/>
        </w:rPr>
        <w:t>,</w:t>
      </w:r>
      <w:r>
        <w:rPr>
          <w:rFonts w:cstheme="minorHAnsi"/>
        </w:rPr>
        <w:t xml:space="preserve"> compared with 5.93 per cent of those in metropolitan areas.</w:t>
      </w:r>
      <w:r w:rsidR="00657C46">
        <w:rPr>
          <w:rStyle w:val="FootnoteReference"/>
          <w:rFonts w:cstheme="minorHAnsi"/>
        </w:rPr>
        <w:footnoteReference w:id="114"/>
      </w:r>
    </w:p>
    <w:p w14:paraId="41B08CC9" w14:textId="79E77E18" w:rsidR="004E78D1" w:rsidRDefault="00EB09E7" w:rsidP="004E78D1">
      <w:pPr>
        <w:pStyle w:val="ListParagraph"/>
        <w:numPr>
          <w:ilvl w:val="0"/>
          <w:numId w:val="33"/>
        </w:numPr>
        <w:spacing w:after="0"/>
        <w:contextualSpacing w:val="0"/>
        <w:rPr>
          <w:rFonts w:cstheme="minorHAnsi"/>
        </w:rPr>
      </w:pPr>
      <w:r w:rsidRPr="004E78D1">
        <w:rPr>
          <w:rFonts w:cstheme="minorHAnsi"/>
        </w:rPr>
        <w:t>11.71 per cent of Australians over the age of 75 had no internet connection at home.</w:t>
      </w:r>
      <w:r w:rsidR="00C229B1">
        <w:rPr>
          <w:rStyle w:val="FootnoteReference"/>
          <w:rFonts w:cstheme="minorHAnsi"/>
        </w:rPr>
        <w:footnoteReference w:id="115"/>
      </w:r>
    </w:p>
    <w:p w14:paraId="3AF41566" w14:textId="40DD68D0" w:rsidR="00657C46" w:rsidRPr="004E78D1" w:rsidRDefault="001A1C82" w:rsidP="004E78D1">
      <w:pPr>
        <w:spacing w:after="0"/>
        <w:rPr>
          <w:rFonts w:cstheme="minorHAnsi"/>
        </w:rPr>
      </w:pPr>
      <w:r w:rsidRPr="004E78D1">
        <w:rPr>
          <w:rFonts w:cstheme="minorHAnsi"/>
        </w:rPr>
        <w:t>Other</w:t>
      </w:r>
      <w:r w:rsidR="00657C46" w:rsidRPr="004E78D1">
        <w:rPr>
          <w:rFonts w:cstheme="minorHAnsi"/>
        </w:rPr>
        <w:t xml:space="preserve"> survey</w:t>
      </w:r>
      <w:r w:rsidR="00EB09E7" w:rsidRPr="004E78D1">
        <w:rPr>
          <w:rFonts w:cstheme="minorHAnsi"/>
        </w:rPr>
        <w:t>s</w:t>
      </w:r>
      <w:r w:rsidR="00657C46" w:rsidRPr="004E78D1">
        <w:rPr>
          <w:rFonts w:cstheme="minorHAnsi"/>
        </w:rPr>
        <w:t xml:space="preserve"> </w:t>
      </w:r>
      <w:r w:rsidRPr="004E78D1">
        <w:rPr>
          <w:rFonts w:cstheme="minorHAnsi"/>
        </w:rPr>
        <w:t xml:space="preserve">have </w:t>
      </w:r>
      <w:r w:rsidR="00657C46" w:rsidRPr="004E78D1">
        <w:rPr>
          <w:rFonts w:cstheme="minorHAnsi"/>
        </w:rPr>
        <w:t>found that</w:t>
      </w:r>
      <w:r w:rsidRPr="004E78D1">
        <w:rPr>
          <w:rFonts w:cstheme="minorHAnsi"/>
        </w:rPr>
        <w:t xml:space="preserve">, </w:t>
      </w:r>
      <w:r w:rsidR="001253EA" w:rsidRPr="004E78D1">
        <w:rPr>
          <w:rFonts w:cstheme="minorHAnsi"/>
        </w:rPr>
        <w:t>although</w:t>
      </w:r>
      <w:r w:rsidR="00657C46" w:rsidRPr="004E78D1">
        <w:rPr>
          <w:rFonts w:cstheme="minorHAnsi"/>
        </w:rPr>
        <w:t xml:space="preserve"> the </w:t>
      </w:r>
      <w:r w:rsidR="00657C46" w:rsidRPr="004E78D1">
        <w:rPr>
          <w:bCs/>
        </w:rPr>
        <w:t xml:space="preserve">divide between metropolitan and regional areas has narrowed </w:t>
      </w:r>
      <w:r w:rsidRPr="004E78D1">
        <w:rPr>
          <w:bCs/>
        </w:rPr>
        <w:t>in recent years, it</w:t>
      </w:r>
      <w:r w:rsidR="00657C46" w:rsidRPr="004E78D1">
        <w:rPr>
          <w:bCs/>
        </w:rPr>
        <w:t xml:space="preserve"> remains marked</w:t>
      </w:r>
      <w:r w:rsidR="00C229B1" w:rsidRPr="004E78D1">
        <w:rPr>
          <w:bCs/>
        </w:rPr>
        <w:t xml:space="preserve">, and </w:t>
      </w:r>
      <w:r w:rsidR="00323AB6" w:rsidRPr="004E78D1">
        <w:rPr>
          <w:bCs/>
        </w:rPr>
        <w:t>that</w:t>
      </w:r>
      <w:r w:rsidR="00C229B1" w:rsidRPr="004E78D1">
        <w:rPr>
          <w:bCs/>
        </w:rPr>
        <w:t xml:space="preserve"> those aged over 75 continue to be left behind</w:t>
      </w:r>
      <w:r w:rsidR="00657C46" w:rsidRPr="004E78D1">
        <w:rPr>
          <w:bCs/>
        </w:rPr>
        <w:t>.</w:t>
      </w:r>
      <w:r w:rsidR="00657C46">
        <w:rPr>
          <w:rStyle w:val="FootnoteReference"/>
          <w:bCs/>
        </w:rPr>
        <w:footnoteReference w:id="116"/>
      </w:r>
    </w:p>
    <w:p w14:paraId="4939E571" w14:textId="7D1DC99B" w:rsidR="00CA11FE" w:rsidRDefault="00C229B1" w:rsidP="00C229B1">
      <w:pPr>
        <w:spacing w:after="0"/>
      </w:pPr>
      <w:r>
        <w:t xml:space="preserve">While the availability of internet services is close to universal, there are gaps and discrepancies </w:t>
      </w:r>
      <w:r w:rsidR="00323AB6">
        <w:t xml:space="preserve">in terms of take-up </w:t>
      </w:r>
      <w:r>
        <w:t xml:space="preserve">for certain groups within Australian society. It is unclear how a free-to-view model would accommodate these Australians with respect to the objective of the scheme of </w:t>
      </w:r>
      <w:r w:rsidR="00E2599F">
        <w:t xml:space="preserve">supporting </w:t>
      </w:r>
      <w:r>
        <w:t xml:space="preserve">free access to </w:t>
      </w:r>
      <w:r w:rsidR="005B207C">
        <w:t xml:space="preserve">televised </w:t>
      </w:r>
      <w:r>
        <w:t xml:space="preserve">coverage of </w:t>
      </w:r>
      <w:r w:rsidR="00B5207D">
        <w:t xml:space="preserve">nationally important and culturally significant </w:t>
      </w:r>
      <w:r>
        <w:t>events</w:t>
      </w:r>
      <w:r w:rsidR="001253EA">
        <w:t>.</w:t>
      </w:r>
    </w:p>
    <w:p w14:paraId="1325C783" w14:textId="77777777" w:rsidR="004C3C39" w:rsidRPr="00E922AE" w:rsidRDefault="004C3C39" w:rsidP="00252EFE">
      <w:pPr>
        <w:spacing w:after="0"/>
        <w:rPr>
          <w:b/>
        </w:rPr>
      </w:pPr>
      <w:r w:rsidRPr="00E922AE">
        <w:rPr>
          <w:b/>
        </w:rPr>
        <w:t>Cost</w:t>
      </w:r>
    </w:p>
    <w:p w14:paraId="2B639DE5" w14:textId="47C85C74" w:rsidR="00C515B4" w:rsidRPr="00ED7461" w:rsidRDefault="00D345F6" w:rsidP="00D82CB7">
      <w:pPr>
        <w:rPr>
          <w:rFonts w:cstheme="minorHAnsi"/>
        </w:rPr>
      </w:pPr>
      <w:r w:rsidRPr="00BE0565">
        <w:rPr>
          <w:rFonts w:cstheme="minorHAnsi"/>
        </w:rPr>
        <w:t>The</w:t>
      </w:r>
      <w:r w:rsidR="00C229B1" w:rsidRPr="00BE0565">
        <w:rPr>
          <w:rFonts w:cstheme="minorHAnsi"/>
        </w:rPr>
        <w:t xml:space="preserve"> free-to-view model would require coverage of</w:t>
      </w:r>
      <w:r w:rsidR="009F088F" w:rsidRPr="00BE0565">
        <w:rPr>
          <w:rFonts w:cstheme="minorHAnsi"/>
        </w:rPr>
        <w:t xml:space="preserve"> listed events to end-users in Australia </w:t>
      </w:r>
      <w:r w:rsidR="001253EA" w:rsidRPr="00BE0565">
        <w:rPr>
          <w:rFonts w:cstheme="minorHAnsi"/>
        </w:rPr>
        <w:t xml:space="preserve">to </w:t>
      </w:r>
      <w:r w:rsidR="009F088F" w:rsidRPr="00BE0565">
        <w:rPr>
          <w:rFonts w:cstheme="minorHAnsi"/>
        </w:rPr>
        <w:t xml:space="preserve">be free (with </w:t>
      </w:r>
      <w:r w:rsidR="009F088F">
        <w:rPr>
          <w:szCs w:val="18"/>
        </w:rPr>
        <w:t xml:space="preserve">no </w:t>
      </w:r>
      <w:r w:rsidR="009F088F" w:rsidRPr="003E7B62">
        <w:rPr>
          <w:rFonts w:cstheme="minorHAnsi"/>
        </w:rPr>
        <w:t xml:space="preserve">direct or explicit payments, such </w:t>
      </w:r>
      <w:r w:rsidR="004E78D1">
        <w:rPr>
          <w:rFonts w:cstheme="minorHAnsi"/>
        </w:rPr>
        <w:t xml:space="preserve">as </w:t>
      </w:r>
      <w:r w:rsidR="009F088F" w:rsidRPr="003E7B62">
        <w:rPr>
          <w:rFonts w:cstheme="minorHAnsi"/>
        </w:rPr>
        <w:t xml:space="preserve">subscription fees or pay-per-view charges). However, </w:t>
      </w:r>
      <w:bookmarkStart w:id="179" w:name="_Hlk143093690"/>
      <w:r w:rsidR="009F088F" w:rsidRPr="003E7B62">
        <w:rPr>
          <w:rFonts w:cstheme="minorHAnsi"/>
        </w:rPr>
        <w:t xml:space="preserve">accessing services online involves additional, indirect costs </w:t>
      </w:r>
      <w:r w:rsidR="001253EA" w:rsidRPr="003E7B62">
        <w:rPr>
          <w:rFonts w:cstheme="minorHAnsi"/>
        </w:rPr>
        <w:t>a</w:t>
      </w:r>
      <w:r w:rsidR="001253EA" w:rsidRPr="00082797">
        <w:rPr>
          <w:rFonts w:cstheme="minorHAnsi"/>
        </w:rPr>
        <w:t xml:space="preserve">ssociated with an </w:t>
      </w:r>
      <w:r w:rsidR="009F088F" w:rsidRPr="007802B5">
        <w:rPr>
          <w:rFonts w:cstheme="minorHAnsi"/>
        </w:rPr>
        <w:t>internet connection</w:t>
      </w:r>
      <w:r w:rsidR="007A1532" w:rsidRPr="007802B5">
        <w:rPr>
          <w:rFonts w:cstheme="minorHAnsi"/>
        </w:rPr>
        <w:t xml:space="preserve">. This </w:t>
      </w:r>
      <w:r w:rsidR="007A1532" w:rsidRPr="00074409">
        <w:rPr>
          <w:rFonts w:cstheme="minorHAnsi"/>
        </w:rPr>
        <w:t>requires a fixe</w:t>
      </w:r>
      <w:r w:rsidR="007A1532" w:rsidRPr="00B131E1">
        <w:rPr>
          <w:rFonts w:cstheme="minorHAnsi"/>
        </w:rPr>
        <w:t xml:space="preserve">d </w:t>
      </w:r>
      <w:r w:rsidR="007A1532" w:rsidRPr="00B131E1">
        <w:rPr>
          <w:rFonts w:cstheme="minorHAnsi"/>
        </w:rPr>
        <w:lastRenderedPageBreak/>
        <w:t>broadband service, mobile broadband service, mobile service, satellite or ADSL. Each will have costs, typically charged monthly.</w:t>
      </w:r>
    </w:p>
    <w:bookmarkEnd w:id="179"/>
    <w:p w14:paraId="27AD219A" w14:textId="7A49E8BA" w:rsidR="00C515B4" w:rsidRPr="003A0AB1" w:rsidRDefault="00C515B4" w:rsidP="00D82CB7">
      <w:pPr>
        <w:rPr>
          <w:rFonts w:cstheme="minorHAnsi"/>
        </w:rPr>
      </w:pPr>
      <w:r w:rsidRPr="003A0AB1">
        <w:rPr>
          <w:rFonts w:cstheme="minorHAnsi"/>
        </w:rPr>
        <w:t>The take-up of internet services (above) demonstrates that the majority of Australians can afford to meet these access costs. However, this doesn’t include all Australians.</w:t>
      </w:r>
    </w:p>
    <w:p w14:paraId="37EEC865" w14:textId="28D041F3" w:rsidR="00D82CB7" w:rsidRDefault="00D40516" w:rsidP="001A687D">
      <w:pPr>
        <w:pStyle w:val="ListParagraph"/>
        <w:numPr>
          <w:ilvl w:val="0"/>
          <w:numId w:val="34"/>
        </w:numPr>
        <w:contextualSpacing w:val="0"/>
        <w:rPr>
          <w:szCs w:val="18"/>
        </w:rPr>
      </w:pPr>
      <w:bookmarkStart w:id="180" w:name="_Hlk143174523"/>
      <w:r>
        <w:rPr>
          <w:szCs w:val="18"/>
        </w:rPr>
        <w:t>In 2022, 4 per cent of Australians needed to pay more than 10 per cent of their household income to gain quality, reliable internet connectivity, with this figure at 27 per cent of those in the lowest income quintile.</w:t>
      </w:r>
      <w:r>
        <w:rPr>
          <w:rStyle w:val="FootnoteReference"/>
          <w:szCs w:val="18"/>
        </w:rPr>
        <w:footnoteReference w:id="117"/>
      </w:r>
      <w:bookmarkEnd w:id="180"/>
    </w:p>
    <w:p w14:paraId="04786DE1" w14:textId="73651B86" w:rsidR="007A1532" w:rsidRPr="00D82CB7" w:rsidRDefault="00EF6B04" w:rsidP="001A687D">
      <w:pPr>
        <w:pStyle w:val="ListParagraph"/>
        <w:numPr>
          <w:ilvl w:val="0"/>
          <w:numId w:val="34"/>
        </w:numPr>
        <w:contextualSpacing w:val="0"/>
        <w:rPr>
          <w:szCs w:val="18"/>
        </w:rPr>
      </w:pPr>
      <w:r w:rsidRPr="00476945">
        <w:rPr>
          <w:szCs w:val="18"/>
        </w:rPr>
        <w:t>This research also found that, in 2022, 32</w:t>
      </w:r>
      <w:r w:rsidR="00F75E5A">
        <w:rPr>
          <w:szCs w:val="18"/>
        </w:rPr>
        <w:t xml:space="preserve"> per cent</w:t>
      </w:r>
      <w:r w:rsidRPr="00476945">
        <w:rPr>
          <w:szCs w:val="18"/>
        </w:rPr>
        <w:t xml:space="preserve"> of those in the lowest income quintile and 27</w:t>
      </w:r>
      <w:r w:rsidR="00F75E5A">
        <w:rPr>
          <w:szCs w:val="18"/>
        </w:rPr>
        <w:t xml:space="preserve"> per cent</w:t>
      </w:r>
      <w:r w:rsidRPr="00476945">
        <w:rPr>
          <w:szCs w:val="18"/>
        </w:rPr>
        <w:t xml:space="preserve"> of those in the second lowest income quintile expressed some level of concern over the cost of internet access.</w:t>
      </w:r>
      <w:r w:rsidRPr="00BE0565">
        <w:rPr>
          <w:vertAlign w:val="superscript"/>
        </w:rPr>
        <w:footnoteReference w:id="118"/>
      </w:r>
    </w:p>
    <w:p w14:paraId="1767BD28" w14:textId="00721C9D" w:rsidR="00E2599F" w:rsidRDefault="00DC3223">
      <w:pPr>
        <w:rPr>
          <w:rFonts w:cstheme="minorHAnsi"/>
        </w:rPr>
      </w:pPr>
      <w:r w:rsidRPr="00BE0565">
        <w:rPr>
          <w:rFonts w:cstheme="minorHAnsi"/>
        </w:rPr>
        <w:t xml:space="preserve">This cost hurdle constitutes a risk for the adoption of the free-to-view model, as Australians </w:t>
      </w:r>
      <w:r w:rsidR="001253EA" w:rsidRPr="00BE0565">
        <w:rPr>
          <w:rFonts w:cstheme="minorHAnsi"/>
        </w:rPr>
        <w:t xml:space="preserve">on lower incomes </w:t>
      </w:r>
      <w:r w:rsidRPr="00BE0565">
        <w:rPr>
          <w:rFonts w:cstheme="minorHAnsi"/>
        </w:rPr>
        <w:t xml:space="preserve">may get left behind if coverage of iconic sporting events were to migrate </w:t>
      </w:r>
      <w:r w:rsidR="001253EA" w:rsidRPr="00BE0565">
        <w:rPr>
          <w:rFonts w:cstheme="minorHAnsi"/>
        </w:rPr>
        <w:t xml:space="preserve">exclusively </w:t>
      </w:r>
      <w:r w:rsidRPr="00BE0565">
        <w:rPr>
          <w:rFonts w:cstheme="minorHAnsi"/>
        </w:rPr>
        <w:t>to online platforms.</w:t>
      </w:r>
    </w:p>
    <w:p w14:paraId="1E16B56E" w14:textId="08CEE38B" w:rsidR="00323AB6" w:rsidRDefault="005C3724" w:rsidP="003F0D3C">
      <w:pPr>
        <w:rPr>
          <w:rFonts w:cstheme="minorHAnsi"/>
        </w:rPr>
      </w:pPr>
      <w:r>
        <w:rPr>
          <w:rFonts w:cstheme="minorHAnsi"/>
        </w:rPr>
        <w:t>Cost is also a factor relevant to the level of take up of streaming and other online services</w:t>
      </w:r>
      <w:r w:rsidR="00F37D57">
        <w:rPr>
          <w:rFonts w:cstheme="minorHAnsi"/>
        </w:rPr>
        <w:t>.</w:t>
      </w:r>
    </w:p>
    <w:p w14:paraId="63249892" w14:textId="03FBF3F6" w:rsidR="00E2599F" w:rsidRPr="003D4CC8" w:rsidRDefault="00124224" w:rsidP="00FC7446">
      <w:pPr>
        <w:pStyle w:val="ListParagraph"/>
        <w:numPr>
          <w:ilvl w:val="0"/>
          <w:numId w:val="78"/>
        </w:numPr>
        <w:contextualSpacing w:val="0"/>
        <w:rPr>
          <w:rFonts w:cstheme="minorHAnsi"/>
        </w:rPr>
      </w:pPr>
      <w:r w:rsidRPr="00F31B28">
        <w:rPr>
          <w:rFonts w:cstheme="minorHAnsi"/>
        </w:rPr>
        <w:t xml:space="preserve">In June 2022, research found that 19 per cent of Australians did not watch any online services in the previous 7 </w:t>
      </w:r>
      <w:r w:rsidRPr="00056164">
        <w:rPr>
          <w:rFonts w:cstheme="minorHAnsi"/>
        </w:rPr>
        <w:t>days</w:t>
      </w:r>
      <w:r w:rsidRPr="00F31B28">
        <w:rPr>
          <w:rFonts w:cstheme="minorHAnsi"/>
        </w:rPr>
        <w:t>, up from just over 12 per cent in the year prior.</w:t>
      </w:r>
      <w:r w:rsidRPr="00F31B28">
        <w:rPr>
          <w:rStyle w:val="FootnoteReference"/>
          <w:rFonts w:cstheme="minorHAnsi"/>
        </w:rPr>
        <w:footnoteReference w:id="119"/>
      </w:r>
    </w:p>
    <w:p w14:paraId="2F49707C" w14:textId="1D4EB996" w:rsidR="00124224" w:rsidRPr="00BE0565" w:rsidRDefault="00124224" w:rsidP="00FC7446">
      <w:pPr>
        <w:pStyle w:val="ListParagraph"/>
        <w:numPr>
          <w:ilvl w:val="0"/>
          <w:numId w:val="78"/>
        </w:numPr>
        <w:contextualSpacing w:val="0"/>
        <w:rPr>
          <w:rFonts w:cstheme="minorHAnsi"/>
        </w:rPr>
      </w:pPr>
      <w:r w:rsidRPr="005D4FB1">
        <w:rPr>
          <w:rFonts w:cstheme="minorHAnsi"/>
        </w:rPr>
        <w:t>Cost was the most common factor for consumers when determining whether to cancel an SVOD service.</w:t>
      </w:r>
      <w:r w:rsidRPr="00F31B28">
        <w:rPr>
          <w:rStyle w:val="FootnoteReference"/>
          <w:rFonts w:cstheme="minorHAnsi"/>
        </w:rPr>
        <w:footnoteReference w:id="120"/>
      </w:r>
    </w:p>
    <w:p w14:paraId="79B6FFA1" w14:textId="73CADB23" w:rsidR="00FA1246" w:rsidRPr="00BE0565" w:rsidRDefault="005C3724" w:rsidP="003F0D3C">
      <w:pPr>
        <w:rPr>
          <w:rFonts w:cstheme="minorHAnsi"/>
        </w:rPr>
      </w:pPr>
      <w:r w:rsidRPr="00BE0565">
        <w:rPr>
          <w:rFonts w:cstheme="minorHAnsi"/>
        </w:rPr>
        <w:t xml:space="preserve">These cost challenges do not arise in the same way with free-to-air television services. </w:t>
      </w:r>
      <w:r w:rsidR="003F0D3C" w:rsidRPr="00BE0565">
        <w:rPr>
          <w:rFonts w:cstheme="minorHAnsi"/>
        </w:rPr>
        <w:t xml:space="preserve">With the exception of electricity — which online services also require to run — free-to-air television requires no ongoing outlay. </w:t>
      </w:r>
      <w:r w:rsidR="00FA1246" w:rsidRPr="00BE0565">
        <w:rPr>
          <w:rFonts w:cstheme="minorHAnsi"/>
        </w:rPr>
        <w:t>While there</w:t>
      </w:r>
      <w:r w:rsidR="003F0D3C" w:rsidRPr="00BE0565">
        <w:rPr>
          <w:rFonts w:cstheme="minorHAnsi"/>
        </w:rPr>
        <w:t xml:space="preserve"> </w:t>
      </w:r>
      <w:r w:rsidR="00D82CB7" w:rsidRPr="00BE0565">
        <w:rPr>
          <w:rFonts w:cstheme="minorHAnsi"/>
        </w:rPr>
        <w:t>is</w:t>
      </w:r>
      <w:r w:rsidR="003F0D3C" w:rsidRPr="00BE0565">
        <w:rPr>
          <w:rFonts w:cstheme="minorHAnsi"/>
        </w:rPr>
        <w:t xml:space="preserve"> a need to purchase equipment, this is generally a </w:t>
      </w:r>
      <w:bookmarkStart w:id="181" w:name="_Hlk141448050"/>
      <w:r w:rsidR="003F0D3C" w:rsidRPr="00BE0565">
        <w:rPr>
          <w:rFonts w:cstheme="minorHAnsi"/>
        </w:rPr>
        <w:t>one-off cost</w:t>
      </w:r>
      <w:r w:rsidR="00FA1246" w:rsidRPr="00BE0565">
        <w:rPr>
          <w:rFonts w:cstheme="minorHAnsi"/>
        </w:rPr>
        <w:t xml:space="preserve"> </w:t>
      </w:r>
      <w:bookmarkEnd w:id="181"/>
      <w:r w:rsidR="00D82CB7" w:rsidRPr="00BE0565">
        <w:rPr>
          <w:rFonts w:cstheme="minorHAnsi"/>
        </w:rPr>
        <w:t xml:space="preserve">for a </w:t>
      </w:r>
      <w:r w:rsidR="003F0D3C" w:rsidRPr="00BE0565">
        <w:rPr>
          <w:rFonts w:cstheme="minorHAnsi"/>
        </w:rPr>
        <w:t>television</w:t>
      </w:r>
      <w:r w:rsidR="00D82CB7" w:rsidRPr="00BE0565">
        <w:rPr>
          <w:rFonts w:cstheme="minorHAnsi"/>
        </w:rPr>
        <w:t xml:space="preserve"> or</w:t>
      </w:r>
      <w:r w:rsidR="003F0D3C" w:rsidRPr="00BE0565">
        <w:rPr>
          <w:rFonts w:cstheme="minorHAnsi"/>
        </w:rPr>
        <w:t xml:space="preserve"> set-top box</w:t>
      </w:r>
      <w:r w:rsidR="00D82CB7" w:rsidRPr="00BE0565">
        <w:rPr>
          <w:rFonts w:cstheme="minorHAnsi"/>
        </w:rPr>
        <w:t>.</w:t>
      </w:r>
    </w:p>
    <w:p w14:paraId="7C79B29B" w14:textId="77777777" w:rsidR="009702AE" w:rsidRDefault="009702AE" w:rsidP="006B52AD">
      <w:pPr>
        <w:keepNext/>
        <w:spacing w:after="0"/>
        <w:rPr>
          <w:b/>
        </w:rPr>
      </w:pPr>
      <w:r w:rsidRPr="00E922AE">
        <w:rPr>
          <w:b/>
        </w:rPr>
        <w:t xml:space="preserve">Service </w:t>
      </w:r>
      <w:r w:rsidR="00463DB8">
        <w:rPr>
          <w:b/>
        </w:rPr>
        <w:t>capabilities</w:t>
      </w:r>
    </w:p>
    <w:p w14:paraId="63C5CC88" w14:textId="08DDDB92" w:rsidR="006B52AD" w:rsidRDefault="006B1786" w:rsidP="00252EFE">
      <w:pPr>
        <w:spacing w:after="0"/>
      </w:pPr>
      <w:r>
        <w:t xml:space="preserve">The </w:t>
      </w:r>
      <w:r w:rsidR="00DC3223">
        <w:t>value of sport lies in the moment that competition occurs, and the</w:t>
      </w:r>
      <w:r>
        <w:t xml:space="preserve"> events </w:t>
      </w:r>
      <w:r w:rsidR="00DC3223">
        <w:t xml:space="preserve">included on the </w:t>
      </w:r>
      <w:r>
        <w:t xml:space="preserve">anti-siphoning </w:t>
      </w:r>
      <w:r w:rsidR="00A32294">
        <w:t xml:space="preserve">list </w:t>
      </w:r>
      <w:r>
        <w:t xml:space="preserve">are </w:t>
      </w:r>
      <w:r w:rsidR="00DC3223">
        <w:t xml:space="preserve">typically </w:t>
      </w:r>
      <w:r>
        <w:t xml:space="preserve">viewed by millions of Australians simultaneously. </w:t>
      </w:r>
      <w:r w:rsidR="006B52AD">
        <w:t>Broadcast technology is well suited to televising events on this scale</w:t>
      </w:r>
      <w:r w:rsidR="00DC3223">
        <w:t xml:space="preserve"> on a one-to-many basis</w:t>
      </w:r>
      <w:r w:rsidR="006B52AD">
        <w:t>, as there are no viewer capacity limits.</w:t>
      </w:r>
    </w:p>
    <w:p w14:paraId="7EC52B26" w14:textId="4845C573" w:rsidR="00E2599F" w:rsidRDefault="006B52AD" w:rsidP="00252EFE">
      <w:pPr>
        <w:spacing w:after="0"/>
      </w:pPr>
      <w:r>
        <w:t xml:space="preserve">For a free-to-view model to successfully replicate this level of access, the technology that underpins the model </w:t>
      </w:r>
      <w:r w:rsidR="00DC3223">
        <w:t>would need to have si</w:t>
      </w:r>
      <w:r>
        <w:t xml:space="preserve">milar capabilities. </w:t>
      </w:r>
      <w:r w:rsidR="00DC3223">
        <w:t>It would need to be able to accommodate millions of Australians seeking to stream coverage at the same time, and to provide a robust service that maintain</w:t>
      </w:r>
      <w:r w:rsidR="00F130A3">
        <w:t>s</w:t>
      </w:r>
      <w:r w:rsidR="00DC3223">
        <w:t xml:space="preserve"> the characteristics of the service, including picture quality.</w:t>
      </w:r>
      <w:bookmarkStart w:id="182" w:name="_Hlk143175949"/>
    </w:p>
    <w:p w14:paraId="7046AB79" w14:textId="37B4B0CF" w:rsidR="002E32F3" w:rsidRDefault="00E2599F" w:rsidP="00252EFE">
      <w:pPr>
        <w:spacing w:after="0"/>
      </w:pPr>
      <w:r>
        <w:t xml:space="preserve">In this regard, </w:t>
      </w:r>
      <w:r w:rsidR="002E32F3">
        <w:t>Kayo Sports recommends an internet connection of at least 7.5</w:t>
      </w:r>
      <w:r w:rsidR="00F4172A">
        <w:t xml:space="preserve"> </w:t>
      </w:r>
      <w:r w:rsidR="002E32F3">
        <w:t xml:space="preserve">Mbps to stream its service in full High Definition (HD 1080p), </w:t>
      </w:r>
      <w:r>
        <w:t xml:space="preserve">noting that </w:t>
      </w:r>
      <w:r w:rsidR="002E32F3">
        <w:t>an internet connect of below 4</w:t>
      </w:r>
      <w:r w:rsidR="00F4172A">
        <w:t xml:space="preserve"> </w:t>
      </w:r>
      <w:r w:rsidR="002E32F3">
        <w:t>Mbps would only allow for Standard Definition streaming.</w:t>
      </w:r>
      <w:r w:rsidR="002E32F3">
        <w:rPr>
          <w:rStyle w:val="FootnoteReference"/>
        </w:rPr>
        <w:footnoteReference w:id="121"/>
      </w:r>
      <w:r w:rsidR="002E32F3">
        <w:t xml:space="preserve"> Similarly, Paramount+ recommend</w:t>
      </w:r>
      <w:r>
        <w:t>s</w:t>
      </w:r>
      <w:r w:rsidR="002E32F3">
        <w:t xml:space="preserve"> 4</w:t>
      </w:r>
      <w:r w:rsidR="00F4172A">
        <w:t xml:space="preserve"> </w:t>
      </w:r>
      <w:r w:rsidR="002E32F3">
        <w:t>Mbps for standard definition streaming, while 7plus</w:t>
      </w:r>
      <w:r w:rsidR="008F729C">
        <w:t xml:space="preserve"> and</w:t>
      </w:r>
      <w:r w:rsidR="002E32F3">
        <w:t xml:space="preserve"> Stan recommend 3Mb</w:t>
      </w:r>
      <w:r w:rsidR="00E31E6C">
        <w:t>p</w:t>
      </w:r>
      <w:r w:rsidR="002E32F3">
        <w:t>s3</w:t>
      </w:r>
      <w:r w:rsidR="002F1B6A">
        <w:t xml:space="preserve"> </w:t>
      </w:r>
      <w:r w:rsidR="002E32F3">
        <w:t>Mb</w:t>
      </w:r>
      <w:r w:rsidR="00E31E6C">
        <w:t>p</w:t>
      </w:r>
      <w:r w:rsidR="002E32F3">
        <w:t>s</w:t>
      </w:r>
      <w:r w:rsidR="008F729C">
        <w:t>.</w:t>
      </w:r>
      <w:r w:rsidR="002E32F3">
        <w:rPr>
          <w:rStyle w:val="FootnoteReference"/>
        </w:rPr>
        <w:footnoteReference w:id="122"/>
      </w:r>
      <w:r w:rsidR="002E32F3">
        <w:t xml:space="preserve"> The </w:t>
      </w:r>
      <w:r w:rsidR="002E32F3" w:rsidRPr="007B3C35">
        <w:t>Australian Competition and Consumer Commission</w:t>
      </w:r>
      <w:r w:rsidR="002E32F3">
        <w:t xml:space="preserve"> (ACCC) reports that a high definition Netflix stream requires around 2.2</w:t>
      </w:r>
      <w:r w:rsidR="00F4172A">
        <w:t xml:space="preserve"> </w:t>
      </w:r>
      <w:r w:rsidR="002E32F3">
        <w:t>Mbps.</w:t>
      </w:r>
      <w:r w:rsidR="002E32F3">
        <w:rPr>
          <w:rStyle w:val="FootnoteReference"/>
        </w:rPr>
        <w:footnoteReference w:id="123"/>
      </w:r>
      <w:r w:rsidR="00F4172A">
        <w:t xml:space="preserve"> </w:t>
      </w:r>
      <w:r w:rsidR="00D0625F">
        <w:t>While i</w:t>
      </w:r>
      <w:r w:rsidR="00F0616E">
        <w:t xml:space="preserve">t is possible to watch </w:t>
      </w:r>
      <w:r w:rsidR="00D0625F">
        <w:t>these services with lower speeds, this would be unlikely to provide an equivalent quality to the High Definition sports coverage provided through free-to-air broadcasts.</w:t>
      </w:r>
      <w:bookmarkEnd w:id="182"/>
    </w:p>
    <w:p w14:paraId="2A3ACB76" w14:textId="420C51E0" w:rsidR="00F912F7" w:rsidRDefault="00F711DC" w:rsidP="00F711DC">
      <w:pPr>
        <w:spacing w:after="0"/>
      </w:pPr>
      <w:bookmarkStart w:id="183" w:name="_Hlk143093337"/>
      <w:r>
        <w:lastRenderedPageBreak/>
        <w:t xml:space="preserve">There have been instances in the past where online services have not been able to accommodate </w:t>
      </w:r>
      <w:r w:rsidR="00F130A3">
        <w:t>audience</w:t>
      </w:r>
      <w:r>
        <w:t xml:space="preserve"> demand. </w:t>
      </w:r>
      <w:r w:rsidR="00F130A3">
        <w:t>Australian c</w:t>
      </w:r>
      <w:r>
        <w:t xml:space="preserve">onsumers experienced poor quality streams on Optus Sport of matches played as part of the 2018 FIFA World Cup. </w:t>
      </w:r>
      <w:bookmarkEnd w:id="183"/>
      <w:r>
        <w:t xml:space="preserve">Optus eventually allowed SBS to simulcast </w:t>
      </w:r>
      <w:r w:rsidR="00F130A3">
        <w:t xml:space="preserve">the remaining </w:t>
      </w:r>
      <w:r>
        <w:t xml:space="preserve">matches </w:t>
      </w:r>
      <w:r w:rsidR="00F130A3">
        <w:t xml:space="preserve">of the tournament </w:t>
      </w:r>
      <w:r>
        <w:t>on its broadcast channels to ensure access for Australian audiences.</w:t>
      </w:r>
      <w:r>
        <w:rPr>
          <w:rStyle w:val="FootnoteReference"/>
        </w:rPr>
        <w:footnoteReference w:id="124"/>
      </w:r>
      <w:r>
        <w:t xml:space="preserve"> </w:t>
      </w:r>
      <w:r w:rsidR="00F912F7">
        <w:t xml:space="preserve">These type of congestion issues </w:t>
      </w:r>
      <w:r w:rsidR="00A63E81">
        <w:t>could</w:t>
      </w:r>
      <w:r w:rsidR="00F912F7">
        <w:t xml:space="preserve"> arise </w:t>
      </w:r>
      <w:r w:rsidR="00A63E81">
        <w:t>again</w:t>
      </w:r>
      <w:r w:rsidR="00F912F7">
        <w:t xml:space="preserve"> if coverage of significant events were to be provided solely via an online platform</w:t>
      </w:r>
      <w:r w:rsidR="00A63E81">
        <w:t>, although this risk will moderate as the capacity of networks improves.</w:t>
      </w:r>
    </w:p>
    <w:p w14:paraId="01F9421F" w14:textId="6DADC88D" w:rsidR="004C3C39" w:rsidRPr="004C3C39" w:rsidRDefault="007B7B24" w:rsidP="004C3C39">
      <w:pPr>
        <w:pStyle w:val="Heading3"/>
        <w:rPr>
          <w:sz w:val="28"/>
          <w:szCs w:val="28"/>
        </w:rPr>
      </w:pPr>
      <w:bookmarkStart w:id="184" w:name="_Toc140842910"/>
      <w:r>
        <w:rPr>
          <w:sz w:val="28"/>
          <w:szCs w:val="28"/>
        </w:rPr>
        <w:t>Government position</w:t>
      </w:r>
      <w:bookmarkEnd w:id="184"/>
    </w:p>
    <w:p w14:paraId="526A47CC" w14:textId="3EF3C2AF" w:rsidR="00680AE4" w:rsidRDefault="004C3C39" w:rsidP="004C3C39">
      <w:pPr>
        <w:pStyle w:val="ListParagraph"/>
        <w:tabs>
          <w:tab w:val="left" w:pos="567"/>
        </w:tabs>
        <w:spacing w:after="0"/>
        <w:ind w:left="0"/>
        <w:contextualSpacing w:val="0"/>
      </w:pPr>
      <w:r>
        <w:t xml:space="preserve">The free-to-view model is </w:t>
      </w:r>
      <w:r w:rsidR="00335929">
        <w:t xml:space="preserve">likely to be </w:t>
      </w:r>
      <w:r w:rsidR="00B7305F">
        <w:t>a suitable and appropriate</w:t>
      </w:r>
      <w:r w:rsidR="00335929">
        <w:t xml:space="preserve"> model for the anti-siphoning scheme</w:t>
      </w:r>
      <w:r w:rsidR="00B7305F">
        <w:t xml:space="preserve"> in the longer-term</w:t>
      </w:r>
      <w:r w:rsidR="00335929">
        <w:t xml:space="preserve">. </w:t>
      </w:r>
      <w:r w:rsidR="007B7B24">
        <w:t xml:space="preserve">It would represent </w:t>
      </w:r>
      <w:r>
        <w:t xml:space="preserve">a technology-neutral approach to the regulation of </w:t>
      </w:r>
      <w:r w:rsidR="00831740">
        <w:t xml:space="preserve">the coverage of nationally important and culturally significant </w:t>
      </w:r>
      <w:r w:rsidR="007B7B24">
        <w:t xml:space="preserve">sports </w:t>
      </w:r>
      <w:r w:rsidR="00831740">
        <w:t>events as it</w:t>
      </w:r>
      <w:r w:rsidR="007B7B24">
        <w:t xml:space="preserve"> would </w:t>
      </w:r>
      <w:r>
        <w:t xml:space="preserve">directly </w:t>
      </w:r>
      <w:r w:rsidR="004F38C2">
        <w:t>target</w:t>
      </w:r>
      <w:r w:rsidR="00E922AE">
        <w:t xml:space="preserve"> the consumer outcome</w:t>
      </w:r>
      <w:r w:rsidR="004F38C2">
        <w:t xml:space="preserve"> – the availability and coverage</w:t>
      </w:r>
      <w:r w:rsidR="00E922AE">
        <w:t xml:space="preserve"> </w:t>
      </w:r>
      <w:r w:rsidR="004F38C2">
        <w:t xml:space="preserve">of these sports – rather than the </w:t>
      </w:r>
      <w:r w:rsidR="007B7B24">
        <w:t xml:space="preserve">preceding </w:t>
      </w:r>
      <w:r w:rsidR="004F38C2">
        <w:t>acquisition of rights.</w:t>
      </w:r>
    </w:p>
    <w:p w14:paraId="52514137" w14:textId="288077FC" w:rsidR="00DD0015" w:rsidRDefault="00E922AE" w:rsidP="004C3C39">
      <w:pPr>
        <w:pStyle w:val="ListParagraph"/>
        <w:tabs>
          <w:tab w:val="left" w:pos="567"/>
        </w:tabs>
        <w:spacing w:after="0"/>
        <w:ind w:left="0"/>
        <w:contextualSpacing w:val="0"/>
      </w:pPr>
      <w:r>
        <w:t xml:space="preserve">However, technology and market conditions </w:t>
      </w:r>
      <w:r w:rsidR="007B7B24">
        <w:t xml:space="preserve">in Australia </w:t>
      </w:r>
      <w:r>
        <w:t xml:space="preserve">are not mature enough </w:t>
      </w:r>
      <w:r w:rsidR="004F38C2">
        <w:t xml:space="preserve">to </w:t>
      </w:r>
      <w:r w:rsidR="007B7B24">
        <w:t xml:space="preserve">enable </w:t>
      </w:r>
      <w:r w:rsidR="004F38C2">
        <w:t>the</w:t>
      </w:r>
      <w:r>
        <w:t xml:space="preserve"> adoption </w:t>
      </w:r>
      <w:r w:rsidR="004F38C2">
        <w:t xml:space="preserve">of this model </w:t>
      </w:r>
      <w:r>
        <w:t xml:space="preserve">in the near- to medium-term. </w:t>
      </w:r>
      <w:r w:rsidR="00E24B7B">
        <w:t xml:space="preserve">While over 99 per cent of Australians can theoretically connect to high quality internet services, take-up of these services is inconsistent across the country. Without </w:t>
      </w:r>
      <w:r w:rsidR="00BC16FB">
        <w:t>adequate internet</w:t>
      </w:r>
      <w:r w:rsidR="00E24B7B">
        <w:t xml:space="preserve">, </w:t>
      </w:r>
      <w:r w:rsidR="00BC16FB">
        <w:t xml:space="preserve">audiences would not be able to access </w:t>
      </w:r>
      <w:r w:rsidR="005B207C">
        <w:t xml:space="preserve">coverage of </w:t>
      </w:r>
      <w:r w:rsidR="00BC16FB">
        <w:t>sport via online services, even without an explicit charge for those services</w:t>
      </w:r>
      <w:r w:rsidR="00E24B7B">
        <w:t>.</w:t>
      </w:r>
    </w:p>
    <w:p w14:paraId="123FBF3D" w14:textId="54BCCCDA" w:rsidR="005122CD" w:rsidRPr="00BC16FB" w:rsidRDefault="007B7B24" w:rsidP="00BC16FB">
      <w:pPr>
        <w:pStyle w:val="ListParagraph"/>
        <w:tabs>
          <w:tab w:val="left" w:pos="567"/>
        </w:tabs>
        <w:spacing w:after="0"/>
        <w:ind w:left="0"/>
        <w:contextualSpacing w:val="0"/>
      </w:pPr>
      <w:r>
        <w:t>The Government’s preliminary view is that</w:t>
      </w:r>
      <w:r w:rsidR="00E92E0B">
        <w:t xml:space="preserve"> free-to-view model </w:t>
      </w:r>
      <w:r w:rsidR="00680AE4">
        <w:t>c</w:t>
      </w:r>
      <w:r w:rsidR="00E92E0B">
        <w:t xml:space="preserve">ould be considered once </w:t>
      </w:r>
      <w:r w:rsidR="00F130A3">
        <w:t>online</w:t>
      </w:r>
      <w:r w:rsidR="00E92E0B">
        <w:t xml:space="preserve"> services are able to </w:t>
      </w:r>
      <w:r w:rsidR="00680AE4">
        <w:t>support</w:t>
      </w:r>
      <w:r w:rsidR="00E92E0B">
        <w:t xml:space="preserve"> free access </w:t>
      </w:r>
      <w:r w:rsidR="001253EA">
        <w:t xml:space="preserve">to </w:t>
      </w:r>
      <w:r w:rsidR="005B207C">
        <w:t xml:space="preserve">televised </w:t>
      </w:r>
      <w:r w:rsidR="00E92E0B">
        <w:t xml:space="preserve">coverage of </w:t>
      </w:r>
      <w:r w:rsidR="00B5207D">
        <w:t xml:space="preserve">nationally important and culturally significant </w:t>
      </w:r>
      <w:r w:rsidR="00E92E0B">
        <w:t>sporting events</w:t>
      </w:r>
      <w:r w:rsidR="00F130A3">
        <w:t xml:space="preserve"> for all Australians, regardless of their financial means, location or other factors.</w:t>
      </w:r>
      <w:bookmarkEnd w:id="159"/>
      <w:bookmarkEnd w:id="176"/>
    </w:p>
    <w:p w14:paraId="32983BFC" w14:textId="77777777" w:rsidR="00615B5B" w:rsidRPr="00EB6AD5" w:rsidRDefault="008276A1" w:rsidP="00615B5B">
      <w:pPr>
        <w:pStyle w:val="Heading2"/>
      </w:pPr>
      <w:bookmarkStart w:id="185" w:name="_Toc140842911"/>
      <w:bookmarkStart w:id="186" w:name="_Toc141369806"/>
      <w:bookmarkStart w:id="187" w:name="_Toc143265597"/>
      <w:r>
        <w:t xml:space="preserve">Model 2: </w:t>
      </w:r>
      <w:r w:rsidR="00615B5B" w:rsidRPr="00EB6AD5">
        <w:t>Broadcasting safety</w:t>
      </w:r>
      <w:r w:rsidR="006914C7">
        <w:t xml:space="preserve"> </w:t>
      </w:r>
      <w:r w:rsidR="00615B5B" w:rsidRPr="00EB6AD5">
        <w:t>net [Gov</w:t>
      </w:r>
      <w:r w:rsidR="00B74A21">
        <w:t>ernmen</w:t>
      </w:r>
      <w:r w:rsidR="00615B5B" w:rsidRPr="00EB6AD5">
        <w:t>t</w:t>
      </w:r>
      <w:r w:rsidR="00B74A21">
        <w:t xml:space="preserve"> </w:t>
      </w:r>
      <w:r w:rsidR="00615B5B" w:rsidRPr="00EB6AD5">
        <w:t>preferred]</w:t>
      </w:r>
      <w:bookmarkEnd w:id="185"/>
      <w:bookmarkEnd w:id="186"/>
      <w:bookmarkEnd w:id="187"/>
    </w:p>
    <w:p w14:paraId="15420E90" w14:textId="6A0BB8A2" w:rsidR="00DA1C1C" w:rsidRPr="00A9605A" w:rsidRDefault="00DA1C1C" w:rsidP="00DA1C1C">
      <w:pPr>
        <w:pStyle w:val="Heading3"/>
        <w:rPr>
          <w:sz w:val="28"/>
          <w:szCs w:val="28"/>
        </w:rPr>
      </w:pPr>
      <w:bookmarkStart w:id="188" w:name="_Toc140842912"/>
      <w:bookmarkStart w:id="189" w:name="_Hlk139535933"/>
      <w:bookmarkStart w:id="190" w:name="_Hlk139540043"/>
      <w:r w:rsidRPr="00A9605A">
        <w:rPr>
          <w:sz w:val="28"/>
          <w:szCs w:val="28"/>
        </w:rPr>
        <w:t>Overview</w:t>
      </w:r>
      <w:bookmarkEnd w:id="188"/>
    </w:p>
    <w:p w14:paraId="22355FE3" w14:textId="7837EA17" w:rsidR="0067255B" w:rsidRDefault="005C7419" w:rsidP="005C7419">
      <w:pPr>
        <w:spacing w:after="0"/>
      </w:pPr>
      <w:r>
        <w:t>Under t</w:t>
      </w:r>
      <w:r w:rsidRPr="00EB6AD5">
        <w:t xml:space="preserve">his </w:t>
      </w:r>
      <w:r>
        <w:t xml:space="preserve">model, the current </w:t>
      </w:r>
      <w:r w:rsidRPr="00EB6AD5">
        <w:t xml:space="preserve">anti-siphoning scheme </w:t>
      </w:r>
      <w:r>
        <w:t xml:space="preserve">would be expanded to prevent </w:t>
      </w:r>
      <w:r w:rsidR="002101B8">
        <w:t>content services (</w:t>
      </w:r>
      <w:r w:rsidR="00BC26C4">
        <w:t>including, but not limited to, streaming services)</w:t>
      </w:r>
      <w:r>
        <w:t xml:space="preserve"> from acquiring a right to provide coverage of a listed event </w:t>
      </w:r>
      <w:r w:rsidR="002101B8">
        <w:t xml:space="preserve">to </w:t>
      </w:r>
      <w:r w:rsidR="0009732F">
        <w:t xml:space="preserve">audiences in </w:t>
      </w:r>
      <w:r w:rsidR="002101B8">
        <w:t xml:space="preserve">Australia </w:t>
      </w:r>
      <w:r>
        <w:t xml:space="preserve">until a free-to-air broadcaster </w:t>
      </w:r>
      <w:r w:rsidR="00387010">
        <w:t xml:space="preserve">has </w:t>
      </w:r>
      <w:r>
        <w:t>acquired a right to televise the event</w:t>
      </w:r>
      <w:r w:rsidR="00C364AC">
        <w:t xml:space="preserve"> on a </w:t>
      </w:r>
      <w:r w:rsidR="00F16503">
        <w:t>broadcasting service</w:t>
      </w:r>
      <w:r>
        <w:t xml:space="preserve">. This </w:t>
      </w:r>
      <w:r w:rsidR="00DD0015">
        <w:t>effectively</w:t>
      </w:r>
      <w:r>
        <w:t xml:space="preserve"> extends the scope of the restriction on the acquisition of rights under the current scheme</w:t>
      </w:r>
      <w:r w:rsidR="008B177A">
        <w:t xml:space="preserve">, </w:t>
      </w:r>
      <w:r>
        <w:t>which only applies to subscription television broadcasting licensees.</w:t>
      </w:r>
    </w:p>
    <w:p w14:paraId="74AC5C6E" w14:textId="5EB71F34" w:rsidR="00DD0015" w:rsidRDefault="00E2599F" w:rsidP="00DD0015">
      <w:pPr>
        <w:spacing w:after="0"/>
      </w:pPr>
      <w:r>
        <w:t>T</w:t>
      </w:r>
      <w:r w:rsidR="00DD0015">
        <w:t xml:space="preserve">his model </w:t>
      </w:r>
      <w:r>
        <w:t>would affirm</w:t>
      </w:r>
      <w:r w:rsidR="00DD0015">
        <w:t xml:space="preserve"> b</w:t>
      </w:r>
      <w:r w:rsidR="00DD0015" w:rsidRPr="009038F2">
        <w:t xml:space="preserve">roadcasting services as the ‘safety net’ for free access to </w:t>
      </w:r>
      <w:r w:rsidR="005B207C">
        <w:t xml:space="preserve">televised coverage of </w:t>
      </w:r>
      <w:r w:rsidR="00DD0015" w:rsidRPr="009038F2">
        <w:t>iconic sporting events for all Australians</w:t>
      </w:r>
      <w:r w:rsidR="00DD0015">
        <w:t xml:space="preserve">. To this end, it </w:t>
      </w:r>
      <w:r w:rsidR="00DD0015" w:rsidRPr="009038F2">
        <w:t>provide</w:t>
      </w:r>
      <w:r w:rsidR="00DD0015">
        <w:t>s</w:t>
      </w:r>
      <w:r w:rsidR="00DD0015" w:rsidRPr="009038F2">
        <w:t xml:space="preserve"> </w:t>
      </w:r>
      <w:r w:rsidR="00DD0015">
        <w:t xml:space="preserve">free-to-air </w:t>
      </w:r>
      <w:r w:rsidR="00DD0015" w:rsidRPr="009038F2">
        <w:t xml:space="preserve">broadcasters with preferential treatment in terms </w:t>
      </w:r>
      <w:r w:rsidR="00770D7E">
        <w:t xml:space="preserve">of </w:t>
      </w:r>
      <w:r w:rsidR="00DD0015">
        <w:t xml:space="preserve">acquiring </w:t>
      </w:r>
      <w:r w:rsidR="00DD0015" w:rsidRPr="009038F2">
        <w:t>the relevant rights</w:t>
      </w:r>
      <w:r w:rsidR="00DD0015">
        <w:t>. This addresses the risk of these events migrating to platforms that involve direct or indirect costs for Australian audiences.</w:t>
      </w:r>
    </w:p>
    <w:p w14:paraId="3386A58B" w14:textId="3234ED80" w:rsidR="00F64842" w:rsidRDefault="00DD0015" w:rsidP="00F64842">
      <w:pPr>
        <w:spacing w:after="0"/>
        <w:rPr>
          <w:i/>
        </w:rPr>
      </w:pPr>
      <w:r>
        <w:t>However, this model</w:t>
      </w:r>
      <w:r w:rsidRPr="009038F2">
        <w:t xml:space="preserve"> doesn’t provide</w:t>
      </w:r>
      <w:r>
        <w:t xml:space="preserve"> free-to-air broadcasters with preferential treatment in terms of their content services (i.e. BVOD or other online services). </w:t>
      </w:r>
      <w:r w:rsidR="00F64842" w:rsidRPr="00455C23">
        <w:t xml:space="preserve">To do so would </w:t>
      </w:r>
      <w:r w:rsidR="00F64842" w:rsidRPr="002B1D55">
        <w:t>go beyond the aim of this particular model</w:t>
      </w:r>
      <w:r w:rsidR="00F64842">
        <w:t xml:space="preserve"> (</w:t>
      </w:r>
      <w:r w:rsidR="00F64842" w:rsidRPr="002B1D55">
        <w:t>which is founded on the accessibility of the stable and ubiquitous terrestrial free-to-air television broadcasting platform</w:t>
      </w:r>
      <w:r w:rsidR="00F64842">
        <w:t xml:space="preserve">) </w:t>
      </w:r>
      <w:r w:rsidR="00F64842" w:rsidRPr="00455C23">
        <w:t xml:space="preserve">and would provide free-to-air broadcasters </w:t>
      </w:r>
      <w:r w:rsidR="00F64842">
        <w:t xml:space="preserve">with </w:t>
      </w:r>
      <w:r w:rsidR="00F64842" w:rsidRPr="00455C23">
        <w:t>an additional commercial advantage over other providers of content services</w:t>
      </w:r>
      <w:r w:rsidR="00F64842" w:rsidRPr="001B3258">
        <w:t>.</w:t>
      </w:r>
    </w:p>
    <w:p w14:paraId="5454A64C" w14:textId="338818A6" w:rsidR="00445F12" w:rsidRDefault="00445F12" w:rsidP="00445F12">
      <w:pPr>
        <w:spacing w:after="0"/>
      </w:pPr>
      <w:r>
        <w:t>As per the current scheme, once a right to televise a listed event ha</w:t>
      </w:r>
      <w:r w:rsidR="00406DB5">
        <w:t>s</w:t>
      </w:r>
      <w:r>
        <w:t xml:space="preserve"> been acquired by a free-to-air broadcaster, or the event is automatically delisted </w:t>
      </w:r>
      <w:r w:rsidR="006047C2">
        <w:t>2</w:t>
      </w:r>
      <w:r>
        <w:t xml:space="preserve">6 </w:t>
      </w:r>
      <w:r w:rsidR="006047C2">
        <w:t>weeks</w:t>
      </w:r>
      <w:r>
        <w:t xml:space="preserve"> prior to its commencement, any part</w:t>
      </w:r>
      <w:r w:rsidR="00C16312">
        <w:t>y</w:t>
      </w:r>
      <w:r>
        <w:t xml:space="preserve"> would be able to acquire rights to the event without restriction.</w:t>
      </w:r>
    </w:p>
    <w:p w14:paraId="4E7C94D0" w14:textId="07266748" w:rsidR="009D2AA1" w:rsidRPr="002A72BA" w:rsidRDefault="009D2AA1" w:rsidP="005C7419">
      <w:pPr>
        <w:pStyle w:val="Heading3"/>
        <w:rPr>
          <w:sz w:val="28"/>
          <w:szCs w:val="28"/>
        </w:rPr>
      </w:pPr>
      <w:bookmarkStart w:id="191" w:name="_Toc140842913"/>
      <w:bookmarkStart w:id="192" w:name="_Hlk139533485"/>
      <w:bookmarkEnd w:id="189"/>
      <w:bookmarkEnd w:id="190"/>
      <w:r w:rsidRPr="002A72BA">
        <w:rPr>
          <w:sz w:val="28"/>
          <w:szCs w:val="28"/>
        </w:rPr>
        <w:lastRenderedPageBreak/>
        <w:t>Mechanism</w:t>
      </w:r>
      <w:bookmarkEnd w:id="191"/>
    </w:p>
    <w:p w14:paraId="1C65DC49" w14:textId="6754F9DD" w:rsidR="00F31686" w:rsidRDefault="005C7419" w:rsidP="005C7419">
      <w:pPr>
        <w:pStyle w:val="Heading5"/>
        <w:spacing w:before="160" w:after="80"/>
        <w:rPr>
          <w:rFonts w:asciiTheme="minorHAnsi" w:eastAsiaTheme="minorHAnsi" w:hAnsiTheme="minorHAnsi" w:cstheme="minorBidi"/>
          <w:b w:val="0"/>
          <w:color w:val="000000" w:themeColor="text1"/>
        </w:rPr>
      </w:pPr>
      <w:bookmarkStart w:id="193" w:name="_Hlk139533420"/>
      <w:r>
        <w:rPr>
          <w:rFonts w:asciiTheme="minorHAnsi" w:eastAsiaTheme="minorHAnsi" w:hAnsiTheme="minorHAnsi" w:cstheme="minorBidi"/>
          <w:b w:val="0"/>
          <w:color w:val="000000" w:themeColor="text1"/>
        </w:rPr>
        <w:t>T</w:t>
      </w:r>
      <w:r w:rsidRPr="0028715F">
        <w:rPr>
          <w:rFonts w:asciiTheme="minorHAnsi" w:eastAsiaTheme="minorHAnsi" w:hAnsiTheme="minorHAnsi" w:cstheme="minorBidi"/>
          <w:b w:val="0"/>
          <w:color w:val="000000" w:themeColor="text1"/>
        </w:rPr>
        <w:t>he current scheme</w:t>
      </w:r>
      <w:r>
        <w:rPr>
          <w:rFonts w:asciiTheme="minorHAnsi" w:eastAsiaTheme="minorHAnsi" w:hAnsiTheme="minorHAnsi" w:cstheme="minorBidi"/>
          <w:b w:val="0"/>
          <w:color w:val="000000" w:themeColor="text1"/>
        </w:rPr>
        <w:t xml:space="preserve"> – </w:t>
      </w:r>
      <w:r w:rsidRPr="0028715F">
        <w:rPr>
          <w:rFonts w:asciiTheme="minorHAnsi" w:eastAsiaTheme="minorHAnsi" w:hAnsiTheme="minorHAnsi" w:cstheme="minorBidi"/>
          <w:b w:val="0"/>
          <w:color w:val="000000" w:themeColor="text1"/>
        </w:rPr>
        <w:t>as set out in section 115 of the BSA</w:t>
      </w:r>
      <w:r>
        <w:rPr>
          <w:rFonts w:asciiTheme="minorHAnsi" w:eastAsiaTheme="minorHAnsi" w:hAnsiTheme="minorHAnsi" w:cstheme="minorBidi"/>
          <w:b w:val="0"/>
          <w:color w:val="000000" w:themeColor="text1"/>
        </w:rPr>
        <w:t xml:space="preserve"> –</w:t>
      </w:r>
      <w:r w:rsidRPr="0028715F">
        <w:rPr>
          <w:rFonts w:asciiTheme="minorHAnsi" w:eastAsiaTheme="minorHAnsi" w:hAnsiTheme="minorHAnsi" w:cstheme="minorBidi"/>
          <w:b w:val="0"/>
          <w:color w:val="000000" w:themeColor="text1"/>
        </w:rPr>
        <w:t xml:space="preserve"> </w:t>
      </w:r>
      <w:r>
        <w:rPr>
          <w:rFonts w:asciiTheme="minorHAnsi" w:eastAsiaTheme="minorHAnsi" w:hAnsiTheme="minorHAnsi" w:cstheme="minorBidi"/>
          <w:b w:val="0"/>
          <w:color w:val="000000" w:themeColor="text1"/>
        </w:rPr>
        <w:t>would be amended to establish the broadcasting safety</w:t>
      </w:r>
      <w:r w:rsidR="00890861">
        <w:rPr>
          <w:rFonts w:asciiTheme="minorHAnsi" w:eastAsiaTheme="minorHAnsi" w:hAnsiTheme="minorHAnsi" w:cstheme="minorBidi"/>
          <w:b w:val="0"/>
          <w:color w:val="000000" w:themeColor="text1"/>
        </w:rPr>
        <w:t xml:space="preserve"> </w:t>
      </w:r>
      <w:r>
        <w:rPr>
          <w:rFonts w:asciiTheme="minorHAnsi" w:eastAsiaTheme="minorHAnsi" w:hAnsiTheme="minorHAnsi" w:cstheme="minorBidi"/>
          <w:b w:val="0"/>
          <w:color w:val="000000" w:themeColor="text1"/>
        </w:rPr>
        <w:t xml:space="preserve">net model. Paragraph 10(1)(e) of Schedule 2 to the BSA (which imposes the licence condition on subscription television broadcasting licensees) would be repealed and replaced with a broader </w:t>
      </w:r>
      <w:r w:rsidR="00F31686">
        <w:rPr>
          <w:rFonts w:asciiTheme="minorHAnsi" w:eastAsiaTheme="minorHAnsi" w:hAnsiTheme="minorHAnsi" w:cstheme="minorBidi"/>
          <w:b w:val="0"/>
          <w:color w:val="000000" w:themeColor="text1"/>
        </w:rPr>
        <w:t>set of rules governing the acquisition of sport</w:t>
      </w:r>
      <w:r w:rsidR="009B7831">
        <w:rPr>
          <w:rFonts w:asciiTheme="minorHAnsi" w:eastAsiaTheme="minorHAnsi" w:hAnsiTheme="minorHAnsi" w:cstheme="minorBidi"/>
          <w:b w:val="0"/>
          <w:color w:val="000000" w:themeColor="text1"/>
        </w:rPr>
        <w:t>s</w:t>
      </w:r>
      <w:r w:rsidR="00F31686">
        <w:rPr>
          <w:rFonts w:asciiTheme="minorHAnsi" w:eastAsiaTheme="minorHAnsi" w:hAnsiTheme="minorHAnsi" w:cstheme="minorBidi"/>
          <w:b w:val="0"/>
          <w:color w:val="000000" w:themeColor="text1"/>
        </w:rPr>
        <w:t xml:space="preserve"> rights.</w:t>
      </w:r>
    </w:p>
    <w:p w14:paraId="0AC0A581" w14:textId="420282C7" w:rsidR="002101B8" w:rsidRDefault="00BA6592" w:rsidP="005C7419">
      <w:pPr>
        <w:pStyle w:val="Heading5"/>
        <w:spacing w:before="160" w:after="80"/>
        <w:rPr>
          <w:rFonts w:asciiTheme="minorHAnsi" w:eastAsiaTheme="minorHAnsi" w:hAnsiTheme="minorHAnsi" w:cstheme="minorBidi"/>
          <w:b w:val="0"/>
          <w:color w:val="000000" w:themeColor="text1"/>
        </w:rPr>
      </w:pPr>
      <w:r>
        <w:rPr>
          <w:rFonts w:asciiTheme="minorHAnsi" w:eastAsiaTheme="minorHAnsi" w:hAnsiTheme="minorHAnsi" w:cstheme="minorBidi"/>
          <w:b w:val="0"/>
          <w:color w:val="000000" w:themeColor="text1"/>
        </w:rPr>
        <w:t xml:space="preserve">This </w:t>
      </w:r>
      <w:r w:rsidR="00F31686">
        <w:rPr>
          <w:rFonts w:asciiTheme="minorHAnsi" w:eastAsiaTheme="minorHAnsi" w:hAnsiTheme="minorHAnsi" w:cstheme="minorBidi"/>
          <w:b w:val="0"/>
          <w:color w:val="000000" w:themeColor="text1"/>
        </w:rPr>
        <w:t xml:space="preserve">expanded </w:t>
      </w:r>
      <w:r>
        <w:rPr>
          <w:rFonts w:asciiTheme="minorHAnsi" w:eastAsiaTheme="minorHAnsi" w:hAnsiTheme="minorHAnsi" w:cstheme="minorBidi"/>
          <w:b w:val="0"/>
          <w:color w:val="000000" w:themeColor="text1"/>
        </w:rPr>
        <w:t xml:space="preserve">framework would </w:t>
      </w:r>
      <w:r w:rsidR="00BC26C4">
        <w:rPr>
          <w:rFonts w:asciiTheme="minorHAnsi" w:eastAsiaTheme="minorHAnsi" w:hAnsiTheme="minorHAnsi" w:cstheme="minorBidi"/>
          <w:b w:val="0"/>
          <w:color w:val="000000" w:themeColor="text1"/>
        </w:rPr>
        <w:t>prevent</w:t>
      </w:r>
      <w:r w:rsidR="005C7419">
        <w:rPr>
          <w:rFonts w:asciiTheme="minorHAnsi" w:eastAsiaTheme="minorHAnsi" w:hAnsiTheme="minorHAnsi" w:cstheme="minorBidi"/>
          <w:b w:val="0"/>
          <w:color w:val="000000" w:themeColor="text1"/>
        </w:rPr>
        <w:t xml:space="preserve"> content service providers </w:t>
      </w:r>
      <w:r w:rsidR="00BC26C4">
        <w:rPr>
          <w:rFonts w:asciiTheme="minorHAnsi" w:eastAsiaTheme="minorHAnsi" w:hAnsiTheme="minorHAnsi" w:cstheme="minorBidi"/>
          <w:b w:val="0"/>
          <w:color w:val="000000" w:themeColor="text1"/>
        </w:rPr>
        <w:t>(</w:t>
      </w:r>
      <w:r w:rsidR="0008026E">
        <w:rPr>
          <w:rFonts w:asciiTheme="minorHAnsi" w:eastAsiaTheme="minorHAnsi" w:hAnsiTheme="minorHAnsi" w:cstheme="minorBidi"/>
          <w:b w:val="0"/>
          <w:color w:val="000000" w:themeColor="text1"/>
        </w:rPr>
        <w:t xml:space="preserve">all </w:t>
      </w:r>
      <w:r w:rsidR="00BC26C4">
        <w:rPr>
          <w:rFonts w:asciiTheme="minorHAnsi" w:eastAsiaTheme="minorHAnsi" w:hAnsiTheme="minorHAnsi" w:cstheme="minorBidi"/>
          <w:b w:val="0"/>
          <w:color w:val="000000" w:themeColor="text1"/>
        </w:rPr>
        <w:t>online</w:t>
      </w:r>
      <w:r w:rsidR="0008026E">
        <w:rPr>
          <w:rFonts w:asciiTheme="minorHAnsi" w:eastAsiaTheme="minorHAnsi" w:hAnsiTheme="minorHAnsi" w:cstheme="minorBidi"/>
          <w:b w:val="0"/>
          <w:color w:val="000000" w:themeColor="text1"/>
        </w:rPr>
        <w:t xml:space="preserve">, broadcast and other </w:t>
      </w:r>
      <w:r w:rsidR="00BC26C4">
        <w:rPr>
          <w:rFonts w:asciiTheme="minorHAnsi" w:eastAsiaTheme="minorHAnsi" w:hAnsiTheme="minorHAnsi" w:cstheme="minorBidi"/>
          <w:b w:val="0"/>
          <w:color w:val="000000" w:themeColor="text1"/>
        </w:rPr>
        <w:t xml:space="preserve">media services) </w:t>
      </w:r>
      <w:r w:rsidR="005C7419">
        <w:rPr>
          <w:rFonts w:asciiTheme="minorHAnsi" w:eastAsiaTheme="minorHAnsi" w:hAnsiTheme="minorHAnsi" w:cstheme="minorBidi"/>
          <w:b w:val="0"/>
          <w:color w:val="000000" w:themeColor="text1"/>
        </w:rPr>
        <w:t xml:space="preserve">from acquiring a right to provide coverage of a listed event </w:t>
      </w:r>
      <w:r w:rsidR="002101B8">
        <w:rPr>
          <w:rFonts w:asciiTheme="minorHAnsi" w:eastAsiaTheme="minorHAnsi" w:hAnsiTheme="minorHAnsi" w:cstheme="minorBidi"/>
          <w:b w:val="0"/>
          <w:color w:val="000000" w:themeColor="text1"/>
        </w:rPr>
        <w:t xml:space="preserve">to end-users in Australia </w:t>
      </w:r>
      <w:r w:rsidR="005C7419">
        <w:rPr>
          <w:rFonts w:asciiTheme="minorHAnsi" w:eastAsiaTheme="minorHAnsi" w:hAnsiTheme="minorHAnsi" w:cstheme="minorBidi"/>
          <w:b w:val="0"/>
          <w:color w:val="000000" w:themeColor="text1"/>
        </w:rPr>
        <w:t>until a free</w:t>
      </w:r>
      <w:r w:rsidR="00023E94">
        <w:rPr>
          <w:rFonts w:asciiTheme="minorHAnsi" w:eastAsiaTheme="minorHAnsi" w:hAnsiTheme="minorHAnsi" w:cstheme="minorBidi"/>
          <w:b w:val="0"/>
          <w:color w:val="000000" w:themeColor="text1"/>
        </w:rPr>
        <w:noBreakHyphen/>
      </w:r>
      <w:r w:rsidR="005C7419">
        <w:rPr>
          <w:rFonts w:asciiTheme="minorHAnsi" w:eastAsiaTheme="minorHAnsi" w:hAnsiTheme="minorHAnsi" w:cstheme="minorBidi"/>
          <w:b w:val="0"/>
          <w:color w:val="000000" w:themeColor="text1"/>
        </w:rPr>
        <w:t>to</w:t>
      </w:r>
      <w:r w:rsidR="00023E94">
        <w:rPr>
          <w:rFonts w:asciiTheme="minorHAnsi" w:eastAsiaTheme="minorHAnsi" w:hAnsiTheme="minorHAnsi" w:cstheme="minorBidi"/>
          <w:b w:val="0"/>
          <w:color w:val="000000" w:themeColor="text1"/>
        </w:rPr>
        <w:noBreakHyphen/>
      </w:r>
      <w:r w:rsidR="005C7419">
        <w:rPr>
          <w:rFonts w:asciiTheme="minorHAnsi" w:eastAsiaTheme="minorHAnsi" w:hAnsiTheme="minorHAnsi" w:cstheme="minorBidi"/>
          <w:b w:val="0"/>
          <w:color w:val="000000" w:themeColor="text1"/>
        </w:rPr>
        <w:t xml:space="preserve">air broadcaster </w:t>
      </w:r>
      <w:r w:rsidR="00703244" w:rsidRPr="00703244">
        <w:rPr>
          <w:rFonts w:asciiTheme="minorHAnsi" w:eastAsiaTheme="minorHAnsi" w:hAnsiTheme="minorHAnsi" w:cstheme="minorBidi"/>
          <w:b w:val="0"/>
          <w:color w:val="000000" w:themeColor="text1"/>
        </w:rPr>
        <w:t xml:space="preserve">– a commercial television broadcasting licensee or a national broadcaster – </w:t>
      </w:r>
      <w:r w:rsidR="00742973">
        <w:rPr>
          <w:rFonts w:asciiTheme="minorHAnsi" w:eastAsiaTheme="minorHAnsi" w:hAnsiTheme="minorHAnsi" w:cstheme="minorBidi"/>
          <w:b w:val="0"/>
          <w:color w:val="000000" w:themeColor="text1"/>
        </w:rPr>
        <w:t xml:space="preserve">has </w:t>
      </w:r>
      <w:r w:rsidR="005C7419">
        <w:rPr>
          <w:rFonts w:asciiTheme="minorHAnsi" w:eastAsiaTheme="minorHAnsi" w:hAnsiTheme="minorHAnsi" w:cstheme="minorBidi"/>
          <w:b w:val="0"/>
          <w:color w:val="000000" w:themeColor="text1"/>
        </w:rPr>
        <w:t>acquired a right to televise the event</w:t>
      </w:r>
      <w:r w:rsidR="002101B8">
        <w:rPr>
          <w:rFonts w:asciiTheme="minorHAnsi" w:eastAsiaTheme="minorHAnsi" w:hAnsiTheme="minorHAnsi" w:cstheme="minorBidi"/>
          <w:b w:val="0"/>
          <w:color w:val="000000" w:themeColor="text1"/>
        </w:rPr>
        <w:t xml:space="preserve"> on a broadcasting service</w:t>
      </w:r>
      <w:r w:rsidR="005C7419">
        <w:rPr>
          <w:rFonts w:asciiTheme="minorHAnsi" w:eastAsiaTheme="minorHAnsi" w:hAnsiTheme="minorHAnsi" w:cstheme="minorBidi"/>
          <w:b w:val="0"/>
          <w:color w:val="000000" w:themeColor="text1"/>
        </w:rPr>
        <w:t>.</w:t>
      </w:r>
    </w:p>
    <w:p w14:paraId="1B99F632" w14:textId="755FF0EB" w:rsidR="005C7419" w:rsidRDefault="005C7419" w:rsidP="005C7419">
      <w:pPr>
        <w:spacing w:after="0"/>
        <w:rPr>
          <w:b/>
        </w:rPr>
      </w:pPr>
      <w:r>
        <w:rPr>
          <w:b/>
        </w:rPr>
        <w:t>Dealing with rights</w:t>
      </w:r>
    </w:p>
    <w:p w14:paraId="7C8695B5" w14:textId="7CAA6566" w:rsidR="008067FF" w:rsidRDefault="0008026E" w:rsidP="00A806FF">
      <w:pPr>
        <w:spacing w:after="0"/>
      </w:pPr>
      <w:r>
        <w:t>T</w:t>
      </w:r>
      <w:r w:rsidR="007333BA">
        <w:t>he</w:t>
      </w:r>
      <w:r w:rsidR="00DB5A5E">
        <w:t xml:space="preserve"> </w:t>
      </w:r>
      <w:r w:rsidR="00AA15DF">
        <w:t xml:space="preserve">sequence of acquisition </w:t>
      </w:r>
      <w:r w:rsidR="001B653B">
        <w:t>of media rights</w:t>
      </w:r>
      <w:r>
        <w:t xml:space="preserve"> </w:t>
      </w:r>
      <w:r w:rsidR="000A516A">
        <w:t xml:space="preserve">to listed events </w:t>
      </w:r>
      <w:r w:rsidR="009B7831">
        <w:t xml:space="preserve">would be regulated </w:t>
      </w:r>
      <w:r>
        <w:t>under the broadcasting safety net model</w:t>
      </w:r>
      <w:r w:rsidR="00456A45">
        <w:t xml:space="preserve">, as </w:t>
      </w:r>
      <w:r w:rsidR="001E4FEC">
        <w:t>it is under</w:t>
      </w:r>
      <w:r w:rsidR="00456A45">
        <w:t xml:space="preserve"> the </w:t>
      </w:r>
      <w:r w:rsidR="00AA15DF">
        <w:t>current scheme</w:t>
      </w:r>
      <w:r w:rsidR="007333BA">
        <w:t xml:space="preserve">. </w:t>
      </w:r>
      <w:r w:rsidR="00A806FF">
        <w:t xml:space="preserve">The </w:t>
      </w:r>
      <w:r w:rsidR="000A516A">
        <w:t>new ‘</w:t>
      </w:r>
      <w:r w:rsidR="00A806FF">
        <w:t>acquisition rule</w:t>
      </w:r>
      <w:r w:rsidR="000A516A">
        <w:t>’</w:t>
      </w:r>
      <w:r w:rsidR="00A806FF">
        <w:t xml:space="preserve"> under the broadcasting safety net model would be based around two key elements: a broad </w:t>
      </w:r>
      <w:r w:rsidR="001E4FEC">
        <w:t>‘</w:t>
      </w:r>
      <w:r w:rsidR="00A806FF">
        <w:t>acquisition restriction</w:t>
      </w:r>
      <w:r w:rsidR="001E4FEC">
        <w:t>’</w:t>
      </w:r>
      <w:r w:rsidR="00A806FF">
        <w:t xml:space="preserve">; and a specific </w:t>
      </w:r>
      <w:r w:rsidR="001E4FEC">
        <w:t>‘</w:t>
      </w:r>
      <w:r w:rsidR="00A806FF">
        <w:t>carve out</w:t>
      </w:r>
      <w:r w:rsidR="001E4FEC">
        <w:t>’</w:t>
      </w:r>
      <w:r w:rsidR="00A806FF">
        <w:t xml:space="preserve"> for free-to-air broadcasting services.</w:t>
      </w:r>
    </w:p>
    <w:p w14:paraId="587F4B27" w14:textId="77777777" w:rsidR="00A806FF" w:rsidRPr="00A806FF" w:rsidRDefault="00A806FF" w:rsidP="00A806FF">
      <w:pPr>
        <w:spacing w:after="0"/>
        <w:rPr>
          <w:u w:val="single"/>
        </w:rPr>
      </w:pPr>
      <w:r w:rsidRPr="00A806FF">
        <w:rPr>
          <w:u w:val="single"/>
        </w:rPr>
        <w:t>Acquisition restriction</w:t>
      </w:r>
    </w:p>
    <w:p w14:paraId="372AE9DC" w14:textId="77777777" w:rsidR="0057641D" w:rsidRDefault="001E4FEC" w:rsidP="001E4FEC">
      <w:pPr>
        <w:spacing w:after="0"/>
      </w:pPr>
      <w:r>
        <w:t>The acquisition restriction under the proposed rule would prohibit a</w:t>
      </w:r>
      <w:r w:rsidR="0057641D">
        <w:t xml:space="preserve"> content service provider </w:t>
      </w:r>
      <w:r>
        <w:t>from acquiring</w:t>
      </w:r>
      <w:r w:rsidR="0057641D">
        <w:t xml:space="preserve"> a right to provide coverage</w:t>
      </w:r>
      <w:r w:rsidR="009B7831" w:rsidRPr="009B7831">
        <w:rPr>
          <w:rStyle w:val="FootnoteReference"/>
        </w:rPr>
        <w:footnoteReference w:id="125"/>
      </w:r>
      <w:r w:rsidR="0057641D">
        <w:t xml:space="preserve"> of a part o</w:t>
      </w:r>
      <w:r w:rsidR="00456A45">
        <w:t>r</w:t>
      </w:r>
      <w:r w:rsidR="0057641D">
        <w:t xml:space="preserve"> the whole of an event on the anti-siphoning list to end-users in Australia</w:t>
      </w:r>
      <w:r w:rsidR="0057641D">
        <w:rPr>
          <w:rStyle w:val="FootnoteReference"/>
        </w:rPr>
        <w:footnoteReference w:id="126"/>
      </w:r>
      <w:r w:rsidR="0057641D">
        <w:t xml:space="preserve"> unless:</w:t>
      </w:r>
    </w:p>
    <w:p w14:paraId="288ADB75" w14:textId="77777777" w:rsidR="0057641D" w:rsidRPr="0057641D" w:rsidRDefault="0057641D" w:rsidP="001A687D">
      <w:pPr>
        <w:pStyle w:val="ListParagraph"/>
        <w:numPr>
          <w:ilvl w:val="1"/>
          <w:numId w:val="22"/>
        </w:numPr>
        <w:spacing w:after="0"/>
        <w:ind w:left="426" w:hanging="426"/>
        <w:contextualSpacing w:val="0"/>
      </w:pPr>
      <w:r w:rsidRPr="0057641D">
        <w:rPr>
          <w:color w:val="000000"/>
        </w:rPr>
        <w:t xml:space="preserve">a national broadcaster has the right to televise </w:t>
      </w:r>
      <w:r>
        <w:rPr>
          <w:color w:val="000000"/>
        </w:rPr>
        <w:t xml:space="preserve">a part or the whole of </w:t>
      </w:r>
      <w:r w:rsidRPr="0057641D">
        <w:rPr>
          <w:color w:val="000000"/>
        </w:rPr>
        <w:t>the event on any of its broadcasting services; o</w:t>
      </w:r>
      <w:r>
        <w:rPr>
          <w:color w:val="000000"/>
        </w:rPr>
        <w:t>r</w:t>
      </w:r>
    </w:p>
    <w:p w14:paraId="7211F323" w14:textId="3000E7FA" w:rsidR="0057641D" w:rsidRPr="0057641D" w:rsidRDefault="0057641D" w:rsidP="001A687D">
      <w:pPr>
        <w:pStyle w:val="ListParagraph"/>
        <w:numPr>
          <w:ilvl w:val="1"/>
          <w:numId w:val="22"/>
        </w:numPr>
        <w:spacing w:after="0"/>
        <w:ind w:left="426" w:hanging="426"/>
        <w:contextualSpacing w:val="0"/>
      </w:pPr>
      <w:r w:rsidRPr="0057641D">
        <w:rPr>
          <w:color w:val="000000"/>
        </w:rPr>
        <w:t>the television broadcasting services of commercial television broadcasting licensees (other than licensees who hold licences allocated under section 38C or subsection 40(1)</w:t>
      </w:r>
      <w:r w:rsidR="0055629F">
        <w:rPr>
          <w:color w:val="000000"/>
        </w:rPr>
        <w:t xml:space="preserve"> of the BSA</w:t>
      </w:r>
      <w:r w:rsidRPr="0057641D">
        <w:rPr>
          <w:color w:val="000000"/>
        </w:rPr>
        <w:t xml:space="preserve">) who have the right to televise </w:t>
      </w:r>
      <w:r>
        <w:rPr>
          <w:color w:val="000000"/>
        </w:rPr>
        <w:t xml:space="preserve">a part or the whole of </w:t>
      </w:r>
      <w:r w:rsidRPr="0057641D">
        <w:rPr>
          <w:color w:val="000000"/>
        </w:rPr>
        <w:t>the event cover a total of more than 50</w:t>
      </w:r>
      <w:r w:rsidR="00355439">
        <w:rPr>
          <w:color w:val="000000"/>
        </w:rPr>
        <w:t xml:space="preserve"> per cent</w:t>
      </w:r>
      <w:r w:rsidR="00355439" w:rsidRPr="0057641D">
        <w:rPr>
          <w:color w:val="000000"/>
        </w:rPr>
        <w:t xml:space="preserve"> </w:t>
      </w:r>
      <w:r w:rsidRPr="0057641D">
        <w:rPr>
          <w:color w:val="000000"/>
        </w:rPr>
        <w:t>of the Australian population</w:t>
      </w:r>
      <w:r>
        <w:rPr>
          <w:color w:val="000000"/>
        </w:rPr>
        <w:t>.</w:t>
      </w:r>
    </w:p>
    <w:p w14:paraId="35A98B8A" w14:textId="2DD02748" w:rsidR="001E4FEC" w:rsidRPr="0057641D" w:rsidRDefault="001E4FEC" w:rsidP="001E4FEC">
      <w:pPr>
        <w:spacing w:after="0"/>
      </w:pPr>
      <w:r>
        <w:t>This would establish a restriction on rights acquisition, subject to the following carve out for free-to-air broadcasting services.</w:t>
      </w:r>
    </w:p>
    <w:p w14:paraId="445AF07E" w14:textId="77777777" w:rsidR="0057641D" w:rsidRPr="00A806FF" w:rsidRDefault="00A806FF" w:rsidP="00A806FF">
      <w:pPr>
        <w:spacing w:after="0"/>
        <w:rPr>
          <w:u w:val="single"/>
        </w:rPr>
      </w:pPr>
      <w:r w:rsidRPr="00A806FF">
        <w:rPr>
          <w:u w:val="single"/>
        </w:rPr>
        <w:t>Carve out</w:t>
      </w:r>
    </w:p>
    <w:p w14:paraId="6FC8F6ED" w14:textId="257FB73F" w:rsidR="004B3994" w:rsidRDefault="00AF2EFA" w:rsidP="001E4FEC">
      <w:pPr>
        <w:spacing w:after="0"/>
      </w:pPr>
      <w:r>
        <w:t xml:space="preserve">The </w:t>
      </w:r>
      <w:r w:rsidR="00304E33">
        <w:t xml:space="preserve">acquisition </w:t>
      </w:r>
      <w:r>
        <w:t xml:space="preserve">restriction </w:t>
      </w:r>
      <w:r w:rsidR="0055629F">
        <w:t xml:space="preserve">(above) </w:t>
      </w:r>
      <w:r w:rsidR="00393102">
        <w:t>would not apply to:</w:t>
      </w:r>
    </w:p>
    <w:p w14:paraId="0BB5C42F" w14:textId="2FA5A74E" w:rsidR="004B3994" w:rsidRDefault="00805107" w:rsidP="001A687D">
      <w:pPr>
        <w:pStyle w:val="ListParagraph"/>
        <w:numPr>
          <w:ilvl w:val="0"/>
          <w:numId w:val="19"/>
        </w:numPr>
        <w:spacing w:after="0"/>
        <w:ind w:left="426" w:hanging="426"/>
        <w:contextualSpacing w:val="0"/>
      </w:pPr>
      <w:r>
        <w:rPr>
          <w:color w:val="000000"/>
        </w:rPr>
        <w:t xml:space="preserve">the acquisition by a </w:t>
      </w:r>
      <w:r w:rsidRPr="0057641D">
        <w:rPr>
          <w:color w:val="000000"/>
        </w:rPr>
        <w:t xml:space="preserve">national broadcaster </w:t>
      </w:r>
      <w:r>
        <w:rPr>
          <w:color w:val="000000"/>
        </w:rPr>
        <w:t xml:space="preserve">of the </w:t>
      </w:r>
      <w:r w:rsidRPr="0057641D">
        <w:rPr>
          <w:color w:val="000000"/>
        </w:rPr>
        <w:t xml:space="preserve">right to televise </w:t>
      </w:r>
      <w:r>
        <w:rPr>
          <w:color w:val="000000"/>
        </w:rPr>
        <w:t xml:space="preserve">a part or the whole of </w:t>
      </w:r>
      <w:r w:rsidRPr="0057641D">
        <w:rPr>
          <w:color w:val="000000"/>
        </w:rPr>
        <w:t>the event on any of its broadcasting services</w:t>
      </w:r>
      <w:r w:rsidR="00393102">
        <w:t>;</w:t>
      </w:r>
      <w:r w:rsidR="004B3994">
        <w:t xml:space="preserve"> or</w:t>
      </w:r>
    </w:p>
    <w:p w14:paraId="5733E9B5" w14:textId="011036C1" w:rsidR="004B3994" w:rsidRDefault="00805107" w:rsidP="001A687D">
      <w:pPr>
        <w:pStyle w:val="ListParagraph"/>
        <w:numPr>
          <w:ilvl w:val="0"/>
          <w:numId w:val="19"/>
        </w:numPr>
        <w:spacing w:after="0"/>
        <w:ind w:left="426" w:hanging="426"/>
        <w:contextualSpacing w:val="0"/>
      </w:pPr>
      <w:r>
        <w:t xml:space="preserve">the acquisition by </w:t>
      </w:r>
      <w:r w:rsidR="00605888">
        <w:t xml:space="preserve">a </w:t>
      </w:r>
      <w:r w:rsidR="004B3994">
        <w:t>commercial television broadcasting licensee</w:t>
      </w:r>
      <w:r w:rsidR="005E3C41">
        <w:t xml:space="preserve"> of the right to televis</w:t>
      </w:r>
      <w:r w:rsidR="0018746F">
        <w:t>e</w:t>
      </w:r>
      <w:r w:rsidR="005E3C41">
        <w:t xml:space="preserve"> a part or the whole of the event on any of its commercial television broadcasting services.</w:t>
      </w:r>
    </w:p>
    <w:p w14:paraId="7D99AC27" w14:textId="66112E4D" w:rsidR="0055629F" w:rsidRDefault="004B3994" w:rsidP="004B3994">
      <w:pPr>
        <w:spacing w:after="0"/>
      </w:pPr>
      <w:r>
        <w:t xml:space="preserve">This </w:t>
      </w:r>
      <w:r w:rsidR="005E3C41">
        <w:t xml:space="preserve">carve out </w:t>
      </w:r>
      <w:r w:rsidR="0055629F">
        <w:t>would</w:t>
      </w:r>
      <w:r>
        <w:t xml:space="preserve"> enable </w:t>
      </w:r>
      <w:r w:rsidR="00304E33">
        <w:t xml:space="preserve">national and commercial broadcasters </w:t>
      </w:r>
      <w:r>
        <w:t>to acquire a right to televise a listed event on a broadcasting service</w:t>
      </w:r>
      <w:r w:rsidR="003B5DB8">
        <w:t xml:space="preserve"> without restriction under the scheme</w:t>
      </w:r>
      <w:r>
        <w:t xml:space="preserve">, as they would otherwise be prevented from doing so by </w:t>
      </w:r>
      <w:r w:rsidR="005A63D8">
        <w:t xml:space="preserve">the </w:t>
      </w:r>
      <w:r w:rsidR="0018746F">
        <w:t xml:space="preserve">operation of the acquisition restriction and the </w:t>
      </w:r>
      <w:r w:rsidR="005A63D8">
        <w:t xml:space="preserve">broad </w:t>
      </w:r>
      <w:r>
        <w:t>definition of a content service</w:t>
      </w:r>
      <w:r w:rsidR="005A63D8">
        <w:t>.</w:t>
      </w:r>
    </w:p>
    <w:p w14:paraId="0B6E477C" w14:textId="3C2A35E9" w:rsidR="00B7305F" w:rsidRDefault="009038F2" w:rsidP="004B3994">
      <w:pPr>
        <w:spacing w:after="0"/>
      </w:pPr>
      <w:r>
        <w:t>However</w:t>
      </w:r>
      <w:r w:rsidR="009B7831">
        <w:t xml:space="preserve">, </w:t>
      </w:r>
      <w:r w:rsidR="0055629F">
        <w:t xml:space="preserve">it is important to note that </w:t>
      </w:r>
      <w:r w:rsidR="00304E33">
        <w:t>this carve out</w:t>
      </w:r>
      <w:r w:rsidR="009B7831">
        <w:t xml:space="preserve"> would</w:t>
      </w:r>
      <w:r w:rsidR="00304E33">
        <w:t xml:space="preserve"> </w:t>
      </w:r>
      <w:r w:rsidR="009B7831">
        <w:t xml:space="preserve">only apply to the </w:t>
      </w:r>
      <w:r w:rsidR="009B7831" w:rsidRPr="00970EE1">
        <w:rPr>
          <w:u w:val="single"/>
        </w:rPr>
        <w:t>broadcasting services</w:t>
      </w:r>
      <w:r w:rsidR="009B7831">
        <w:t xml:space="preserve"> provided by national and commercial broadcaster</w:t>
      </w:r>
      <w:r w:rsidR="0055629F">
        <w:t>s</w:t>
      </w:r>
      <w:r w:rsidR="009B7831">
        <w:t xml:space="preserve">, and </w:t>
      </w:r>
      <w:r w:rsidR="009B7831" w:rsidRPr="00970EE1">
        <w:rPr>
          <w:u w:val="single"/>
        </w:rPr>
        <w:t>not to any other content services</w:t>
      </w:r>
      <w:r w:rsidR="009B7831">
        <w:t xml:space="preserve"> that they may provide to Australian audiences.</w:t>
      </w:r>
      <w:r w:rsidR="00B7305F">
        <w:t xml:space="preserve"> </w:t>
      </w:r>
      <w:r w:rsidR="009B7831">
        <w:t>This is an</w:t>
      </w:r>
      <w:r w:rsidRPr="009038F2">
        <w:t xml:space="preserve"> important distinction.</w:t>
      </w:r>
    </w:p>
    <w:p w14:paraId="20B92881" w14:textId="7F4D7BE7" w:rsidR="00B7305F" w:rsidRDefault="00B7305F" w:rsidP="00B7305F">
      <w:pPr>
        <w:spacing w:after="0"/>
      </w:pPr>
      <w:r>
        <w:t>As noted in the outline section above, t</w:t>
      </w:r>
      <w:r w:rsidRPr="009038F2">
        <w:t>h</w:t>
      </w:r>
      <w:r>
        <w:t xml:space="preserve">e aim of this </w:t>
      </w:r>
      <w:r w:rsidRPr="009038F2">
        <w:t xml:space="preserve">model </w:t>
      </w:r>
      <w:r>
        <w:t xml:space="preserve">is to establish </w:t>
      </w:r>
      <w:r w:rsidRPr="009038F2">
        <w:t>broadcasting services as the ‘</w:t>
      </w:r>
      <w:r w:rsidR="00355439" w:rsidRPr="009038F2">
        <w:t>safety</w:t>
      </w:r>
      <w:r w:rsidR="00355439">
        <w:t> </w:t>
      </w:r>
      <w:r w:rsidRPr="009038F2">
        <w:t xml:space="preserve">net’ for free access to </w:t>
      </w:r>
      <w:r w:rsidR="005B207C">
        <w:t xml:space="preserve">televised coverage of </w:t>
      </w:r>
      <w:r w:rsidR="00B5207D">
        <w:t xml:space="preserve">nationally important and culturally significant </w:t>
      </w:r>
      <w:r w:rsidRPr="009038F2">
        <w:t xml:space="preserve">sporting </w:t>
      </w:r>
      <w:r w:rsidRPr="009038F2">
        <w:lastRenderedPageBreak/>
        <w:t>events for all Australians</w:t>
      </w:r>
      <w:r>
        <w:t xml:space="preserve">. To this end, it </w:t>
      </w:r>
      <w:r w:rsidRPr="009038F2">
        <w:t xml:space="preserve">provides </w:t>
      </w:r>
      <w:r>
        <w:t xml:space="preserve">free-to-air </w:t>
      </w:r>
      <w:r w:rsidRPr="009038F2">
        <w:t xml:space="preserve">broadcasters with preferential treatment in terms </w:t>
      </w:r>
      <w:r w:rsidR="00322601">
        <w:t xml:space="preserve">of </w:t>
      </w:r>
      <w:r>
        <w:t xml:space="preserve">acquiring </w:t>
      </w:r>
      <w:r w:rsidRPr="009038F2">
        <w:t>the relevant rights</w:t>
      </w:r>
      <w:r>
        <w:t>.</w:t>
      </w:r>
    </w:p>
    <w:p w14:paraId="3E569136" w14:textId="5A9753F0" w:rsidR="00F64842" w:rsidRDefault="00B7305F" w:rsidP="00F64842">
      <w:pPr>
        <w:spacing w:after="0"/>
        <w:rPr>
          <w:i/>
        </w:rPr>
      </w:pPr>
      <w:r>
        <w:t>However, t</w:t>
      </w:r>
      <w:r w:rsidR="0067255B">
        <w:t>his</w:t>
      </w:r>
      <w:r w:rsidR="00304E33">
        <w:t xml:space="preserve"> </w:t>
      </w:r>
      <w:r w:rsidR="009038F2" w:rsidRPr="009038F2">
        <w:t>model does</w:t>
      </w:r>
      <w:r w:rsidR="0067255B">
        <w:t xml:space="preserve"> </w:t>
      </w:r>
      <w:r w:rsidR="009038F2" w:rsidRPr="009038F2">
        <w:t>n</w:t>
      </w:r>
      <w:r w:rsidR="0067255B">
        <w:t>o</w:t>
      </w:r>
      <w:r w:rsidR="009038F2" w:rsidRPr="009038F2">
        <w:t>t provide</w:t>
      </w:r>
      <w:r w:rsidR="001B3258">
        <w:t xml:space="preserve"> free-to-air broadcasters with preferential treatment in terms of their content services (i.e. BVOD or other online services).</w:t>
      </w:r>
      <w:r w:rsidR="0047174B">
        <w:t xml:space="preserve"> </w:t>
      </w:r>
      <w:r w:rsidR="00F64842" w:rsidRPr="00455C23">
        <w:t xml:space="preserve">To do so would </w:t>
      </w:r>
      <w:r w:rsidR="00F64842" w:rsidRPr="002B1D55">
        <w:t>go beyond the aim of this particular model</w:t>
      </w:r>
      <w:r w:rsidR="00F64842">
        <w:t xml:space="preserve"> (</w:t>
      </w:r>
      <w:r w:rsidR="00F64842" w:rsidRPr="002B1D55">
        <w:t>which is founded on the accessibility of the stable and ubiquitous terrestrial free-to-air television broadcasting platform</w:t>
      </w:r>
      <w:r w:rsidR="00F64842">
        <w:t xml:space="preserve">) </w:t>
      </w:r>
      <w:r w:rsidR="00F64842" w:rsidRPr="00455C23">
        <w:t xml:space="preserve">and would provide free-to-air broadcasters </w:t>
      </w:r>
      <w:r w:rsidR="00F64842">
        <w:t xml:space="preserve">with </w:t>
      </w:r>
      <w:r w:rsidR="00F64842" w:rsidRPr="00455C23">
        <w:t>an additional commercial advantage over other providers of content services</w:t>
      </w:r>
      <w:r w:rsidR="00F64842" w:rsidRPr="001B3258">
        <w:t>.</w:t>
      </w:r>
    </w:p>
    <w:p w14:paraId="768CA078" w14:textId="7A7C0450" w:rsidR="009B7831" w:rsidRDefault="009B7831" w:rsidP="004B3994">
      <w:pPr>
        <w:spacing w:after="0"/>
      </w:pPr>
      <w:r>
        <w:t>This marks a point of difference with Model 3, which provide</w:t>
      </w:r>
      <w:r w:rsidR="00557F5E">
        <w:t>s</w:t>
      </w:r>
      <w:r>
        <w:t xml:space="preserve"> </w:t>
      </w:r>
      <w:r w:rsidR="00715B98">
        <w:t>a</w:t>
      </w:r>
      <w:r>
        <w:t xml:space="preserve"> broader carve out for all </w:t>
      </w:r>
      <w:r w:rsidR="00557F5E">
        <w:t xml:space="preserve">broadcasting services and </w:t>
      </w:r>
      <w:r>
        <w:t>content services provided by free-to-air broadcasters.</w:t>
      </w:r>
    </w:p>
    <w:p w14:paraId="0BF50612" w14:textId="77777777" w:rsidR="005C7419" w:rsidRDefault="005C7419" w:rsidP="005C7419">
      <w:pPr>
        <w:spacing w:after="0"/>
        <w:rPr>
          <w:b/>
        </w:rPr>
      </w:pPr>
      <w:r w:rsidRPr="004159D6">
        <w:rPr>
          <w:b/>
        </w:rPr>
        <w:t>Content service</w:t>
      </w:r>
    </w:p>
    <w:p w14:paraId="51F6985C" w14:textId="5C9C4B96" w:rsidR="00786C82" w:rsidRDefault="00882BE2" w:rsidP="00DB27E1">
      <w:pPr>
        <w:spacing w:after="0"/>
      </w:pPr>
      <w:r>
        <w:t>For the purposes of the anti-siphoning scheme</w:t>
      </w:r>
      <w:r w:rsidR="00786C82">
        <w:t>, a content service would be defined as:</w:t>
      </w:r>
    </w:p>
    <w:p w14:paraId="7C3FE79F" w14:textId="77777777" w:rsidR="00756E28" w:rsidRDefault="00756E28" w:rsidP="00CB3826">
      <w:pPr>
        <w:pStyle w:val="ListParagraph"/>
        <w:numPr>
          <w:ilvl w:val="0"/>
          <w:numId w:val="26"/>
        </w:numPr>
        <w:spacing w:after="120"/>
        <w:ind w:left="357" w:hanging="357"/>
        <w:contextualSpacing w:val="0"/>
      </w:pPr>
      <w:r w:rsidRPr="00AE31D2">
        <w:t>a service that delivers content</w:t>
      </w:r>
      <w:r>
        <w:rPr>
          <w:rStyle w:val="FootnoteReference"/>
        </w:rPr>
        <w:footnoteReference w:id="127"/>
      </w:r>
      <w:r>
        <w:t xml:space="preserve"> </w:t>
      </w:r>
      <w:r w:rsidRPr="00AE31D2">
        <w:t>to persons having equipment appropriate for receiving that content, where the delivery of the service is by means of a carriage service</w:t>
      </w:r>
      <w:r w:rsidR="0018746F">
        <w:t>;</w:t>
      </w:r>
      <w:r>
        <w:rPr>
          <w:rStyle w:val="FootnoteReference"/>
        </w:rPr>
        <w:footnoteReference w:id="128"/>
      </w:r>
      <w:r w:rsidRPr="00AE31D2">
        <w:t xml:space="preserve"> or</w:t>
      </w:r>
    </w:p>
    <w:p w14:paraId="477F7F2D" w14:textId="77777777" w:rsidR="00756E28" w:rsidRDefault="00756E28" w:rsidP="001A687D">
      <w:pPr>
        <w:pStyle w:val="ListParagraph"/>
        <w:numPr>
          <w:ilvl w:val="0"/>
          <w:numId w:val="26"/>
        </w:numPr>
        <w:spacing w:after="0"/>
      </w:pPr>
      <w:r w:rsidRPr="00AE31D2">
        <w:t>a service that allows end</w:t>
      </w:r>
      <w:r w:rsidRPr="00AE31D2">
        <w:noBreakHyphen/>
        <w:t>users to access content using a carriage service</w:t>
      </w:r>
      <w:r>
        <w:t>.</w:t>
      </w:r>
    </w:p>
    <w:p w14:paraId="013EACCE" w14:textId="77777777" w:rsidR="009E0FF9" w:rsidRPr="00AC2B9B" w:rsidRDefault="00756E28" w:rsidP="009E0FF9">
      <w:pPr>
        <w:spacing w:after="0"/>
      </w:pPr>
      <w:r>
        <w:t>A content service provider would be a person who provides a content service</w:t>
      </w:r>
      <w:r w:rsidR="009E0FF9">
        <w:t xml:space="preserve"> to the public </w:t>
      </w:r>
      <w:r w:rsidR="009E0FF9" w:rsidRPr="00AC2B9B">
        <w:t>(</w:t>
      </w:r>
      <w:r w:rsidR="0055629F">
        <w:t xml:space="preserve">i.e. </w:t>
      </w:r>
      <w:r w:rsidR="009E0FF9" w:rsidRPr="00AC2B9B">
        <w:t>to at least one person outside the immediate circle of the person who provides the service</w:t>
      </w:r>
      <w:r w:rsidR="00644F1C">
        <w:t>)</w:t>
      </w:r>
      <w:r w:rsidR="009E0FF9">
        <w:t>.</w:t>
      </w:r>
      <w:r w:rsidR="009E0FF9" w:rsidRPr="00AC2B9B">
        <w:rPr>
          <w:rStyle w:val="FootnoteReference"/>
        </w:rPr>
        <w:footnoteReference w:id="129"/>
      </w:r>
    </w:p>
    <w:p w14:paraId="04488A8F" w14:textId="29DEEF62" w:rsidR="00BC75E6" w:rsidRDefault="00882BE2" w:rsidP="00715B98">
      <w:pPr>
        <w:spacing w:after="0"/>
      </w:pPr>
      <w:r>
        <w:t>Th</w:t>
      </w:r>
      <w:r w:rsidR="00756E28">
        <w:t>ese definitions are</w:t>
      </w:r>
      <w:r>
        <w:t xml:space="preserve"> used in </w:t>
      </w:r>
      <w:r w:rsidR="009E0FF9">
        <w:t>each of the</w:t>
      </w:r>
      <w:r>
        <w:t xml:space="preserve"> reform models</w:t>
      </w:r>
      <w:r w:rsidR="00756E28">
        <w:t xml:space="preserve"> canvassed in this paper and are </w:t>
      </w:r>
      <w:r w:rsidR="00715B98">
        <w:t>based on comparable definitions in Schedule 7 to the BSA</w:t>
      </w:r>
      <w:r w:rsidR="00715B98" w:rsidRPr="003F299A">
        <w:t>.</w:t>
      </w:r>
      <w:r w:rsidR="00715B98" w:rsidRPr="003F299A">
        <w:rPr>
          <w:rStyle w:val="FootnoteReference"/>
        </w:rPr>
        <w:footnoteReference w:id="130"/>
      </w:r>
    </w:p>
    <w:p w14:paraId="68F1B640" w14:textId="6C33E84F" w:rsidR="00715B98" w:rsidRDefault="00BC75E6" w:rsidP="00715B98">
      <w:pPr>
        <w:spacing w:after="0"/>
      </w:pPr>
      <w:r>
        <w:t>A narrower definition of ‘online content service’ could be used in this model, but this would, in turn, require a separate rule to deal with broadcasting services (which don’t use the internet). The proposed use of the broader content service definition would allow the revised scheme to operate around one acquisition rule, rather than two.</w:t>
      </w:r>
    </w:p>
    <w:p w14:paraId="1BE99BAE" w14:textId="1E6421E7" w:rsidR="005C7419" w:rsidRPr="00A40CFC" w:rsidRDefault="005C7419" w:rsidP="005C7419">
      <w:pPr>
        <w:spacing w:after="0"/>
        <w:rPr>
          <w:b/>
        </w:rPr>
      </w:pPr>
      <w:r>
        <w:rPr>
          <w:b/>
        </w:rPr>
        <w:t xml:space="preserve">Availability </w:t>
      </w:r>
      <w:r w:rsidR="00E36AB3">
        <w:rPr>
          <w:b/>
        </w:rPr>
        <w:t>obligations</w:t>
      </w:r>
    </w:p>
    <w:p w14:paraId="6C06214C" w14:textId="699DC6BD" w:rsidR="00E36AB3" w:rsidRDefault="00E04490" w:rsidP="005C7419">
      <w:bookmarkStart w:id="194" w:name="_Hlk139533447"/>
      <w:r>
        <w:t>Availability obligations would not form part of th</w:t>
      </w:r>
      <w:r w:rsidR="00B04D1E">
        <w:t xml:space="preserve">e broadcasting safety </w:t>
      </w:r>
      <w:r w:rsidR="00BB022E">
        <w:t xml:space="preserve">net </w:t>
      </w:r>
      <w:r w:rsidR="00B04D1E">
        <w:t>model.</w:t>
      </w:r>
      <w:r w:rsidR="00D54C63">
        <w:t xml:space="preserve"> </w:t>
      </w:r>
      <w:r w:rsidR="00B04D1E">
        <w:t xml:space="preserve">There was no evidence presented through the initial phase of the review to suggest that free-to-air broadcasters were </w:t>
      </w:r>
      <w:r w:rsidR="00C412D2">
        <w:t xml:space="preserve">‘hoarding’ the rights to </w:t>
      </w:r>
      <w:r w:rsidR="00B04D1E">
        <w:t xml:space="preserve">listed events </w:t>
      </w:r>
      <w:r w:rsidR="00C412D2">
        <w:t>(</w:t>
      </w:r>
      <w:r w:rsidR="00B04D1E">
        <w:t xml:space="preserve">acquiring </w:t>
      </w:r>
      <w:r w:rsidR="00211A35">
        <w:t xml:space="preserve">the </w:t>
      </w:r>
      <w:r w:rsidR="00B04D1E">
        <w:t>rights and not providing coverage</w:t>
      </w:r>
      <w:r w:rsidR="00C412D2">
        <w:t>,</w:t>
      </w:r>
      <w:r w:rsidR="00B04D1E">
        <w:t xml:space="preserve"> or </w:t>
      </w:r>
      <w:r w:rsidR="00C412D2">
        <w:t xml:space="preserve">not </w:t>
      </w:r>
      <w:r w:rsidR="00B04D1E">
        <w:t>otherwise making those rights available to other parties). This reflects the strong commercial incentive for broadcasters to fully exploit the rights which they have acquired (typically at significant cost).</w:t>
      </w:r>
      <w:r w:rsidR="00D54C63">
        <w:t xml:space="preserve"> </w:t>
      </w:r>
      <w:r w:rsidR="00241DAF">
        <w:t xml:space="preserve">For these reasons, </w:t>
      </w:r>
      <w:r w:rsidR="00D54C63">
        <w:t>availab</w:t>
      </w:r>
      <w:r w:rsidR="00211A35">
        <w:t xml:space="preserve">ility </w:t>
      </w:r>
      <w:r w:rsidR="00D54C63">
        <w:t>and coverage obligations were considered unnecessary for this model.</w:t>
      </w:r>
    </w:p>
    <w:p w14:paraId="42385E90" w14:textId="3D4E8841" w:rsidR="00E36AB3" w:rsidRPr="00A40CFC" w:rsidRDefault="00E36AB3" w:rsidP="00E36AB3">
      <w:pPr>
        <w:spacing w:after="0"/>
        <w:rPr>
          <w:b/>
        </w:rPr>
      </w:pPr>
      <w:r>
        <w:rPr>
          <w:b/>
        </w:rPr>
        <w:t>Coverage obligations</w:t>
      </w:r>
    </w:p>
    <w:p w14:paraId="34F560B9" w14:textId="1870D244" w:rsidR="00CB3826" w:rsidRDefault="00E36AB3">
      <w:r>
        <w:t>There are no coverage obligations envisaged for the broadcasting safety net model, based on the rationale noted above in relation to availability.</w:t>
      </w:r>
      <w:r w:rsidR="00CB3826">
        <w:br w:type="page"/>
      </w:r>
    </w:p>
    <w:p w14:paraId="52849756" w14:textId="668EFAD0" w:rsidR="00E36AB3" w:rsidRPr="00E36AB3" w:rsidRDefault="00E36AB3" w:rsidP="00E36AB3">
      <w:pPr>
        <w:spacing w:after="0"/>
        <w:rPr>
          <w:b/>
        </w:rPr>
      </w:pPr>
      <w:r w:rsidRPr="00E36AB3">
        <w:rPr>
          <w:b/>
        </w:rPr>
        <w:lastRenderedPageBreak/>
        <w:t>Exceptions</w:t>
      </w:r>
    </w:p>
    <w:p w14:paraId="43AEA378" w14:textId="66B754C1" w:rsidR="00D54C63" w:rsidRDefault="00E36AB3" w:rsidP="005C7419">
      <w:r>
        <w:t>There are no explicit exceptions proposed in relation to the broadcasting safety net model.</w:t>
      </w:r>
    </w:p>
    <w:p w14:paraId="1DC21BA5" w14:textId="77777777" w:rsidR="005C7419" w:rsidRPr="002A72BA" w:rsidRDefault="005C7419" w:rsidP="005C7419">
      <w:pPr>
        <w:pStyle w:val="Heading3"/>
        <w:rPr>
          <w:sz w:val="28"/>
          <w:szCs w:val="28"/>
        </w:rPr>
      </w:pPr>
      <w:bookmarkStart w:id="195" w:name="_Toc140842914"/>
      <w:bookmarkStart w:id="196" w:name="_Hlk140441587"/>
      <w:bookmarkEnd w:id="192"/>
      <w:bookmarkEnd w:id="193"/>
      <w:bookmarkEnd w:id="194"/>
      <w:r>
        <w:rPr>
          <w:sz w:val="28"/>
          <w:szCs w:val="28"/>
        </w:rPr>
        <w:t xml:space="preserve">Comparison with the </w:t>
      </w:r>
      <w:r w:rsidRPr="002A72BA">
        <w:rPr>
          <w:sz w:val="28"/>
          <w:szCs w:val="28"/>
        </w:rPr>
        <w:t>current scheme</w:t>
      </w:r>
      <w:bookmarkEnd w:id="195"/>
    </w:p>
    <w:p w14:paraId="3AAB55BE" w14:textId="77777777" w:rsidR="003A7CC1" w:rsidRDefault="00D54C63" w:rsidP="005C7419">
      <w:pPr>
        <w:spacing w:after="0"/>
      </w:pPr>
      <w:r>
        <w:t>The broadcasting safety net</w:t>
      </w:r>
      <w:r w:rsidR="005C7419">
        <w:t xml:space="preserve"> model adopts the basic architecture of the current scheme, but modifies and extends it to capture online and other services.</w:t>
      </w:r>
    </w:p>
    <w:p w14:paraId="5A053AD4" w14:textId="5A5F86FB" w:rsidR="00D54C63" w:rsidRDefault="00D54C63" w:rsidP="005C7419">
      <w:pPr>
        <w:spacing w:after="0"/>
      </w:pPr>
      <w:r>
        <w:t xml:space="preserve">It continues to prefer and prioritise free-to-air broadcasting services as the key means to </w:t>
      </w:r>
      <w:r w:rsidR="008946E3">
        <w:t xml:space="preserve">promote the achievement of the scheme’s objective </w:t>
      </w:r>
      <w:r>
        <w:t xml:space="preserve">(free </w:t>
      </w:r>
      <w:r w:rsidR="0091217C">
        <w:t xml:space="preserve">access to televised </w:t>
      </w:r>
      <w:r>
        <w:t xml:space="preserve">coverage of iconic sporting events), and provides all other parties with the opportunity to acquire rights once a right to televise a listed event is acquired by a free-to-air broadcaster. </w:t>
      </w:r>
      <w:r w:rsidR="003A7CC1">
        <w:t>T</w:t>
      </w:r>
      <w:r>
        <w:t>he key difference is that the restriction on acquisition is extended to all media rights</w:t>
      </w:r>
      <w:r w:rsidR="003A7CC1">
        <w:t xml:space="preserve">, and </w:t>
      </w:r>
      <w:r>
        <w:t>not just the acquisition of a right to broadcast by a subscription television broadcasting licensee.</w:t>
      </w:r>
    </w:p>
    <w:p w14:paraId="15AECAEF" w14:textId="1DCA2A1F" w:rsidR="00D54C63" w:rsidRDefault="00366CAE" w:rsidP="005C7419">
      <w:pPr>
        <w:spacing w:after="0"/>
      </w:pPr>
      <w:r>
        <w:t>Through the acquisition rule, t</w:t>
      </w:r>
      <w:r w:rsidR="00D54C63">
        <w:t xml:space="preserve">he broadcasting safety net model </w:t>
      </w:r>
      <w:r w:rsidR="0091217C">
        <w:t xml:space="preserve">effectively </w:t>
      </w:r>
      <w:r w:rsidR="00D54C63">
        <w:t xml:space="preserve">provides for </w:t>
      </w:r>
      <w:r>
        <w:t xml:space="preserve">a more </w:t>
      </w:r>
      <w:r w:rsidR="00D54C63">
        <w:t xml:space="preserve">specific </w:t>
      </w:r>
      <w:r>
        <w:t>definition</w:t>
      </w:r>
      <w:r w:rsidR="00D54C63">
        <w:t xml:space="preserve"> of a ‘right to televise’ an event on a broadcasting service</w:t>
      </w:r>
      <w:r>
        <w:t xml:space="preserve"> (compared with the current scheme), and includes a definition of</w:t>
      </w:r>
      <w:r w:rsidR="00D54C63">
        <w:t xml:space="preserve"> a ‘right to provide coverage’ of an event on a content service</w:t>
      </w:r>
      <w:r>
        <w:t xml:space="preserve"> </w:t>
      </w:r>
      <w:r w:rsidR="00241DAF">
        <w:t xml:space="preserve">to end-users in Australia </w:t>
      </w:r>
      <w:r>
        <w:t>(which is</w:t>
      </w:r>
      <w:r w:rsidR="003A7CC1">
        <w:t xml:space="preserve"> not part </w:t>
      </w:r>
      <w:r w:rsidR="00D54C63">
        <w:t>of the current scheme</w:t>
      </w:r>
      <w:r>
        <w:t>).</w:t>
      </w:r>
    </w:p>
    <w:p w14:paraId="6DABE639" w14:textId="77777777" w:rsidR="00B53BF3" w:rsidRPr="002A72BA" w:rsidRDefault="00B53BF3" w:rsidP="005C7419">
      <w:pPr>
        <w:pStyle w:val="Heading3"/>
        <w:rPr>
          <w:sz w:val="28"/>
          <w:szCs w:val="28"/>
        </w:rPr>
      </w:pPr>
      <w:bookmarkStart w:id="197" w:name="_Toc140842915"/>
      <w:r w:rsidRPr="002A72BA">
        <w:rPr>
          <w:sz w:val="28"/>
          <w:szCs w:val="28"/>
        </w:rPr>
        <w:t>Relationship to the list</w:t>
      </w:r>
      <w:bookmarkEnd w:id="197"/>
    </w:p>
    <w:p w14:paraId="76AC09C5" w14:textId="2009273E" w:rsidR="003A7CC1" w:rsidRDefault="00D54C63" w:rsidP="005C7419">
      <w:pPr>
        <w:spacing w:after="0"/>
      </w:pPr>
      <w:r>
        <w:t xml:space="preserve">This model </w:t>
      </w:r>
      <w:r w:rsidR="003B52BB">
        <w:t xml:space="preserve">generally </w:t>
      </w:r>
      <w:r>
        <w:t xml:space="preserve">does not necessitate any particular </w:t>
      </w:r>
      <w:r w:rsidR="003A7CC1">
        <w:t>composition of an a</w:t>
      </w:r>
      <w:r>
        <w:t>nti-siphoning list</w:t>
      </w:r>
      <w:r w:rsidR="003A7CC1">
        <w:t>. As noted above, the current list</w:t>
      </w:r>
      <w:r w:rsidR="003A7CC1">
        <w:rPr>
          <w:rStyle w:val="FootnoteReference"/>
        </w:rPr>
        <w:footnoteReference w:id="131"/>
      </w:r>
      <w:r w:rsidR="003A7CC1">
        <w:t xml:space="preserve"> </w:t>
      </w:r>
      <w:r w:rsidR="00FC4DAE">
        <w:t xml:space="preserve">contains events held as part of competitions across 11 </w:t>
      </w:r>
      <w:proofErr w:type="spellStart"/>
      <w:r w:rsidR="00FC4DAE">
        <w:t>sportsand</w:t>
      </w:r>
      <w:proofErr w:type="spellEnd"/>
      <w:r w:rsidR="00FC4DAE">
        <w:t xml:space="preserve"> has a duration of 3</w:t>
      </w:r>
      <w:r w:rsidR="0064562A">
        <w:t> </w:t>
      </w:r>
      <w:r w:rsidR="00FC4DAE">
        <w:t xml:space="preserve">years </w:t>
      </w:r>
      <w:r w:rsidR="00FC4DAE" w:rsidRPr="00241DAF">
        <w:t xml:space="preserve">(expiring on </w:t>
      </w:r>
      <w:r w:rsidR="009E3908" w:rsidRPr="00241DAF">
        <w:t>25 Mar</w:t>
      </w:r>
      <w:r w:rsidR="00DD4387">
        <w:t>ch</w:t>
      </w:r>
      <w:r w:rsidR="009E3908" w:rsidRPr="00241DAF">
        <w:t xml:space="preserve"> 2026</w:t>
      </w:r>
      <w:r w:rsidR="00FC4DAE" w:rsidRPr="00241DAF">
        <w:t>). These</w:t>
      </w:r>
      <w:r w:rsidR="00FC4DAE">
        <w:t xml:space="preserve"> events could be included as they stand as part of a </w:t>
      </w:r>
      <w:r w:rsidR="00B82828">
        <w:t xml:space="preserve">new </w:t>
      </w:r>
      <w:r w:rsidR="00FC4DAE">
        <w:t xml:space="preserve">list made under the broadcasting safety net </w:t>
      </w:r>
      <w:r w:rsidR="008D7292">
        <w:t>model</w:t>
      </w:r>
      <w:r w:rsidR="00FC4DAE">
        <w:t xml:space="preserve">. Equally, the events could be expanded or reduced, as the model is not dependent on the list being </w:t>
      </w:r>
      <w:r w:rsidR="00B82828">
        <w:t xml:space="preserve">of </w:t>
      </w:r>
      <w:r w:rsidR="00FC4DAE">
        <w:t xml:space="preserve">a certain </w:t>
      </w:r>
      <w:r w:rsidR="00F42DD0">
        <w:t>form or size.</w:t>
      </w:r>
      <w:r w:rsidR="00BB68B7">
        <w:t xml:space="preserve"> This marks a point of difference with </w:t>
      </w:r>
      <w:r w:rsidR="008D7292">
        <w:t>Model 1</w:t>
      </w:r>
      <w:r w:rsidR="00BB68B7">
        <w:t>, which is dependent on a list being made under the new scheme that is significantly shorter than the current list.</w:t>
      </w:r>
    </w:p>
    <w:p w14:paraId="30A272D9" w14:textId="77777777" w:rsidR="00AB0AE7" w:rsidRPr="00AB0AE7" w:rsidRDefault="00AB0AE7" w:rsidP="00AB0AE7">
      <w:pPr>
        <w:pStyle w:val="Heading3"/>
        <w:rPr>
          <w:sz w:val="28"/>
          <w:szCs w:val="28"/>
        </w:rPr>
      </w:pPr>
      <w:bookmarkStart w:id="198" w:name="_Toc140842916"/>
      <w:r w:rsidRPr="00AB0AE7">
        <w:rPr>
          <w:sz w:val="28"/>
          <w:szCs w:val="28"/>
        </w:rPr>
        <w:t>Comparison with the other models in this paper</w:t>
      </w:r>
      <w:bookmarkEnd w:id="198"/>
    </w:p>
    <w:p w14:paraId="631CC0F4" w14:textId="1A3341E1" w:rsidR="00E64BCF" w:rsidRDefault="00B51C84" w:rsidP="00B51C84">
      <w:pPr>
        <w:spacing w:after="0"/>
      </w:pPr>
      <w:r w:rsidRPr="00B51C84">
        <w:t xml:space="preserve">The </w:t>
      </w:r>
      <w:r>
        <w:t xml:space="preserve">broadcasting safety net </w:t>
      </w:r>
      <w:r w:rsidRPr="00B51C84">
        <w:t xml:space="preserve">model </w:t>
      </w:r>
      <w:r w:rsidR="000E4962">
        <w:t xml:space="preserve">is broadly comparable with the free-to-air first model (Model 3), but </w:t>
      </w:r>
      <w:r w:rsidRPr="00B51C84">
        <w:t xml:space="preserve">shares few similarities with </w:t>
      </w:r>
      <w:r>
        <w:t>the free-to-view model (Model 1</w:t>
      </w:r>
      <w:r w:rsidR="00E64BCF">
        <w:t>).</w:t>
      </w:r>
    </w:p>
    <w:p w14:paraId="61232D7A" w14:textId="3B730BBC" w:rsidR="00420C04" w:rsidRDefault="00767EAF" w:rsidP="001A687D">
      <w:pPr>
        <w:pStyle w:val="ListParagraph"/>
        <w:numPr>
          <w:ilvl w:val="0"/>
          <w:numId w:val="28"/>
        </w:numPr>
        <w:spacing w:after="0"/>
        <w:contextualSpacing w:val="0"/>
      </w:pPr>
      <w:r>
        <w:t xml:space="preserve">The broadcasting safety net model </w:t>
      </w:r>
      <w:r w:rsidR="00D337B2">
        <w:t>would regulate the sequence of acquisition of media rights to iconic sporting events</w:t>
      </w:r>
      <w:r w:rsidR="00F53B3A">
        <w:t xml:space="preserve"> in the same way as Model 3. In contrast, Model 1 would not seek to regulate rights, although it would provide for exceptions to the availability and coverage obligations to </w:t>
      </w:r>
      <w:r w:rsidR="007875B3">
        <w:t xml:space="preserve">accommodate the type of rights held by relevant parties. </w:t>
      </w:r>
      <w:r w:rsidR="00420C04">
        <w:t>Unlike Model 1, th</w:t>
      </w:r>
      <w:r w:rsidR="007875B3">
        <w:t>e broadcast safety net model would not contain availability and coverage obligations.</w:t>
      </w:r>
    </w:p>
    <w:p w14:paraId="1D947D2F" w14:textId="632D0BEB" w:rsidR="00420C04" w:rsidRPr="00346809" w:rsidRDefault="007875B3" w:rsidP="001A687D">
      <w:pPr>
        <w:pStyle w:val="ListParagraph"/>
        <w:numPr>
          <w:ilvl w:val="0"/>
          <w:numId w:val="28"/>
        </w:numPr>
        <w:spacing w:after="0"/>
        <w:contextualSpacing w:val="0"/>
      </w:pPr>
      <w:r>
        <w:t xml:space="preserve">The broadcasting safety net model </w:t>
      </w:r>
      <w:r w:rsidR="00420C04">
        <w:t xml:space="preserve">is expected to be </w:t>
      </w:r>
      <w:r w:rsidR="005766EE">
        <w:t xml:space="preserve">relatively </w:t>
      </w:r>
      <w:r w:rsidR="00420C04">
        <w:t>less complicated to implement and administer as it constitutes an extension of the current arrangement</w:t>
      </w:r>
      <w:r w:rsidR="005766EE">
        <w:t>s</w:t>
      </w:r>
      <w:r w:rsidR="00420C04">
        <w:t xml:space="preserve">, rather than the implementation of a new regulatory framework (as is the case with Model 1). There are also fewer new and novel regulatory </w:t>
      </w:r>
      <w:r w:rsidR="00420C04" w:rsidRPr="00346809">
        <w:t>concepts with this model compared with Model 1.</w:t>
      </w:r>
    </w:p>
    <w:p w14:paraId="64934213" w14:textId="380B3C87" w:rsidR="000E4962" w:rsidRPr="00346809" w:rsidRDefault="00420C04" w:rsidP="00346809">
      <w:pPr>
        <w:pStyle w:val="ListParagraph"/>
        <w:numPr>
          <w:ilvl w:val="0"/>
          <w:numId w:val="28"/>
        </w:numPr>
        <w:spacing w:after="0"/>
        <w:contextualSpacing w:val="0"/>
      </w:pPr>
      <w:r w:rsidRPr="00346809">
        <w:t>The broadcasting safety net model could</w:t>
      </w:r>
      <w:r w:rsidR="00346809">
        <w:t xml:space="preserve"> – within reason – </w:t>
      </w:r>
      <w:r w:rsidRPr="00346809">
        <w:t xml:space="preserve">be implemented with any form of </w:t>
      </w:r>
      <w:r w:rsidR="00BB022E">
        <w:t xml:space="preserve">the </w:t>
      </w:r>
      <w:r w:rsidRPr="00346809">
        <w:t>anti</w:t>
      </w:r>
      <w:r w:rsidR="003A0891">
        <w:noBreakHyphen/>
      </w:r>
      <w:r w:rsidRPr="00346809">
        <w:t>siphoning list, unlike Model 1 which would necessitate a reduction in the list compared with the current instrument.</w:t>
      </w:r>
    </w:p>
    <w:p w14:paraId="1CD1238E" w14:textId="5A56ECEC" w:rsidR="00D72A24" w:rsidRPr="002B1D55" w:rsidRDefault="004C12C2" w:rsidP="00455C23">
      <w:pPr>
        <w:pStyle w:val="ListParagraph"/>
        <w:numPr>
          <w:ilvl w:val="0"/>
          <w:numId w:val="28"/>
        </w:numPr>
        <w:spacing w:after="0"/>
        <w:contextualSpacing w:val="0"/>
      </w:pPr>
      <w:r w:rsidRPr="001D2DA7">
        <w:t>For consumer</w:t>
      </w:r>
      <w:r w:rsidR="00300B68" w:rsidRPr="001D2DA7">
        <w:t>s</w:t>
      </w:r>
      <w:r w:rsidRPr="001D2DA7">
        <w:t xml:space="preserve">, the </w:t>
      </w:r>
      <w:r w:rsidR="00300B68" w:rsidRPr="001D2DA7">
        <w:t>broadcasting safety net</w:t>
      </w:r>
      <w:r w:rsidRPr="001D2DA7">
        <w:t xml:space="preserve"> model would provide</w:t>
      </w:r>
      <w:r w:rsidR="00300B68" w:rsidRPr="001D2DA7">
        <w:t xml:space="preserve"> </w:t>
      </w:r>
      <w:r w:rsidR="00485FDD" w:rsidRPr="001D2DA7">
        <w:t xml:space="preserve">a high likelihood of live and free coverage </w:t>
      </w:r>
      <w:r w:rsidR="00BB022E">
        <w:t xml:space="preserve">of </w:t>
      </w:r>
      <w:r w:rsidR="00485FDD" w:rsidRPr="001D2DA7">
        <w:t xml:space="preserve">listed events, given the preferential treatment afforded to broadcasters through the scheme and the strong commercial incentives to fully utilise </w:t>
      </w:r>
      <w:r w:rsidR="001D2DA7">
        <w:t xml:space="preserve">any rights acquired </w:t>
      </w:r>
      <w:r w:rsidR="00485FDD" w:rsidRPr="001D2DA7">
        <w:t>to listed events. While this model would not provide the same level of surety of a free, live and in full</w:t>
      </w:r>
      <w:r w:rsidR="001D2DA7">
        <w:t xml:space="preserve"> outcome</w:t>
      </w:r>
      <w:r w:rsidR="00485FDD" w:rsidRPr="001D2DA7">
        <w:t xml:space="preserve"> as Model 1, it would </w:t>
      </w:r>
      <w:r w:rsidR="00485FDD" w:rsidRPr="001D2DA7">
        <w:lastRenderedPageBreak/>
        <w:t xml:space="preserve">potentially apply to a broader range of events (given the necessity for a relatively short list with Model 1). </w:t>
      </w:r>
      <w:r w:rsidR="001D2DA7">
        <w:t xml:space="preserve">Compared with Model 3, the broadcasting safety net </w:t>
      </w:r>
      <w:r w:rsidR="00485FDD" w:rsidRPr="001D2DA7">
        <w:t xml:space="preserve">would </w:t>
      </w:r>
      <w:r w:rsidR="001D2DA7">
        <w:t xml:space="preserve">not provide the same protections for free online coverage of events, </w:t>
      </w:r>
      <w:r w:rsidR="00485FDD" w:rsidRPr="001D2DA7">
        <w:t>although the</w:t>
      </w:r>
      <w:r w:rsidR="001D2DA7" w:rsidRPr="001D2DA7">
        <w:t xml:space="preserve"> </w:t>
      </w:r>
      <w:r w:rsidR="00485FDD" w:rsidRPr="001D2DA7">
        <w:t>practical difference</w:t>
      </w:r>
      <w:r w:rsidR="001D2DA7" w:rsidRPr="001D2DA7">
        <w:t>s</w:t>
      </w:r>
      <w:r w:rsidR="00485FDD" w:rsidRPr="001D2DA7">
        <w:t xml:space="preserve"> for consumers</w:t>
      </w:r>
      <w:r w:rsidR="001D2DA7" w:rsidRPr="001D2DA7">
        <w:t xml:space="preserve"> may be minimal if coverage is provided by platforms with no explicit consumer costs.</w:t>
      </w:r>
    </w:p>
    <w:p w14:paraId="322320E0" w14:textId="0A2087C6" w:rsidR="00420C04" w:rsidRPr="008C1467" w:rsidRDefault="00420C04" w:rsidP="00D72A24">
      <w:pPr>
        <w:spacing w:after="0"/>
      </w:pPr>
      <w:r w:rsidRPr="00B51C84">
        <w:t xml:space="preserve">The key points of commonality with Models </w:t>
      </w:r>
      <w:r>
        <w:t>1</w:t>
      </w:r>
      <w:r w:rsidRPr="00B51C84">
        <w:t xml:space="preserve"> and 3 include the definitions of ‘content service’, ‘content service provider’ and ‘Australian end-user</w:t>
      </w:r>
      <w:r w:rsidR="004E78D1">
        <w:t>’</w:t>
      </w:r>
      <w:r w:rsidRPr="00B51C84">
        <w:t>.</w:t>
      </w:r>
    </w:p>
    <w:p w14:paraId="08B11123" w14:textId="77777777" w:rsidR="005C7419" w:rsidRPr="004C4E7B" w:rsidRDefault="005C7419" w:rsidP="005C7419">
      <w:pPr>
        <w:pStyle w:val="Heading3"/>
        <w:rPr>
          <w:sz w:val="28"/>
          <w:szCs w:val="28"/>
        </w:rPr>
      </w:pPr>
      <w:bookmarkStart w:id="199" w:name="_Toc140842917"/>
      <w:r w:rsidRPr="004C4E7B">
        <w:rPr>
          <w:sz w:val="28"/>
          <w:szCs w:val="28"/>
        </w:rPr>
        <w:t>Preliminary assessment</w:t>
      </w:r>
      <w:bookmarkEnd w:id="199"/>
    </w:p>
    <w:p w14:paraId="0BEB32D3" w14:textId="1D055F3E" w:rsidR="00F404DB" w:rsidRDefault="00C6690E" w:rsidP="005C7419">
      <w:pPr>
        <w:spacing w:after="0"/>
      </w:pPr>
      <w:bookmarkStart w:id="200" w:name="_Hlk141115093"/>
      <w:r>
        <w:t xml:space="preserve">The broadcasting safety net model would seek to </w:t>
      </w:r>
      <w:r w:rsidR="008946E3">
        <w:t xml:space="preserve">promote the achievement of the scheme’s objective </w:t>
      </w:r>
      <w:r>
        <w:t xml:space="preserve">(free access to </w:t>
      </w:r>
      <w:r w:rsidR="005B207C">
        <w:t xml:space="preserve">televised coverage of </w:t>
      </w:r>
      <w:r w:rsidR="00B5207D">
        <w:t xml:space="preserve">nationally important and culturally significant </w:t>
      </w:r>
      <w:r>
        <w:t>sporting events) via the mechanism of free-to-air television. It would enhance the likelihood of these events being freely available to all Australians, and mitigate</w:t>
      </w:r>
      <w:r w:rsidR="009536C9">
        <w:t xml:space="preserve"> the risk of audiences </w:t>
      </w:r>
      <w:r w:rsidR="009900F7">
        <w:t>being subject to a</w:t>
      </w:r>
      <w:r w:rsidR="009536C9">
        <w:t>dditional costs to access this content. These potential costs would be both direct (subscription or other fees or charges imposed on end-users to access coverage)</w:t>
      </w:r>
      <w:r w:rsidR="009945EB">
        <w:t>,</w:t>
      </w:r>
      <w:r w:rsidR="009536C9">
        <w:t xml:space="preserve"> </w:t>
      </w:r>
      <w:r w:rsidR="00B82828">
        <w:t>or</w:t>
      </w:r>
      <w:r w:rsidR="009536C9">
        <w:t xml:space="preserve"> implicit (associated with the cost of assessing content online).</w:t>
      </w:r>
    </w:p>
    <w:p w14:paraId="59098A97" w14:textId="64F2AB9F" w:rsidR="00C0783F" w:rsidRPr="00C0783F" w:rsidRDefault="00C0783F" w:rsidP="00C0783F">
      <w:pPr>
        <w:spacing w:after="0"/>
      </w:pPr>
      <w:r w:rsidRPr="00C0783F">
        <w:t xml:space="preserve">This model wouldn’t prevent other media providers from offering live and free access to events, pending the acquisition restriction being satisfied or the event being automatically delisted. Any content service provider could seek to acquire a right to provide coverage of a listed event in this circumstance, and this coverage could be live and free (potentially advertising-supported) should the service provider consider this to be commercially viable. However, the intent of this model would be to use broadcasting services to establish a </w:t>
      </w:r>
      <w:r w:rsidR="00B82828">
        <w:t>‘</w:t>
      </w:r>
      <w:r w:rsidRPr="00C0783F">
        <w:t>safety net</w:t>
      </w:r>
      <w:r w:rsidR="00B82828">
        <w:t>’</w:t>
      </w:r>
      <w:r w:rsidRPr="00C0783F">
        <w:t xml:space="preserve"> for free access to </w:t>
      </w:r>
      <w:r w:rsidR="005B207C">
        <w:t xml:space="preserve">televised coverage of </w:t>
      </w:r>
      <w:r w:rsidR="00B5207D">
        <w:t xml:space="preserve">nationally important and culturally significant </w:t>
      </w:r>
      <w:r w:rsidRPr="00C0783F">
        <w:t>sporting events for all Australians, regardless of their financial means or location.</w:t>
      </w:r>
    </w:p>
    <w:p w14:paraId="5E1696B3" w14:textId="4CAEE63A" w:rsidR="00DC7591" w:rsidRDefault="00D1208C" w:rsidP="00D1208C">
      <w:pPr>
        <w:spacing w:after="0"/>
      </w:pPr>
      <w:r>
        <w:t xml:space="preserve">However, this model would exacerbate a </w:t>
      </w:r>
      <w:r w:rsidR="0078240C">
        <w:t xml:space="preserve">number of the acknowledged concerns </w:t>
      </w:r>
      <w:r>
        <w:t xml:space="preserve">and risks with the current </w:t>
      </w:r>
      <w:r w:rsidR="0078240C">
        <w:t>scheme</w:t>
      </w:r>
      <w:r>
        <w:t>.</w:t>
      </w:r>
    </w:p>
    <w:p w14:paraId="23A034AF" w14:textId="0B004379" w:rsidR="00D1208C" w:rsidRDefault="00414FEC" w:rsidP="0064562A">
      <w:pPr>
        <w:pStyle w:val="ListParagraph"/>
        <w:numPr>
          <w:ilvl w:val="0"/>
          <w:numId w:val="21"/>
        </w:numPr>
        <w:spacing w:after="120"/>
        <w:contextualSpacing w:val="0"/>
      </w:pPr>
      <w:r>
        <w:t xml:space="preserve">It would </w:t>
      </w:r>
      <w:r w:rsidR="004213AF">
        <w:t>broaden</w:t>
      </w:r>
      <w:r>
        <w:t xml:space="preserve"> the </w:t>
      </w:r>
      <w:r w:rsidR="00A80AF6">
        <w:t xml:space="preserve">effective </w:t>
      </w:r>
      <w:r w:rsidR="004213AF">
        <w:t xml:space="preserve">restriction on </w:t>
      </w:r>
      <w:r>
        <w:t xml:space="preserve">sports bodies </w:t>
      </w:r>
      <w:r w:rsidR="004213AF">
        <w:t>in terms of their ability to</w:t>
      </w:r>
      <w:r>
        <w:t xml:space="preserve"> negotiate with content services regarding their rights. These bodies have noted that their ability to maximise revenue from these rights is critical</w:t>
      </w:r>
      <w:r w:rsidR="00545071">
        <w:t xml:space="preserve"> </w:t>
      </w:r>
      <w:r w:rsidR="002F251C">
        <w:t>for</w:t>
      </w:r>
      <w:r>
        <w:t xml:space="preserve"> </w:t>
      </w:r>
      <w:r w:rsidR="00F37CE5">
        <w:t>their ability to invest in their respective sports at the grassroots level, and underpins their operations as not-for-profit entities.</w:t>
      </w:r>
      <w:r w:rsidR="00F37CE5" w:rsidRPr="0037192C">
        <w:rPr>
          <w:vertAlign w:val="superscript"/>
        </w:rPr>
        <w:footnoteReference w:id="132"/>
      </w:r>
      <w:r w:rsidR="00F37CE5">
        <w:t xml:space="preserve"> </w:t>
      </w:r>
      <w:r w:rsidR="003343A4" w:rsidRPr="007875B3">
        <w:t xml:space="preserve">This model would effectively require sports bodies to negotiate with free-to-air broadcasters for broadcast rights before opening negotiations with other parties. </w:t>
      </w:r>
      <w:r w:rsidR="00B82828">
        <w:t xml:space="preserve">This is more </w:t>
      </w:r>
      <w:r w:rsidR="003343A4" w:rsidRPr="007875B3">
        <w:t xml:space="preserve">restrictive than the current scheme, </w:t>
      </w:r>
      <w:r w:rsidR="00B82828">
        <w:t xml:space="preserve">although </w:t>
      </w:r>
      <w:r w:rsidR="003343A4" w:rsidRPr="007875B3">
        <w:t>less onerous tha</w:t>
      </w:r>
      <w:r w:rsidR="00B82828">
        <w:t xml:space="preserve">n </w:t>
      </w:r>
      <w:r w:rsidR="003343A4" w:rsidRPr="007875B3">
        <w:t>Model 3.</w:t>
      </w:r>
    </w:p>
    <w:p w14:paraId="16D28C80" w14:textId="3EF81E6B" w:rsidR="003343A4" w:rsidRPr="007875B3" w:rsidRDefault="00D1208C" w:rsidP="0064562A">
      <w:pPr>
        <w:pStyle w:val="ListParagraph"/>
        <w:numPr>
          <w:ilvl w:val="0"/>
          <w:numId w:val="21"/>
        </w:numPr>
        <w:spacing w:after="120"/>
        <w:contextualSpacing w:val="0"/>
      </w:pPr>
      <w:r>
        <w:t xml:space="preserve">It would extend the </w:t>
      </w:r>
      <w:r w:rsidR="00DC7591">
        <w:t>commercial advantages</w:t>
      </w:r>
      <w:r>
        <w:t xml:space="preserve"> afforded to free-to-air broadcasters </w:t>
      </w:r>
      <w:r w:rsidR="00DC7591">
        <w:t>under the current scheme</w:t>
      </w:r>
      <w:r w:rsidR="003343A4">
        <w:t xml:space="preserve"> </w:t>
      </w:r>
      <w:r w:rsidR="00DC7591">
        <w:t xml:space="preserve">and </w:t>
      </w:r>
      <w:r w:rsidR="002F251C">
        <w:t xml:space="preserve">is likely to </w:t>
      </w:r>
      <w:r w:rsidR="00DC7591">
        <w:t xml:space="preserve">advance their negotiating position with regard to sports rights compared with their competitors. </w:t>
      </w:r>
      <w:r w:rsidR="003343A4" w:rsidRPr="007875B3">
        <w:t>This is a product of the requirement for a free-to-air broadcaster to have acquired a right to televise the event on a broadcasting service before another party can acquire a right to the event.</w:t>
      </w:r>
    </w:p>
    <w:p w14:paraId="0556E947" w14:textId="3F3BDEE2" w:rsidR="00AC5944" w:rsidRDefault="00D1208C" w:rsidP="001A687D">
      <w:pPr>
        <w:pStyle w:val="ListParagraph"/>
        <w:numPr>
          <w:ilvl w:val="0"/>
          <w:numId w:val="21"/>
        </w:numPr>
        <w:spacing w:after="0"/>
      </w:pPr>
      <w:r>
        <w:t xml:space="preserve">It would </w:t>
      </w:r>
      <w:r w:rsidR="00AC5944">
        <w:t xml:space="preserve">also </w:t>
      </w:r>
      <w:r>
        <w:t>draw in</w:t>
      </w:r>
      <w:r w:rsidR="00AC5944">
        <w:t xml:space="preserve">to the scheme </w:t>
      </w:r>
      <w:r>
        <w:t xml:space="preserve">content service providers that are not currently subject to </w:t>
      </w:r>
      <w:r w:rsidR="002611E8">
        <w:t xml:space="preserve">any </w:t>
      </w:r>
      <w:r>
        <w:t>restriction</w:t>
      </w:r>
      <w:r w:rsidR="002611E8">
        <w:t>s</w:t>
      </w:r>
      <w:r w:rsidR="00AC5944">
        <w:t xml:space="preserve"> in terms of rights acquisition. </w:t>
      </w:r>
      <w:r w:rsidR="00972724">
        <w:t>S</w:t>
      </w:r>
      <w:r>
        <w:t>ervices such Amazon Prime</w:t>
      </w:r>
      <w:r w:rsidR="00FF2A41">
        <w:t xml:space="preserve">, </w:t>
      </w:r>
      <w:r>
        <w:t>Disney</w:t>
      </w:r>
      <w:r w:rsidR="00727D47">
        <w:t>+</w:t>
      </w:r>
      <w:r w:rsidR="00AC5944">
        <w:t xml:space="preserve"> </w:t>
      </w:r>
      <w:r w:rsidR="00FF2A41">
        <w:t>and YouTube</w:t>
      </w:r>
      <w:r w:rsidR="00AC5944">
        <w:t xml:space="preserve"> (among others) would not be able to acquire a right to provide coverage of events on their services until a free</w:t>
      </w:r>
      <w:r w:rsidR="003A0891">
        <w:noBreakHyphen/>
      </w:r>
      <w:r w:rsidR="00AC5944">
        <w:t>to</w:t>
      </w:r>
      <w:r w:rsidR="003A0891">
        <w:noBreakHyphen/>
      </w:r>
      <w:r w:rsidR="00AC5944">
        <w:t>air broadcaster had acquired a right to televise</w:t>
      </w:r>
      <w:r w:rsidR="003343A4">
        <w:t xml:space="preserve"> the event</w:t>
      </w:r>
      <w:r w:rsidR="00AC5944">
        <w:t xml:space="preserve">. </w:t>
      </w:r>
      <w:r w:rsidR="003F0AD2">
        <w:t xml:space="preserve">These entities would be </w:t>
      </w:r>
      <w:r w:rsidR="00AC5944">
        <w:t xml:space="preserve">subject to </w:t>
      </w:r>
      <w:r w:rsidR="00B82828">
        <w:t xml:space="preserve">the </w:t>
      </w:r>
      <w:r w:rsidR="003F0AD2">
        <w:t xml:space="preserve">operation of the </w:t>
      </w:r>
      <w:r w:rsidR="00B82828">
        <w:t xml:space="preserve">scheme </w:t>
      </w:r>
      <w:r w:rsidR="003F0AD2">
        <w:t>should they seek to acquire rights to listed events in the future.</w:t>
      </w:r>
    </w:p>
    <w:p w14:paraId="277B83F1" w14:textId="76E26701" w:rsidR="0091217C" w:rsidRDefault="00AC5944" w:rsidP="0078240C">
      <w:pPr>
        <w:spacing w:after="0"/>
      </w:pPr>
      <w:r>
        <w:t>While these adverse impacts are likely to be material, they need to be balanced against the costs and risks associated with the status quo where online rights to iconic events are not regulated in any way.</w:t>
      </w:r>
    </w:p>
    <w:p w14:paraId="723FEC28" w14:textId="380248F1" w:rsidR="00AC5944" w:rsidRDefault="00AC5944" w:rsidP="0078240C">
      <w:pPr>
        <w:spacing w:after="0"/>
      </w:pPr>
      <w:r>
        <w:t xml:space="preserve">The review has found that there is a latent although material risk of </w:t>
      </w:r>
      <w:r w:rsidR="00B82828">
        <w:t>listed</w:t>
      </w:r>
      <w:r>
        <w:t xml:space="preserve"> events migrating behind online paywalls in the coming years. </w:t>
      </w:r>
      <w:r w:rsidR="00FC0B19">
        <w:t xml:space="preserve">International trends have seen the rights to single competitions or leagues being taken up by multiple providers, which can require consumers to pay for a number of services to gain access to </w:t>
      </w:r>
      <w:r w:rsidR="005B207C">
        <w:t xml:space="preserve">coverage of </w:t>
      </w:r>
      <w:r w:rsidR="00FC0B19">
        <w:t xml:space="preserve">the competition or league in question. </w:t>
      </w:r>
      <w:r>
        <w:t>This would</w:t>
      </w:r>
      <w:r w:rsidDel="00DF14C4">
        <w:t xml:space="preserve"> </w:t>
      </w:r>
      <w:r w:rsidR="00DF14C4">
        <w:t>be</w:t>
      </w:r>
      <w:r>
        <w:t xml:space="preserve"> detrimental for audience</w:t>
      </w:r>
      <w:r w:rsidR="00727D47">
        <w:t xml:space="preserve">s </w:t>
      </w:r>
      <w:r>
        <w:t xml:space="preserve">and have </w:t>
      </w:r>
      <w:r>
        <w:lastRenderedPageBreak/>
        <w:t xml:space="preserve">regressive impacts across Australian society, impacting those without the means to pay for access to </w:t>
      </w:r>
      <w:r w:rsidR="00943793">
        <w:t xml:space="preserve">sports </w:t>
      </w:r>
      <w:r>
        <w:t>co</w:t>
      </w:r>
      <w:r w:rsidR="00B82828">
        <w:t xml:space="preserve">verage </w:t>
      </w:r>
      <w:r>
        <w:t xml:space="preserve">the </w:t>
      </w:r>
      <w:r w:rsidR="00727D47">
        <w:t>iconic events</w:t>
      </w:r>
      <w:r>
        <w:t>.</w:t>
      </w:r>
    </w:p>
    <w:p w14:paraId="1953B08C" w14:textId="4AB521B6" w:rsidR="003343A4" w:rsidRDefault="00AC5944" w:rsidP="003343A4">
      <w:pPr>
        <w:spacing w:after="0"/>
      </w:pPr>
      <w:r>
        <w:t>Even if this outcome does</w:t>
      </w:r>
      <w:r w:rsidR="00335929">
        <w:t xml:space="preserve">n’t </w:t>
      </w:r>
      <w:r>
        <w:t xml:space="preserve">eventuate, and all online coverage of listed events </w:t>
      </w:r>
      <w:r w:rsidR="00335929">
        <w:t>is provided</w:t>
      </w:r>
      <w:r>
        <w:t xml:space="preserve"> free (without subscription cha</w:t>
      </w:r>
      <w:r w:rsidR="00335929">
        <w:t>r</w:t>
      </w:r>
      <w:r>
        <w:t xml:space="preserve">ges or other </w:t>
      </w:r>
      <w:r w:rsidR="00335929">
        <w:t xml:space="preserve">explicit costs for </w:t>
      </w:r>
      <w:r>
        <w:t xml:space="preserve">end-users), online access is not free. </w:t>
      </w:r>
      <w:r w:rsidR="00B82828">
        <w:t>As noted above, availability doesn’t equate to access</w:t>
      </w:r>
      <w:r w:rsidR="00727D47">
        <w:t>,</w:t>
      </w:r>
      <w:r w:rsidR="00B82828">
        <w:t xml:space="preserve"> and t</w:t>
      </w:r>
      <w:r>
        <w:t>here are implicit costs associated with accessing online services</w:t>
      </w:r>
      <w:r w:rsidR="00335929">
        <w:t xml:space="preserve"> for all consumers in the form of charges for broadband and mobile services. </w:t>
      </w:r>
      <w:r>
        <w:t>The</w:t>
      </w:r>
      <w:r w:rsidR="00335929">
        <w:t>se</w:t>
      </w:r>
      <w:r>
        <w:t xml:space="preserve"> costs are </w:t>
      </w:r>
      <w:r w:rsidR="00335929">
        <w:t>un</w:t>
      </w:r>
      <w:r>
        <w:t xml:space="preserve">likely to alter significantly over the near- to medium-term, and their existence </w:t>
      </w:r>
      <w:r w:rsidR="00335929">
        <w:t xml:space="preserve">would undermine the </w:t>
      </w:r>
      <w:r>
        <w:t xml:space="preserve">ability of all Australians to have free access to </w:t>
      </w:r>
      <w:r w:rsidR="005B207C">
        <w:t xml:space="preserve">televised </w:t>
      </w:r>
      <w:r>
        <w:t xml:space="preserve">coverage of </w:t>
      </w:r>
      <w:r w:rsidR="00B5207D">
        <w:t xml:space="preserve">nationally important and culturally significant </w:t>
      </w:r>
      <w:r>
        <w:t>sporting events (which has been</w:t>
      </w:r>
      <w:r w:rsidR="00335929">
        <w:t>,</w:t>
      </w:r>
      <w:r>
        <w:t xml:space="preserve"> and remains</w:t>
      </w:r>
      <w:r w:rsidR="00335929">
        <w:t>,</w:t>
      </w:r>
      <w:r>
        <w:t xml:space="preserve"> the objective of the scheme).</w:t>
      </w:r>
    </w:p>
    <w:p w14:paraId="3AA8A1A2" w14:textId="21DB2CFE" w:rsidR="0024357D" w:rsidRPr="004C3C39" w:rsidRDefault="0024357D" w:rsidP="0024357D">
      <w:pPr>
        <w:pStyle w:val="Heading3"/>
        <w:rPr>
          <w:sz w:val="28"/>
          <w:szCs w:val="28"/>
        </w:rPr>
      </w:pPr>
      <w:bookmarkStart w:id="201" w:name="_Toc140842918"/>
      <w:r>
        <w:rPr>
          <w:sz w:val="28"/>
          <w:szCs w:val="28"/>
        </w:rPr>
        <w:t>Government position</w:t>
      </w:r>
      <w:bookmarkEnd w:id="201"/>
    </w:p>
    <w:p w14:paraId="724D9539" w14:textId="7059D8FF" w:rsidR="004A76DE" w:rsidRDefault="00F302F2" w:rsidP="004A76DE">
      <w:pPr>
        <w:spacing w:after="0"/>
      </w:pPr>
      <w:r>
        <w:t xml:space="preserve">The broadcasting safety net </w:t>
      </w:r>
      <w:r w:rsidR="004A76DE">
        <w:t>would expand</w:t>
      </w:r>
      <w:r>
        <w:t xml:space="preserve"> the </w:t>
      </w:r>
      <w:r w:rsidR="004A76DE">
        <w:t xml:space="preserve">current anti-siphoning </w:t>
      </w:r>
      <w:r>
        <w:t xml:space="preserve">scheme to </w:t>
      </w:r>
      <w:r w:rsidR="004A76DE">
        <w:t xml:space="preserve">support free </w:t>
      </w:r>
      <w:r w:rsidR="0091217C">
        <w:t xml:space="preserve">access to televised </w:t>
      </w:r>
      <w:r w:rsidR="004A76DE">
        <w:t xml:space="preserve">coverage of </w:t>
      </w:r>
      <w:r w:rsidR="00B5207D">
        <w:t xml:space="preserve">nationally important and culturally significant </w:t>
      </w:r>
      <w:r w:rsidR="004A76DE">
        <w:t>sporting events</w:t>
      </w:r>
      <w:r w:rsidR="00A5621B">
        <w:t xml:space="preserve"> in a contemporary media environment.</w:t>
      </w:r>
      <w:r>
        <w:t xml:space="preserve"> </w:t>
      </w:r>
      <w:r w:rsidR="003436A6">
        <w:t xml:space="preserve">It would bring online services into the scheme and mitigate the risks of </w:t>
      </w:r>
      <w:r w:rsidR="0091217C">
        <w:t xml:space="preserve">the </w:t>
      </w:r>
      <w:r w:rsidR="003436A6">
        <w:t xml:space="preserve">coverage of </w:t>
      </w:r>
      <w:r w:rsidR="00A5621B">
        <w:t>listed</w:t>
      </w:r>
      <w:r w:rsidR="003436A6">
        <w:t xml:space="preserve"> events migrating behind a paywall, or consumers otherwise facing additional costs to access this content.</w:t>
      </w:r>
    </w:p>
    <w:p w14:paraId="25628F97" w14:textId="08746E8F" w:rsidR="0070716C" w:rsidRPr="004E6028" w:rsidRDefault="004A76DE" w:rsidP="004E6028">
      <w:pPr>
        <w:pStyle w:val="ListParagraph"/>
        <w:tabs>
          <w:tab w:val="left" w:pos="567"/>
        </w:tabs>
        <w:spacing w:after="0"/>
        <w:ind w:left="0"/>
        <w:contextualSpacing w:val="0"/>
      </w:pPr>
      <w:r>
        <w:t>The model</w:t>
      </w:r>
      <w:r w:rsidR="003436A6">
        <w:t xml:space="preserve"> would adversely impact sports bodies and a broader set of media entities (including </w:t>
      </w:r>
      <w:r w:rsidR="00B05C4F">
        <w:t xml:space="preserve">online streaming </w:t>
      </w:r>
      <w:r w:rsidR="003436A6">
        <w:t xml:space="preserve">services). However, </w:t>
      </w:r>
      <w:r>
        <w:t>it</w:t>
      </w:r>
      <w:r w:rsidR="003436A6">
        <w:t xml:space="preserve"> provides relatively unimpeded access to rights by content service providers once a right to televise an event has been acquired by a broadcaster</w:t>
      </w:r>
      <w:r w:rsidR="0091217C">
        <w:t>, or it has been automatically delisted</w:t>
      </w:r>
      <w:r w:rsidR="003436A6">
        <w:t xml:space="preserve">. </w:t>
      </w:r>
      <w:r w:rsidR="000A42BB">
        <w:t>I</w:t>
      </w:r>
      <w:r w:rsidR="003436A6">
        <w:t xml:space="preserve">t </w:t>
      </w:r>
      <w:r w:rsidR="00A5621B">
        <w:t xml:space="preserve">would </w:t>
      </w:r>
      <w:r>
        <w:t xml:space="preserve">also </w:t>
      </w:r>
      <w:r w:rsidR="003436A6">
        <w:t xml:space="preserve">provide </w:t>
      </w:r>
      <w:r w:rsidR="00B05C4F">
        <w:t xml:space="preserve">free-to-air </w:t>
      </w:r>
      <w:r w:rsidR="003436A6">
        <w:t>broadcasters with no advantage in relation to the acquisition of those non-broadcasting rights (they would need to compete with any other content service provider in negotiation over such rights). On balance, the Government considers the broadcasting safety net model to be the preferred model for reform of the scheme at this time.</w:t>
      </w:r>
    </w:p>
    <w:p w14:paraId="512B4C47" w14:textId="75C207B0" w:rsidR="00FB671D" w:rsidRPr="00EB6AD5" w:rsidRDefault="00FB671D" w:rsidP="00FB671D">
      <w:pPr>
        <w:pStyle w:val="Heading2"/>
      </w:pPr>
      <w:bookmarkStart w:id="202" w:name="_Toc140842919"/>
      <w:bookmarkStart w:id="203" w:name="_Toc141369807"/>
      <w:bookmarkStart w:id="204" w:name="_Toc143265598"/>
      <w:bookmarkEnd w:id="196"/>
      <w:bookmarkEnd w:id="200"/>
      <w:r>
        <w:t xml:space="preserve">Model 3: </w:t>
      </w:r>
      <w:r w:rsidRPr="00EB6AD5">
        <w:t>Free</w:t>
      </w:r>
      <w:r>
        <w:t>-to-air first</w:t>
      </w:r>
      <w:bookmarkEnd w:id="202"/>
      <w:bookmarkEnd w:id="203"/>
      <w:bookmarkEnd w:id="204"/>
    </w:p>
    <w:p w14:paraId="051A1105" w14:textId="2FADDD6E" w:rsidR="00DA1C1C" w:rsidRPr="00A9605A" w:rsidRDefault="00DA1C1C" w:rsidP="00DA1C1C">
      <w:pPr>
        <w:pStyle w:val="Heading3"/>
        <w:rPr>
          <w:sz w:val="28"/>
          <w:szCs w:val="28"/>
        </w:rPr>
      </w:pPr>
      <w:bookmarkStart w:id="205" w:name="_Toc140842920"/>
      <w:r w:rsidRPr="00A9605A">
        <w:rPr>
          <w:sz w:val="28"/>
          <w:szCs w:val="28"/>
        </w:rPr>
        <w:t>Overview</w:t>
      </w:r>
      <w:bookmarkEnd w:id="205"/>
    </w:p>
    <w:p w14:paraId="540B9C65" w14:textId="3C148D6B" w:rsidR="00B06B35" w:rsidRDefault="00C22F57" w:rsidP="00C22F57">
      <w:pPr>
        <w:spacing w:after="0"/>
      </w:pPr>
      <w:r>
        <w:t>Under t</w:t>
      </w:r>
      <w:r w:rsidRPr="00EB6AD5">
        <w:t xml:space="preserve">his </w:t>
      </w:r>
      <w:r>
        <w:t xml:space="preserve">model, the current </w:t>
      </w:r>
      <w:r w:rsidRPr="00EB6AD5">
        <w:t xml:space="preserve">anti-siphoning scheme </w:t>
      </w:r>
      <w:r>
        <w:t xml:space="preserve">would be </w:t>
      </w:r>
      <w:r w:rsidR="00B06B35">
        <w:t xml:space="preserve">significantly </w:t>
      </w:r>
      <w:r>
        <w:t>expanded to prevent any</w:t>
      </w:r>
      <w:r w:rsidR="007D020D">
        <w:t xml:space="preserve"> content service </w:t>
      </w:r>
      <w:r w:rsidR="001E62B0">
        <w:t xml:space="preserve">provider </w:t>
      </w:r>
      <w:r w:rsidR="007E15C7">
        <w:t>(including, but not limited to, streaming services)</w:t>
      </w:r>
      <w:r w:rsidR="001E62B0">
        <w:t xml:space="preserve"> </w:t>
      </w:r>
      <w:r>
        <w:t xml:space="preserve">from acquiring a right to provide coverage of a listed event </w:t>
      </w:r>
      <w:r w:rsidR="007D020D">
        <w:t xml:space="preserve">to </w:t>
      </w:r>
      <w:r w:rsidR="007E15C7">
        <w:t xml:space="preserve">audiences in </w:t>
      </w:r>
      <w:r w:rsidR="007D020D">
        <w:t xml:space="preserve">Australia </w:t>
      </w:r>
      <w:r>
        <w:t>until a free-to-air broadcaster ha</w:t>
      </w:r>
      <w:r w:rsidR="00615F17">
        <w:t>s</w:t>
      </w:r>
      <w:r>
        <w:t xml:space="preserve"> </w:t>
      </w:r>
      <w:r w:rsidR="00B06B35" w:rsidRPr="007D020D">
        <w:rPr>
          <w:u w:val="single"/>
        </w:rPr>
        <w:t>both</w:t>
      </w:r>
      <w:r w:rsidR="00B06B35">
        <w:t xml:space="preserve"> </w:t>
      </w:r>
      <w:r>
        <w:t>a right to televise the event</w:t>
      </w:r>
      <w:r w:rsidR="00B06B35">
        <w:t xml:space="preserve"> on a broadcasting service</w:t>
      </w:r>
      <w:r w:rsidR="007D020D">
        <w:t>,</w:t>
      </w:r>
      <w:r w:rsidR="00B06B35">
        <w:t xml:space="preserve"> and the right to provide coverage of the event </w:t>
      </w:r>
      <w:r w:rsidR="007D020D">
        <w:t xml:space="preserve">to Australians </w:t>
      </w:r>
      <w:r w:rsidR="00B06B35">
        <w:t>on a content service.</w:t>
      </w:r>
    </w:p>
    <w:p w14:paraId="5C7BB5A4" w14:textId="7B820E25" w:rsidR="00DD0015" w:rsidRDefault="00C22F57" w:rsidP="00DD0015">
      <w:pPr>
        <w:spacing w:after="0"/>
      </w:pPr>
      <w:r>
        <w:t xml:space="preserve">This </w:t>
      </w:r>
      <w:r w:rsidR="007E15C7">
        <w:t>model</w:t>
      </w:r>
      <w:r>
        <w:t xml:space="preserve"> </w:t>
      </w:r>
      <w:r w:rsidR="00B06B35">
        <w:t xml:space="preserve">substantially </w:t>
      </w:r>
      <w:r>
        <w:t xml:space="preserve">extends the scope of the </w:t>
      </w:r>
      <w:r w:rsidR="00B06B35">
        <w:t xml:space="preserve">current scheme by requiring a free-to-air broadcaster to </w:t>
      </w:r>
      <w:r w:rsidR="007E15C7">
        <w:t xml:space="preserve">acquire </w:t>
      </w:r>
      <w:r w:rsidR="00775A69">
        <w:t xml:space="preserve">all </w:t>
      </w:r>
      <w:r w:rsidR="007D020D">
        <w:t>‘</w:t>
      </w:r>
      <w:r w:rsidR="00B06B35">
        <w:t>key</w:t>
      </w:r>
      <w:r w:rsidR="007E15C7">
        <w:t>’</w:t>
      </w:r>
      <w:r w:rsidR="00B06B35">
        <w:t xml:space="preserve"> </w:t>
      </w:r>
      <w:r w:rsidR="007E15C7">
        <w:t>rights</w:t>
      </w:r>
      <w:r w:rsidR="00B06B35">
        <w:t xml:space="preserve"> to listed events (i.e. a broadcast right and an online right) before any other party can acquire a right. </w:t>
      </w:r>
      <w:r w:rsidR="00DD0015">
        <w:t xml:space="preserve">This addresses the risk of these events migrating to platforms that involve direct costs for Australian audiences by supporting free access to </w:t>
      </w:r>
      <w:r w:rsidR="005B207C">
        <w:t xml:space="preserve">televised coverage of </w:t>
      </w:r>
      <w:r w:rsidR="00B5207D">
        <w:t xml:space="preserve">nationally important and culturally significant </w:t>
      </w:r>
      <w:r w:rsidR="00DD0015">
        <w:t>sporting events via services owned by free-to-air broadcasters.</w:t>
      </w:r>
    </w:p>
    <w:p w14:paraId="10F44473" w14:textId="47659E32" w:rsidR="00C22F57" w:rsidRDefault="00C22F57" w:rsidP="00C22F57">
      <w:pPr>
        <w:spacing w:after="0"/>
      </w:pPr>
      <w:r>
        <w:t>Once a free-to-air broadcaster</w:t>
      </w:r>
      <w:r w:rsidR="00672D26">
        <w:t xml:space="preserve"> had acquired both </w:t>
      </w:r>
      <w:r w:rsidR="0008026E">
        <w:t xml:space="preserve">of the requisite </w:t>
      </w:r>
      <w:r w:rsidR="007E15C7">
        <w:t xml:space="preserve">types of </w:t>
      </w:r>
      <w:r w:rsidR="0008026E">
        <w:t>rights</w:t>
      </w:r>
      <w:r>
        <w:t xml:space="preserve">, or the event is automatically delisted </w:t>
      </w:r>
      <w:r w:rsidR="006047C2">
        <w:t>26 weeks</w:t>
      </w:r>
      <w:r>
        <w:t xml:space="preserve"> prior to its commencement, </w:t>
      </w:r>
      <w:r w:rsidR="00672D26">
        <w:t xml:space="preserve">any </w:t>
      </w:r>
      <w:r w:rsidR="007E15C7">
        <w:t>other part</w:t>
      </w:r>
      <w:r w:rsidR="00593BD5">
        <w:t>y</w:t>
      </w:r>
      <w:r>
        <w:t xml:space="preserve"> would be </w:t>
      </w:r>
      <w:r w:rsidR="00962284">
        <w:t>able</w:t>
      </w:r>
      <w:r>
        <w:t xml:space="preserve"> to acquire </w:t>
      </w:r>
      <w:r w:rsidR="00593BD5">
        <w:t xml:space="preserve">a </w:t>
      </w:r>
      <w:r>
        <w:t>right</w:t>
      </w:r>
      <w:r w:rsidR="00593BD5">
        <w:t xml:space="preserve"> </w:t>
      </w:r>
      <w:r>
        <w:t>to the event without restriction.</w:t>
      </w:r>
    </w:p>
    <w:p w14:paraId="05F2AA86" w14:textId="2072CEA4" w:rsidR="00C22F57" w:rsidRPr="00B54A6D" w:rsidRDefault="00C22F57" w:rsidP="00C22F57">
      <w:pPr>
        <w:spacing w:after="0"/>
      </w:pPr>
      <w:r>
        <w:t xml:space="preserve">The </w:t>
      </w:r>
      <w:r w:rsidRPr="00B54A6D">
        <w:t>free-to-air first model</w:t>
      </w:r>
      <w:r>
        <w:t xml:space="preserve"> </w:t>
      </w:r>
      <w:r w:rsidRPr="00B54A6D">
        <w:t>draws on aspects of the proposal</w:t>
      </w:r>
      <w:r>
        <w:t>s</w:t>
      </w:r>
      <w:r w:rsidRPr="00B54A6D">
        <w:t xml:space="preserve"> for reform of the scheme advanced </w:t>
      </w:r>
      <w:r>
        <w:t xml:space="preserve">by </w:t>
      </w:r>
      <w:r w:rsidR="00B06B35">
        <w:t>free-</w:t>
      </w:r>
      <w:r w:rsidRPr="00B54A6D">
        <w:t>to</w:t>
      </w:r>
      <w:r w:rsidR="00B06B35">
        <w:t>-air broadcasters in</w:t>
      </w:r>
      <w:r w:rsidRPr="00B54A6D">
        <w:t xml:space="preserve"> the initial phase of review</w:t>
      </w:r>
      <w:r>
        <w:t>.</w:t>
      </w:r>
    </w:p>
    <w:p w14:paraId="498499BE" w14:textId="77777777" w:rsidR="00FB671D" w:rsidRPr="009E2111" w:rsidRDefault="00FB671D" w:rsidP="009E2111">
      <w:pPr>
        <w:pStyle w:val="Heading3"/>
        <w:rPr>
          <w:sz w:val="28"/>
          <w:szCs w:val="28"/>
        </w:rPr>
      </w:pPr>
      <w:bookmarkStart w:id="206" w:name="_Toc140842921"/>
      <w:r w:rsidRPr="009E2111">
        <w:rPr>
          <w:sz w:val="28"/>
          <w:szCs w:val="28"/>
        </w:rPr>
        <w:t>Mechanism</w:t>
      </w:r>
      <w:bookmarkEnd w:id="206"/>
    </w:p>
    <w:p w14:paraId="7F0AD74D" w14:textId="6F014C62" w:rsidR="006E46CA" w:rsidRDefault="00C22F57" w:rsidP="009E2111">
      <w:pPr>
        <w:spacing w:after="0"/>
      </w:pPr>
      <w:r w:rsidRPr="00672D26">
        <w:t xml:space="preserve">The </w:t>
      </w:r>
      <w:r w:rsidR="001E2884" w:rsidRPr="00672D26">
        <w:t xml:space="preserve">current scheme – </w:t>
      </w:r>
      <w:r w:rsidRPr="00672D26">
        <w:t>as set</w:t>
      </w:r>
      <w:r w:rsidRPr="001E2884">
        <w:rPr>
          <w:rFonts w:cstheme="minorHAnsi"/>
        </w:rPr>
        <w:t xml:space="preserve"> out in section</w:t>
      </w:r>
      <w:r w:rsidRPr="0028715F">
        <w:t xml:space="preserve"> 115 of the BSA</w:t>
      </w:r>
      <w:r>
        <w:t xml:space="preserve"> –</w:t>
      </w:r>
      <w:r w:rsidRPr="0028715F">
        <w:t xml:space="preserve"> </w:t>
      </w:r>
      <w:r>
        <w:t xml:space="preserve">would be amended to establish the </w:t>
      </w:r>
      <w:r w:rsidR="001E2884">
        <w:t>free-to-</w:t>
      </w:r>
      <w:r w:rsidR="0008026E">
        <w:t>air first</w:t>
      </w:r>
      <w:r w:rsidR="001E2884">
        <w:t xml:space="preserve"> model</w:t>
      </w:r>
      <w:r>
        <w:t>. Paragraph 10(1)(e) of Schedule 2 to the BSA (which imposes the licence condition on subscription television broadcasting licensees) would be repealed</w:t>
      </w:r>
      <w:r w:rsidR="006E46CA">
        <w:t xml:space="preserve"> and </w:t>
      </w:r>
      <w:r>
        <w:t xml:space="preserve">replaced with a </w:t>
      </w:r>
      <w:r w:rsidR="006E46CA">
        <w:t>broad set of rules governing the acquisition of sports rights.</w:t>
      </w:r>
    </w:p>
    <w:p w14:paraId="5DF29789" w14:textId="77777777" w:rsidR="00B813A3" w:rsidRDefault="006E46CA" w:rsidP="009E2111">
      <w:pPr>
        <w:spacing w:after="0"/>
      </w:pPr>
      <w:r>
        <w:lastRenderedPageBreak/>
        <w:t>This expanded framework would prevent</w:t>
      </w:r>
      <w:r w:rsidR="00C22F57">
        <w:t xml:space="preserve"> content service providers </w:t>
      </w:r>
      <w:r w:rsidR="009C6FB5">
        <w:t>(</w:t>
      </w:r>
      <w:r w:rsidR="00BC26C4">
        <w:t>all online</w:t>
      </w:r>
      <w:r w:rsidR="0008026E">
        <w:t xml:space="preserve">, broadcast and other </w:t>
      </w:r>
      <w:r w:rsidR="00BC26C4">
        <w:t>media services</w:t>
      </w:r>
      <w:r w:rsidR="0008026E">
        <w:t xml:space="preserve">) </w:t>
      </w:r>
      <w:r w:rsidR="00C22F57">
        <w:t xml:space="preserve">from acquiring a right to provide coverage of a listed event </w:t>
      </w:r>
      <w:r w:rsidR="007D020D">
        <w:t xml:space="preserve">to end-users in Australia </w:t>
      </w:r>
      <w:r w:rsidR="00C22F57">
        <w:t>until a free</w:t>
      </w:r>
      <w:r w:rsidR="004365B4">
        <w:noBreakHyphen/>
      </w:r>
      <w:r w:rsidR="00C22F57">
        <w:t>to</w:t>
      </w:r>
      <w:r w:rsidR="004365B4">
        <w:noBreakHyphen/>
      </w:r>
      <w:r w:rsidR="00C22F57">
        <w:t xml:space="preserve">air broadcaster </w:t>
      </w:r>
      <w:r w:rsidR="00615F17">
        <w:t xml:space="preserve">– a commercial television broadcasting licensee or a national broadcaster – </w:t>
      </w:r>
      <w:r w:rsidR="00C22F57">
        <w:t xml:space="preserve">had acquired </w:t>
      </w:r>
      <w:r w:rsidR="009C6FB5" w:rsidRPr="00BC26C4">
        <w:t>both</w:t>
      </w:r>
      <w:r w:rsidR="00B813A3">
        <w:t>:</w:t>
      </w:r>
    </w:p>
    <w:p w14:paraId="3EAC58A2" w14:textId="77777777" w:rsidR="00B813A3" w:rsidRPr="00B813A3" w:rsidRDefault="00C22F57" w:rsidP="0064562A">
      <w:pPr>
        <w:pStyle w:val="ListParagraph"/>
        <w:numPr>
          <w:ilvl w:val="0"/>
          <w:numId w:val="29"/>
        </w:numPr>
        <w:spacing w:after="120"/>
        <w:ind w:left="357" w:hanging="357"/>
        <w:contextualSpacing w:val="0"/>
      </w:pPr>
      <w:r>
        <w:t>a right to televise the event</w:t>
      </w:r>
      <w:r w:rsidR="001E2884">
        <w:t xml:space="preserve"> </w:t>
      </w:r>
      <w:r w:rsidR="007D020D">
        <w:t>on a broadcasting service</w:t>
      </w:r>
      <w:r w:rsidR="00B813A3">
        <w:t>;</w:t>
      </w:r>
      <w:r w:rsidR="007D020D">
        <w:t xml:space="preserve"> </w:t>
      </w:r>
      <w:r w:rsidR="001E2884" w:rsidRPr="00B813A3">
        <w:t>and</w:t>
      </w:r>
    </w:p>
    <w:p w14:paraId="13120278" w14:textId="708B2547" w:rsidR="007D020D" w:rsidRDefault="009C6FB5" w:rsidP="001A687D">
      <w:pPr>
        <w:pStyle w:val="ListParagraph"/>
        <w:numPr>
          <w:ilvl w:val="0"/>
          <w:numId w:val="29"/>
        </w:numPr>
        <w:spacing w:after="0"/>
      </w:pPr>
      <w:r>
        <w:t xml:space="preserve">a right to provide coverage of </w:t>
      </w:r>
      <w:r w:rsidR="007D020D">
        <w:t xml:space="preserve">the </w:t>
      </w:r>
      <w:r>
        <w:t xml:space="preserve">event </w:t>
      </w:r>
      <w:r w:rsidR="007D020D">
        <w:t xml:space="preserve">to end-users in Australia </w:t>
      </w:r>
      <w:r>
        <w:t>on a content service.</w:t>
      </w:r>
    </w:p>
    <w:p w14:paraId="34F5768F" w14:textId="2521F72D" w:rsidR="006B789B" w:rsidRDefault="009E2111" w:rsidP="006B789B">
      <w:pPr>
        <w:spacing w:after="0"/>
        <w:rPr>
          <w:b/>
        </w:rPr>
      </w:pPr>
      <w:r>
        <w:rPr>
          <w:b/>
        </w:rPr>
        <w:t>Dealing with rights</w:t>
      </w:r>
    </w:p>
    <w:p w14:paraId="47D211EF" w14:textId="23143FDB" w:rsidR="002515A7" w:rsidRDefault="0008026E" w:rsidP="002515A7">
      <w:pPr>
        <w:spacing w:after="0"/>
      </w:pPr>
      <w:r>
        <w:t>T</w:t>
      </w:r>
      <w:r w:rsidR="002515A7">
        <w:t xml:space="preserve">he scheme </w:t>
      </w:r>
      <w:r w:rsidR="002515A7" w:rsidRPr="00B338FB">
        <w:t xml:space="preserve">would </w:t>
      </w:r>
      <w:r w:rsidR="002515A7">
        <w:t>regulate the sequence of acquisition of media rights</w:t>
      </w:r>
      <w:r>
        <w:t xml:space="preserve"> under the free-to-air first model</w:t>
      </w:r>
      <w:r w:rsidR="002515A7">
        <w:t xml:space="preserve">, as per the current scheme. This is </w:t>
      </w:r>
      <w:r>
        <w:t xml:space="preserve">the same approach as the </w:t>
      </w:r>
      <w:r w:rsidR="002515A7">
        <w:t>broadcasting safety net model (Model 2), but marks a point of difference with the free-to-view model (Model 1)</w:t>
      </w:r>
      <w:r>
        <w:t xml:space="preserve"> </w:t>
      </w:r>
      <w:r w:rsidR="002515A7">
        <w:t>which does not seek to regulate the sequence of rights acquisition in any way.</w:t>
      </w:r>
    </w:p>
    <w:p w14:paraId="6106CA53" w14:textId="400D95C5" w:rsidR="003B52BB" w:rsidRDefault="002515A7" w:rsidP="002515A7">
      <w:pPr>
        <w:spacing w:after="0"/>
      </w:pPr>
      <w:r>
        <w:t>The</w:t>
      </w:r>
      <w:r w:rsidR="00B813A3">
        <w:t xml:space="preserve"> new ‘</w:t>
      </w:r>
      <w:r>
        <w:t>acquisition rule</w:t>
      </w:r>
      <w:r w:rsidR="00B813A3">
        <w:t xml:space="preserve">’ </w:t>
      </w:r>
      <w:r>
        <w:t xml:space="preserve">under the free-to-air first model would </w:t>
      </w:r>
      <w:r w:rsidR="00CB2D8B">
        <w:t>be based around two key elements:</w:t>
      </w:r>
      <w:r w:rsidR="00A806FF">
        <w:t xml:space="preserve"> a broad </w:t>
      </w:r>
      <w:r w:rsidR="00557F5E">
        <w:t>‘</w:t>
      </w:r>
      <w:r w:rsidR="00A806FF">
        <w:t>acquisition restriction</w:t>
      </w:r>
      <w:r w:rsidR="00557F5E">
        <w:t>’</w:t>
      </w:r>
      <w:r w:rsidR="00A806FF">
        <w:t xml:space="preserve">; and a specific </w:t>
      </w:r>
      <w:r w:rsidR="00557F5E">
        <w:t>‘</w:t>
      </w:r>
      <w:r w:rsidR="00A806FF">
        <w:t>carve out</w:t>
      </w:r>
      <w:r w:rsidR="00557F5E">
        <w:t>’</w:t>
      </w:r>
      <w:r w:rsidR="00A806FF">
        <w:t xml:space="preserve"> for free-to-air broadcasting services.</w:t>
      </w:r>
    </w:p>
    <w:p w14:paraId="5C8CBD73" w14:textId="77777777" w:rsidR="00A806FF" w:rsidRPr="00A806FF" w:rsidRDefault="002515A7" w:rsidP="00A806FF">
      <w:pPr>
        <w:spacing w:after="0"/>
        <w:rPr>
          <w:u w:val="single"/>
        </w:rPr>
      </w:pPr>
      <w:r>
        <w:t xml:space="preserve"> </w:t>
      </w:r>
      <w:r w:rsidR="00A806FF">
        <w:rPr>
          <w:u w:val="single"/>
        </w:rPr>
        <w:t>Acquisition restriction</w:t>
      </w:r>
    </w:p>
    <w:p w14:paraId="1E4CC2D1" w14:textId="77777777" w:rsidR="001E4FEC" w:rsidRDefault="001E4FEC" w:rsidP="001E4FEC">
      <w:pPr>
        <w:spacing w:after="0"/>
      </w:pPr>
      <w:r>
        <w:t xml:space="preserve">The acquisition restriction would prohibit a content service provider from acquiring a right to </w:t>
      </w:r>
      <w:r w:rsidRPr="009B7831">
        <w:t>provide coverage</w:t>
      </w:r>
      <w:r w:rsidRPr="009B7831">
        <w:rPr>
          <w:rStyle w:val="FootnoteReference"/>
        </w:rPr>
        <w:footnoteReference w:id="133"/>
      </w:r>
      <w:r w:rsidRPr="009B7831">
        <w:t xml:space="preserve"> of</w:t>
      </w:r>
      <w:r>
        <w:t xml:space="preserve"> a part or the whole of an event on the anti-siphoning list to end-users in Australia</w:t>
      </w:r>
      <w:r>
        <w:rPr>
          <w:rStyle w:val="FootnoteReference"/>
        </w:rPr>
        <w:footnoteReference w:id="134"/>
      </w:r>
      <w:r>
        <w:t xml:space="preserve"> unless:</w:t>
      </w:r>
    </w:p>
    <w:p w14:paraId="1F83F00C" w14:textId="77777777" w:rsidR="002515A7" w:rsidRPr="00423F22" w:rsidRDefault="002515A7" w:rsidP="001A687D">
      <w:pPr>
        <w:pStyle w:val="ListParagraph"/>
        <w:numPr>
          <w:ilvl w:val="0"/>
          <w:numId w:val="23"/>
        </w:numPr>
        <w:spacing w:after="0"/>
        <w:ind w:left="426" w:hanging="426"/>
        <w:contextualSpacing w:val="0"/>
      </w:pPr>
      <w:r w:rsidRPr="00423F22">
        <w:rPr>
          <w:color w:val="000000"/>
        </w:rPr>
        <w:t>a national broadcaster has the right to televise a part or the whole of the event on any of its broadcasting services; or</w:t>
      </w:r>
    </w:p>
    <w:p w14:paraId="239CB35C" w14:textId="77777777" w:rsidR="00CB4C18" w:rsidRPr="00423F22" w:rsidRDefault="002515A7" w:rsidP="001A687D">
      <w:pPr>
        <w:pStyle w:val="ListParagraph"/>
        <w:numPr>
          <w:ilvl w:val="0"/>
          <w:numId w:val="23"/>
        </w:numPr>
        <w:spacing w:after="0"/>
        <w:ind w:left="426" w:hanging="426"/>
        <w:contextualSpacing w:val="0"/>
      </w:pPr>
      <w:r w:rsidRPr="00423F22">
        <w:rPr>
          <w:color w:val="000000"/>
        </w:rPr>
        <w:t>the television broadcasting services of commercial television broadcasting licensees (other than licensees who hold licences allocated under section 38C or subsection 40(1)</w:t>
      </w:r>
      <w:r w:rsidR="00B813A3">
        <w:rPr>
          <w:color w:val="000000"/>
        </w:rPr>
        <w:t xml:space="preserve"> of the BSA</w:t>
      </w:r>
      <w:r w:rsidRPr="00423F22">
        <w:rPr>
          <w:color w:val="000000"/>
        </w:rPr>
        <w:t>) who have the right to televise a part or the whole of the event cover a total of more than 50</w:t>
      </w:r>
      <w:r w:rsidR="00355439">
        <w:rPr>
          <w:color w:val="000000"/>
        </w:rPr>
        <w:t xml:space="preserve"> per cent</w:t>
      </w:r>
      <w:r w:rsidR="00355439" w:rsidRPr="00423F22">
        <w:rPr>
          <w:color w:val="000000"/>
        </w:rPr>
        <w:t xml:space="preserve"> </w:t>
      </w:r>
      <w:r w:rsidRPr="00423F22">
        <w:rPr>
          <w:color w:val="000000"/>
        </w:rPr>
        <w:t>of the Australian population</w:t>
      </w:r>
      <w:r w:rsidR="00CB4C18" w:rsidRPr="00423F22">
        <w:rPr>
          <w:color w:val="000000"/>
        </w:rPr>
        <w:t>;</w:t>
      </w:r>
    </w:p>
    <w:p w14:paraId="4D999056" w14:textId="64378739" w:rsidR="002515A7" w:rsidRPr="00CB2D8B" w:rsidRDefault="00CB4C18" w:rsidP="001E4FEC">
      <w:pPr>
        <w:spacing w:after="0"/>
        <w:rPr>
          <w:b/>
          <w:u w:val="single"/>
        </w:rPr>
      </w:pPr>
      <w:r w:rsidRPr="00CB2D8B">
        <w:rPr>
          <w:b/>
          <w:color w:val="000000"/>
          <w:u w:val="single"/>
        </w:rPr>
        <w:t>and</w:t>
      </w:r>
      <w:r w:rsidR="00CB2D8B" w:rsidRPr="00CB2D8B">
        <w:rPr>
          <w:rStyle w:val="FootnoteReference"/>
          <w:b/>
          <w:color w:val="000000"/>
        </w:rPr>
        <w:footnoteReference w:id="135"/>
      </w:r>
    </w:p>
    <w:p w14:paraId="02009450" w14:textId="77777777" w:rsidR="00CB4C18" w:rsidRPr="00423F22" w:rsidRDefault="00CB4C18" w:rsidP="001A687D">
      <w:pPr>
        <w:pStyle w:val="ListParagraph"/>
        <w:numPr>
          <w:ilvl w:val="0"/>
          <w:numId w:val="23"/>
        </w:numPr>
        <w:spacing w:after="0"/>
        <w:ind w:left="426" w:hanging="426"/>
        <w:contextualSpacing w:val="0"/>
      </w:pPr>
      <w:r w:rsidRPr="00423F22">
        <w:t xml:space="preserve">a national broadcaster </w:t>
      </w:r>
      <w:r w:rsidR="0008026E" w:rsidRPr="00423F22">
        <w:t>has the right to provide coverage of a part or the whole of the event to end-users in Australia on a content service;</w:t>
      </w:r>
      <w:r w:rsidRPr="00423F22">
        <w:t xml:space="preserve"> or</w:t>
      </w:r>
    </w:p>
    <w:p w14:paraId="6B4680C0" w14:textId="07D4CA96" w:rsidR="00CB4C18" w:rsidRPr="00423F22" w:rsidRDefault="00CB4C18" w:rsidP="001A687D">
      <w:pPr>
        <w:pStyle w:val="ListParagraph"/>
        <w:numPr>
          <w:ilvl w:val="0"/>
          <w:numId w:val="23"/>
        </w:numPr>
        <w:spacing w:after="0"/>
        <w:ind w:left="426" w:hanging="426"/>
        <w:contextualSpacing w:val="0"/>
      </w:pPr>
      <w:r w:rsidRPr="00423F22">
        <w:t xml:space="preserve">a commercial television broadcasting licensee </w:t>
      </w:r>
      <w:r w:rsidR="00865FAB" w:rsidRPr="00423F22">
        <w:t>has the right to provide coverage of a part or the whole of the event to end-users in Australia on a content service.</w:t>
      </w:r>
    </w:p>
    <w:p w14:paraId="0AC62EBB" w14:textId="096C8016" w:rsidR="001E4FEC" w:rsidRPr="0057641D" w:rsidRDefault="001E4FEC" w:rsidP="001E4FEC">
      <w:pPr>
        <w:spacing w:after="0"/>
      </w:pPr>
      <w:r>
        <w:t>This would establish a broad restriction on rights acquisition, subject to the following carve out for free-to-air broadcasting services.</w:t>
      </w:r>
    </w:p>
    <w:p w14:paraId="6FFB7267" w14:textId="77777777" w:rsidR="00A806FF" w:rsidRPr="00A806FF" w:rsidRDefault="00A806FF" w:rsidP="00A806FF">
      <w:pPr>
        <w:spacing w:after="0"/>
        <w:rPr>
          <w:u w:val="single"/>
        </w:rPr>
      </w:pPr>
      <w:r w:rsidRPr="00A806FF">
        <w:rPr>
          <w:u w:val="single"/>
        </w:rPr>
        <w:t>Carve out</w:t>
      </w:r>
    </w:p>
    <w:p w14:paraId="1C60DBA5" w14:textId="227A8A2F" w:rsidR="002515A7" w:rsidRPr="00423F22" w:rsidRDefault="002515A7" w:rsidP="001E4FEC">
      <w:pPr>
        <w:spacing w:after="0"/>
      </w:pPr>
      <w:r w:rsidRPr="00423F22">
        <w:t>The acquisition restriction</w:t>
      </w:r>
      <w:r w:rsidR="00763EF4">
        <w:t xml:space="preserve"> </w:t>
      </w:r>
      <w:r w:rsidR="00B813A3">
        <w:t xml:space="preserve">(above) </w:t>
      </w:r>
      <w:r w:rsidRPr="00423F22">
        <w:t>would not apply to:</w:t>
      </w:r>
    </w:p>
    <w:p w14:paraId="4AD71717" w14:textId="77777777" w:rsidR="00865FAB" w:rsidRPr="00423F22" w:rsidRDefault="002515A7" w:rsidP="001A687D">
      <w:pPr>
        <w:pStyle w:val="ListParagraph"/>
        <w:numPr>
          <w:ilvl w:val="0"/>
          <w:numId w:val="24"/>
        </w:numPr>
        <w:spacing w:after="0"/>
        <w:ind w:left="426" w:hanging="426"/>
        <w:contextualSpacing w:val="0"/>
      </w:pPr>
      <w:r w:rsidRPr="00423F22">
        <w:rPr>
          <w:color w:val="000000"/>
        </w:rPr>
        <w:t>the acquisition by a national broadcaster of</w:t>
      </w:r>
      <w:r w:rsidR="00865FAB" w:rsidRPr="00423F22">
        <w:rPr>
          <w:color w:val="000000"/>
        </w:rPr>
        <w:t>:</w:t>
      </w:r>
    </w:p>
    <w:p w14:paraId="389DB881" w14:textId="77777777" w:rsidR="00865FAB" w:rsidRPr="00423F22" w:rsidRDefault="002515A7" w:rsidP="001A687D">
      <w:pPr>
        <w:pStyle w:val="ListParagraph"/>
        <w:numPr>
          <w:ilvl w:val="1"/>
          <w:numId w:val="24"/>
        </w:numPr>
        <w:spacing w:after="0"/>
        <w:ind w:left="993" w:hanging="164"/>
        <w:contextualSpacing w:val="0"/>
      </w:pPr>
      <w:r w:rsidRPr="00423F22">
        <w:rPr>
          <w:color w:val="000000"/>
        </w:rPr>
        <w:t>the right to televise a part or the whole of the event on any of its broadcasting services</w:t>
      </w:r>
      <w:r w:rsidR="00865FAB" w:rsidRPr="00423F22">
        <w:rPr>
          <w:color w:val="000000"/>
        </w:rPr>
        <w:t>; or</w:t>
      </w:r>
    </w:p>
    <w:p w14:paraId="15BBFCF7" w14:textId="5213FDC5" w:rsidR="002515A7" w:rsidRPr="00423F22" w:rsidRDefault="00865FAB" w:rsidP="001A687D">
      <w:pPr>
        <w:pStyle w:val="ListParagraph"/>
        <w:numPr>
          <w:ilvl w:val="1"/>
          <w:numId w:val="24"/>
        </w:numPr>
        <w:spacing w:after="0"/>
        <w:ind w:left="993" w:hanging="164"/>
        <w:contextualSpacing w:val="0"/>
      </w:pPr>
      <w:r w:rsidRPr="00423F22">
        <w:rPr>
          <w:color w:val="000000"/>
        </w:rPr>
        <w:t>the right to provide coverage of a part or the whole of the event to end-users in Australia on a content service</w:t>
      </w:r>
      <w:r w:rsidR="002515A7" w:rsidRPr="00423F22">
        <w:t>; or</w:t>
      </w:r>
    </w:p>
    <w:p w14:paraId="67E449DF" w14:textId="77777777" w:rsidR="00865FAB" w:rsidRPr="00423F22" w:rsidRDefault="002515A7" w:rsidP="001A687D">
      <w:pPr>
        <w:pStyle w:val="ListParagraph"/>
        <w:numPr>
          <w:ilvl w:val="0"/>
          <w:numId w:val="24"/>
        </w:numPr>
        <w:spacing w:after="0"/>
        <w:ind w:left="426" w:hanging="426"/>
        <w:contextualSpacing w:val="0"/>
      </w:pPr>
      <w:r w:rsidRPr="00423F22">
        <w:lastRenderedPageBreak/>
        <w:t>the acquisition by commercial television broadcasting licensee of</w:t>
      </w:r>
      <w:r w:rsidR="00865FAB" w:rsidRPr="00423F22">
        <w:t>:</w:t>
      </w:r>
    </w:p>
    <w:p w14:paraId="3BF2EE6B" w14:textId="77777777" w:rsidR="00865FAB" w:rsidRPr="00423F22" w:rsidRDefault="00865FAB" w:rsidP="001A687D">
      <w:pPr>
        <w:pStyle w:val="ListParagraph"/>
        <w:numPr>
          <w:ilvl w:val="1"/>
          <w:numId w:val="24"/>
        </w:numPr>
        <w:spacing w:after="0"/>
        <w:ind w:left="993" w:hanging="164"/>
        <w:contextualSpacing w:val="0"/>
      </w:pPr>
      <w:r w:rsidRPr="00423F22">
        <w:rPr>
          <w:color w:val="000000"/>
        </w:rPr>
        <w:t>the right to televise a part or the whole of the event on any of its broadcasting services; or</w:t>
      </w:r>
    </w:p>
    <w:p w14:paraId="71B142C1" w14:textId="63FB6075" w:rsidR="00865FAB" w:rsidRPr="00423F22" w:rsidRDefault="00865FAB" w:rsidP="001A687D">
      <w:pPr>
        <w:pStyle w:val="ListParagraph"/>
        <w:numPr>
          <w:ilvl w:val="1"/>
          <w:numId w:val="24"/>
        </w:numPr>
        <w:spacing w:after="0"/>
        <w:ind w:left="993" w:hanging="164"/>
        <w:contextualSpacing w:val="0"/>
      </w:pPr>
      <w:r w:rsidRPr="00423F22">
        <w:rPr>
          <w:color w:val="000000"/>
        </w:rPr>
        <w:t>the right to provide coverage of a part or the whole of the event to end-users in Australia on a content service</w:t>
      </w:r>
      <w:r w:rsidRPr="00423F22">
        <w:t>.</w:t>
      </w:r>
    </w:p>
    <w:p w14:paraId="385AD5AF" w14:textId="3DB045F1" w:rsidR="00865FAB" w:rsidRPr="00423F22" w:rsidRDefault="002515A7" w:rsidP="0008026E">
      <w:pPr>
        <w:spacing w:after="0"/>
      </w:pPr>
      <w:r w:rsidRPr="00423F22">
        <w:t xml:space="preserve">This carve out </w:t>
      </w:r>
      <w:r w:rsidR="00865FAB" w:rsidRPr="00423F22">
        <w:t>would</w:t>
      </w:r>
      <w:r w:rsidRPr="00423F22">
        <w:t xml:space="preserve"> enable national and commercial broadcasters to acquire a right to televise a listed event on a broadcasting service</w:t>
      </w:r>
      <w:r w:rsidR="00865FAB" w:rsidRPr="00423F22">
        <w:t xml:space="preserve">, </w:t>
      </w:r>
      <w:r w:rsidR="00865FAB" w:rsidRPr="00B813A3">
        <w:rPr>
          <w:u w:val="single"/>
        </w:rPr>
        <w:t>and</w:t>
      </w:r>
      <w:r w:rsidR="00865FAB" w:rsidRPr="00423F22">
        <w:t xml:space="preserve"> the right to provide coverage of the event to end-users in Australia on a content service, without restriction under the scheme.</w:t>
      </w:r>
    </w:p>
    <w:p w14:paraId="4EB43126" w14:textId="2E77F56F" w:rsidR="00F15769" w:rsidRDefault="00882BE2" w:rsidP="0008026E">
      <w:pPr>
        <w:spacing w:after="0"/>
      </w:pPr>
      <w:r w:rsidRPr="00423F22">
        <w:t>This</w:t>
      </w:r>
      <w:r w:rsidR="00865FAB" w:rsidRPr="00423F22">
        <w:t xml:space="preserve"> is broader than the carve out provided under </w:t>
      </w:r>
      <w:r w:rsidR="00423F22">
        <w:t>Model 2</w:t>
      </w:r>
      <w:r w:rsidR="00865FAB" w:rsidRPr="00423F22">
        <w:t>. This is because the intent of the free-to-air first model is to elevate free-to-air broadcast</w:t>
      </w:r>
      <w:r w:rsidR="00865FAB" w:rsidRPr="00423F22">
        <w:rPr>
          <w:u w:val="single"/>
        </w:rPr>
        <w:t>ers</w:t>
      </w:r>
      <w:r w:rsidR="00865FAB" w:rsidRPr="00423F22">
        <w:t>, as opposed to free-to-air broadcast</w:t>
      </w:r>
      <w:r w:rsidR="00865FAB" w:rsidRPr="00423F22">
        <w:rPr>
          <w:u w:val="single"/>
        </w:rPr>
        <w:t>ing</w:t>
      </w:r>
      <w:r w:rsidR="00B813A3">
        <w:rPr>
          <w:u w:val="single"/>
        </w:rPr>
        <w:t xml:space="preserve"> services</w:t>
      </w:r>
      <w:r w:rsidR="00865FAB" w:rsidRPr="00423F22">
        <w:t>, as the key mechanism to deliver on the objective of the scheme.</w:t>
      </w:r>
    </w:p>
    <w:p w14:paraId="0FC45FE3" w14:textId="4B0F76B8" w:rsidR="00865FAB" w:rsidRDefault="00865FAB" w:rsidP="0008026E">
      <w:pPr>
        <w:spacing w:after="0"/>
      </w:pPr>
      <w:r w:rsidRPr="00423F22">
        <w:t xml:space="preserve">A free-to-air broadcaster would need to have acquired both a broadcast right </w:t>
      </w:r>
      <w:r w:rsidRPr="00B813A3">
        <w:t>and</w:t>
      </w:r>
      <w:r w:rsidRPr="00423F22">
        <w:t xml:space="preserve"> an online right</w:t>
      </w:r>
      <w:r w:rsidR="00882BE2" w:rsidRPr="00423F22">
        <w:t xml:space="preserve"> </w:t>
      </w:r>
      <w:r w:rsidR="00F85D63">
        <w:t xml:space="preserve">or other form of right </w:t>
      </w:r>
      <w:r w:rsidR="00882BE2" w:rsidRPr="00423F22">
        <w:t>before another party (i.e. any party other than a free-to-air broadcaster) c</w:t>
      </w:r>
      <w:r w:rsidR="00B813A3">
        <w:t>ould</w:t>
      </w:r>
      <w:r w:rsidR="00882BE2" w:rsidRPr="00423F22">
        <w:t xml:space="preserve"> acquire a right to the event.</w:t>
      </w:r>
    </w:p>
    <w:p w14:paraId="7B9F3B9D" w14:textId="77777777" w:rsidR="003B52BB" w:rsidRDefault="006B789B" w:rsidP="006B789B">
      <w:pPr>
        <w:spacing w:after="0"/>
        <w:rPr>
          <w:b/>
        </w:rPr>
      </w:pPr>
      <w:r w:rsidRPr="004159D6">
        <w:rPr>
          <w:b/>
        </w:rPr>
        <w:t>Content service</w:t>
      </w:r>
    </w:p>
    <w:p w14:paraId="26BEE010" w14:textId="5D144240" w:rsidR="006B789B" w:rsidRDefault="00882BE2" w:rsidP="006B789B">
      <w:pPr>
        <w:spacing w:after="0"/>
      </w:pPr>
      <w:r>
        <w:t xml:space="preserve">For the purposes of the anti-siphoning scheme, </w:t>
      </w:r>
      <w:r w:rsidR="006B789B">
        <w:t>a content service would be defined as:</w:t>
      </w:r>
    </w:p>
    <w:p w14:paraId="03A67A31" w14:textId="77777777" w:rsidR="0018746F" w:rsidRDefault="006B789B" w:rsidP="0064562A">
      <w:pPr>
        <w:pStyle w:val="ListParagraph"/>
        <w:numPr>
          <w:ilvl w:val="0"/>
          <w:numId w:val="27"/>
        </w:numPr>
        <w:spacing w:after="120"/>
        <w:ind w:left="357" w:hanging="357"/>
        <w:contextualSpacing w:val="0"/>
      </w:pPr>
      <w:r w:rsidRPr="00AE31D2">
        <w:t>a service that delivers content</w:t>
      </w:r>
      <w:r w:rsidR="0018746F">
        <w:rPr>
          <w:rStyle w:val="FootnoteReference"/>
        </w:rPr>
        <w:footnoteReference w:id="136"/>
      </w:r>
      <w:r w:rsidRPr="00AE31D2">
        <w:t xml:space="preserve"> to persons having equipment appropriate for receiving that content, where the delivery of the service is by means of a carriage service;</w:t>
      </w:r>
      <w:r w:rsidR="0018746F">
        <w:rPr>
          <w:rStyle w:val="FootnoteReference"/>
        </w:rPr>
        <w:footnoteReference w:id="137"/>
      </w:r>
      <w:r w:rsidRPr="00AE31D2">
        <w:t xml:space="preserve"> or</w:t>
      </w:r>
    </w:p>
    <w:p w14:paraId="23D4328B" w14:textId="77777777" w:rsidR="006B789B" w:rsidRDefault="006B789B" w:rsidP="001A687D">
      <w:pPr>
        <w:pStyle w:val="ListParagraph"/>
        <w:numPr>
          <w:ilvl w:val="0"/>
          <w:numId w:val="27"/>
        </w:numPr>
        <w:spacing w:after="0"/>
      </w:pPr>
      <w:r w:rsidRPr="00AE31D2">
        <w:t>a service that allows end</w:t>
      </w:r>
      <w:r w:rsidRPr="00AE31D2">
        <w:noBreakHyphen/>
        <w:t>users to access content using a carriage service</w:t>
      </w:r>
      <w:r w:rsidR="002515A7">
        <w:t>.</w:t>
      </w:r>
    </w:p>
    <w:p w14:paraId="1EA3B964" w14:textId="71CE6D9F" w:rsidR="009E0FF9" w:rsidRPr="00AC2B9B" w:rsidRDefault="009E0FF9" w:rsidP="009E0FF9">
      <w:pPr>
        <w:spacing w:after="0"/>
      </w:pPr>
      <w:r>
        <w:t xml:space="preserve">A content service provider would be a person who provides a content service to the public </w:t>
      </w:r>
      <w:r w:rsidRPr="00AC2B9B">
        <w:t>(</w:t>
      </w:r>
      <w:r w:rsidR="00F85D63">
        <w:t xml:space="preserve">i.e. </w:t>
      </w:r>
      <w:r w:rsidRPr="00AC2B9B">
        <w:t>to at least one person outside the immediate circle of the person who provides the service</w:t>
      </w:r>
      <w:r w:rsidR="00F15769">
        <w:t>)</w:t>
      </w:r>
      <w:r>
        <w:t>.</w:t>
      </w:r>
      <w:r w:rsidRPr="00AC2B9B">
        <w:rPr>
          <w:rStyle w:val="FootnoteReference"/>
        </w:rPr>
        <w:footnoteReference w:id="138"/>
      </w:r>
    </w:p>
    <w:p w14:paraId="09C2118F" w14:textId="1FF3DC47" w:rsidR="009E0FF9" w:rsidRDefault="009E0FF9" w:rsidP="009E0FF9">
      <w:pPr>
        <w:spacing w:after="0"/>
      </w:pPr>
      <w:r>
        <w:t>These definitions are used in each of the reform models canvassed in this paper and are based on comparable definitions in Schedule 7 to the BSA</w:t>
      </w:r>
      <w:r w:rsidRPr="003F299A">
        <w:t>.</w:t>
      </w:r>
      <w:r w:rsidRPr="003F299A">
        <w:rPr>
          <w:rStyle w:val="FootnoteReference"/>
        </w:rPr>
        <w:footnoteReference w:id="139"/>
      </w:r>
    </w:p>
    <w:p w14:paraId="24671384" w14:textId="5CCB3B33" w:rsidR="00BC75E6" w:rsidRDefault="00BC75E6" w:rsidP="00BC75E6">
      <w:pPr>
        <w:spacing w:after="0"/>
      </w:pPr>
      <w:r>
        <w:t>A narrower definition of ‘online content service’ could be used in this model, but this would, in turn, require a separate rule to deal with broadcasting services (which don’t use the internet). The proposed use of the broader content service definition would allow the revised scheme to operate around one acquisition rule, rather than two.</w:t>
      </w:r>
    </w:p>
    <w:p w14:paraId="2164746A" w14:textId="7BAAFB4D" w:rsidR="006B789B" w:rsidRPr="00A40CFC" w:rsidRDefault="006B789B" w:rsidP="006B789B">
      <w:pPr>
        <w:spacing w:after="0"/>
        <w:rPr>
          <w:b/>
        </w:rPr>
      </w:pPr>
      <w:r>
        <w:rPr>
          <w:b/>
        </w:rPr>
        <w:t>Availability obligations</w:t>
      </w:r>
    </w:p>
    <w:p w14:paraId="25D2C899" w14:textId="2E924158" w:rsidR="00F85D63" w:rsidRDefault="0008026E" w:rsidP="00F85D63">
      <w:r>
        <w:t>A</w:t>
      </w:r>
      <w:r w:rsidR="002515A7">
        <w:t xml:space="preserve">vailability </w:t>
      </w:r>
      <w:r w:rsidR="006B789B">
        <w:t xml:space="preserve">obligations would not form part of the </w:t>
      </w:r>
      <w:r w:rsidR="002515A7">
        <w:t xml:space="preserve">free-to-air first </w:t>
      </w:r>
      <w:r w:rsidR="006B789B">
        <w:t xml:space="preserve">model. </w:t>
      </w:r>
      <w:r>
        <w:t xml:space="preserve">As noted with respect to </w:t>
      </w:r>
      <w:r w:rsidR="008E1DF0">
        <w:t>Model 2</w:t>
      </w:r>
      <w:r>
        <w:t xml:space="preserve">, </w:t>
      </w:r>
      <w:r w:rsidR="00F15769">
        <w:t>t</w:t>
      </w:r>
      <w:r w:rsidR="00C412D2">
        <w:t>here</w:t>
      </w:r>
      <w:r w:rsidR="006B789B">
        <w:t xml:space="preserve"> was no evidence presented through the initial phase of the review to suggest that free-to-air broadcasters </w:t>
      </w:r>
      <w:r w:rsidR="00C412D2">
        <w:t>were ‘hoarding’ the rights to listed events (</w:t>
      </w:r>
      <w:r w:rsidR="006B789B">
        <w:t xml:space="preserve">acquiring </w:t>
      </w:r>
      <w:r w:rsidR="00F85D63">
        <w:t>the r</w:t>
      </w:r>
      <w:r w:rsidR="006B789B">
        <w:t>ights and not providing coverage</w:t>
      </w:r>
      <w:r w:rsidR="00C412D2">
        <w:t xml:space="preserve">, </w:t>
      </w:r>
      <w:r w:rsidR="006B789B">
        <w:t xml:space="preserve">or </w:t>
      </w:r>
      <w:r w:rsidR="00C412D2">
        <w:t xml:space="preserve">not </w:t>
      </w:r>
      <w:r w:rsidR="006B789B">
        <w:t>otherwise making those rights available to other parties).</w:t>
      </w:r>
      <w:r w:rsidR="00F85D63">
        <w:t xml:space="preserve"> This reflects the strong commercial incentive for broadcasters to fully exploit the rights which they have acquired (typically at significant cost).</w:t>
      </w:r>
      <w:r w:rsidR="006B789B">
        <w:t xml:space="preserve"> </w:t>
      </w:r>
      <w:r w:rsidR="00F85D63">
        <w:t>For these reasons, availability and coverage obligations were considered unnecessary for this model.</w:t>
      </w:r>
    </w:p>
    <w:p w14:paraId="22665101" w14:textId="474A3327" w:rsidR="006B789B" w:rsidRPr="00A40CFC" w:rsidRDefault="006B789B" w:rsidP="006B789B">
      <w:pPr>
        <w:spacing w:after="0"/>
        <w:rPr>
          <w:b/>
        </w:rPr>
      </w:pPr>
      <w:r>
        <w:rPr>
          <w:b/>
        </w:rPr>
        <w:lastRenderedPageBreak/>
        <w:t>Coverage obligations</w:t>
      </w:r>
    </w:p>
    <w:p w14:paraId="4A3E486A" w14:textId="07FE52F1" w:rsidR="006B789B" w:rsidRDefault="002515A7" w:rsidP="006B789B">
      <w:r>
        <w:t>As with Model 2, t</w:t>
      </w:r>
      <w:r w:rsidR="006B789B">
        <w:t xml:space="preserve">here are no coverage obligations envisaged for the </w:t>
      </w:r>
      <w:r>
        <w:t>free-to-air first</w:t>
      </w:r>
      <w:r w:rsidR="006B789B">
        <w:t xml:space="preserve"> model</w:t>
      </w:r>
      <w:r w:rsidR="008E1DF0">
        <w:t>.</w:t>
      </w:r>
    </w:p>
    <w:p w14:paraId="526CD510" w14:textId="42C09C00" w:rsidR="006B789B" w:rsidRPr="00E36AB3" w:rsidRDefault="006B789B" w:rsidP="006B789B">
      <w:pPr>
        <w:spacing w:after="0"/>
        <w:rPr>
          <w:b/>
        </w:rPr>
      </w:pPr>
      <w:r w:rsidRPr="00E36AB3">
        <w:rPr>
          <w:b/>
        </w:rPr>
        <w:t>Exceptions</w:t>
      </w:r>
    </w:p>
    <w:p w14:paraId="34369663" w14:textId="62B2CD85" w:rsidR="006B789B" w:rsidRDefault="006B789B" w:rsidP="006B789B">
      <w:r>
        <w:t xml:space="preserve">There are no explicit exceptions proposed </w:t>
      </w:r>
      <w:r w:rsidR="0008026E">
        <w:t>for</w:t>
      </w:r>
      <w:r>
        <w:t xml:space="preserve"> the </w:t>
      </w:r>
      <w:r w:rsidR="0008026E">
        <w:t>free-to-air first model</w:t>
      </w:r>
      <w:r>
        <w:t>.</w:t>
      </w:r>
    </w:p>
    <w:p w14:paraId="2D342A0F" w14:textId="77777777" w:rsidR="006B789B" w:rsidRPr="002A72BA" w:rsidRDefault="006B789B" w:rsidP="006B789B">
      <w:pPr>
        <w:pStyle w:val="Heading3"/>
        <w:rPr>
          <w:sz w:val="28"/>
          <w:szCs w:val="28"/>
        </w:rPr>
      </w:pPr>
      <w:bookmarkStart w:id="207" w:name="_Toc140842922"/>
      <w:r>
        <w:rPr>
          <w:sz w:val="28"/>
          <w:szCs w:val="28"/>
        </w:rPr>
        <w:t xml:space="preserve">Comparison with the </w:t>
      </w:r>
      <w:r w:rsidRPr="002A72BA">
        <w:rPr>
          <w:sz w:val="28"/>
          <w:szCs w:val="28"/>
        </w:rPr>
        <w:t>current scheme</w:t>
      </w:r>
      <w:bookmarkEnd w:id="207"/>
    </w:p>
    <w:p w14:paraId="453E4FF9" w14:textId="77777777" w:rsidR="006B789B" w:rsidRPr="00366CAE" w:rsidRDefault="006B789B" w:rsidP="006B789B">
      <w:pPr>
        <w:spacing w:after="0"/>
      </w:pPr>
      <w:r w:rsidRPr="00366CAE">
        <w:t xml:space="preserve">The </w:t>
      </w:r>
      <w:r w:rsidR="00366CAE" w:rsidRPr="00366CAE">
        <w:t>free-to-air first</w:t>
      </w:r>
      <w:r w:rsidRPr="00366CAE">
        <w:t xml:space="preserve"> model adopts the basic architecture of the current scheme, but modifies and extends it to capture online and other services.</w:t>
      </w:r>
    </w:p>
    <w:p w14:paraId="028EEB16" w14:textId="00835FF5" w:rsidR="00F85D63" w:rsidRDefault="002733F7" w:rsidP="006B789B">
      <w:pPr>
        <w:spacing w:after="0"/>
      </w:pPr>
      <w:bookmarkStart w:id="208" w:name="_Hlk140503121"/>
      <w:r>
        <w:t>In this regard, the model</w:t>
      </w:r>
      <w:r w:rsidR="006B789B" w:rsidRPr="00366CAE">
        <w:t xml:space="preserve"> preference</w:t>
      </w:r>
      <w:r w:rsidR="00366CAE">
        <w:t>s</w:t>
      </w:r>
      <w:r w:rsidR="006B789B" w:rsidRPr="00366CAE">
        <w:t xml:space="preserve"> and prioritise</w:t>
      </w:r>
      <w:r w:rsidR="00366CAE">
        <w:t>s</w:t>
      </w:r>
      <w:r w:rsidR="006B789B" w:rsidRPr="00366CAE">
        <w:t xml:space="preserve"> free-to-air broadcast</w:t>
      </w:r>
      <w:r w:rsidR="00366CAE" w:rsidRPr="00B766C1">
        <w:t>ers</w:t>
      </w:r>
      <w:r w:rsidR="006B789B">
        <w:t xml:space="preserve"> as the </w:t>
      </w:r>
      <w:r w:rsidR="00366CAE">
        <w:t>entities</w:t>
      </w:r>
      <w:r w:rsidR="006B789B">
        <w:t xml:space="preserve"> to </w:t>
      </w:r>
      <w:r w:rsidR="008946E3">
        <w:t xml:space="preserve">promote the achievement of the scheme’s objective </w:t>
      </w:r>
      <w:r w:rsidR="006B789B" w:rsidRPr="00366CAE">
        <w:t xml:space="preserve">(free </w:t>
      </w:r>
      <w:r w:rsidR="00F15769">
        <w:t xml:space="preserve">access to televised </w:t>
      </w:r>
      <w:r w:rsidR="006B789B" w:rsidRPr="00366CAE">
        <w:t xml:space="preserve">coverage of </w:t>
      </w:r>
      <w:r w:rsidR="00B5207D">
        <w:t xml:space="preserve">nationally important and culturally significant </w:t>
      </w:r>
      <w:r w:rsidR="006B789B" w:rsidRPr="00366CAE">
        <w:t xml:space="preserve">sporting events), and </w:t>
      </w:r>
      <w:r w:rsidR="00366CAE">
        <w:t xml:space="preserve">restricts the ability of </w:t>
      </w:r>
      <w:r w:rsidR="006B789B">
        <w:t xml:space="preserve">other parties to acquire </w:t>
      </w:r>
      <w:r w:rsidR="00366CAE">
        <w:t xml:space="preserve">any </w:t>
      </w:r>
      <w:r w:rsidR="006B789B">
        <w:t xml:space="preserve">rights </w:t>
      </w:r>
      <w:r w:rsidR="00366CAE">
        <w:t xml:space="preserve">to </w:t>
      </w:r>
      <w:r w:rsidR="006B789B">
        <w:t xml:space="preserve">listed </w:t>
      </w:r>
      <w:r w:rsidR="00366CAE">
        <w:t>events until</w:t>
      </w:r>
      <w:r w:rsidR="006B789B">
        <w:t xml:space="preserve"> a free-to-air broadcaster</w:t>
      </w:r>
      <w:r w:rsidR="00366CAE">
        <w:t xml:space="preserve"> has </w:t>
      </w:r>
      <w:r w:rsidR="006B789B" w:rsidRPr="00366CAE">
        <w:t>acquired</w:t>
      </w:r>
      <w:r w:rsidR="00366CAE">
        <w:t xml:space="preserve"> both a right to televise </w:t>
      </w:r>
      <w:r w:rsidR="006B789B">
        <w:t xml:space="preserve">the </w:t>
      </w:r>
      <w:r w:rsidR="00366CAE">
        <w:t xml:space="preserve">event </w:t>
      </w:r>
      <w:r w:rsidR="006B789B">
        <w:t xml:space="preserve">on </w:t>
      </w:r>
      <w:r w:rsidR="00366CAE">
        <w:t>a broadcasting service</w:t>
      </w:r>
      <w:r w:rsidR="006B789B">
        <w:t xml:space="preserve">, and the right to </w:t>
      </w:r>
      <w:r w:rsidR="00366CAE">
        <w:t>provide coverage of the event on a content service.</w:t>
      </w:r>
    </w:p>
    <w:p w14:paraId="3FDD667C" w14:textId="13E13E59" w:rsidR="006B789B" w:rsidRPr="00366CAE" w:rsidRDefault="006B789B" w:rsidP="006B789B">
      <w:pPr>
        <w:spacing w:after="0"/>
      </w:pPr>
      <w:r w:rsidRPr="00366CAE">
        <w:t>Th</w:t>
      </w:r>
      <w:r w:rsidR="00366CAE">
        <w:t xml:space="preserve">is </w:t>
      </w:r>
      <w:r w:rsidR="002733F7">
        <w:t>represents</w:t>
      </w:r>
      <w:r w:rsidR="00366CAE">
        <w:t xml:space="preserve"> a significant expansion of the current scheme, which </w:t>
      </w:r>
      <w:r w:rsidR="002733F7">
        <w:t xml:space="preserve">currently </w:t>
      </w:r>
      <w:r w:rsidR="00366CAE">
        <w:t xml:space="preserve">only </w:t>
      </w:r>
      <w:r w:rsidR="002733F7">
        <w:t>limits</w:t>
      </w:r>
      <w:r w:rsidR="00366CAE">
        <w:t xml:space="preserve"> the ability of</w:t>
      </w:r>
      <w:r>
        <w:t xml:space="preserve"> </w:t>
      </w:r>
      <w:r w:rsidRPr="00366CAE">
        <w:t>a subscription television broadcasting licensee</w:t>
      </w:r>
      <w:r w:rsidR="00366CAE">
        <w:t xml:space="preserve"> </w:t>
      </w:r>
      <w:r w:rsidR="002733F7">
        <w:t>to acquire the rights</w:t>
      </w:r>
      <w:r w:rsidR="00366CAE">
        <w:t xml:space="preserve"> to televise </w:t>
      </w:r>
      <w:r w:rsidR="002733F7">
        <w:t>listed</w:t>
      </w:r>
      <w:r w:rsidR="00366CAE">
        <w:t xml:space="preserve"> event</w:t>
      </w:r>
      <w:r w:rsidR="002733F7">
        <w:t>s</w:t>
      </w:r>
      <w:r w:rsidRPr="00366CAE">
        <w:t>.</w:t>
      </w:r>
    </w:p>
    <w:p w14:paraId="2BB1856E" w14:textId="4321902F" w:rsidR="006B789B" w:rsidRDefault="00366CAE" w:rsidP="006B789B">
      <w:pPr>
        <w:spacing w:after="0"/>
      </w:pPr>
      <w:r>
        <w:t>Through the acquisition rule, the free-to-air first</w:t>
      </w:r>
      <w:r w:rsidR="006B789B">
        <w:t xml:space="preserve"> model </w:t>
      </w:r>
      <w:r w:rsidR="00F15769">
        <w:t xml:space="preserve">effectively </w:t>
      </w:r>
      <w:r w:rsidR="006B789B">
        <w:t xml:space="preserve">provides for </w:t>
      </w:r>
      <w:r>
        <w:t xml:space="preserve">a more </w:t>
      </w:r>
      <w:r w:rsidR="006B789B">
        <w:t xml:space="preserve">specific </w:t>
      </w:r>
      <w:r>
        <w:t>definition</w:t>
      </w:r>
      <w:r w:rsidR="006B789B">
        <w:t xml:space="preserve"> of a ‘right to televise’ an event on a broadcasting service</w:t>
      </w:r>
      <w:r>
        <w:t xml:space="preserve"> (compared with the current scheme), and includes a definition of</w:t>
      </w:r>
      <w:r w:rsidR="006B789B">
        <w:t xml:space="preserve"> a ‘right to provide coverage’ of an event </w:t>
      </w:r>
      <w:r w:rsidR="00F85D63">
        <w:t xml:space="preserve">to end-users in Australia </w:t>
      </w:r>
      <w:r w:rsidR="006B789B">
        <w:t>on a content service</w:t>
      </w:r>
      <w:r>
        <w:t xml:space="preserve"> (which is</w:t>
      </w:r>
      <w:r w:rsidR="006B789B">
        <w:t xml:space="preserve"> not part of the current scheme</w:t>
      </w:r>
      <w:r>
        <w:t>).</w:t>
      </w:r>
    </w:p>
    <w:p w14:paraId="5458AA65" w14:textId="77777777" w:rsidR="006B789B" w:rsidRPr="002A72BA" w:rsidRDefault="006B789B" w:rsidP="006B789B">
      <w:pPr>
        <w:pStyle w:val="Heading3"/>
        <w:rPr>
          <w:sz w:val="28"/>
          <w:szCs w:val="28"/>
        </w:rPr>
      </w:pPr>
      <w:bookmarkStart w:id="209" w:name="_Toc140842923"/>
      <w:bookmarkEnd w:id="208"/>
      <w:r w:rsidRPr="002A72BA">
        <w:rPr>
          <w:sz w:val="28"/>
          <w:szCs w:val="28"/>
        </w:rPr>
        <w:t>Relationship to the list</w:t>
      </w:r>
      <w:bookmarkEnd w:id="209"/>
    </w:p>
    <w:p w14:paraId="688DD1EF" w14:textId="3D483DF5" w:rsidR="006B789B" w:rsidRDefault="006B789B" w:rsidP="006B789B">
      <w:pPr>
        <w:spacing w:after="0"/>
      </w:pPr>
      <w:r w:rsidRPr="00B7545A">
        <w:t xml:space="preserve">This model </w:t>
      </w:r>
      <w:r w:rsidR="003B52BB">
        <w:t xml:space="preserve">generally </w:t>
      </w:r>
      <w:r w:rsidRPr="00B7545A">
        <w:t>does not necessitate any particular composition of an anti-siphoning list. As noted above, the current list</w:t>
      </w:r>
      <w:r w:rsidRPr="00B7545A">
        <w:rPr>
          <w:rStyle w:val="FootnoteReference"/>
        </w:rPr>
        <w:footnoteReference w:id="140"/>
      </w:r>
      <w:r w:rsidRPr="00B7545A">
        <w:t xml:space="preserve"> contains events held as part of competitions across 11 </w:t>
      </w:r>
      <w:proofErr w:type="spellStart"/>
      <w:r w:rsidRPr="00B7545A">
        <w:t>sportshas</w:t>
      </w:r>
      <w:proofErr w:type="spellEnd"/>
      <w:r w:rsidRPr="00B7545A">
        <w:t xml:space="preserve"> a duration of 3 years </w:t>
      </w:r>
      <w:r w:rsidRPr="00F85D63">
        <w:t xml:space="preserve">(expiring on </w:t>
      </w:r>
      <w:r w:rsidR="009E3908" w:rsidRPr="00F85D63">
        <w:t>25 Mar</w:t>
      </w:r>
      <w:r w:rsidR="003B52BB">
        <w:t xml:space="preserve">ch </w:t>
      </w:r>
      <w:r w:rsidR="009E3908" w:rsidRPr="00F85D63">
        <w:t>2026</w:t>
      </w:r>
      <w:r w:rsidRPr="00F85D63">
        <w:t>). These</w:t>
      </w:r>
      <w:r w:rsidRPr="00B7545A">
        <w:t xml:space="preserve"> events could be included as they stand as part of a </w:t>
      </w:r>
      <w:r w:rsidR="00F80283">
        <w:t xml:space="preserve">new </w:t>
      </w:r>
      <w:r w:rsidRPr="00B7545A">
        <w:t xml:space="preserve">list made under the </w:t>
      </w:r>
      <w:r w:rsidR="00B7545A">
        <w:t>free-to-air model</w:t>
      </w:r>
      <w:r w:rsidRPr="00B7545A">
        <w:t xml:space="preserve">. Equally, the events could </w:t>
      </w:r>
      <w:r w:rsidR="00F15769">
        <w:t>(within reason)</w:t>
      </w:r>
      <w:r w:rsidRPr="00B7545A">
        <w:t xml:space="preserve"> be expanded or reduced, as the model is not dependent on the list being of a certain form or size. This marks a point of difference with the </w:t>
      </w:r>
      <w:r w:rsidR="00B7545A">
        <w:t>Model 1</w:t>
      </w:r>
      <w:r w:rsidRPr="00B7545A">
        <w:t>, which is dependent on a list being made under the new scheme that is significantly shorter than the current list.</w:t>
      </w:r>
    </w:p>
    <w:p w14:paraId="737EAF56" w14:textId="77777777" w:rsidR="006B789B" w:rsidRPr="00AB0AE7" w:rsidRDefault="006B789B" w:rsidP="006B789B">
      <w:pPr>
        <w:pStyle w:val="Heading3"/>
        <w:rPr>
          <w:sz w:val="28"/>
          <w:szCs w:val="28"/>
        </w:rPr>
      </w:pPr>
      <w:bookmarkStart w:id="210" w:name="_Toc140842924"/>
      <w:r w:rsidRPr="00AB0AE7">
        <w:rPr>
          <w:sz w:val="28"/>
          <w:szCs w:val="28"/>
        </w:rPr>
        <w:t>Comparison with the other models in this paper</w:t>
      </w:r>
      <w:bookmarkEnd w:id="210"/>
    </w:p>
    <w:p w14:paraId="5E1958C5" w14:textId="177DA4A4" w:rsidR="00F061CB" w:rsidRDefault="00F061CB" w:rsidP="00F061CB">
      <w:pPr>
        <w:spacing w:after="0"/>
      </w:pPr>
      <w:r w:rsidRPr="00B51C84">
        <w:t xml:space="preserve">The </w:t>
      </w:r>
      <w:r>
        <w:t xml:space="preserve">free-to-air first </w:t>
      </w:r>
      <w:r w:rsidRPr="00B51C84">
        <w:t xml:space="preserve">model </w:t>
      </w:r>
      <w:r>
        <w:t xml:space="preserve">is broadly comparable with the </w:t>
      </w:r>
      <w:r w:rsidR="00F15769">
        <w:t>broadcasting safety net</w:t>
      </w:r>
      <w:r>
        <w:t xml:space="preserve"> model (Model 2), but shares few </w:t>
      </w:r>
      <w:r w:rsidRPr="00B51C84">
        <w:t xml:space="preserve">similarities with </w:t>
      </w:r>
      <w:r>
        <w:t>the free-to-view model (Model 1).</w:t>
      </w:r>
    </w:p>
    <w:p w14:paraId="0D6F7861" w14:textId="4A21E9BD" w:rsidR="00F061CB" w:rsidRDefault="00F061CB" w:rsidP="001A687D">
      <w:pPr>
        <w:pStyle w:val="ListParagraph"/>
        <w:numPr>
          <w:ilvl w:val="0"/>
          <w:numId w:val="28"/>
        </w:numPr>
        <w:spacing w:after="0"/>
        <w:contextualSpacing w:val="0"/>
      </w:pPr>
      <w:r>
        <w:t xml:space="preserve">The free-to-air first </w:t>
      </w:r>
      <w:r w:rsidRPr="00B51C84">
        <w:t xml:space="preserve">model </w:t>
      </w:r>
      <w:r>
        <w:t xml:space="preserve">would regulate the sequence of acquisition of media rights to iconic sporting events in the same way as Model 2. In contrast, Model 1 would not seek to regulate rights, although it would provide for exceptions to the availability and coverage obligations to accommodate the type of rights held by relevant parties. Unlike Model 1, the free-to-air first </w:t>
      </w:r>
      <w:r w:rsidRPr="00B51C84">
        <w:t xml:space="preserve">model </w:t>
      </w:r>
      <w:r>
        <w:t>would not contain availability and coverage obligations.</w:t>
      </w:r>
    </w:p>
    <w:p w14:paraId="0869C98E" w14:textId="2C7DF370" w:rsidR="00F061CB" w:rsidRPr="00346809" w:rsidRDefault="00F061CB" w:rsidP="001A687D">
      <w:pPr>
        <w:pStyle w:val="ListParagraph"/>
        <w:numPr>
          <w:ilvl w:val="0"/>
          <w:numId w:val="28"/>
        </w:numPr>
        <w:spacing w:after="0"/>
        <w:contextualSpacing w:val="0"/>
      </w:pPr>
      <w:r>
        <w:t xml:space="preserve">The free-to-air first </w:t>
      </w:r>
      <w:r w:rsidRPr="00B51C84">
        <w:t xml:space="preserve">model </w:t>
      </w:r>
      <w:r>
        <w:t xml:space="preserve">is expected to be relatively </w:t>
      </w:r>
      <w:r w:rsidR="00F80283">
        <w:t>less</w:t>
      </w:r>
      <w:r>
        <w:t xml:space="preserve"> complicated to implement and administer as it constitutes an extension of the current arrangement</w:t>
      </w:r>
      <w:r w:rsidR="005766EE">
        <w:t>s</w:t>
      </w:r>
      <w:r>
        <w:t xml:space="preserve">, rather than the implementation of a new regulatory framework (as is the case with Model 1). There are also fewer new and novel regulatory </w:t>
      </w:r>
      <w:r w:rsidRPr="00346809">
        <w:t>concepts with this model compared with Model 1.</w:t>
      </w:r>
    </w:p>
    <w:p w14:paraId="51C96577" w14:textId="3B6142B4" w:rsidR="00F061CB" w:rsidRPr="00346809" w:rsidRDefault="00F061CB" w:rsidP="001A687D">
      <w:pPr>
        <w:pStyle w:val="ListParagraph"/>
        <w:numPr>
          <w:ilvl w:val="0"/>
          <w:numId w:val="28"/>
        </w:numPr>
        <w:spacing w:after="0"/>
        <w:contextualSpacing w:val="0"/>
      </w:pPr>
      <w:r w:rsidRPr="00346809">
        <w:lastRenderedPageBreak/>
        <w:t xml:space="preserve">The free-to-air first model could </w:t>
      </w:r>
      <w:r w:rsidR="00F15769">
        <w:t xml:space="preserve">– within reason – </w:t>
      </w:r>
      <w:r w:rsidRPr="00346809">
        <w:t xml:space="preserve">be </w:t>
      </w:r>
      <w:bookmarkStart w:id="211" w:name="_Hlk141453624"/>
      <w:r w:rsidRPr="00346809">
        <w:t>implemented with any form of anti-siphoning list</w:t>
      </w:r>
      <w:bookmarkEnd w:id="211"/>
      <w:r w:rsidRPr="00346809">
        <w:t>, unlike Model 1 which would necessitate a reduction in the list compared with the current instrument</w:t>
      </w:r>
      <w:r w:rsidR="0064562A">
        <w:t>.</w:t>
      </w:r>
    </w:p>
    <w:p w14:paraId="7A1D0F0C" w14:textId="1D48CAC2" w:rsidR="00F15769" w:rsidRDefault="001D2DA7" w:rsidP="00455C23">
      <w:pPr>
        <w:pStyle w:val="ListParagraph"/>
        <w:numPr>
          <w:ilvl w:val="0"/>
          <w:numId w:val="28"/>
        </w:numPr>
        <w:spacing w:after="0"/>
        <w:contextualSpacing w:val="0"/>
      </w:pPr>
      <w:r w:rsidRPr="001D2DA7">
        <w:t xml:space="preserve">For consumers, the </w:t>
      </w:r>
      <w:r>
        <w:t xml:space="preserve">free-to-air first </w:t>
      </w:r>
      <w:r w:rsidRPr="001D2DA7">
        <w:t>model would provide a high likelihood of live and free coverage listed events</w:t>
      </w:r>
      <w:r>
        <w:t xml:space="preserve"> on both broadcasting services and online</w:t>
      </w:r>
      <w:r w:rsidRPr="001D2DA7">
        <w:t xml:space="preserve">, given the preferential treatment afforded to broadcasters through the scheme and the strong commercial incentives to fully utilise </w:t>
      </w:r>
      <w:r>
        <w:t xml:space="preserve">any rights acquired </w:t>
      </w:r>
      <w:r w:rsidRPr="001D2DA7">
        <w:t>to listed events.</w:t>
      </w:r>
    </w:p>
    <w:p w14:paraId="26BFB3B8" w14:textId="0C974660" w:rsidR="00F15769" w:rsidRDefault="001D2DA7" w:rsidP="00F15769">
      <w:pPr>
        <w:pStyle w:val="ListParagraph"/>
        <w:numPr>
          <w:ilvl w:val="1"/>
          <w:numId w:val="28"/>
        </w:numPr>
        <w:spacing w:after="0"/>
        <w:contextualSpacing w:val="0"/>
      </w:pPr>
      <w:r w:rsidRPr="001D2DA7">
        <w:t>While this model would not provide the same level of surety of a free, live and in full</w:t>
      </w:r>
      <w:r>
        <w:t xml:space="preserve"> outcome</w:t>
      </w:r>
      <w:r w:rsidRPr="001D2DA7">
        <w:t xml:space="preserve"> as Model 1, it would potentially apply to a broader range of events (given the necessity for a relatively short list with Model 1).</w:t>
      </w:r>
    </w:p>
    <w:p w14:paraId="19CF22A0" w14:textId="47B9FF10" w:rsidR="00D72A24" w:rsidRPr="002B1D55" w:rsidRDefault="001D2DA7" w:rsidP="00FC7446">
      <w:pPr>
        <w:pStyle w:val="ListParagraph"/>
        <w:numPr>
          <w:ilvl w:val="1"/>
          <w:numId w:val="28"/>
        </w:numPr>
        <w:spacing w:after="0"/>
        <w:contextualSpacing w:val="0"/>
      </w:pPr>
      <w:r>
        <w:t>Compared with Model 2, the free</w:t>
      </w:r>
      <w:r w:rsidR="00BD4D6F">
        <w:noBreakHyphen/>
      </w:r>
      <w:r>
        <w:t>to</w:t>
      </w:r>
      <w:r w:rsidR="00BD4D6F">
        <w:noBreakHyphen/>
      </w:r>
      <w:r>
        <w:t>air first model</w:t>
      </w:r>
      <w:r w:rsidRPr="001D2DA7">
        <w:t xml:space="preserve"> would enhance the likelihood of the coverage of events being provided via the online services of free-to-air broadcasters</w:t>
      </w:r>
      <w:r w:rsidR="00F15769">
        <w:t>. However, from a consumer perspective, th</w:t>
      </w:r>
      <w:r w:rsidR="000F053E">
        <w:t>is may involve additional ‘indirect</w:t>
      </w:r>
      <w:r w:rsidR="00FE548F">
        <w:t xml:space="preserve">’ or ‘implicit’ </w:t>
      </w:r>
      <w:r w:rsidR="000F053E">
        <w:t>costs in terms of accessing content online.</w:t>
      </w:r>
    </w:p>
    <w:p w14:paraId="29D7ACF7" w14:textId="2086FF47" w:rsidR="00F061CB" w:rsidRPr="008C1467" w:rsidRDefault="00F061CB" w:rsidP="00D72A24">
      <w:pPr>
        <w:spacing w:after="0"/>
      </w:pPr>
      <w:r w:rsidRPr="00B51C84">
        <w:t xml:space="preserve">The key points of commonality with Models </w:t>
      </w:r>
      <w:r>
        <w:t>1</w:t>
      </w:r>
      <w:r w:rsidRPr="00B51C84">
        <w:t xml:space="preserve"> and </w:t>
      </w:r>
      <w:r>
        <w:t>2</w:t>
      </w:r>
      <w:r w:rsidRPr="00B51C84">
        <w:t xml:space="preserve"> include the definitions of ‘content service’, ‘content service provider’ and ‘Australian end-user</w:t>
      </w:r>
      <w:r w:rsidR="00D72A24">
        <w:t>’</w:t>
      </w:r>
      <w:r w:rsidRPr="00B51C84">
        <w:t>.</w:t>
      </w:r>
    </w:p>
    <w:p w14:paraId="52133F1E" w14:textId="77777777" w:rsidR="006B789B" w:rsidRPr="004C4E7B" w:rsidRDefault="006B789B" w:rsidP="006B789B">
      <w:pPr>
        <w:pStyle w:val="Heading3"/>
        <w:rPr>
          <w:sz w:val="28"/>
          <w:szCs w:val="28"/>
        </w:rPr>
      </w:pPr>
      <w:bookmarkStart w:id="212" w:name="_Toc140842925"/>
      <w:r w:rsidRPr="004C4E7B">
        <w:rPr>
          <w:sz w:val="28"/>
          <w:szCs w:val="28"/>
        </w:rPr>
        <w:t>Preliminary assessment</w:t>
      </w:r>
      <w:bookmarkEnd w:id="212"/>
    </w:p>
    <w:p w14:paraId="4769555D" w14:textId="75FC16AA" w:rsidR="00C0783F" w:rsidRDefault="006B789B" w:rsidP="006B789B">
      <w:pPr>
        <w:spacing w:after="0"/>
      </w:pPr>
      <w:r w:rsidRPr="00C0783F">
        <w:t xml:space="preserve">The </w:t>
      </w:r>
      <w:r w:rsidR="00B31E43" w:rsidRPr="00C0783F">
        <w:t>free-to-air first</w:t>
      </w:r>
      <w:r w:rsidRPr="00C0783F">
        <w:t xml:space="preserve"> model would seek to </w:t>
      </w:r>
      <w:r w:rsidR="008946E3">
        <w:t>promote the achievement of the scheme’s objective (</w:t>
      </w:r>
      <w:r w:rsidRPr="00C0783F">
        <w:t xml:space="preserve">free access to </w:t>
      </w:r>
      <w:r w:rsidR="005B207C">
        <w:t xml:space="preserve">televised coverage of </w:t>
      </w:r>
      <w:r w:rsidR="00B5207D">
        <w:t xml:space="preserve">nationally important and culturally significant </w:t>
      </w:r>
      <w:r w:rsidRPr="00C0783F">
        <w:t xml:space="preserve">sporting events) via </w:t>
      </w:r>
      <w:r w:rsidR="00B31E43" w:rsidRPr="00C0783F">
        <w:t>free-to-air broadcasters.</w:t>
      </w:r>
      <w:r>
        <w:t xml:space="preserve"> </w:t>
      </w:r>
      <w:r w:rsidRPr="00C0783F">
        <w:t xml:space="preserve">It would enhance the likelihood of these events being freely available to all Australians, </w:t>
      </w:r>
      <w:r w:rsidR="00C0783F" w:rsidRPr="00C0783F">
        <w:t xml:space="preserve">albeit via </w:t>
      </w:r>
      <w:r w:rsidR="00C0783F">
        <w:t xml:space="preserve">the </w:t>
      </w:r>
      <w:r w:rsidR="00C0783F" w:rsidRPr="00C0783F">
        <w:t>broadcast and online services provided by national and commercial broadcasters.</w:t>
      </w:r>
    </w:p>
    <w:p w14:paraId="2EFCA71B" w14:textId="552AC2AF" w:rsidR="006B789B" w:rsidRDefault="00C0783F" w:rsidP="006B789B">
      <w:pPr>
        <w:spacing w:after="0"/>
      </w:pPr>
      <w:r w:rsidRPr="00C0783F">
        <w:t xml:space="preserve">This model would </w:t>
      </w:r>
      <w:r w:rsidR="006B789B" w:rsidRPr="00C0783F">
        <w:t xml:space="preserve">mitigate the risk of audiences being subject to </w:t>
      </w:r>
      <w:r w:rsidR="00A7513A">
        <w:t xml:space="preserve">direct </w:t>
      </w:r>
      <w:r w:rsidR="006B789B" w:rsidRPr="00C0783F">
        <w:t>costs to access this content</w:t>
      </w:r>
      <w:r w:rsidR="00A7513A">
        <w:t xml:space="preserve"> </w:t>
      </w:r>
      <w:r w:rsidR="006B789B" w:rsidRPr="00C0783F">
        <w:t>(subscription or other fees or charges imposed on end-users to access coverage)</w:t>
      </w:r>
      <w:r w:rsidR="00A7513A">
        <w:t xml:space="preserve">. However, audiences may </w:t>
      </w:r>
      <w:r w:rsidR="00BB6E93">
        <w:t>be</w:t>
      </w:r>
      <w:r w:rsidR="00A7513A">
        <w:t xml:space="preserve"> subject to </w:t>
      </w:r>
      <w:r w:rsidR="006B789B" w:rsidRPr="00C0783F">
        <w:t xml:space="preserve">implicit </w:t>
      </w:r>
      <w:r w:rsidR="00A7513A">
        <w:t xml:space="preserve">costs </w:t>
      </w:r>
      <w:r w:rsidR="006B789B" w:rsidRPr="00C0783F">
        <w:t>(associated with the cost of assessing content online)</w:t>
      </w:r>
      <w:r w:rsidR="00A7513A">
        <w:t xml:space="preserve"> if broadcasters opted to provide exclusive coverage of listed events on their BVOD services.</w:t>
      </w:r>
    </w:p>
    <w:p w14:paraId="2DA373E0" w14:textId="2CF8DB0B" w:rsidR="00C0783F" w:rsidRPr="00E94FB2" w:rsidRDefault="006B789B" w:rsidP="00C0783F">
      <w:pPr>
        <w:spacing w:after="0"/>
      </w:pPr>
      <w:r w:rsidRPr="00E94FB2">
        <w:t xml:space="preserve">This model wouldn’t prevent other media providers from offering live and free access to </w:t>
      </w:r>
      <w:r w:rsidR="005B207C">
        <w:t xml:space="preserve">coverage of </w:t>
      </w:r>
      <w:r w:rsidRPr="00E94FB2">
        <w:t>events</w:t>
      </w:r>
      <w:r w:rsidR="00C0783F" w:rsidRPr="00E94FB2">
        <w:t xml:space="preserve">, pending the acquisition restriction being satisfied or the event being automatically delisted. Any content service provider could seek to acquire a right to provide coverage of a listed event in this circumstance, and this coverage could be live and free (potentially advertising-supported) should the service provider consider this to be commercially viable. However, the intent of this model would be to use free-to-air broadcasters and the services they provide (broadcast, online or other) to support free access to </w:t>
      </w:r>
      <w:r w:rsidR="003412C4">
        <w:t xml:space="preserve">televised coverage of </w:t>
      </w:r>
      <w:r w:rsidR="00B5207D">
        <w:t xml:space="preserve">nationally important and culturally significant </w:t>
      </w:r>
      <w:r w:rsidR="00C0783F" w:rsidRPr="00E94FB2">
        <w:t>sporting events for all Australians, regardless of their financial means or location.</w:t>
      </w:r>
    </w:p>
    <w:p w14:paraId="72A133A3" w14:textId="61F804A5" w:rsidR="006B789B" w:rsidRPr="00E94FB2" w:rsidRDefault="006B789B" w:rsidP="00FC7446">
      <w:r w:rsidRPr="00E94FB2">
        <w:t>However, this model would exacerbate a number of the acknowledged concerns and risks with the current scheme.</w:t>
      </w:r>
    </w:p>
    <w:p w14:paraId="2D46D732" w14:textId="0D741A36" w:rsidR="006B789B" w:rsidRPr="00E94FB2" w:rsidRDefault="006B789B" w:rsidP="00FC7446">
      <w:pPr>
        <w:pStyle w:val="ListParagraph"/>
        <w:numPr>
          <w:ilvl w:val="0"/>
          <w:numId w:val="21"/>
        </w:numPr>
        <w:contextualSpacing w:val="0"/>
      </w:pPr>
      <w:bookmarkStart w:id="213" w:name="_Hlk139901641"/>
      <w:r w:rsidRPr="00E94FB2">
        <w:t xml:space="preserve">It would </w:t>
      </w:r>
      <w:r w:rsidR="00AE0CC9">
        <w:t xml:space="preserve">substantially </w:t>
      </w:r>
      <w:r w:rsidR="004213AF">
        <w:t>broaden</w:t>
      </w:r>
      <w:r w:rsidRPr="00E94FB2">
        <w:t xml:space="preserve"> the </w:t>
      </w:r>
      <w:r w:rsidR="00A80AF6">
        <w:t xml:space="preserve">effective </w:t>
      </w:r>
      <w:r w:rsidR="004213AF">
        <w:t xml:space="preserve">restriction on </w:t>
      </w:r>
      <w:r w:rsidRPr="00E94FB2">
        <w:t xml:space="preserve">sports bodies </w:t>
      </w:r>
      <w:r w:rsidR="004213AF">
        <w:t xml:space="preserve">in terms of </w:t>
      </w:r>
      <w:r w:rsidRPr="00E94FB2">
        <w:t xml:space="preserve">their </w:t>
      </w:r>
      <w:r w:rsidR="004213AF">
        <w:t>ability to negotiate with content services regarding their rights.</w:t>
      </w:r>
      <w:r w:rsidR="00EC4E1F" w:rsidRPr="00EC4E1F">
        <w:t xml:space="preserve"> </w:t>
      </w:r>
      <w:r w:rsidR="00EC4E1F">
        <w:t xml:space="preserve">These bodies noted through submissions to the initial phase of the review that the ability to maximise revenue from these rights is critical </w:t>
      </w:r>
      <w:r w:rsidR="00FE548F">
        <w:t xml:space="preserve">to </w:t>
      </w:r>
      <w:r w:rsidR="00EC4E1F">
        <w:t>their ability to invest in their respective sports at the grassroots level, and underpins their operations as not-for-profit entities.</w:t>
      </w:r>
      <w:r w:rsidR="00EC4E1F" w:rsidRPr="0037192C">
        <w:rPr>
          <w:vertAlign w:val="superscript"/>
        </w:rPr>
        <w:footnoteReference w:id="141"/>
      </w:r>
      <w:r w:rsidR="00EC4E1F">
        <w:t xml:space="preserve"> </w:t>
      </w:r>
      <w:r w:rsidR="003343A4" w:rsidRPr="00E94FB2">
        <w:t>This model would effectively require sports bodies to negotiate with free-to-air broadcasters for all major categories of rights (broadcast</w:t>
      </w:r>
      <w:r w:rsidR="00F80283">
        <w:t xml:space="preserve">, </w:t>
      </w:r>
      <w:r w:rsidR="003343A4" w:rsidRPr="00E94FB2">
        <w:t xml:space="preserve">online </w:t>
      </w:r>
      <w:r w:rsidR="00F80283">
        <w:t>and any other form of right)</w:t>
      </w:r>
      <w:r w:rsidR="003343A4" w:rsidRPr="00E94FB2">
        <w:t xml:space="preserve"> before opening negotiations with other parties. This is substantially more restrictive than the current scheme</w:t>
      </w:r>
      <w:r w:rsidR="00FE548F">
        <w:t>.</w:t>
      </w:r>
    </w:p>
    <w:p w14:paraId="36467965" w14:textId="61B34292" w:rsidR="003343A4" w:rsidRPr="00E94FB2" w:rsidRDefault="00FE548F" w:rsidP="00FC7446">
      <w:pPr>
        <w:pStyle w:val="ListParagraph"/>
        <w:numPr>
          <w:ilvl w:val="0"/>
          <w:numId w:val="21"/>
        </w:numPr>
        <w:contextualSpacing w:val="0"/>
      </w:pPr>
      <w:r>
        <w:t xml:space="preserve">The free-to-air first model </w:t>
      </w:r>
      <w:r w:rsidR="006B789B" w:rsidRPr="00E94FB2">
        <w:t xml:space="preserve">would </w:t>
      </w:r>
      <w:r w:rsidR="00C0783F" w:rsidRPr="00E94FB2">
        <w:t>significantly</w:t>
      </w:r>
      <w:r w:rsidR="006B789B" w:rsidRPr="00E94FB2">
        <w:t xml:space="preserve"> extend the commercial advantages afforded to free-to-air broadcasters</w:t>
      </w:r>
      <w:r>
        <w:t xml:space="preserve"> </w:t>
      </w:r>
      <w:r w:rsidR="00C0783F" w:rsidRPr="00E94FB2">
        <w:t>– more so than Model 2 –</w:t>
      </w:r>
      <w:r w:rsidR="006B789B" w:rsidRPr="00E94FB2">
        <w:t xml:space="preserve"> and advance their negotiating position with regard to sports rights </w:t>
      </w:r>
      <w:r w:rsidR="006B789B" w:rsidRPr="00E94FB2">
        <w:lastRenderedPageBreak/>
        <w:t xml:space="preserve">compared with their competitors. </w:t>
      </w:r>
      <w:r w:rsidR="003343A4" w:rsidRPr="00E94FB2">
        <w:t xml:space="preserve">Again, this is a product of the requirement for a free-to-air broadcaster to have acquired a right to televise the event on a broadcasting service and a right to provide coverage of an event on a content service before another party </w:t>
      </w:r>
      <w:r w:rsidR="00F80283">
        <w:t>could</w:t>
      </w:r>
      <w:r w:rsidR="003343A4" w:rsidRPr="00E94FB2">
        <w:t xml:space="preserve"> acquire a right to the event.</w:t>
      </w:r>
    </w:p>
    <w:p w14:paraId="6A1BB9EB" w14:textId="6B7EDAC9" w:rsidR="006B789B" w:rsidRDefault="006B789B" w:rsidP="00FC7446">
      <w:pPr>
        <w:pStyle w:val="ListParagraph"/>
        <w:numPr>
          <w:ilvl w:val="0"/>
          <w:numId w:val="21"/>
        </w:numPr>
        <w:contextualSpacing w:val="0"/>
      </w:pPr>
      <w:r w:rsidRPr="00E94FB2">
        <w:t>It would also draw i</w:t>
      </w:r>
      <w:r w:rsidR="003866C5">
        <w:t>nto</w:t>
      </w:r>
      <w:r w:rsidRPr="00E94FB2">
        <w:t xml:space="preserve"> the scheme content service providers that are not currently subject to </w:t>
      </w:r>
      <w:r w:rsidR="002611E8">
        <w:t>any r</w:t>
      </w:r>
      <w:r w:rsidRPr="00E94FB2">
        <w:t>estriction</w:t>
      </w:r>
      <w:r w:rsidR="002611E8">
        <w:t>s</w:t>
      </w:r>
      <w:r w:rsidRPr="00E94FB2">
        <w:t xml:space="preserve"> in terms of rights acquisition. </w:t>
      </w:r>
      <w:r w:rsidR="00972724">
        <w:t>S</w:t>
      </w:r>
      <w:r w:rsidRPr="00E94FB2">
        <w:t>ervices such Amazon Prime</w:t>
      </w:r>
      <w:r w:rsidR="00E930D8">
        <w:t xml:space="preserve">, </w:t>
      </w:r>
      <w:r w:rsidRPr="00E94FB2">
        <w:t>Disney</w:t>
      </w:r>
      <w:r w:rsidR="00FE548F">
        <w:t>+</w:t>
      </w:r>
      <w:r w:rsidRPr="00E94FB2">
        <w:t xml:space="preserve"> </w:t>
      </w:r>
      <w:r w:rsidR="00E930D8">
        <w:t xml:space="preserve">and YouTube </w:t>
      </w:r>
      <w:r w:rsidRPr="00E94FB2">
        <w:t>(among others) would not be able to acquire a right to provide coverage of events on their services until a free</w:t>
      </w:r>
      <w:r w:rsidR="00BD4D6F">
        <w:noBreakHyphen/>
      </w:r>
      <w:r w:rsidRPr="00E94FB2">
        <w:t>to</w:t>
      </w:r>
      <w:r w:rsidR="00BD4D6F">
        <w:noBreakHyphen/>
      </w:r>
      <w:r w:rsidRPr="00E94FB2">
        <w:t>air broadcaster had acquired a right to televise</w:t>
      </w:r>
      <w:r w:rsidR="00C0783F" w:rsidRPr="00E94FB2">
        <w:t xml:space="preserve"> the event on a broadcasting service </w:t>
      </w:r>
      <w:r w:rsidR="00C0783F" w:rsidRPr="00E94FB2">
        <w:rPr>
          <w:u w:val="single"/>
        </w:rPr>
        <w:t>and</w:t>
      </w:r>
      <w:r w:rsidR="00C0783F" w:rsidRPr="00E94FB2">
        <w:t xml:space="preserve"> a right to provide coverage of the event on a content service to Australian audiences. </w:t>
      </w:r>
      <w:r w:rsidR="002611E8">
        <w:t xml:space="preserve">These entities would be </w:t>
      </w:r>
      <w:r w:rsidR="00E24008">
        <w:t xml:space="preserve">subject to the </w:t>
      </w:r>
      <w:r w:rsidR="002611E8">
        <w:t>operation of the scheme should they seek to acquire rights to listed events in the future.</w:t>
      </w:r>
    </w:p>
    <w:bookmarkEnd w:id="213"/>
    <w:p w14:paraId="44B85D5D" w14:textId="53678678" w:rsidR="006B789B" w:rsidRPr="00E94FB2" w:rsidRDefault="006B789B" w:rsidP="00FC7446">
      <w:r w:rsidRPr="00E94FB2">
        <w:t xml:space="preserve">While these adverse impacts are likely to be material, they need to be balanced against the costs and risks associated with the status quo where online rights to iconic events are not regulated in any way. The review has found that there is a latent although material risk of </w:t>
      </w:r>
      <w:r w:rsidR="00F80283">
        <w:t>listed</w:t>
      </w:r>
      <w:r w:rsidRPr="00E94FB2">
        <w:t xml:space="preserve"> events migrating behind online paywalls in the coming years. </w:t>
      </w:r>
      <w:r w:rsidR="00E70BA3">
        <w:t xml:space="preserve">As noted in relation to Model 2, international trends have seen the rights to single competitions or leagues being taken up by multiple providers, which can require consumers to pay for a number of services to gain access to the competition or league in question. </w:t>
      </w:r>
      <w:r w:rsidRPr="00E94FB2">
        <w:t xml:space="preserve">This would have detrimental outcomes </w:t>
      </w:r>
      <w:r w:rsidR="007B6816" w:rsidRPr="00E94FB2">
        <w:t>for Australian audiences with</w:t>
      </w:r>
      <w:r w:rsidRPr="00E94FB2">
        <w:t xml:space="preserve"> regressive impacts across Australian society, impacting </w:t>
      </w:r>
      <w:r w:rsidR="00F80283">
        <w:t xml:space="preserve">to the greatest extent </w:t>
      </w:r>
      <w:r w:rsidRPr="00E94FB2">
        <w:t>those without the means to pay for access to co</w:t>
      </w:r>
      <w:r w:rsidR="007B6816" w:rsidRPr="00E94FB2">
        <w:t>verage</w:t>
      </w:r>
      <w:r w:rsidR="00BD4D6F">
        <w:t xml:space="preserve"> of sporting events</w:t>
      </w:r>
      <w:r w:rsidR="00F80283">
        <w:t>.</w:t>
      </w:r>
    </w:p>
    <w:p w14:paraId="6FE28F53" w14:textId="459E9198" w:rsidR="007B6816" w:rsidRPr="00E94FB2" w:rsidRDefault="006B789B" w:rsidP="006B789B">
      <w:pPr>
        <w:spacing w:after="0"/>
      </w:pPr>
      <w:r w:rsidRPr="00E94FB2">
        <w:t xml:space="preserve">Even if this outcome doesn’t eventuate, and all online coverage of listed events is provided free (without subscription charges or other explicit costs for end-users), online access is not free. There are implicit costs associated with accessing online services for all consumers in the form of charges for broadband and mobile services. These costs are unlikely to alter significantly over the near- to medium-term, and their existence would undermine the ability of all Australians to have free access to </w:t>
      </w:r>
      <w:r w:rsidR="003412C4">
        <w:t xml:space="preserve">televised </w:t>
      </w:r>
      <w:r w:rsidRPr="00E94FB2">
        <w:t xml:space="preserve">coverage of </w:t>
      </w:r>
      <w:r w:rsidR="00B5207D">
        <w:t xml:space="preserve">nationally important and culturally significant </w:t>
      </w:r>
      <w:r w:rsidRPr="00E94FB2">
        <w:t>sporting events (which has been, and remains, the objective of the scheme).</w:t>
      </w:r>
    </w:p>
    <w:p w14:paraId="61A15B7C" w14:textId="6F44528D" w:rsidR="00401034" w:rsidRDefault="00FE548F" w:rsidP="006B789B">
      <w:pPr>
        <w:spacing w:after="0"/>
      </w:pPr>
      <w:r>
        <w:t>T</w:t>
      </w:r>
      <w:r w:rsidR="00531667">
        <w:t>hese concerns regarding the implicit costs for consumers in accessing</w:t>
      </w:r>
      <w:r w:rsidR="003412C4">
        <w:t xml:space="preserve"> televised</w:t>
      </w:r>
      <w:r w:rsidR="00531667">
        <w:t xml:space="preserve"> coverage of listed events online undermine the argument that free-to-air broadcasters should be provided with preferential access to these rights through the scheme (as envisaged under this model). The provision of coverage of a listed event by a free-to-air </w:t>
      </w:r>
      <w:proofErr w:type="spellStart"/>
      <w:r w:rsidR="00531667">
        <w:t>broadcaster</w:t>
      </w:r>
      <w:proofErr w:type="spellEnd"/>
      <w:r w:rsidR="00531667">
        <w:t xml:space="preserve"> via a content service (i.e. online) is little different from the provision of coverage of a listed event by a non-broadcaster, provided there is no subscription or other explicit fee imposed on the consumer in either scenario. The overall proposition from an audience perspective is </w:t>
      </w:r>
      <w:r w:rsidR="00401034">
        <w:t xml:space="preserve">likely to be </w:t>
      </w:r>
      <w:r w:rsidR="00531667">
        <w:t>the same, with the same technology constraints and costs.</w:t>
      </w:r>
    </w:p>
    <w:p w14:paraId="063F9977" w14:textId="2B1FDF5D" w:rsidR="006B789B" w:rsidRPr="004C3C39" w:rsidRDefault="006B789B" w:rsidP="006B789B">
      <w:pPr>
        <w:pStyle w:val="Heading3"/>
        <w:rPr>
          <w:sz w:val="28"/>
          <w:szCs w:val="28"/>
        </w:rPr>
      </w:pPr>
      <w:bookmarkStart w:id="214" w:name="_Toc140054312"/>
      <w:bookmarkStart w:id="215" w:name="_Toc140842926"/>
      <w:r>
        <w:rPr>
          <w:sz w:val="28"/>
          <w:szCs w:val="28"/>
        </w:rPr>
        <w:t>Government position</w:t>
      </w:r>
      <w:bookmarkEnd w:id="214"/>
      <w:bookmarkEnd w:id="215"/>
    </w:p>
    <w:p w14:paraId="50EF0F8B" w14:textId="00C8BB3F" w:rsidR="004A76DE" w:rsidRDefault="006B789B" w:rsidP="00E24008">
      <w:pPr>
        <w:pStyle w:val="ListParagraph"/>
        <w:tabs>
          <w:tab w:val="left" w:pos="567"/>
        </w:tabs>
        <w:spacing w:after="0"/>
        <w:ind w:left="0"/>
        <w:contextualSpacing w:val="0"/>
      </w:pPr>
      <w:r w:rsidRPr="00E94FB2">
        <w:t xml:space="preserve">The </w:t>
      </w:r>
      <w:r w:rsidR="00E24008" w:rsidRPr="00E94FB2">
        <w:t xml:space="preserve">free-to-air first </w:t>
      </w:r>
      <w:r w:rsidRPr="00E94FB2">
        <w:t xml:space="preserve">model </w:t>
      </w:r>
      <w:r w:rsidR="00E24008" w:rsidRPr="00E94FB2">
        <w:t xml:space="preserve">represents a significant expansion of the scope of the anti-siphoning scheme. </w:t>
      </w:r>
      <w:r w:rsidRPr="00E94FB2">
        <w:t xml:space="preserve">It would bring online services into the scheme and mitigate against the risks of coverage of </w:t>
      </w:r>
      <w:r w:rsidR="00B5207D">
        <w:t xml:space="preserve">nationally important and culturally significant </w:t>
      </w:r>
      <w:r w:rsidRPr="00E94FB2">
        <w:t>sporting events migrating behind a paywall, or consumers otherwise facing additional costs to access this content.</w:t>
      </w:r>
    </w:p>
    <w:p w14:paraId="7E3432DD" w14:textId="64AD972F" w:rsidR="00401034" w:rsidRDefault="00E24008" w:rsidP="00E24008">
      <w:pPr>
        <w:pStyle w:val="ListParagraph"/>
        <w:tabs>
          <w:tab w:val="left" w:pos="567"/>
        </w:tabs>
        <w:spacing w:after="0"/>
        <w:ind w:left="0"/>
        <w:contextualSpacing w:val="0"/>
      </w:pPr>
      <w:r w:rsidRPr="00E94FB2">
        <w:t xml:space="preserve">However, it would do so in a way that would provide free-to-air broadcasters with significant commercial advantage and </w:t>
      </w:r>
      <w:r w:rsidR="00401034">
        <w:t xml:space="preserve">would </w:t>
      </w:r>
      <w:r w:rsidRPr="00E94FB2">
        <w:t xml:space="preserve">place </w:t>
      </w:r>
      <w:r w:rsidR="00BD4D6F">
        <w:t xml:space="preserve">free-to-air </w:t>
      </w:r>
      <w:r w:rsidRPr="00E94FB2">
        <w:t>broadcast</w:t>
      </w:r>
      <w:r w:rsidRPr="00FC7446">
        <w:rPr>
          <w:u w:val="single"/>
        </w:rPr>
        <w:t>ers</w:t>
      </w:r>
      <w:r w:rsidRPr="00E94FB2">
        <w:t xml:space="preserve"> – rather than free-to-air broadcast</w:t>
      </w:r>
      <w:r w:rsidRPr="00FC7446">
        <w:rPr>
          <w:u w:val="single"/>
        </w:rPr>
        <w:t xml:space="preserve">ing services </w:t>
      </w:r>
      <w:r w:rsidRPr="00E94FB2">
        <w:t xml:space="preserve">– as the key mechanism to </w:t>
      </w:r>
      <w:r w:rsidR="00C34FF4">
        <w:t xml:space="preserve">support the achievement of the scheme’s objective of </w:t>
      </w:r>
      <w:r w:rsidRPr="00E94FB2">
        <w:t xml:space="preserve">free access to </w:t>
      </w:r>
      <w:r w:rsidR="003412C4">
        <w:t xml:space="preserve">televised coverage of </w:t>
      </w:r>
      <w:r w:rsidRPr="00E94FB2">
        <w:t>iconic events.</w:t>
      </w:r>
    </w:p>
    <w:p w14:paraId="339053A7" w14:textId="44D2C117" w:rsidR="00401034" w:rsidRDefault="001E5C0A" w:rsidP="00E24008">
      <w:pPr>
        <w:pStyle w:val="ListParagraph"/>
        <w:tabs>
          <w:tab w:val="left" w:pos="567"/>
        </w:tabs>
        <w:spacing w:after="0"/>
        <w:ind w:left="0"/>
        <w:contextualSpacing w:val="0"/>
      </w:pPr>
      <w:r w:rsidRPr="00E94FB2">
        <w:t>It would impede access to both the broadcast and online rights to events by parties other than free-to-air broadcasters,</w:t>
      </w:r>
      <w:r w:rsidR="00E94FB2" w:rsidRPr="00E94FB2">
        <w:t xml:space="preserve"> and adversely impact sports bodies and a relatively broad set of media entities. </w:t>
      </w:r>
      <w:r w:rsidR="00401034">
        <w:t>It would also seek to treat the content services provided by free-to-air services (i.e. streaming services) differently to content services provided by other parties, although to the consumer there is likely to be little practical difference.</w:t>
      </w:r>
    </w:p>
    <w:p w14:paraId="280721BB" w14:textId="7D9993F9" w:rsidR="003317FF" w:rsidRDefault="00401034" w:rsidP="0064562A">
      <w:pPr>
        <w:spacing w:after="0"/>
        <w:rPr>
          <w:b/>
        </w:rPr>
      </w:pPr>
      <w:r>
        <w:lastRenderedPageBreak/>
        <w:t>The</w:t>
      </w:r>
      <w:r w:rsidR="0034023B" w:rsidRPr="00E94FB2">
        <w:t xml:space="preserve"> level of regulatory intervention </w:t>
      </w:r>
      <w:r>
        <w:t xml:space="preserve">envisaged under the free-to-air first model </w:t>
      </w:r>
      <w:r w:rsidR="0034023B" w:rsidRPr="00E94FB2">
        <w:t xml:space="preserve">may be justified </w:t>
      </w:r>
      <w:r>
        <w:t xml:space="preserve">in the </w:t>
      </w:r>
      <w:r w:rsidR="0034023B" w:rsidRPr="00E94FB2">
        <w:t>future</w:t>
      </w:r>
      <w:r>
        <w:t>, depending on technology and market developments. However, at this</w:t>
      </w:r>
      <w:r w:rsidR="0034023B" w:rsidRPr="00E94FB2">
        <w:t xml:space="preserve"> point, the review has not found sufficient evidence to support this model in the near- to medium-term.</w:t>
      </w:r>
      <w:bookmarkEnd w:id="150"/>
      <w:r w:rsidR="003317FF">
        <w:rPr>
          <w:b/>
        </w:rPr>
        <w:br w:type="page"/>
      </w:r>
    </w:p>
    <w:p w14:paraId="34A5CDCA" w14:textId="267683C5" w:rsidR="008B0387" w:rsidRPr="00EB6AD5" w:rsidRDefault="00987FB6" w:rsidP="008B0387">
      <w:pPr>
        <w:pStyle w:val="Heading1"/>
      </w:pPr>
      <w:bookmarkStart w:id="216" w:name="_Toc141369808"/>
      <w:bookmarkStart w:id="217" w:name="_Toc140842936"/>
      <w:bookmarkStart w:id="218" w:name="_Toc143265599"/>
      <w:r>
        <w:lastRenderedPageBreak/>
        <w:t xml:space="preserve">Chapter 7: </w:t>
      </w:r>
      <w:r w:rsidR="0076025A">
        <w:t xml:space="preserve">Potential </w:t>
      </w:r>
      <w:r w:rsidR="00DE0409">
        <w:t xml:space="preserve">options for </w:t>
      </w:r>
      <w:r w:rsidR="0093715C">
        <w:t>reforming the anti</w:t>
      </w:r>
      <w:r w:rsidR="002E7271">
        <w:noBreakHyphen/>
      </w:r>
      <w:r w:rsidR="0093715C">
        <w:t>siphoning list</w:t>
      </w:r>
      <w:bookmarkEnd w:id="216"/>
      <w:bookmarkEnd w:id="217"/>
      <w:bookmarkEnd w:id="218"/>
    </w:p>
    <w:p w14:paraId="57D48377" w14:textId="4BFBDA28" w:rsidR="00DE0409" w:rsidRDefault="00BB6E93" w:rsidP="00E35351">
      <w:bookmarkStart w:id="219" w:name="_Hlk141182072"/>
      <w:r>
        <w:t>Under the current scheme, t</w:t>
      </w:r>
      <w:r w:rsidR="00E35351">
        <w:t xml:space="preserve">he </w:t>
      </w:r>
      <w:r w:rsidR="00E32052">
        <w:t xml:space="preserve">anti-siphoning </w:t>
      </w:r>
      <w:r w:rsidR="00E35351">
        <w:t xml:space="preserve">list is a legislative instrument made by the Minister </w:t>
      </w:r>
      <w:r w:rsidR="00B008B7">
        <w:t xml:space="preserve">that specifies the events, or events of a kind, the televising of which, in the Minister’s opinion, should be available free to the general public. Under the current scheme, the list is made </w:t>
      </w:r>
      <w:r w:rsidR="00E35351">
        <w:t>under subsection 115(1) of the BSA</w:t>
      </w:r>
      <w:r w:rsidR="0064562A">
        <w:t>.</w:t>
      </w:r>
    </w:p>
    <w:p w14:paraId="0EC45835" w14:textId="17ED0B92" w:rsidR="00E35351" w:rsidRDefault="00B008B7" w:rsidP="00E35351">
      <w:r>
        <w:t>A</w:t>
      </w:r>
      <w:r w:rsidR="009A15D3">
        <w:t xml:space="preserve"> list </w:t>
      </w:r>
      <w:r w:rsidR="00BB6E93">
        <w:t>must be</w:t>
      </w:r>
      <w:r w:rsidR="009A15D3">
        <w:t xml:space="preserve"> made for the anti-siphoning scheme to work, as the restriction on the acquisition of rights by subscription television broadcasting licensees</w:t>
      </w:r>
      <w:r w:rsidR="00D35AC6">
        <w:t xml:space="preserve"> under the current scheme</w:t>
      </w:r>
      <w:r w:rsidR="00BF279A">
        <w:t xml:space="preserve"> (</w:t>
      </w:r>
      <w:r w:rsidR="00D35AC6">
        <w:t xml:space="preserve">or </w:t>
      </w:r>
      <w:r w:rsidR="00750894">
        <w:t xml:space="preserve">the </w:t>
      </w:r>
      <w:r w:rsidR="001C5DBA">
        <w:t xml:space="preserve">operation of any </w:t>
      </w:r>
      <w:r w:rsidR="001D5692">
        <w:t xml:space="preserve">revised </w:t>
      </w:r>
      <w:r w:rsidR="001C5DBA">
        <w:t>scheme</w:t>
      </w:r>
      <w:r w:rsidR="00BF279A">
        <w:t xml:space="preserve">) </w:t>
      </w:r>
      <w:r w:rsidR="001C5DBA">
        <w:t>depends on a list being in place.</w:t>
      </w:r>
    </w:p>
    <w:p w14:paraId="1D7892EB" w14:textId="7BE1AE1C" w:rsidR="00E32052" w:rsidRDefault="00E32052" w:rsidP="00E32052">
      <w:bookmarkStart w:id="220" w:name="_Hlk142247364"/>
      <w:r>
        <w:t xml:space="preserve">The current list </w:t>
      </w:r>
      <w:r w:rsidR="00DE6393">
        <w:t xml:space="preserve">– </w:t>
      </w:r>
      <w:r>
        <w:t xml:space="preserve">the </w:t>
      </w:r>
      <w:r w:rsidRPr="004A44F5">
        <w:rPr>
          <w:i/>
        </w:rPr>
        <w:t>Broadcasting Services (Events) Notice 2023</w:t>
      </w:r>
      <w:r w:rsidR="009441CD">
        <w:rPr>
          <w:rStyle w:val="FootnoteReference"/>
          <w:i/>
        </w:rPr>
        <w:footnoteReference w:id="142"/>
      </w:r>
      <w:r w:rsidR="00DE6393">
        <w:t xml:space="preserve"> – </w:t>
      </w:r>
      <w:r>
        <w:t>was made in March 2023 and expires on</w:t>
      </w:r>
      <w:r w:rsidRPr="008E111B">
        <w:t xml:space="preserve"> 25</w:t>
      </w:r>
      <w:r w:rsidR="00DE6393">
        <w:t> </w:t>
      </w:r>
      <w:r w:rsidRPr="008E111B">
        <w:t>Mar</w:t>
      </w:r>
      <w:r w:rsidR="000F1C5F">
        <w:t>ch</w:t>
      </w:r>
      <w:r w:rsidRPr="008E111B">
        <w:t xml:space="preserve"> 2026</w:t>
      </w:r>
      <w:r>
        <w:t xml:space="preserve">. </w:t>
      </w:r>
      <w:r w:rsidR="00DE6393">
        <w:t xml:space="preserve">This list was made as an </w:t>
      </w:r>
      <w:r>
        <w:t xml:space="preserve">interim arrangement </w:t>
      </w:r>
      <w:r w:rsidR="00DE6393">
        <w:t xml:space="preserve">to provide continuity for the scheme </w:t>
      </w:r>
      <w:r>
        <w:t xml:space="preserve">while broader reforms were developed and progressed as part of this review. </w:t>
      </w:r>
      <w:r w:rsidR="00657D06">
        <w:t>The current list includes around 1,</w:t>
      </w:r>
      <w:r w:rsidR="00281671">
        <w:t xml:space="preserve">900 </w:t>
      </w:r>
      <w:r w:rsidR="00657D06">
        <w:t>events in total.</w:t>
      </w:r>
      <w:r w:rsidR="00657D06">
        <w:rPr>
          <w:rStyle w:val="FootnoteReference"/>
        </w:rPr>
        <w:footnoteReference w:id="143"/>
      </w:r>
    </w:p>
    <w:p w14:paraId="660E58B0" w14:textId="1BE172B8" w:rsidR="00C53181" w:rsidRDefault="00E32052" w:rsidP="00DB7637">
      <w:bookmarkStart w:id="221" w:name="_Hlk142045967"/>
      <w:r>
        <w:t xml:space="preserve">This chapter sets out </w:t>
      </w:r>
      <w:r w:rsidR="00534872">
        <w:t xml:space="preserve">the composition of three possible lists that could be </w:t>
      </w:r>
      <w:r w:rsidR="00F043C1">
        <w:t xml:space="preserve">made once reforms to the scheme </w:t>
      </w:r>
      <w:r w:rsidR="001D5692">
        <w:t>are</w:t>
      </w:r>
      <w:r w:rsidR="00F043C1">
        <w:t xml:space="preserve"> implemented. Any such list would effectively replace the current list, which would be repealed. </w:t>
      </w:r>
      <w:r>
        <w:t xml:space="preserve">The development </w:t>
      </w:r>
      <w:r w:rsidR="0069524B">
        <w:t>of</w:t>
      </w:r>
      <w:r>
        <w:t xml:space="preserve"> these </w:t>
      </w:r>
      <w:r w:rsidR="001D5692">
        <w:t>list options</w:t>
      </w:r>
      <w:r>
        <w:t xml:space="preserve"> has been informed by the preceding consultation process</w:t>
      </w:r>
      <w:r>
        <w:rPr>
          <w:rStyle w:val="FootnoteReference"/>
        </w:rPr>
        <w:footnoteReference w:id="144"/>
      </w:r>
      <w:r>
        <w:t xml:space="preserve"> and, to varying degrees, they </w:t>
      </w:r>
      <w:r w:rsidR="001D5692">
        <w:t>draw</w:t>
      </w:r>
      <w:r>
        <w:t xml:space="preserve"> on proposals put forward by stakeholders in that context.</w:t>
      </w:r>
    </w:p>
    <w:bookmarkEnd w:id="220"/>
    <w:bookmarkEnd w:id="221"/>
    <w:p w14:paraId="2EE42562" w14:textId="32FAAAC7" w:rsidR="007C19A7" w:rsidRDefault="001D5692" w:rsidP="007C19A7">
      <w:r>
        <w:t xml:space="preserve">The </w:t>
      </w:r>
      <w:r w:rsidR="00534872">
        <w:t xml:space="preserve">composition of </w:t>
      </w:r>
      <w:r w:rsidR="00723FDC">
        <w:t xml:space="preserve">any new list cannot </w:t>
      </w:r>
      <w:r w:rsidR="00534872">
        <w:t>be considered in isolation from the operation of the scheme</w:t>
      </w:r>
      <w:r>
        <w:t xml:space="preserve">. As such, </w:t>
      </w:r>
      <w:r w:rsidR="00534872">
        <w:t xml:space="preserve">the </w:t>
      </w:r>
      <w:r w:rsidR="00723FDC">
        <w:t xml:space="preserve">list </w:t>
      </w:r>
      <w:r w:rsidR="00534872">
        <w:t xml:space="preserve">options discussed in this chapter have been developed with regard to the reform </w:t>
      </w:r>
      <w:r w:rsidR="00723FDC">
        <w:t>models</w:t>
      </w:r>
      <w:r w:rsidR="00534872">
        <w:t xml:space="preserve"> outlined in Chapter 6.</w:t>
      </w:r>
    </w:p>
    <w:p w14:paraId="017AF247" w14:textId="55765508" w:rsidR="007C19A7" w:rsidRDefault="007C19A7" w:rsidP="007C19A7">
      <w:r>
        <w:t xml:space="preserve">Pending the outcomes of this consultation, the Government’s preferred </w:t>
      </w:r>
      <w:r w:rsidR="00040243">
        <w:t xml:space="preserve">list </w:t>
      </w:r>
      <w:r>
        <w:t>is the ‘modernised list’ (Option 2).</w:t>
      </w:r>
    </w:p>
    <w:p w14:paraId="64AD40D1" w14:textId="480030BF" w:rsidR="00C65200" w:rsidRPr="0064562A" w:rsidRDefault="00C65200" w:rsidP="0064562A">
      <w:pPr>
        <w:pStyle w:val="Caption"/>
      </w:pPr>
      <w:bookmarkStart w:id="222" w:name="_Toc143250749"/>
      <w:bookmarkStart w:id="223" w:name="_Hlk140693016"/>
      <w:r w:rsidRPr="0064562A">
        <w:t xml:space="preserve">Table </w:t>
      </w:r>
      <w:r w:rsidR="003C6E1E" w:rsidRPr="0064562A">
        <w:t>5</w:t>
      </w:r>
      <w:r w:rsidRPr="0064562A">
        <w:t xml:space="preserve">: Summary of </w:t>
      </w:r>
      <w:r w:rsidR="00977318" w:rsidRPr="0064562A">
        <w:t>options</w:t>
      </w:r>
      <w:r w:rsidRPr="0064562A">
        <w:t xml:space="preserve"> to reform the anti-siphoning list</w:t>
      </w:r>
      <w:bookmarkEnd w:id="222"/>
    </w:p>
    <w:tbl>
      <w:tblPr>
        <w:tblStyle w:val="DefaultTable1"/>
        <w:tblpPr w:leftFromText="180" w:rightFromText="180" w:vertAnchor="text" w:tblpY="1"/>
        <w:tblOverlap w:val="never"/>
        <w:tblW w:w="5055" w:type="pct"/>
        <w:tblLook w:val="04A0" w:firstRow="1" w:lastRow="0" w:firstColumn="1" w:lastColumn="0" w:noHBand="0" w:noVBand="1"/>
        <w:tblCaption w:val="Sample table"/>
        <w:tblDescription w:val="Sample table"/>
      </w:tblPr>
      <w:tblGrid>
        <w:gridCol w:w="1842"/>
        <w:gridCol w:w="2711"/>
        <w:gridCol w:w="2711"/>
        <w:gridCol w:w="2709"/>
      </w:tblGrid>
      <w:tr w:rsidR="00C65200" w:rsidRPr="00F45796" w14:paraId="75CC6B77" w14:textId="77777777" w:rsidTr="00977318">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24" w:type="pct"/>
            <w:tcBorders>
              <w:bottom w:val="single" w:sz="4" w:space="0" w:color="008089" w:themeColor="accent2"/>
            </w:tcBorders>
            <w:vAlign w:val="center"/>
          </w:tcPr>
          <w:p w14:paraId="659C8683" w14:textId="77777777" w:rsidR="00C65200" w:rsidRPr="00F45796" w:rsidRDefault="00C65200" w:rsidP="00C65200">
            <w:pPr>
              <w:spacing w:before="40" w:after="40"/>
              <w:rPr>
                <w:sz w:val="20"/>
                <w:szCs w:val="20"/>
              </w:rPr>
            </w:pPr>
          </w:p>
        </w:tc>
        <w:tc>
          <w:tcPr>
            <w:tcW w:w="1359" w:type="pct"/>
            <w:tcBorders>
              <w:bottom w:val="single" w:sz="4" w:space="0" w:color="008089" w:themeColor="accent2"/>
            </w:tcBorders>
            <w:vAlign w:val="center"/>
          </w:tcPr>
          <w:p w14:paraId="40E14D2C" w14:textId="77777777" w:rsidR="00C65200" w:rsidRPr="00F45796" w:rsidRDefault="00C65200" w:rsidP="004A44EE">
            <w:pPr>
              <w:pStyle w:val="ListParagraph"/>
              <w:numPr>
                <w:ilvl w:val="0"/>
                <w:numId w:val="74"/>
              </w:numPr>
              <w:spacing w:before="40" w:after="40"/>
              <w:contextualSpacing w:val="0"/>
              <w:cnfStyle w:val="100000000000" w:firstRow="1" w:lastRow="0" w:firstColumn="0" w:lastColumn="0" w:oddVBand="0" w:evenVBand="0" w:oddHBand="0" w:evenHBand="0" w:firstRowFirstColumn="0" w:firstRowLastColumn="0" w:lastRowFirstColumn="0" w:lastRowLastColumn="0"/>
              <w:rPr>
                <w:sz w:val="20"/>
                <w:szCs w:val="20"/>
              </w:rPr>
            </w:pPr>
            <w:r w:rsidRPr="00E84544">
              <w:rPr>
                <w:sz w:val="20"/>
                <w:szCs w:val="20"/>
              </w:rPr>
              <w:t>Streamlined list</w:t>
            </w:r>
          </w:p>
        </w:tc>
        <w:tc>
          <w:tcPr>
            <w:tcW w:w="1359" w:type="pct"/>
            <w:tcBorders>
              <w:bottom w:val="single" w:sz="4" w:space="0" w:color="008089" w:themeColor="accent2"/>
            </w:tcBorders>
            <w:vAlign w:val="center"/>
          </w:tcPr>
          <w:p w14:paraId="1E5A54F2" w14:textId="77777777" w:rsidR="00C65200" w:rsidRPr="000C1CBF" w:rsidRDefault="00C65200" w:rsidP="004A44EE">
            <w:pPr>
              <w:pStyle w:val="ListParagraph"/>
              <w:numPr>
                <w:ilvl w:val="0"/>
                <w:numId w:val="74"/>
              </w:numPr>
              <w:spacing w:before="40" w:after="40"/>
              <w:ind w:left="294" w:hanging="283"/>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Modernised list</w:t>
            </w:r>
          </w:p>
        </w:tc>
        <w:tc>
          <w:tcPr>
            <w:tcW w:w="1359" w:type="pct"/>
            <w:tcBorders>
              <w:bottom w:val="single" w:sz="4" w:space="0" w:color="008089" w:themeColor="accent2"/>
            </w:tcBorders>
            <w:vAlign w:val="center"/>
          </w:tcPr>
          <w:p w14:paraId="0A799817" w14:textId="77777777" w:rsidR="00C65200" w:rsidRPr="00F45796" w:rsidRDefault="00C65200" w:rsidP="004A44EE">
            <w:pPr>
              <w:pStyle w:val="ListParagraph"/>
              <w:numPr>
                <w:ilvl w:val="0"/>
                <w:numId w:val="74"/>
              </w:numPr>
              <w:spacing w:before="40" w:after="40"/>
              <w:ind w:left="232" w:hanging="283"/>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Expanded list</w:t>
            </w:r>
            <w:r w:rsidRPr="000C1CBF">
              <w:rPr>
                <w:sz w:val="20"/>
                <w:szCs w:val="20"/>
              </w:rPr>
              <w:t xml:space="preserve"> </w:t>
            </w:r>
          </w:p>
        </w:tc>
      </w:tr>
      <w:tr w:rsidR="00C65200" w:rsidRPr="00F45796" w14:paraId="54F0D03E" w14:textId="77777777" w:rsidTr="00977318">
        <w:tc>
          <w:tcPr>
            <w:cnfStyle w:val="001000000000" w:firstRow="0" w:lastRow="0" w:firstColumn="1" w:lastColumn="0" w:oddVBand="0" w:evenVBand="0" w:oddHBand="0" w:evenHBand="0" w:firstRowFirstColumn="0" w:firstRowLastColumn="0" w:lastRowFirstColumn="0" w:lastRowLastColumn="0"/>
            <w:tcW w:w="924" w:type="pct"/>
          </w:tcPr>
          <w:p w14:paraId="3E43AE84" w14:textId="77777777" w:rsidR="00C65200" w:rsidRPr="00F45796" w:rsidRDefault="00C65200" w:rsidP="00C65200">
            <w:pPr>
              <w:spacing w:before="40" w:after="40"/>
              <w:rPr>
                <w:sz w:val="20"/>
                <w:szCs w:val="20"/>
              </w:rPr>
            </w:pPr>
            <w:r>
              <w:rPr>
                <w:sz w:val="20"/>
                <w:szCs w:val="20"/>
              </w:rPr>
              <w:t>Summary</w:t>
            </w:r>
          </w:p>
        </w:tc>
        <w:tc>
          <w:tcPr>
            <w:tcW w:w="1359" w:type="pct"/>
          </w:tcPr>
          <w:p w14:paraId="458AC236" w14:textId="14B0FE57" w:rsidR="00C65200" w:rsidRPr="00213CB9" w:rsidRDefault="00C65200" w:rsidP="00C65200">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 xml:space="preserve">A significant </w:t>
            </w:r>
            <w:r>
              <w:rPr>
                <w:sz w:val="20"/>
                <w:szCs w:val="20"/>
              </w:rPr>
              <w:t xml:space="preserve">reduction of the current </w:t>
            </w:r>
            <w:r w:rsidRPr="00A43F9D">
              <w:rPr>
                <w:sz w:val="20"/>
                <w:szCs w:val="20"/>
              </w:rPr>
              <w:t>list</w:t>
            </w:r>
            <w:r w:rsidR="0014385C">
              <w:rPr>
                <w:sz w:val="20"/>
                <w:szCs w:val="20"/>
              </w:rPr>
              <w:t>.</w:t>
            </w:r>
          </w:p>
        </w:tc>
        <w:tc>
          <w:tcPr>
            <w:tcW w:w="1359" w:type="pct"/>
          </w:tcPr>
          <w:p w14:paraId="77497DA9" w14:textId="77777777" w:rsidR="00C65200" w:rsidRPr="00213CB9" w:rsidRDefault="00C65200" w:rsidP="00C65200">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r w:rsidR="002F5F69">
              <w:rPr>
                <w:sz w:val="20"/>
                <w:szCs w:val="20"/>
              </w:rPr>
              <w:t xml:space="preserve">n </w:t>
            </w:r>
            <w:r>
              <w:rPr>
                <w:sz w:val="20"/>
                <w:szCs w:val="20"/>
              </w:rPr>
              <w:t>increase</w:t>
            </w:r>
            <w:r w:rsidRPr="00213CB9">
              <w:rPr>
                <w:sz w:val="20"/>
                <w:szCs w:val="20"/>
              </w:rPr>
              <w:t xml:space="preserve"> of the current </w:t>
            </w:r>
            <w:r>
              <w:rPr>
                <w:sz w:val="20"/>
                <w:szCs w:val="20"/>
              </w:rPr>
              <w:t>list.</w:t>
            </w:r>
          </w:p>
        </w:tc>
        <w:tc>
          <w:tcPr>
            <w:tcW w:w="1359" w:type="pct"/>
          </w:tcPr>
          <w:p w14:paraId="5966B9C0" w14:textId="20B4019D" w:rsidR="00C65200" w:rsidRPr="00213CB9" w:rsidRDefault="00C65200" w:rsidP="00C65200">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 xml:space="preserve">A significant </w:t>
            </w:r>
            <w:r>
              <w:rPr>
                <w:sz w:val="20"/>
                <w:szCs w:val="20"/>
              </w:rPr>
              <w:t>expansion</w:t>
            </w:r>
            <w:r w:rsidRPr="00213CB9">
              <w:rPr>
                <w:sz w:val="20"/>
                <w:szCs w:val="20"/>
              </w:rPr>
              <w:t xml:space="preserve"> of the current</w:t>
            </w:r>
            <w:r>
              <w:rPr>
                <w:sz w:val="20"/>
                <w:szCs w:val="20"/>
              </w:rPr>
              <w:t xml:space="preserve"> list</w:t>
            </w:r>
            <w:r w:rsidRPr="00213CB9">
              <w:rPr>
                <w:sz w:val="20"/>
                <w:szCs w:val="20"/>
              </w:rPr>
              <w:t>.</w:t>
            </w:r>
          </w:p>
        </w:tc>
      </w:tr>
      <w:tr w:rsidR="004C138C" w:rsidRPr="00F45796" w14:paraId="4AE68039" w14:textId="77777777" w:rsidTr="00977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3571BE07" w14:textId="72D9AEEE" w:rsidR="004C138C" w:rsidRDefault="004C138C" w:rsidP="00C65200">
            <w:pPr>
              <w:spacing w:before="40" w:after="40"/>
              <w:rPr>
                <w:sz w:val="20"/>
                <w:szCs w:val="20"/>
              </w:rPr>
            </w:pPr>
            <w:r>
              <w:rPr>
                <w:sz w:val="20"/>
                <w:szCs w:val="20"/>
              </w:rPr>
              <w:t>Number of events</w:t>
            </w:r>
            <w:r w:rsidR="00281671" w:rsidRPr="00FC7446">
              <w:rPr>
                <w:rStyle w:val="FootnoteReference"/>
                <w:sz w:val="20"/>
                <w:szCs w:val="20"/>
              </w:rPr>
              <w:footnoteReference w:id="145"/>
            </w:r>
          </w:p>
        </w:tc>
        <w:tc>
          <w:tcPr>
            <w:tcW w:w="1359" w:type="pct"/>
          </w:tcPr>
          <w:p w14:paraId="6793F4C6" w14:textId="3C814415" w:rsidR="004C138C" w:rsidRPr="00AD45FC" w:rsidRDefault="00916CD6" w:rsidP="00C65200">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056164">
              <w:rPr>
                <w:sz w:val="20"/>
                <w:szCs w:val="20"/>
              </w:rPr>
              <w:t>~</w:t>
            </w:r>
            <w:r w:rsidR="008640BF" w:rsidRPr="00056164">
              <w:rPr>
                <w:sz w:val="20"/>
                <w:szCs w:val="20"/>
              </w:rPr>
              <w:t>3</w:t>
            </w:r>
            <w:r w:rsidRPr="00056164">
              <w:rPr>
                <w:sz w:val="20"/>
                <w:szCs w:val="20"/>
              </w:rPr>
              <w:t>30</w:t>
            </w:r>
          </w:p>
        </w:tc>
        <w:tc>
          <w:tcPr>
            <w:tcW w:w="1359" w:type="pct"/>
          </w:tcPr>
          <w:p w14:paraId="32222ECA" w14:textId="11532C60" w:rsidR="004C138C" w:rsidRPr="00AD45FC" w:rsidRDefault="00916CD6" w:rsidP="00C65200">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056164">
              <w:rPr>
                <w:sz w:val="20"/>
                <w:szCs w:val="20"/>
              </w:rPr>
              <w:t>~</w:t>
            </w:r>
            <w:r w:rsidR="008640BF" w:rsidRPr="00056164">
              <w:rPr>
                <w:sz w:val="20"/>
                <w:szCs w:val="20"/>
              </w:rPr>
              <w:t>2,5</w:t>
            </w:r>
            <w:r w:rsidRPr="00056164">
              <w:rPr>
                <w:sz w:val="20"/>
                <w:szCs w:val="20"/>
              </w:rPr>
              <w:t>00</w:t>
            </w:r>
          </w:p>
        </w:tc>
        <w:tc>
          <w:tcPr>
            <w:tcW w:w="1359" w:type="pct"/>
          </w:tcPr>
          <w:p w14:paraId="6469D392" w14:textId="3EDA09F6" w:rsidR="004C138C" w:rsidRPr="00AD45FC" w:rsidRDefault="00916CD6" w:rsidP="00C65200">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056164">
              <w:rPr>
                <w:sz w:val="20"/>
                <w:szCs w:val="20"/>
              </w:rPr>
              <w:t>~</w:t>
            </w:r>
            <w:r w:rsidR="00AD45FC" w:rsidRPr="00056164">
              <w:rPr>
                <w:sz w:val="20"/>
                <w:szCs w:val="20"/>
              </w:rPr>
              <w:t>2,8</w:t>
            </w:r>
            <w:r w:rsidRPr="00056164">
              <w:rPr>
                <w:sz w:val="20"/>
                <w:szCs w:val="20"/>
              </w:rPr>
              <w:t>00</w:t>
            </w:r>
          </w:p>
        </w:tc>
      </w:tr>
      <w:tr w:rsidR="00C65200" w:rsidRPr="00F45796" w14:paraId="24E58184" w14:textId="77777777" w:rsidTr="00977318">
        <w:tc>
          <w:tcPr>
            <w:cnfStyle w:val="001000000000" w:firstRow="0" w:lastRow="0" w:firstColumn="1" w:lastColumn="0" w:oddVBand="0" w:evenVBand="0" w:oddHBand="0" w:evenHBand="0" w:firstRowFirstColumn="0" w:firstRowLastColumn="0" w:lastRowFirstColumn="0" w:lastRowLastColumn="0"/>
            <w:tcW w:w="924" w:type="pct"/>
          </w:tcPr>
          <w:p w14:paraId="07D1F209" w14:textId="7CD7EA7D" w:rsidR="00C65200" w:rsidRDefault="00C65200" w:rsidP="00C65200">
            <w:pPr>
              <w:spacing w:before="40" w:after="40"/>
              <w:rPr>
                <w:sz w:val="20"/>
                <w:szCs w:val="20"/>
              </w:rPr>
            </w:pPr>
            <w:r>
              <w:rPr>
                <w:sz w:val="20"/>
                <w:szCs w:val="20"/>
              </w:rPr>
              <w:t>Compatib</w:t>
            </w:r>
            <w:r w:rsidR="00977318">
              <w:rPr>
                <w:sz w:val="20"/>
                <w:szCs w:val="20"/>
              </w:rPr>
              <w:t>ility</w:t>
            </w:r>
            <w:r>
              <w:rPr>
                <w:sz w:val="20"/>
                <w:szCs w:val="20"/>
              </w:rPr>
              <w:t xml:space="preserve"> </w:t>
            </w:r>
            <w:r w:rsidR="002E7271">
              <w:rPr>
                <w:sz w:val="20"/>
                <w:szCs w:val="20"/>
              </w:rPr>
              <w:t xml:space="preserve">with </w:t>
            </w:r>
            <w:r w:rsidR="00977318">
              <w:rPr>
                <w:sz w:val="20"/>
                <w:szCs w:val="20"/>
              </w:rPr>
              <w:t>reform models</w:t>
            </w:r>
          </w:p>
        </w:tc>
        <w:tc>
          <w:tcPr>
            <w:tcW w:w="1359" w:type="pct"/>
          </w:tcPr>
          <w:p w14:paraId="38E076D5" w14:textId="40D18A07" w:rsidR="00C65200" w:rsidRDefault="00806C9A" w:rsidP="0064562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Intended to be c</w:t>
            </w:r>
            <w:r w:rsidR="00977318">
              <w:rPr>
                <w:sz w:val="20"/>
                <w:szCs w:val="20"/>
              </w:rPr>
              <w:t>ompatible with the free-to-view model (Model 1).</w:t>
            </w:r>
          </w:p>
        </w:tc>
        <w:tc>
          <w:tcPr>
            <w:tcW w:w="1359" w:type="pct"/>
          </w:tcPr>
          <w:p w14:paraId="505735B8" w14:textId="2675E7D1" w:rsidR="00C65200" w:rsidRPr="00216AEA" w:rsidRDefault="00806C9A" w:rsidP="00C65200">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Intended to be c</w:t>
            </w:r>
            <w:r w:rsidR="00977318">
              <w:rPr>
                <w:sz w:val="20"/>
                <w:szCs w:val="20"/>
              </w:rPr>
              <w:t>ompatible with the broadcasting safety net and free-to-air first models (Models 2 and 3).</w:t>
            </w:r>
          </w:p>
        </w:tc>
        <w:tc>
          <w:tcPr>
            <w:tcW w:w="1359" w:type="pct"/>
          </w:tcPr>
          <w:p w14:paraId="3CDDD29C" w14:textId="41A8FE91" w:rsidR="00C65200" w:rsidRPr="00216AEA" w:rsidRDefault="00806C9A" w:rsidP="00977318">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Intended to be c</w:t>
            </w:r>
            <w:r w:rsidR="00977318">
              <w:rPr>
                <w:sz w:val="20"/>
                <w:szCs w:val="20"/>
              </w:rPr>
              <w:t>ompatible with the broadcasting safety net and free-to-air first models (Models 2 and 3).</w:t>
            </w:r>
          </w:p>
        </w:tc>
      </w:tr>
      <w:bookmarkEnd w:id="223"/>
    </w:tbl>
    <w:p w14:paraId="1899B65B" w14:textId="77777777" w:rsidR="0064562A" w:rsidRDefault="0064562A">
      <w:pPr>
        <w:rPr>
          <w:rFonts w:asciiTheme="majorHAnsi" w:eastAsiaTheme="majorEastAsia" w:hAnsiTheme="majorHAnsi" w:cstheme="majorBidi"/>
          <w:color w:val="005F66" w:themeColor="accent2" w:themeShade="BF"/>
          <w:sz w:val="32"/>
          <w:szCs w:val="24"/>
        </w:rPr>
      </w:pPr>
      <w:r>
        <w:br w:type="page"/>
      </w:r>
    </w:p>
    <w:p w14:paraId="13A66C70" w14:textId="6F5E8824" w:rsidR="00E16F04" w:rsidRDefault="00E16F04" w:rsidP="00E16F04">
      <w:pPr>
        <w:pStyle w:val="Heading3"/>
      </w:pPr>
      <w:r>
        <w:lastRenderedPageBreak/>
        <w:t>Compatibility with reform models</w:t>
      </w:r>
    </w:p>
    <w:p w14:paraId="729AC31A" w14:textId="57FEA0A8" w:rsidR="0011071C" w:rsidRDefault="00E16F04" w:rsidP="00723FDC">
      <w:pPr>
        <w:pStyle w:val="Introduction"/>
        <w:rPr>
          <w:color w:val="000000" w:themeColor="text1"/>
          <w:sz w:val="22"/>
          <w:lang w:val="en-AU"/>
        </w:rPr>
      </w:pPr>
      <w:r>
        <w:rPr>
          <w:color w:val="000000" w:themeColor="text1"/>
          <w:sz w:val="22"/>
          <w:lang w:val="en-AU"/>
        </w:rPr>
        <w:t>T</w:t>
      </w:r>
      <w:r w:rsidR="009C739E">
        <w:rPr>
          <w:color w:val="000000" w:themeColor="text1"/>
          <w:sz w:val="22"/>
          <w:lang w:val="en-AU"/>
        </w:rPr>
        <w:t xml:space="preserve">he </w:t>
      </w:r>
      <w:r w:rsidR="0093715C">
        <w:rPr>
          <w:color w:val="000000" w:themeColor="text1"/>
          <w:sz w:val="22"/>
          <w:lang w:val="en-AU"/>
        </w:rPr>
        <w:t>‘</w:t>
      </w:r>
      <w:r w:rsidR="009C739E">
        <w:rPr>
          <w:color w:val="000000" w:themeColor="text1"/>
          <w:sz w:val="22"/>
          <w:lang w:val="en-AU"/>
        </w:rPr>
        <w:t>streamlined list</w:t>
      </w:r>
      <w:r w:rsidR="0093715C">
        <w:rPr>
          <w:color w:val="000000" w:themeColor="text1"/>
          <w:sz w:val="22"/>
          <w:lang w:val="en-AU"/>
        </w:rPr>
        <w:t>’</w:t>
      </w:r>
      <w:r w:rsidR="009C739E">
        <w:rPr>
          <w:color w:val="000000" w:themeColor="text1"/>
          <w:sz w:val="22"/>
          <w:lang w:val="en-AU"/>
        </w:rPr>
        <w:t xml:space="preserve"> (Option 1) is the only list option that will work with the free-to-view model (Model 1). This is because the live and in full coverage requirement inherent to the free-to-view model necessitates a relatively shorter list compared with the current instrument. </w:t>
      </w:r>
      <w:r w:rsidR="0011071C">
        <w:rPr>
          <w:color w:val="000000" w:themeColor="text1"/>
          <w:sz w:val="22"/>
          <w:lang w:val="en-AU"/>
        </w:rPr>
        <w:t>T</w:t>
      </w:r>
      <w:r w:rsidR="009C739E">
        <w:rPr>
          <w:color w:val="000000" w:themeColor="text1"/>
          <w:sz w:val="22"/>
          <w:lang w:val="en-AU"/>
        </w:rPr>
        <w:t xml:space="preserve">he </w:t>
      </w:r>
      <w:r w:rsidR="0093715C">
        <w:rPr>
          <w:color w:val="000000" w:themeColor="text1"/>
          <w:sz w:val="22"/>
          <w:lang w:val="en-AU"/>
        </w:rPr>
        <w:t>‘</w:t>
      </w:r>
      <w:r w:rsidR="009C739E">
        <w:rPr>
          <w:color w:val="000000" w:themeColor="text1"/>
          <w:sz w:val="22"/>
          <w:lang w:val="en-AU"/>
        </w:rPr>
        <w:t>modernised list</w:t>
      </w:r>
      <w:r w:rsidR="0093715C">
        <w:rPr>
          <w:color w:val="000000" w:themeColor="text1"/>
          <w:sz w:val="22"/>
          <w:lang w:val="en-AU"/>
        </w:rPr>
        <w:t>’</w:t>
      </w:r>
      <w:r w:rsidR="009C739E">
        <w:rPr>
          <w:color w:val="000000" w:themeColor="text1"/>
          <w:sz w:val="22"/>
          <w:lang w:val="en-AU"/>
        </w:rPr>
        <w:t xml:space="preserve"> and </w:t>
      </w:r>
      <w:r w:rsidR="0093715C">
        <w:rPr>
          <w:color w:val="000000" w:themeColor="text1"/>
          <w:sz w:val="22"/>
          <w:lang w:val="en-AU"/>
        </w:rPr>
        <w:t>‘</w:t>
      </w:r>
      <w:r w:rsidR="009C739E">
        <w:rPr>
          <w:color w:val="000000" w:themeColor="text1"/>
          <w:sz w:val="22"/>
          <w:lang w:val="en-AU"/>
        </w:rPr>
        <w:t>expand</w:t>
      </w:r>
      <w:r w:rsidR="00F93397">
        <w:rPr>
          <w:color w:val="000000" w:themeColor="text1"/>
          <w:sz w:val="22"/>
          <w:lang w:val="en-AU"/>
        </w:rPr>
        <w:t>ed</w:t>
      </w:r>
      <w:r w:rsidR="009C739E">
        <w:rPr>
          <w:color w:val="000000" w:themeColor="text1"/>
          <w:sz w:val="22"/>
          <w:lang w:val="en-AU"/>
        </w:rPr>
        <w:t xml:space="preserve"> list</w:t>
      </w:r>
      <w:r w:rsidR="0093715C">
        <w:rPr>
          <w:color w:val="000000" w:themeColor="text1"/>
          <w:sz w:val="22"/>
          <w:lang w:val="en-AU"/>
        </w:rPr>
        <w:t>’</w:t>
      </w:r>
      <w:r w:rsidR="009C739E">
        <w:rPr>
          <w:color w:val="000000" w:themeColor="text1"/>
          <w:sz w:val="22"/>
          <w:lang w:val="en-AU"/>
        </w:rPr>
        <w:t xml:space="preserve"> options (Options 2 and 3 respectively) </w:t>
      </w:r>
      <w:r w:rsidR="0034467F">
        <w:rPr>
          <w:color w:val="000000" w:themeColor="text1"/>
          <w:sz w:val="22"/>
          <w:lang w:val="en-AU"/>
        </w:rPr>
        <w:t xml:space="preserve">are intended to work with either </w:t>
      </w:r>
      <w:r w:rsidR="009C739E">
        <w:rPr>
          <w:color w:val="000000" w:themeColor="text1"/>
          <w:sz w:val="22"/>
          <w:lang w:val="en-AU"/>
        </w:rPr>
        <w:t>of the two alternative reform models for the scheme: the broadcasting safety net model (Model 2); and the free-to-air first model (Model 3).</w:t>
      </w:r>
    </w:p>
    <w:p w14:paraId="363BA20D" w14:textId="77777777" w:rsidR="00E16F04" w:rsidRDefault="007C5943" w:rsidP="00E16F04">
      <w:pPr>
        <w:pStyle w:val="Heading3"/>
      </w:pPr>
      <w:r>
        <w:t>Football and cricket ma</w:t>
      </w:r>
      <w:r w:rsidR="009B1BC9">
        <w:t xml:space="preserve">tches involving </w:t>
      </w:r>
      <w:r>
        <w:t>a</w:t>
      </w:r>
      <w:r w:rsidR="009B1BC9">
        <w:t xml:space="preserve"> s</w:t>
      </w:r>
      <w:r w:rsidR="00E16F04">
        <w:t>enior Australian representative team</w:t>
      </w:r>
    </w:p>
    <w:p w14:paraId="28C48BE4" w14:textId="10D41B89" w:rsidR="009B1BC9" w:rsidRDefault="00EA7A85" w:rsidP="00723FDC">
      <w:pPr>
        <w:pStyle w:val="Introduction"/>
        <w:rPr>
          <w:color w:val="000000" w:themeColor="text1"/>
          <w:sz w:val="22"/>
          <w:lang w:val="en-AU"/>
        </w:rPr>
      </w:pPr>
      <w:r>
        <w:rPr>
          <w:color w:val="000000" w:themeColor="text1"/>
          <w:sz w:val="22"/>
          <w:lang w:val="en-AU"/>
        </w:rPr>
        <w:t xml:space="preserve">There are a number of </w:t>
      </w:r>
      <w:r w:rsidR="003E44A6">
        <w:rPr>
          <w:color w:val="000000" w:themeColor="text1"/>
          <w:sz w:val="22"/>
          <w:lang w:val="en-AU"/>
        </w:rPr>
        <w:t>r</w:t>
      </w:r>
      <w:r w:rsidR="00C429AD">
        <w:rPr>
          <w:color w:val="000000" w:themeColor="text1"/>
          <w:sz w:val="22"/>
          <w:lang w:val="en-AU"/>
        </w:rPr>
        <w:t xml:space="preserve">ugby </w:t>
      </w:r>
      <w:r w:rsidR="003E44A6">
        <w:rPr>
          <w:color w:val="000000" w:themeColor="text1"/>
          <w:sz w:val="22"/>
          <w:lang w:val="en-AU"/>
        </w:rPr>
        <w:t>l</w:t>
      </w:r>
      <w:r w:rsidR="00C429AD">
        <w:rPr>
          <w:color w:val="000000" w:themeColor="text1"/>
          <w:sz w:val="22"/>
          <w:lang w:val="en-AU"/>
        </w:rPr>
        <w:t xml:space="preserve">eague, </w:t>
      </w:r>
      <w:r w:rsidR="003E44A6">
        <w:rPr>
          <w:color w:val="000000" w:themeColor="text1"/>
          <w:sz w:val="22"/>
          <w:lang w:val="en-AU"/>
        </w:rPr>
        <w:t>r</w:t>
      </w:r>
      <w:r w:rsidR="00C429AD">
        <w:rPr>
          <w:color w:val="000000" w:themeColor="text1"/>
          <w:sz w:val="22"/>
          <w:lang w:val="en-AU"/>
        </w:rPr>
        <w:t xml:space="preserve">ugby </w:t>
      </w:r>
      <w:r w:rsidR="003E44A6">
        <w:rPr>
          <w:color w:val="000000" w:themeColor="text1"/>
          <w:sz w:val="22"/>
          <w:lang w:val="en-AU"/>
        </w:rPr>
        <w:t>u</w:t>
      </w:r>
      <w:r w:rsidR="00C429AD">
        <w:rPr>
          <w:color w:val="000000" w:themeColor="text1"/>
          <w:sz w:val="22"/>
          <w:lang w:val="en-AU"/>
        </w:rPr>
        <w:t xml:space="preserve">nion and </w:t>
      </w:r>
      <w:r w:rsidR="000C597A">
        <w:rPr>
          <w:color w:val="000000" w:themeColor="text1"/>
          <w:sz w:val="22"/>
          <w:lang w:val="en-AU"/>
        </w:rPr>
        <w:t>c</w:t>
      </w:r>
      <w:r w:rsidR="00C429AD">
        <w:rPr>
          <w:color w:val="000000" w:themeColor="text1"/>
          <w:sz w:val="22"/>
          <w:lang w:val="en-AU"/>
        </w:rPr>
        <w:t xml:space="preserve">ricket </w:t>
      </w:r>
      <w:proofErr w:type="gramStart"/>
      <w:r w:rsidR="009B1BC9">
        <w:rPr>
          <w:color w:val="000000" w:themeColor="text1"/>
          <w:sz w:val="22"/>
          <w:lang w:val="en-AU"/>
        </w:rPr>
        <w:t>matches</w:t>
      </w:r>
      <w:proofErr w:type="gramEnd"/>
      <w:r w:rsidR="009B1BC9">
        <w:rPr>
          <w:color w:val="000000" w:themeColor="text1"/>
          <w:sz w:val="22"/>
          <w:lang w:val="en-AU"/>
        </w:rPr>
        <w:t xml:space="preserve"> </w:t>
      </w:r>
      <w:r>
        <w:rPr>
          <w:color w:val="000000" w:themeColor="text1"/>
          <w:sz w:val="22"/>
          <w:lang w:val="en-AU"/>
        </w:rPr>
        <w:t>on the current list that involv</w:t>
      </w:r>
      <w:r w:rsidR="009B1BC9">
        <w:rPr>
          <w:color w:val="000000" w:themeColor="text1"/>
          <w:sz w:val="22"/>
          <w:lang w:val="en-AU"/>
        </w:rPr>
        <w:t>e</w:t>
      </w:r>
      <w:r>
        <w:rPr>
          <w:color w:val="000000" w:themeColor="text1"/>
          <w:sz w:val="22"/>
          <w:lang w:val="en-AU"/>
        </w:rPr>
        <w:t xml:space="preserve"> the senior Australian representative team, or the senior Australian representative team selected by the relevant sports body.</w:t>
      </w:r>
      <w:r w:rsidR="00C16AE6">
        <w:rPr>
          <w:color w:val="000000" w:themeColor="text1"/>
          <w:sz w:val="22"/>
          <w:lang w:val="en-AU"/>
        </w:rPr>
        <w:t xml:space="preserve"> </w:t>
      </w:r>
      <w:r w:rsidR="009B1BC9">
        <w:rPr>
          <w:color w:val="000000" w:themeColor="text1"/>
          <w:sz w:val="22"/>
          <w:lang w:val="en-AU"/>
        </w:rPr>
        <w:t>These are matches fall into one of two categories:</w:t>
      </w:r>
    </w:p>
    <w:p w14:paraId="17376207" w14:textId="5E662525" w:rsidR="009B1BC9" w:rsidRDefault="009B1BC9" w:rsidP="009B1BC9">
      <w:pPr>
        <w:pStyle w:val="Introduction"/>
        <w:numPr>
          <w:ilvl w:val="0"/>
          <w:numId w:val="65"/>
        </w:numPr>
        <w:rPr>
          <w:color w:val="000000" w:themeColor="text1"/>
          <w:sz w:val="22"/>
          <w:lang w:val="en-AU"/>
        </w:rPr>
      </w:pPr>
      <w:r w:rsidRPr="009B1BC9">
        <w:rPr>
          <w:color w:val="000000" w:themeColor="text1"/>
          <w:sz w:val="22"/>
          <w:lang w:val="en-AU"/>
        </w:rPr>
        <w:t xml:space="preserve">‘standalone’ </w:t>
      </w:r>
      <w:r w:rsidR="0092530E">
        <w:rPr>
          <w:color w:val="000000" w:themeColor="text1"/>
          <w:sz w:val="22"/>
          <w:lang w:val="en-AU"/>
        </w:rPr>
        <w:t>matches</w:t>
      </w:r>
      <w:r w:rsidRPr="009B1BC9">
        <w:rPr>
          <w:color w:val="000000" w:themeColor="text1"/>
          <w:sz w:val="22"/>
          <w:lang w:val="en-AU"/>
        </w:rPr>
        <w:t xml:space="preserve"> that are </w:t>
      </w:r>
      <w:r>
        <w:rPr>
          <w:color w:val="000000" w:themeColor="text1"/>
          <w:sz w:val="22"/>
          <w:lang w:val="en-AU"/>
        </w:rPr>
        <w:t>n</w:t>
      </w:r>
      <w:r w:rsidR="00BF3ADD" w:rsidRPr="009B1BC9">
        <w:rPr>
          <w:color w:val="000000" w:themeColor="text1"/>
          <w:sz w:val="22"/>
          <w:lang w:val="en-AU"/>
        </w:rPr>
        <w:t>ot</w:t>
      </w:r>
      <w:r w:rsidR="00C16AE6" w:rsidRPr="009B1BC9">
        <w:rPr>
          <w:color w:val="000000" w:themeColor="text1"/>
          <w:sz w:val="22"/>
          <w:lang w:val="en-AU"/>
        </w:rPr>
        <w:t xml:space="preserve"> specific to a particular tournament</w:t>
      </w:r>
      <w:r>
        <w:rPr>
          <w:color w:val="000000" w:themeColor="text1"/>
          <w:sz w:val="22"/>
          <w:lang w:val="en-AU"/>
        </w:rPr>
        <w:t>,</w:t>
      </w:r>
      <w:r w:rsidR="00C16AE6" w:rsidRPr="009B1BC9">
        <w:rPr>
          <w:color w:val="000000" w:themeColor="text1"/>
          <w:sz w:val="22"/>
          <w:lang w:val="en-AU"/>
        </w:rPr>
        <w:t xml:space="preserve"> but are international-level </w:t>
      </w:r>
      <w:r w:rsidR="0092530E">
        <w:rPr>
          <w:color w:val="000000" w:themeColor="text1"/>
          <w:sz w:val="22"/>
          <w:lang w:val="en-AU"/>
        </w:rPr>
        <w:t>fixtures</w:t>
      </w:r>
      <w:r w:rsidR="00C16AE6" w:rsidRPr="009B1BC9">
        <w:rPr>
          <w:color w:val="000000" w:themeColor="text1"/>
          <w:sz w:val="22"/>
          <w:lang w:val="en-AU"/>
        </w:rPr>
        <w:t xml:space="preserve"> </w:t>
      </w:r>
      <w:r w:rsidR="00BF3ADD" w:rsidRPr="009B1BC9">
        <w:rPr>
          <w:color w:val="000000" w:themeColor="text1"/>
          <w:sz w:val="22"/>
          <w:lang w:val="en-AU"/>
        </w:rPr>
        <w:t xml:space="preserve">played </w:t>
      </w:r>
      <w:r w:rsidR="00C16AE6" w:rsidRPr="009B1BC9">
        <w:rPr>
          <w:color w:val="000000" w:themeColor="text1"/>
          <w:sz w:val="22"/>
          <w:lang w:val="en-AU"/>
        </w:rPr>
        <w:t xml:space="preserve">between an Australian senior representative side and </w:t>
      </w:r>
      <w:r w:rsidR="00BF3ADD" w:rsidRPr="009B1BC9">
        <w:rPr>
          <w:color w:val="000000" w:themeColor="text1"/>
          <w:sz w:val="22"/>
          <w:lang w:val="en-AU"/>
        </w:rPr>
        <w:t>an international counterpart</w:t>
      </w:r>
      <w:r>
        <w:rPr>
          <w:color w:val="000000" w:themeColor="text1"/>
          <w:sz w:val="22"/>
          <w:lang w:val="en-AU"/>
        </w:rPr>
        <w:t>; or</w:t>
      </w:r>
    </w:p>
    <w:p w14:paraId="42B862DC" w14:textId="0FABEDA9" w:rsidR="009B1BC9" w:rsidRDefault="009B1BC9" w:rsidP="009B1BC9">
      <w:pPr>
        <w:pStyle w:val="Introduction"/>
        <w:numPr>
          <w:ilvl w:val="0"/>
          <w:numId w:val="65"/>
        </w:numPr>
        <w:rPr>
          <w:color w:val="000000" w:themeColor="text1"/>
          <w:sz w:val="22"/>
          <w:lang w:val="en-AU"/>
        </w:rPr>
      </w:pPr>
      <w:r>
        <w:rPr>
          <w:color w:val="000000" w:themeColor="text1"/>
          <w:sz w:val="22"/>
          <w:lang w:val="en-AU"/>
        </w:rPr>
        <w:t>‘</w:t>
      </w:r>
      <w:r w:rsidR="00807112">
        <w:rPr>
          <w:color w:val="000000" w:themeColor="text1"/>
          <w:sz w:val="22"/>
          <w:lang w:val="en-AU"/>
        </w:rPr>
        <w:t>w</w:t>
      </w:r>
      <w:r>
        <w:rPr>
          <w:color w:val="000000" w:themeColor="text1"/>
          <w:sz w:val="22"/>
          <w:lang w:val="en-AU"/>
        </w:rPr>
        <w:t xml:space="preserve">orld </w:t>
      </w:r>
      <w:r w:rsidR="00807112">
        <w:rPr>
          <w:color w:val="000000" w:themeColor="text1"/>
          <w:sz w:val="22"/>
          <w:lang w:val="en-AU"/>
        </w:rPr>
        <w:t>c</w:t>
      </w:r>
      <w:r>
        <w:rPr>
          <w:color w:val="000000" w:themeColor="text1"/>
          <w:sz w:val="22"/>
          <w:lang w:val="en-AU"/>
        </w:rPr>
        <w:t xml:space="preserve">up’ matches played as part of </w:t>
      </w:r>
      <w:r w:rsidR="00D21A37">
        <w:rPr>
          <w:color w:val="000000" w:themeColor="text1"/>
          <w:sz w:val="22"/>
          <w:lang w:val="en-AU"/>
        </w:rPr>
        <w:t>the</w:t>
      </w:r>
      <w:r>
        <w:rPr>
          <w:color w:val="000000" w:themeColor="text1"/>
          <w:sz w:val="22"/>
          <w:lang w:val="en-AU"/>
        </w:rPr>
        <w:t xml:space="preserve"> preliminary rounds or finals of a </w:t>
      </w:r>
      <w:r w:rsidR="00807112">
        <w:rPr>
          <w:color w:val="000000" w:themeColor="text1"/>
          <w:sz w:val="22"/>
          <w:lang w:val="en-AU"/>
        </w:rPr>
        <w:t>w</w:t>
      </w:r>
      <w:r>
        <w:rPr>
          <w:color w:val="000000" w:themeColor="text1"/>
          <w:sz w:val="22"/>
          <w:lang w:val="en-AU"/>
        </w:rPr>
        <w:t xml:space="preserve">orld </w:t>
      </w:r>
      <w:r w:rsidR="00807112">
        <w:rPr>
          <w:color w:val="000000" w:themeColor="text1"/>
          <w:sz w:val="22"/>
          <w:lang w:val="en-AU"/>
        </w:rPr>
        <w:t>c</w:t>
      </w:r>
      <w:r>
        <w:rPr>
          <w:color w:val="000000" w:themeColor="text1"/>
          <w:sz w:val="22"/>
          <w:lang w:val="en-AU"/>
        </w:rPr>
        <w:t>up tournament.</w:t>
      </w:r>
    </w:p>
    <w:p w14:paraId="36B5743B" w14:textId="77777777" w:rsidR="009B1BC9" w:rsidRPr="009B1BC9" w:rsidRDefault="009B1BC9" w:rsidP="00C16AE6">
      <w:pPr>
        <w:pStyle w:val="Introduction"/>
        <w:rPr>
          <w:b/>
          <w:color w:val="000000" w:themeColor="text1"/>
          <w:sz w:val="28"/>
          <w:szCs w:val="28"/>
          <w:lang w:val="en-AU"/>
        </w:rPr>
      </w:pPr>
      <w:r w:rsidRPr="009B1BC9">
        <w:rPr>
          <w:b/>
          <w:color w:val="000000" w:themeColor="text1"/>
          <w:sz w:val="28"/>
          <w:szCs w:val="28"/>
          <w:lang w:val="en-AU"/>
        </w:rPr>
        <w:t>Standalone international matches</w:t>
      </w:r>
    </w:p>
    <w:p w14:paraId="6A38BAE5" w14:textId="51C9317A" w:rsidR="009B1BC9" w:rsidRPr="009B1BC9" w:rsidRDefault="009B1BC9" w:rsidP="00C16AE6">
      <w:pPr>
        <w:pStyle w:val="Introduction"/>
        <w:rPr>
          <w:color w:val="000000" w:themeColor="text1"/>
          <w:sz w:val="22"/>
          <w:lang w:val="en-AU"/>
        </w:rPr>
      </w:pPr>
      <w:r>
        <w:rPr>
          <w:color w:val="000000" w:themeColor="text1"/>
          <w:sz w:val="22"/>
          <w:lang w:val="en-AU"/>
        </w:rPr>
        <w:t>Standalone international matches are included in the current list in relation to three sports.</w:t>
      </w:r>
    </w:p>
    <w:p w14:paraId="1D66DDA0" w14:textId="77777777" w:rsidR="00C16AE6" w:rsidRPr="006A552D" w:rsidRDefault="00C16AE6" w:rsidP="00C16AE6">
      <w:pPr>
        <w:pStyle w:val="Introduction"/>
        <w:rPr>
          <w:b/>
          <w:color w:val="000000" w:themeColor="text1"/>
          <w:sz w:val="22"/>
          <w:lang w:val="en-AU"/>
        </w:rPr>
      </w:pPr>
      <w:r w:rsidRPr="006A552D">
        <w:rPr>
          <w:b/>
          <w:color w:val="000000" w:themeColor="text1"/>
          <w:sz w:val="22"/>
          <w:lang w:val="en-AU"/>
        </w:rPr>
        <w:t>Rugby League</w:t>
      </w:r>
    </w:p>
    <w:p w14:paraId="0E511553" w14:textId="2E7C014B" w:rsidR="00C16AE6" w:rsidRDefault="00C16AE6" w:rsidP="00C16AE6">
      <w:pPr>
        <w:pStyle w:val="Introduction"/>
        <w:numPr>
          <w:ilvl w:val="0"/>
          <w:numId w:val="61"/>
        </w:numPr>
        <w:rPr>
          <w:color w:val="000000" w:themeColor="text1"/>
          <w:sz w:val="22"/>
          <w:lang w:val="en-AU"/>
        </w:rPr>
      </w:pPr>
      <w:r>
        <w:rPr>
          <w:color w:val="000000" w:themeColor="text1"/>
          <w:sz w:val="22"/>
          <w:lang w:val="en-AU"/>
        </w:rPr>
        <w:t>International rugby league test matches that involve the senior Australian representative team.</w:t>
      </w:r>
    </w:p>
    <w:p w14:paraId="57ABCE98" w14:textId="77777777" w:rsidR="00C16AE6" w:rsidRPr="006A552D" w:rsidRDefault="00C16AE6" w:rsidP="00C16AE6">
      <w:pPr>
        <w:rPr>
          <w:b/>
        </w:rPr>
      </w:pPr>
      <w:r w:rsidRPr="006A552D">
        <w:rPr>
          <w:b/>
        </w:rPr>
        <w:t>Rugby Union</w:t>
      </w:r>
    </w:p>
    <w:p w14:paraId="752174F5" w14:textId="664A6A44" w:rsidR="00C16AE6" w:rsidRDefault="00C16AE6" w:rsidP="00C16AE6">
      <w:pPr>
        <w:pStyle w:val="Introduction"/>
        <w:numPr>
          <w:ilvl w:val="0"/>
          <w:numId w:val="61"/>
        </w:numPr>
        <w:rPr>
          <w:color w:val="000000" w:themeColor="text1"/>
          <w:sz w:val="22"/>
          <w:lang w:val="en-AU"/>
        </w:rPr>
      </w:pPr>
      <w:r>
        <w:rPr>
          <w:color w:val="000000" w:themeColor="text1"/>
          <w:sz w:val="22"/>
          <w:lang w:val="en-AU"/>
        </w:rPr>
        <w:t>I</w:t>
      </w:r>
      <w:r w:rsidRPr="00E16F04">
        <w:rPr>
          <w:color w:val="000000" w:themeColor="text1"/>
          <w:sz w:val="22"/>
          <w:lang w:val="en-AU"/>
        </w:rPr>
        <w:t>nternational test match</w:t>
      </w:r>
      <w:r>
        <w:rPr>
          <w:color w:val="000000" w:themeColor="text1"/>
          <w:sz w:val="22"/>
          <w:lang w:val="en-AU"/>
        </w:rPr>
        <w:t>es</w:t>
      </w:r>
      <w:r w:rsidRPr="00E16F04">
        <w:rPr>
          <w:color w:val="000000" w:themeColor="text1"/>
          <w:sz w:val="22"/>
          <w:lang w:val="en-AU"/>
        </w:rPr>
        <w:t xml:space="preserve"> tha</w:t>
      </w:r>
      <w:r>
        <w:rPr>
          <w:color w:val="000000" w:themeColor="text1"/>
          <w:sz w:val="22"/>
          <w:lang w:val="en-AU"/>
        </w:rPr>
        <w:t xml:space="preserve">t </w:t>
      </w:r>
      <w:r w:rsidRPr="00E16F04">
        <w:rPr>
          <w:color w:val="000000" w:themeColor="text1"/>
          <w:sz w:val="22"/>
          <w:lang w:val="en-AU"/>
        </w:rPr>
        <w:t>involve the senior Australian representative team selected by Rugby Australia</w:t>
      </w:r>
      <w:r>
        <w:rPr>
          <w:color w:val="000000" w:themeColor="text1"/>
          <w:sz w:val="22"/>
          <w:lang w:val="en-AU"/>
        </w:rPr>
        <w:t>.</w:t>
      </w:r>
    </w:p>
    <w:p w14:paraId="1F90CFBF" w14:textId="77777777" w:rsidR="00C16AE6" w:rsidRPr="006A552D" w:rsidRDefault="00C16AE6" w:rsidP="00C16AE6">
      <w:pPr>
        <w:pStyle w:val="Introduction"/>
        <w:rPr>
          <w:b/>
          <w:color w:val="000000" w:themeColor="text1"/>
          <w:sz w:val="22"/>
          <w:lang w:val="en-AU"/>
        </w:rPr>
      </w:pPr>
      <w:r w:rsidRPr="006A552D">
        <w:rPr>
          <w:b/>
          <w:color w:val="000000" w:themeColor="text1"/>
          <w:sz w:val="22"/>
          <w:lang w:val="en-AU"/>
        </w:rPr>
        <w:t>Cricket</w:t>
      </w:r>
    </w:p>
    <w:p w14:paraId="117E85DE" w14:textId="4FDBB29B" w:rsidR="009B1BC9" w:rsidRPr="009B1BC9" w:rsidRDefault="00C16AE6" w:rsidP="00723FDC">
      <w:pPr>
        <w:pStyle w:val="Introduction"/>
        <w:numPr>
          <w:ilvl w:val="0"/>
          <w:numId w:val="61"/>
        </w:numPr>
        <w:rPr>
          <w:color w:val="000000" w:themeColor="text1"/>
          <w:sz w:val="22"/>
          <w:lang w:val="en-AU"/>
        </w:rPr>
      </w:pPr>
      <w:r>
        <w:rPr>
          <w:color w:val="000000" w:themeColor="text1"/>
          <w:sz w:val="22"/>
          <w:lang w:val="en-AU"/>
        </w:rPr>
        <w:t>Test matches, one day cricket matches and Twenty20 cricket matches that involve the senior Australian representative team selected by Cricket Australia.</w:t>
      </w:r>
    </w:p>
    <w:p w14:paraId="68B9D82D" w14:textId="3A5FC079" w:rsidR="0034467F" w:rsidRDefault="006957C6" w:rsidP="00723FDC">
      <w:pPr>
        <w:pStyle w:val="Introduction"/>
        <w:rPr>
          <w:color w:val="000000" w:themeColor="text1"/>
          <w:sz w:val="22"/>
          <w:lang w:val="en-AU"/>
        </w:rPr>
      </w:pPr>
      <w:r>
        <w:rPr>
          <w:color w:val="000000" w:themeColor="text1"/>
          <w:sz w:val="22"/>
          <w:lang w:val="en-AU"/>
        </w:rPr>
        <w:t>E</w:t>
      </w:r>
      <w:r w:rsidR="00C16AE6">
        <w:rPr>
          <w:color w:val="000000" w:themeColor="text1"/>
          <w:sz w:val="22"/>
          <w:lang w:val="en-AU"/>
        </w:rPr>
        <w:t xml:space="preserve">ach of the </w:t>
      </w:r>
      <w:r w:rsidR="006A552D">
        <w:rPr>
          <w:color w:val="000000" w:themeColor="text1"/>
          <w:sz w:val="22"/>
          <w:lang w:val="en-AU"/>
        </w:rPr>
        <w:t>list options canvassed in this paper</w:t>
      </w:r>
      <w:r w:rsidR="00C16AE6">
        <w:rPr>
          <w:color w:val="000000" w:themeColor="text1"/>
          <w:sz w:val="22"/>
          <w:lang w:val="en-AU"/>
        </w:rPr>
        <w:t xml:space="preserve"> </w:t>
      </w:r>
      <w:r w:rsidR="000A7D91">
        <w:rPr>
          <w:color w:val="000000" w:themeColor="text1"/>
          <w:sz w:val="22"/>
          <w:lang w:val="en-AU"/>
        </w:rPr>
        <w:t>adopt</w:t>
      </w:r>
      <w:r w:rsidR="009B1BC9">
        <w:rPr>
          <w:color w:val="000000" w:themeColor="text1"/>
          <w:sz w:val="22"/>
          <w:lang w:val="en-AU"/>
        </w:rPr>
        <w:t xml:space="preserve">s an inclusive approach to </w:t>
      </w:r>
      <w:r w:rsidR="007C5943">
        <w:rPr>
          <w:color w:val="000000" w:themeColor="text1"/>
          <w:sz w:val="22"/>
          <w:lang w:val="en-AU"/>
        </w:rPr>
        <w:t xml:space="preserve">these international matches for both </w:t>
      </w:r>
      <w:r w:rsidR="009B1BC9">
        <w:rPr>
          <w:color w:val="000000" w:themeColor="text1"/>
          <w:sz w:val="22"/>
          <w:lang w:val="en-AU"/>
        </w:rPr>
        <w:t>me</w:t>
      </w:r>
      <w:r w:rsidR="007C5943">
        <w:rPr>
          <w:color w:val="000000" w:themeColor="text1"/>
          <w:sz w:val="22"/>
          <w:lang w:val="en-AU"/>
        </w:rPr>
        <w:t>n</w:t>
      </w:r>
      <w:r w:rsidR="00892053">
        <w:rPr>
          <w:color w:val="000000" w:themeColor="text1"/>
          <w:sz w:val="22"/>
          <w:lang w:val="en-AU"/>
        </w:rPr>
        <w:t>’s</w:t>
      </w:r>
      <w:r w:rsidR="009B1BC9">
        <w:rPr>
          <w:color w:val="000000" w:themeColor="text1"/>
          <w:sz w:val="22"/>
          <w:lang w:val="en-AU"/>
        </w:rPr>
        <w:t xml:space="preserve"> and women</w:t>
      </w:r>
      <w:r w:rsidR="00892053">
        <w:rPr>
          <w:color w:val="000000" w:themeColor="text1"/>
          <w:sz w:val="22"/>
          <w:lang w:val="en-AU"/>
        </w:rPr>
        <w:t>’s events</w:t>
      </w:r>
      <w:r w:rsidR="007C5943">
        <w:rPr>
          <w:color w:val="000000" w:themeColor="text1"/>
          <w:sz w:val="22"/>
          <w:lang w:val="en-AU"/>
        </w:rPr>
        <w:t>.</w:t>
      </w:r>
      <w:r w:rsidR="009B1BC9">
        <w:rPr>
          <w:color w:val="000000" w:themeColor="text1"/>
          <w:sz w:val="22"/>
          <w:lang w:val="en-AU"/>
        </w:rPr>
        <w:t xml:space="preserve"> Any listing that involves the </w:t>
      </w:r>
      <w:r>
        <w:rPr>
          <w:color w:val="000000" w:themeColor="text1"/>
          <w:sz w:val="22"/>
          <w:lang w:val="en-AU"/>
        </w:rPr>
        <w:t>‘senior Australian representative team’</w:t>
      </w:r>
      <w:r w:rsidR="000A7D91">
        <w:rPr>
          <w:color w:val="000000" w:themeColor="text1"/>
          <w:sz w:val="22"/>
          <w:lang w:val="en-AU"/>
        </w:rPr>
        <w:t xml:space="preserve"> for a given sport </w:t>
      </w:r>
      <w:r w:rsidR="009B1BC9">
        <w:rPr>
          <w:color w:val="000000" w:themeColor="text1"/>
          <w:sz w:val="22"/>
          <w:lang w:val="en-AU"/>
        </w:rPr>
        <w:t xml:space="preserve">is taken to include </w:t>
      </w:r>
      <w:r w:rsidR="00C16AE6">
        <w:rPr>
          <w:color w:val="000000" w:themeColor="text1"/>
          <w:sz w:val="22"/>
          <w:lang w:val="en-AU"/>
        </w:rPr>
        <w:t xml:space="preserve">both the </w:t>
      </w:r>
      <w:r w:rsidR="006A552D">
        <w:rPr>
          <w:color w:val="000000" w:themeColor="text1"/>
          <w:sz w:val="22"/>
          <w:lang w:val="en-AU"/>
        </w:rPr>
        <w:t xml:space="preserve">senior Australian </w:t>
      </w:r>
      <w:r w:rsidR="006A552D" w:rsidRPr="006A552D">
        <w:rPr>
          <w:color w:val="000000" w:themeColor="text1"/>
          <w:sz w:val="22"/>
          <w:u w:val="single"/>
          <w:lang w:val="en-AU"/>
        </w:rPr>
        <w:t>men’s</w:t>
      </w:r>
      <w:r w:rsidR="006A552D">
        <w:rPr>
          <w:color w:val="000000" w:themeColor="text1"/>
          <w:sz w:val="22"/>
          <w:lang w:val="en-AU"/>
        </w:rPr>
        <w:t xml:space="preserve"> representative side and the senior Australian </w:t>
      </w:r>
      <w:r w:rsidR="006A552D" w:rsidRPr="006A552D">
        <w:rPr>
          <w:color w:val="000000" w:themeColor="text1"/>
          <w:sz w:val="22"/>
          <w:u w:val="single"/>
          <w:lang w:val="en-AU"/>
        </w:rPr>
        <w:t>women’s</w:t>
      </w:r>
      <w:r w:rsidR="006A552D">
        <w:rPr>
          <w:color w:val="000000" w:themeColor="text1"/>
          <w:sz w:val="22"/>
          <w:lang w:val="en-AU"/>
        </w:rPr>
        <w:t xml:space="preserve"> representative side.</w:t>
      </w:r>
    </w:p>
    <w:p w14:paraId="3DE240F5" w14:textId="0667A579" w:rsidR="00BF3ADD" w:rsidRDefault="00BF3ADD" w:rsidP="00723FDC">
      <w:pPr>
        <w:pStyle w:val="Introduction"/>
        <w:rPr>
          <w:color w:val="000000" w:themeColor="text1"/>
          <w:sz w:val="22"/>
          <w:lang w:val="en-AU"/>
        </w:rPr>
      </w:pPr>
      <w:r>
        <w:rPr>
          <w:color w:val="000000" w:themeColor="text1"/>
          <w:sz w:val="22"/>
          <w:lang w:val="en-AU"/>
        </w:rPr>
        <w:t>This approach</w:t>
      </w:r>
      <w:r w:rsidR="00B367C6">
        <w:rPr>
          <w:color w:val="000000" w:themeColor="text1"/>
          <w:sz w:val="22"/>
          <w:lang w:val="en-AU"/>
        </w:rPr>
        <w:t xml:space="preserve"> </w:t>
      </w:r>
      <w:r w:rsidR="00D21A37">
        <w:rPr>
          <w:color w:val="000000" w:themeColor="text1"/>
          <w:sz w:val="22"/>
          <w:lang w:val="en-AU"/>
        </w:rPr>
        <w:t>will</w:t>
      </w:r>
      <w:r>
        <w:rPr>
          <w:color w:val="000000" w:themeColor="text1"/>
          <w:sz w:val="22"/>
          <w:lang w:val="en-AU"/>
        </w:rPr>
        <w:t xml:space="preserve"> ensure </w:t>
      </w:r>
      <w:r w:rsidR="00D21A37">
        <w:rPr>
          <w:color w:val="000000" w:themeColor="text1"/>
          <w:sz w:val="22"/>
          <w:lang w:val="en-AU"/>
        </w:rPr>
        <w:t xml:space="preserve">the </w:t>
      </w:r>
      <w:r>
        <w:rPr>
          <w:color w:val="000000" w:themeColor="text1"/>
          <w:sz w:val="22"/>
          <w:lang w:val="en-AU"/>
        </w:rPr>
        <w:t xml:space="preserve">consistent treatment of matches that involve senior </w:t>
      </w:r>
      <w:r w:rsidR="00773C6F">
        <w:rPr>
          <w:color w:val="000000" w:themeColor="text1"/>
          <w:sz w:val="22"/>
          <w:lang w:val="en-AU"/>
        </w:rPr>
        <w:t xml:space="preserve">Australian </w:t>
      </w:r>
      <w:r>
        <w:rPr>
          <w:color w:val="000000" w:themeColor="text1"/>
          <w:sz w:val="22"/>
          <w:lang w:val="en-AU"/>
        </w:rPr>
        <w:t>representative sides selected by relevant sports bodies, irrespective of gender.</w:t>
      </w:r>
    </w:p>
    <w:p w14:paraId="0FE3FE45" w14:textId="3B5B3443" w:rsidR="0064562A" w:rsidRDefault="007C5943" w:rsidP="0064562A">
      <w:pPr>
        <w:pStyle w:val="Introduction"/>
      </w:pPr>
      <w:r>
        <w:rPr>
          <w:color w:val="000000" w:themeColor="text1"/>
          <w:sz w:val="22"/>
          <w:lang w:val="en-AU"/>
        </w:rPr>
        <w:t xml:space="preserve">However, each list differs in terms of the scope </w:t>
      </w:r>
      <w:r w:rsidR="000B7938">
        <w:rPr>
          <w:color w:val="000000" w:themeColor="text1"/>
          <w:sz w:val="22"/>
          <w:lang w:val="en-AU"/>
        </w:rPr>
        <w:t xml:space="preserve">and breadth </w:t>
      </w:r>
      <w:r>
        <w:rPr>
          <w:color w:val="000000" w:themeColor="text1"/>
          <w:sz w:val="22"/>
          <w:lang w:val="en-AU"/>
        </w:rPr>
        <w:t>of the listing of these international fixtures</w:t>
      </w:r>
      <w:r w:rsidR="000B7938">
        <w:rPr>
          <w:color w:val="000000" w:themeColor="text1"/>
          <w:sz w:val="22"/>
          <w:lang w:val="en-AU"/>
        </w:rPr>
        <w:t>, ranging from a very minimal listing for both men’s and women’s fixtures under the ‘streamlined list’, through to a broader listing under the ‘expanded list’ option.</w:t>
      </w:r>
      <w:r w:rsidR="0064562A">
        <w:rPr>
          <w:color w:val="000000" w:themeColor="text1"/>
          <w:sz w:val="22"/>
          <w:lang w:val="en-AU"/>
        </w:rPr>
        <w:br w:type="page"/>
      </w:r>
    </w:p>
    <w:p w14:paraId="376180EB" w14:textId="7A43F1D4" w:rsidR="004C1C99" w:rsidRPr="009B1BC9" w:rsidRDefault="004C1C99" w:rsidP="009B1BC9">
      <w:pPr>
        <w:pStyle w:val="Introduction"/>
        <w:rPr>
          <w:b/>
          <w:color w:val="000000" w:themeColor="text1"/>
          <w:sz w:val="28"/>
          <w:szCs w:val="28"/>
          <w:lang w:val="en-AU"/>
        </w:rPr>
      </w:pPr>
      <w:bookmarkStart w:id="224" w:name="_Hlk140227104"/>
      <w:bookmarkEnd w:id="219"/>
      <w:r w:rsidRPr="009B1BC9">
        <w:rPr>
          <w:b/>
          <w:color w:val="000000" w:themeColor="text1"/>
          <w:sz w:val="28"/>
          <w:szCs w:val="28"/>
          <w:lang w:val="en-AU"/>
        </w:rPr>
        <w:lastRenderedPageBreak/>
        <w:t xml:space="preserve">World </w:t>
      </w:r>
      <w:r w:rsidR="00E4424E">
        <w:rPr>
          <w:b/>
          <w:color w:val="000000" w:themeColor="text1"/>
          <w:sz w:val="28"/>
          <w:szCs w:val="28"/>
          <w:lang w:val="en-AU"/>
        </w:rPr>
        <w:t>c</w:t>
      </w:r>
      <w:r w:rsidRPr="009B1BC9">
        <w:rPr>
          <w:b/>
          <w:color w:val="000000" w:themeColor="text1"/>
          <w:sz w:val="28"/>
          <w:szCs w:val="28"/>
          <w:lang w:val="en-AU"/>
        </w:rPr>
        <w:t>ups</w:t>
      </w:r>
    </w:p>
    <w:p w14:paraId="329B8320" w14:textId="0339EA2A" w:rsidR="004C1C99" w:rsidRDefault="009B1BC9" w:rsidP="00BB5F64">
      <w:pPr>
        <w:pStyle w:val="Introduction"/>
        <w:spacing w:before="160" w:after="80"/>
        <w:rPr>
          <w:color w:val="000000" w:themeColor="text1"/>
          <w:sz w:val="22"/>
          <w:lang w:val="en-AU"/>
        </w:rPr>
      </w:pPr>
      <w:r>
        <w:rPr>
          <w:color w:val="000000" w:themeColor="text1"/>
          <w:sz w:val="22"/>
          <w:lang w:val="en-AU"/>
        </w:rPr>
        <w:t xml:space="preserve">There are also a number of </w:t>
      </w:r>
      <w:r w:rsidR="00807112">
        <w:rPr>
          <w:color w:val="000000" w:themeColor="text1"/>
          <w:sz w:val="22"/>
          <w:lang w:val="en-AU"/>
        </w:rPr>
        <w:t>w</w:t>
      </w:r>
      <w:r>
        <w:rPr>
          <w:color w:val="000000" w:themeColor="text1"/>
          <w:sz w:val="22"/>
          <w:lang w:val="en-AU"/>
        </w:rPr>
        <w:t xml:space="preserve">orld </w:t>
      </w:r>
      <w:r w:rsidR="00807112">
        <w:rPr>
          <w:color w:val="000000" w:themeColor="text1"/>
          <w:sz w:val="22"/>
          <w:lang w:val="en-AU"/>
        </w:rPr>
        <w:t>c</w:t>
      </w:r>
      <w:r>
        <w:rPr>
          <w:color w:val="000000" w:themeColor="text1"/>
          <w:sz w:val="22"/>
          <w:lang w:val="en-AU"/>
        </w:rPr>
        <w:t xml:space="preserve">up tournaments </w:t>
      </w:r>
      <w:r w:rsidR="00FF5471">
        <w:rPr>
          <w:color w:val="000000" w:themeColor="text1"/>
          <w:sz w:val="22"/>
          <w:lang w:val="en-AU"/>
        </w:rPr>
        <w:t xml:space="preserve">for </w:t>
      </w:r>
      <w:r w:rsidR="00422C0F">
        <w:rPr>
          <w:color w:val="000000" w:themeColor="text1"/>
          <w:sz w:val="22"/>
          <w:lang w:val="en-AU"/>
        </w:rPr>
        <w:t>r</w:t>
      </w:r>
      <w:r w:rsidR="00FF5471">
        <w:rPr>
          <w:color w:val="000000" w:themeColor="text1"/>
          <w:sz w:val="22"/>
          <w:lang w:val="en-AU"/>
        </w:rPr>
        <w:t xml:space="preserve">ugby </w:t>
      </w:r>
      <w:r w:rsidR="00422C0F">
        <w:rPr>
          <w:color w:val="000000" w:themeColor="text1"/>
          <w:sz w:val="22"/>
          <w:lang w:val="en-AU"/>
        </w:rPr>
        <w:t>l</w:t>
      </w:r>
      <w:r w:rsidR="00FF5471">
        <w:rPr>
          <w:color w:val="000000" w:themeColor="text1"/>
          <w:sz w:val="22"/>
          <w:lang w:val="en-AU"/>
        </w:rPr>
        <w:t xml:space="preserve">eague, </w:t>
      </w:r>
      <w:r w:rsidR="00422C0F">
        <w:rPr>
          <w:color w:val="000000" w:themeColor="text1"/>
          <w:sz w:val="22"/>
          <w:lang w:val="en-AU"/>
        </w:rPr>
        <w:t>r</w:t>
      </w:r>
      <w:r w:rsidR="00FF5471">
        <w:rPr>
          <w:color w:val="000000" w:themeColor="text1"/>
          <w:sz w:val="22"/>
          <w:lang w:val="en-AU"/>
        </w:rPr>
        <w:t xml:space="preserve">ugby </w:t>
      </w:r>
      <w:r w:rsidR="00422C0F">
        <w:rPr>
          <w:color w:val="000000" w:themeColor="text1"/>
          <w:sz w:val="22"/>
          <w:lang w:val="en-AU"/>
        </w:rPr>
        <w:t>u</w:t>
      </w:r>
      <w:r w:rsidR="00FF5471">
        <w:rPr>
          <w:color w:val="000000" w:themeColor="text1"/>
          <w:sz w:val="22"/>
          <w:lang w:val="en-AU"/>
        </w:rPr>
        <w:t xml:space="preserve">nion, </w:t>
      </w:r>
      <w:r w:rsidR="000C597A">
        <w:rPr>
          <w:color w:val="000000" w:themeColor="text1"/>
          <w:sz w:val="22"/>
          <w:lang w:val="en-AU"/>
        </w:rPr>
        <w:t>c</w:t>
      </w:r>
      <w:r w:rsidR="00FF5471">
        <w:rPr>
          <w:color w:val="000000" w:themeColor="text1"/>
          <w:sz w:val="22"/>
          <w:lang w:val="en-AU"/>
        </w:rPr>
        <w:t xml:space="preserve">ricket and </w:t>
      </w:r>
      <w:r w:rsidR="000C597A">
        <w:rPr>
          <w:color w:val="000000" w:themeColor="text1"/>
          <w:sz w:val="22"/>
          <w:lang w:val="en-AU"/>
        </w:rPr>
        <w:t>s</w:t>
      </w:r>
      <w:r w:rsidR="00FF5471">
        <w:rPr>
          <w:color w:val="000000" w:themeColor="text1"/>
          <w:sz w:val="22"/>
          <w:lang w:val="en-AU"/>
        </w:rPr>
        <w:t xml:space="preserve">occer </w:t>
      </w:r>
      <w:r>
        <w:rPr>
          <w:color w:val="000000" w:themeColor="text1"/>
          <w:sz w:val="22"/>
          <w:lang w:val="en-AU"/>
        </w:rPr>
        <w:t>included on the current list that involve the senior Australian representative team</w:t>
      </w:r>
      <w:r w:rsidR="00FF5471">
        <w:rPr>
          <w:color w:val="000000" w:themeColor="text1"/>
          <w:sz w:val="22"/>
          <w:lang w:val="en-AU"/>
        </w:rPr>
        <w:t>.</w:t>
      </w:r>
    </w:p>
    <w:p w14:paraId="13022E9B" w14:textId="77777777" w:rsidR="004C1C99" w:rsidRPr="00B11D3C" w:rsidRDefault="004C1C99" w:rsidP="00BB5F64">
      <w:pPr>
        <w:rPr>
          <w:b/>
        </w:rPr>
      </w:pPr>
      <w:r w:rsidRPr="00B11D3C">
        <w:rPr>
          <w:b/>
        </w:rPr>
        <w:t>Rugby League</w:t>
      </w:r>
    </w:p>
    <w:p w14:paraId="55C2AAD4" w14:textId="77777777" w:rsidR="00B11D3C" w:rsidRPr="00B11D3C" w:rsidRDefault="00B11D3C" w:rsidP="00BB5F64">
      <w:pPr>
        <w:pStyle w:val="ListParagraph"/>
        <w:numPr>
          <w:ilvl w:val="0"/>
          <w:numId w:val="61"/>
        </w:numPr>
        <w:contextualSpacing w:val="0"/>
        <w:rPr>
          <w:rFonts w:cstheme="minorHAnsi"/>
          <w:shd w:val="clear" w:color="auto" w:fill="FFFFFF"/>
        </w:rPr>
      </w:pPr>
      <w:r w:rsidRPr="00B11D3C">
        <w:rPr>
          <w:rFonts w:cstheme="minorHAnsi"/>
          <w:shd w:val="clear" w:color="auto" w:fill="FFFFFF"/>
        </w:rPr>
        <w:t>The Rugby League World Cup</w:t>
      </w:r>
    </w:p>
    <w:p w14:paraId="7C646C69" w14:textId="77777777" w:rsidR="004C1C99" w:rsidRPr="00B11D3C" w:rsidRDefault="004C1C99" w:rsidP="00BB5F64">
      <w:pPr>
        <w:rPr>
          <w:b/>
        </w:rPr>
      </w:pPr>
      <w:r w:rsidRPr="00B11D3C">
        <w:rPr>
          <w:b/>
        </w:rPr>
        <w:t>Rugby Union</w:t>
      </w:r>
    </w:p>
    <w:p w14:paraId="339FE996" w14:textId="77777777" w:rsidR="00B11D3C" w:rsidRPr="00B11D3C" w:rsidRDefault="00B11D3C" w:rsidP="00BB5F64">
      <w:pPr>
        <w:pStyle w:val="ListParagraph"/>
        <w:numPr>
          <w:ilvl w:val="0"/>
          <w:numId w:val="61"/>
        </w:numPr>
        <w:contextualSpacing w:val="0"/>
      </w:pPr>
      <w:r w:rsidRPr="00B11D3C">
        <w:rPr>
          <w:rFonts w:cstheme="minorHAnsi"/>
          <w:shd w:val="clear" w:color="auto" w:fill="FFFFFF"/>
        </w:rPr>
        <w:t>The Rugby World Cup</w:t>
      </w:r>
    </w:p>
    <w:p w14:paraId="18D0F9A2" w14:textId="77777777" w:rsidR="004C1C99" w:rsidRPr="00B11D3C" w:rsidRDefault="004C1C99" w:rsidP="00BB5F64">
      <w:pPr>
        <w:rPr>
          <w:b/>
        </w:rPr>
      </w:pPr>
      <w:r w:rsidRPr="00B11D3C">
        <w:rPr>
          <w:b/>
        </w:rPr>
        <w:t>Cricket</w:t>
      </w:r>
    </w:p>
    <w:p w14:paraId="24058309" w14:textId="77777777" w:rsidR="00B11D3C" w:rsidRPr="00B11D3C" w:rsidRDefault="00B11D3C" w:rsidP="00BB5F64">
      <w:pPr>
        <w:pStyle w:val="ListParagraph"/>
        <w:numPr>
          <w:ilvl w:val="0"/>
          <w:numId w:val="61"/>
        </w:numPr>
        <w:contextualSpacing w:val="0"/>
        <w:rPr>
          <w:rFonts w:cstheme="minorHAnsi"/>
          <w:color w:val="000000"/>
          <w:shd w:val="clear" w:color="auto" w:fill="FFFFFF"/>
        </w:rPr>
      </w:pPr>
      <w:r w:rsidRPr="00B11D3C">
        <w:rPr>
          <w:rFonts w:cstheme="minorHAnsi"/>
          <w:color w:val="000000"/>
          <w:shd w:val="clear" w:color="auto" w:fill="FFFFFF"/>
        </w:rPr>
        <w:t xml:space="preserve">The International Cricket Council </w:t>
      </w:r>
      <w:r w:rsidR="00F13105">
        <w:rPr>
          <w:rFonts w:cstheme="minorHAnsi"/>
          <w:color w:val="000000"/>
          <w:shd w:val="clear" w:color="auto" w:fill="FFFFFF"/>
        </w:rPr>
        <w:t xml:space="preserve">(ICC) </w:t>
      </w:r>
      <w:r w:rsidRPr="00B11D3C">
        <w:rPr>
          <w:rFonts w:cstheme="minorHAnsi"/>
          <w:color w:val="000000"/>
          <w:shd w:val="clear" w:color="auto" w:fill="FFFFFF"/>
        </w:rPr>
        <w:t>Cricket World Cup</w:t>
      </w:r>
    </w:p>
    <w:p w14:paraId="0280B92E" w14:textId="77777777" w:rsidR="00B11D3C" w:rsidRDefault="00B11D3C" w:rsidP="00BB5F64">
      <w:pPr>
        <w:pStyle w:val="ListParagraph"/>
        <w:numPr>
          <w:ilvl w:val="0"/>
          <w:numId w:val="61"/>
        </w:numPr>
        <w:contextualSpacing w:val="0"/>
        <w:rPr>
          <w:rFonts w:cstheme="minorHAnsi"/>
          <w:color w:val="000000"/>
          <w:shd w:val="clear" w:color="auto" w:fill="FFFFFF"/>
        </w:rPr>
      </w:pPr>
      <w:r w:rsidRPr="00B11D3C">
        <w:rPr>
          <w:rFonts w:cstheme="minorHAnsi"/>
          <w:color w:val="000000"/>
          <w:shd w:val="clear" w:color="auto" w:fill="FFFFFF"/>
        </w:rPr>
        <w:t xml:space="preserve">The International Cricket Council </w:t>
      </w:r>
      <w:r w:rsidR="00F13105">
        <w:rPr>
          <w:rFonts w:cstheme="minorHAnsi"/>
          <w:color w:val="000000"/>
          <w:shd w:val="clear" w:color="auto" w:fill="FFFFFF"/>
        </w:rPr>
        <w:t xml:space="preserve">(ICC) </w:t>
      </w:r>
      <w:r w:rsidRPr="00B11D3C">
        <w:rPr>
          <w:rFonts w:cstheme="minorHAnsi"/>
          <w:color w:val="000000"/>
          <w:shd w:val="clear" w:color="auto" w:fill="FFFFFF"/>
        </w:rPr>
        <w:t>T20 World Cup</w:t>
      </w:r>
    </w:p>
    <w:p w14:paraId="1F4CC313" w14:textId="77777777" w:rsidR="00B11D3C" w:rsidRPr="00B11D3C" w:rsidRDefault="00B11D3C" w:rsidP="00BB5F64">
      <w:pPr>
        <w:rPr>
          <w:rFonts w:cstheme="minorHAnsi"/>
          <w:b/>
          <w:color w:val="000000"/>
          <w:shd w:val="clear" w:color="auto" w:fill="FFFFFF"/>
        </w:rPr>
      </w:pPr>
      <w:r w:rsidRPr="00B11D3C">
        <w:rPr>
          <w:rFonts w:cstheme="minorHAnsi"/>
          <w:b/>
          <w:color w:val="000000"/>
          <w:shd w:val="clear" w:color="auto" w:fill="FFFFFF"/>
        </w:rPr>
        <w:t>Soccer</w:t>
      </w:r>
    </w:p>
    <w:p w14:paraId="5EE46D92" w14:textId="34B0CE30" w:rsidR="00B11D3C" w:rsidRPr="00B11D3C" w:rsidRDefault="00B11D3C" w:rsidP="00BB5F64">
      <w:pPr>
        <w:pStyle w:val="ListParagraph"/>
        <w:numPr>
          <w:ilvl w:val="0"/>
          <w:numId w:val="63"/>
        </w:numPr>
        <w:contextualSpacing w:val="0"/>
        <w:rPr>
          <w:rFonts w:cstheme="minorHAnsi"/>
          <w:color w:val="000000"/>
          <w:shd w:val="clear" w:color="auto" w:fill="FFFFFF"/>
        </w:rPr>
      </w:pPr>
      <w:r w:rsidRPr="00B11D3C">
        <w:rPr>
          <w:rFonts w:cstheme="minorHAnsi"/>
        </w:rPr>
        <w:t>The Fédération Internationale de Football Association (FIFA) World Cup</w:t>
      </w:r>
      <w:r w:rsidR="007C5943">
        <w:rPr>
          <w:rFonts w:cstheme="minorHAnsi"/>
        </w:rPr>
        <w:t>.</w:t>
      </w:r>
    </w:p>
    <w:p w14:paraId="7C4C5752" w14:textId="7DE2CC4B" w:rsidR="009B1BC9" w:rsidRDefault="009B1BC9" w:rsidP="00BB5F64">
      <w:pPr>
        <w:pStyle w:val="Introduction"/>
        <w:spacing w:before="160" w:after="80"/>
        <w:rPr>
          <w:color w:val="000000" w:themeColor="text1"/>
          <w:sz w:val="22"/>
          <w:lang w:val="en-AU"/>
        </w:rPr>
      </w:pPr>
      <w:r>
        <w:rPr>
          <w:color w:val="000000" w:themeColor="text1"/>
          <w:sz w:val="22"/>
          <w:lang w:val="en-AU"/>
        </w:rPr>
        <w:t xml:space="preserve">As with standalone international matches, the three list options in this paper take an inclusive approach </w:t>
      </w:r>
      <w:r w:rsidR="007C5943">
        <w:rPr>
          <w:color w:val="000000" w:themeColor="text1"/>
          <w:sz w:val="22"/>
          <w:lang w:val="en-AU"/>
        </w:rPr>
        <w:t xml:space="preserve">to </w:t>
      </w:r>
      <w:r>
        <w:rPr>
          <w:color w:val="000000" w:themeColor="text1"/>
          <w:sz w:val="22"/>
          <w:lang w:val="en-AU"/>
        </w:rPr>
        <w:t>men’s and women’s matches played as part of these tournaments. Each list includes either:</w:t>
      </w:r>
    </w:p>
    <w:p w14:paraId="17BEEA77" w14:textId="00C456AE" w:rsidR="009B1BC9" w:rsidRDefault="009B1BC9" w:rsidP="009B1BC9">
      <w:pPr>
        <w:pStyle w:val="ListParagraph"/>
        <w:numPr>
          <w:ilvl w:val="0"/>
          <w:numId w:val="64"/>
        </w:numPr>
        <w:contextualSpacing w:val="0"/>
      </w:pPr>
      <w:r>
        <w:t xml:space="preserve">Separate listings for men’s </w:t>
      </w:r>
      <w:r w:rsidR="00807112">
        <w:t>w</w:t>
      </w:r>
      <w:r>
        <w:t xml:space="preserve">orld </w:t>
      </w:r>
      <w:r w:rsidR="00807112">
        <w:t>c</w:t>
      </w:r>
      <w:r>
        <w:t xml:space="preserve">up </w:t>
      </w:r>
      <w:proofErr w:type="gramStart"/>
      <w:r>
        <w:t>matches</w:t>
      </w:r>
      <w:proofErr w:type="gramEnd"/>
      <w:r>
        <w:t xml:space="preserve"> and women’s </w:t>
      </w:r>
      <w:r w:rsidR="00807112">
        <w:t>w</w:t>
      </w:r>
      <w:r>
        <w:t xml:space="preserve">orld </w:t>
      </w:r>
      <w:r w:rsidR="00807112">
        <w:t>c</w:t>
      </w:r>
      <w:r>
        <w:t>up matches where the relevant govern</w:t>
      </w:r>
      <w:r w:rsidR="00A151DD">
        <w:t xml:space="preserve">ing sports </w:t>
      </w:r>
      <w:r>
        <w:t>body delineates between the men’s and women’s tournaments</w:t>
      </w:r>
      <w:r w:rsidR="00A151DD">
        <w:t xml:space="preserve"> in terms of naming and branding, as is </w:t>
      </w:r>
      <w:r w:rsidR="007C5943">
        <w:t xml:space="preserve">currently </w:t>
      </w:r>
      <w:r w:rsidR="00A151DD">
        <w:t>the case with the</w:t>
      </w:r>
      <w:r>
        <w:t xml:space="preserve"> ICC </w:t>
      </w:r>
      <w:r w:rsidR="00A151DD">
        <w:t xml:space="preserve">Men’s and Women’s </w:t>
      </w:r>
      <w:r>
        <w:t>Cricket World Cups, the IC</w:t>
      </w:r>
      <w:r w:rsidR="00A151DD">
        <w:t>C Men’s and Women’s</w:t>
      </w:r>
      <w:r>
        <w:t xml:space="preserve"> T20 World Cups, and the FIFA World Cup</w:t>
      </w:r>
      <w:r w:rsidR="00A151DD">
        <w:t xml:space="preserve"> and FIFA Women’s World Cup.</w:t>
      </w:r>
    </w:p>
    <w:p w14:paraId="12358C82" w14:textId="71AE20F4" w:rsidR="009B1BC9" w:rsidRDefault="00A151DD" w:rsidP="009B1BC9">
      <w:pPr>
        <w:pStyle w:val="ListParagraph"/>
        <w:numPr>
          <w:ilvl w:val="0"/>
          <w:numId w:val="64"/>
        </w:numPr>
        <w:contextualSpacing w:val="0"/>
      </w:pPr>
      <w:r>
        <w:t>Singular listing</w:t>
      </w:r>
      <w:r w:rsidR="001438CB">
        <w:t>s</w:t>
      </w:r>
      <w:r>
        <w:t xml:space="preserve"> of </w:t>
      </w:r>
      <w:r w:rsidR="00807112">
        <w:t>w</w:t>
      </w:r>
      <w:r w:rsidR="009B1BC9">
        <w:t xml:space="preserve">orld </w:t>
      </w:r>
      <w:r w:rsidR="00807112">
        <w:t>c</w:t>
      </w:r>
      <w:r w:rsidR="009B1BC9">
        <w:t>up</w:t>
      </w:r>
      <w:r>
        <w:t>s where the governing sports body doesn’t delineate between the men’s and women’s tournaments in terms of naming and branding</w:t>
      </w:r>
      <w:r w:rsidR="009B1BC9">
        <w:t xml:space="preserve">, which </w:t>
      </w:r>
      <w:r>
        <w:t xml:space="preserve">is the case with the </w:t>
      </w:r>
      <w:r w:rsidR="009B1BC9">
        <w:t>Rugby League World Cup and the Rugby World Cup.</w:t>
      </w:r>
    </w:p>
    <w:p w14:paraId="2B5C1053" w14:textId="0391569A" w:rsidR="00A151DD" w:rsidRDefault="000B7938" w:rsidP="00323AB6">
      <w:pPr>
        <w:pStyle w:val="Introduction"/>
        <w:rPr>
          <w:color w:val="000000" w:themeColor="text1"/>
          <w:sz w:val="22"/>
          <w:lang w:val="en-AU"/>
        </w:rPr>
      </w:pPr>
      <w:r>
        <w:rPr>
          <w:color w:val="000000" w:themeColor="text1"/>
          <w:sz w:val="22"/>
          <w:lang w:val="en-AU"/>
        </w:rPr>
        <w:t xml:space="preserve">The three list options differ in terms of the scope and breadth of the listing of these </w:t>
      </w:r>
      <w:r w:rsidR="00807112">
        <w:rPr>
          <w:color w:val="000000" w:themeColor="text1"/>
          <w:sz w:val="22"/>
          <w:lang w:val="en-AU"/>
        </w:rPr>
        <w:t>w</w:t>
      </w:r>
      <w:r w:rsidR="007E42AD">
        <w:rPr>
          <w:color w:val="000000" w:themeColor="text1"/>
          <w:sz w:val="22"/>
          <w:lang w:val="en-AU"/>
        </w:rPr>
        <w:t xml:space="preserve">orld </w:t>
      </w:r>
      <w:r w:rsidR="00807112">
        <w:rPr>
          <w:color w:val="000000" w:themeColor="text1"/>
          <w:sz w:val="22"/>
          <w:lang w:val="en-AU"/>
        </w:rPr>
        <w:t>c</w:t>
      </w:r>
      <w:r w:rsidR="007E42AD">
        <w:rPr>
          <w:color w:val="000000" w:themeColor="text1"/>
          <w:sz w:val="22"/>
          <w:lang w:val="en-AU"/>
        </w:rPr>
        <w:t>up</w:t>
      </w:r>
      <w:r w:rsidR="00CD0574">
        <w:rPr>
          <w:color w:val="000000" w:themeColor="text1"/>
          <w:sz w:val="22"/>
          <w:lang w:val="en-AU"/>
        </w:rPr>
        <w:t xml:space="preserve"> tournaments,</w:t>
      </w:r>
      <w:r w:rsidR="00520F4A">
        <w:rPr>
          <w:color w:val="000000" w:themeColor="text1"/>
          <w:sz w:val="22"/>
          <w:lang w:val="en-AU"/>
        </w:rPr>
        <w:t xml:space="preserve"> and graduate between a</w:t>
      </w:r>
      <w:r w:rsidR="00AE10B9">
        <w:rPr>
          <w:color w:val="000000" w:themeColor="text1"/>
          <w:sz w:val="22"/>
          <w:lang w:val="en-AU"/>
        </w:rPr>
        <w:t xml:space="preserve"> more</w:t>
      </w:r>
      <w:r w:rsidR="00520F4A">
        <w:rPr>
          <w:color w:val="000000" w:themeColor="text1"/>
          <w:sz w:val="22"/>
          <w:lang w:val="en-AU"/>
        </w:rPr>
        <w:t xml:space="preserve"> </w:t>
      </w:r>
      <w:r w:rsidR="00AE10B9">
        <w:rPr>
          <w:color w:val="000000" w:themeColor="text1"/>
          <w:sz w:val="22"/>
          <w:lang w:val="en-AU"/>
        </w:rPr>
        <w:t xml:space="preserve">limited listing for the streamlined </w:t>
      </w:r>
      <w:r w:rsidR="00892053">
        <w:rPr>
          <w:color w:val="000000" w:themeColor="text1"/>
          <w:sz w:val="22"/>
          <w:lang w:val="en-AU"/>
        </w:rPr>
        <w:t xml:space="preserve">list option </w:t>
      </w:r>
      <w:r w:rsidR="00AE10B9">
        <w:rPr>
          <w:color w:val="000000" w:themeColor="text1"/>
          <w:sz w:val="22"/>
          <w:lang w:val="en-AU"/>
        </w:rPr>
        <w:t>through to a m</w:t>
      </w:r>
      <w:r w:rsidR="007B785E">
        <w:rPr>
          <w:color w:val="000000" w:themeColor="text1"/>
          <w:sz w:val="22"/>
          <w:lang w:val="en-AU"/>
        </w:rPr>
        <w:t xml:space="preserve">uch broader </w:t>
      </w:r>
      <w:r w:rsidR="00AE10B9">
        <w:rPr>
          <w:color w:val="000000" w:themeColor="text1"/>
          <w:sz w:val="22"/>
          <w:lang w:val="en-AU"/>
        </w:rPr>
        <w:t>listing with the expanded list</w:t>
      </w:r>
      <w:r w:rsidR="00892053">
        <w:rPr>
          <w:color w:val="000000" w:themeColor="text1"/>
          <w:sz w:val="22"/>
          <w:lang w:val="en-AU"/>
        </w:rPr>
        <w:t xml:space="preserve"> option</w:t>
      </w:r>
      <w:r w:rsidR="00AE10B9">
        <w:rPr>
          <w:color w:val="000000" w:themeColor="text1"/>
          <w:sz w:val="22"/>
          <w:lang w:val="en-AU"/>
        </w:rPr>
        <w:t xml:space="preserve">. However, </w:t>
      </w:r>
      <w:r w:rsidR="00CD0574">
        <w:rPr>
          <w:color w:val="000000" w:themeColor="text1"/>
          <w:sz w:val="22"/>
          <w:lang w:val="en-AU"/>
        </w:rPr>
        <w:t xml:space="preserve">the inclusion of both men’s and women’s tournaments </w:t>
      </w:r>
      <w:r w:rsidR="00AE10B9">
        <w:rPr>
          <w:color w:val="000000" w:themeColor="text1"/>
          <w:sz w:val="22"/>
          <w:lang w:val="en-AU"/>
        </w:rPr>
        <w:t xml:space="preserve">in each option </w:t>
      </w:r>
      <w:r w:rsidR="00CD0574">
        <w:rPr>
          <w:color w:val="000000" w:themeColor="text1"/>
          <w:sz w:val="22"/>
          <w:lang w:val="en-AU"/>
        </w:rPr>
        <w:t xml:space="preserve">is intended to </w:t>
      </w:r>
      <w:r w:rsidR="00A151DD">
        <w:rPr>
          <w:color w:val="000000" w:themeColor="text1"/>
          <w:sz w:val="22"/>
          <w:lang w:val="en-AU"/>
        </w:rPr>
        <w:t>ensure consistent treatment of matches that involve senior Australian representative sides selected by relevant sports bodies, irrespective of gender</w:t>
      </w:r>
      <w:r w:rsidR="007C5943">
        <w:rPr>
          <w:color w:val="000000" w:themeColor="text1"/>
          <w:sz w:val="22"/>
          <w:lang w:val="en-AU"/>
        </w:rPr>
        <w:t>.</w:t>
      </w:r>
      <w:bookmarkStart w:id="225" w:name="_Toc140842937"/>
      <w:bookmarkStart w:id="226" w:name="_Hlk141089980"/>
    </w:p>
    <w:p w14:paraId="23ECDE01" w14:textId="77777777" w:rsidR="00522175" w:rsidRDefault="001035D9" w:rsidP="00522175">
      <w:pPr>
        <w:pStyle w:val="Heading2"/>
      </w:pPr>
      <w:bookmarkStart w:id="227" w:name="_Toc141369809"/>
      <w:bookmarkStart w:id="228" w:name="_Toc143265600"/>
      <w:r>
        <w:t xml:space="preserve">Option </w:t>
      </w:r>
      <w:r w:rsidR="00522175">
        <w:t xml:space="preserve">1: </w:t>
      </w:r>
      <w:r w:rsidR="005F43FD">
        <w:t>The s</w:t>
      </w:r>
      <w:r w:rsidR="00863A21">
        <w:t xml:space="preserve">treamlined </w:t>
      </w:r>
      <w:r w:rsidR="005F43FD">
        <w:t>l</w:t>
      </w:r>
      <w:r w:rsidR="00863A21">
        <w:t>ist</w:t>
      </w:r>
      <w:bookmarkEnd w:id="225"/>
      <w:bookmarkEnd w:id="227"/>
      <w:bookmarkEnd w:id="228"/>
    </w:p>
    <w:p w14:paraId="510D9053" w14:textId="79B409B0" w:rsidR="00522175" w:rsidRPr="00A9605A" w:rsidRDefault="00522175" w:rsidP="00522175">
      <w:pPr>
        <w:pStyle w:val="Heading3"/>
        <w:rPr>
          <w:sz w:val="28"/>
          <w:szCs w:val="28"/>
        </w:rPr>
      </w:pPr>
      <w:bookmarkStart w:id="229" w:name="_Toc140842938"/>
      <w:bookmarkStart w:id="230" w:name="_Hlk140223750"/>
      <w:bookmarkEnd w:id="224"/>
      <w:r w:rsidRPr="00A9605A">
        <w:rPr>
          <w:sz w:val="28"/>
          <w:szCs w:val="28"/>
        </w:rPr>
        <w:t>Overview</w:t>
      </w:r>
      <w:bookmarkEnd w:id="229"/>
    </w:p>
    <w:p w14:paraId="10669054" w14:textId="0AE4AA8A" w:rsidR="00A84C5D" w:rsidRDefault="00522175" w:rsidP="001035D9">
      <w:bookmarkStart w:id="231" w:name="_Hlk141089216"/>
      <w:bookmarkEnd w:id="230"/>
      <w:r>
        <w:t>Th</w:t>
      </w:r>
      <w:r w:rsidR="001274DF">
        <w:t>e streamlined</w:t>
      </w:r>
      <w:r>
        <w:t xml:space="preserve"> </w:t>
      </w:r>
      <w:r w:rsidR="005E2609">
        <w:t>l</w:t>
      </w:r>
      <w:r>
        <w:t xml:space="preserve">ist would </w:t>
      </w:r>
      <w:r w:rsidR="009441CD">
        <w:t>represent</w:t>
      </w:r>
      <w:r>
        <w:t xml:space="preserve"> a reduction</w:t>
      </w:r>
      <w:r w:rsidR="003E6D5D">
        <w:t xml:space="preserve"> in </w:t>
      </w:r>
      <w:r>
        <w:t xml:space="preserve">the </w:t>
      </w:r>
      <w:r w:rsidR="009441CD">
        <w:t xml:space="preserve">number of events on the list compared with the current </w:t>
      </w:r>
      <w:r w:rsidR="002A09E0">
        <w:t>instrument</w:t>
      </w:r>
      <w:r w:rsidR="009441CD">
        <w:t xml:space="preserve">. </w:t>
      </w:r>
      <w:r w:rsidR="00534872">
        <w:t>This list</w:t>
      </w:r>
      <w:r w:rsidR="003D114F">
        <w:t xml:space="preserve"> option</w:t>
      </w:r>
      <w:r w:rsidR="00534872">
        <w:t xml:space="preserve"> is detailed</w:t>
      </w:r>
      <w:r w:rsidR="00D21A37">
        <w:t xml:space="preserve"> at</w:t>
      </w:r>
      <w:r w:rsidR="00534872">
        <w:t xml:space="preserve"> </w:t>
      </w:r>
      <w:r w:rsidR="00534872" w:rsidRPr="00056164">
        <w:rPr>
          <w:b/>
        </w:rPr>
        <w:t xml:space="preserve">Attachment </w:t>
      </w:r>
      <w:r w:rsidR="005441EF" w:rsidRPr="00056164">
        <w:rPr>
          <w:b/>
        </w:rPr>
        <w:t>A</w:t>
      </w:r>
      <w:r w:rsidR="00534872">
        <w:t>.</w:t>
      </w:r>
    </w:p>
    <w:p w14:paraId="49BBA7A1" w14:textId="016F1E84" w:rsidR="00F93397" w:rsidRDefault="00F93397" w:rsidP="001035D9">
      <w:bookmarkStart w:id="232" w:name="_Hlk142046070"/>
      <w:r>
        <w:t xml:space="preserve">The </w:t>
      </w:r>
      <w:r w:rsidR="004E71E2">
        <w:t xml:space="preserve">aims of the streamlined list are </w:t>
      </w:r>
      <w:r>
        <w:t>two-fold:</w:t>
      </w:r>
    </w:p>
    <w:p w14:paraId="3F1A9F69" w14:textId="1EF27224" w:rsidR="002B628F" w:rsidRDefault="00F93397" w:rsidP="001A687D">
      <w:pPr>
        <w:pStyle w:val="ListParagraph"/>
        <w:numPr>
          <w:ilvl w:val="0"/>
          <w:numId w:val="53"/>
        </w:numPr>
      </w:pPr>
      <w:r>
        <w:t xml:space="preserve">To enable the list </w:t>
      </w:r>
      <w:r w:rsidR="007E42AD">
        <w:t>to</w:t>
      </w:r>
      <w:r>
        <w:t xml:space="preserve"> operate effectively with the free-to-view model for the reform of the scheme (Model 1 as outlined in Chapter 6).</w:t>
      </w:r>
      <w:r w:rsidR="000655F0">
        <w:rPr>
          <w:rStyle w:val="FootnoteReference"/>
        </w:rPr>
        <w:footnoteReference w:id="146"/>
      </w:r>
    </w:p>
    <w:p w14:paraId="128B5660" w14:textId="56118DCB" w:rsidR="00E31F07" w:rsidRDefault="00F93397" w:rsidP="001A687D">
      <w:pPr>
        <w:pStyle w:val="ListParagraph"/>
        <w:numPr>
          <w:ilvl w:val="0"/>
          <w:numId w:val="53"/>
        </w:numPr>
      </w:pPr>
      <w:bookmarkStart w:id="233" w:name="_Hlk142046170"/>
      <w:bookmarkEnd w:id="232"/>
      <w:r>
        <w:t xml:space="preserve">To </w:t>
      </w:r>
      <w:r w:rsidR="00601CFD">
        <w:t xml:space="preserve">apply the scheme </w:t>
      </w:r>
      <w:r w:rsidR="00E31F07">
        <w:t>in more limited circumstances</w:t>
      </w:r>
      <w:r w:rsidR="00601CFD">
        <w:t xml:space="preserve"> by taking a</w:t>
      </w:r>
      <w:r w:rsidR="00E31F07">
        <w:t xml:space="preserve"> narrower</w:t>
      </w:r>
      <w:r w:rsidR="00601CFD">
        <w:t xml:space="preserve"> view o</w:t>
      </w:r>
      <w:r w:rsidR="00E31F07">
        <w:t xml:space="preserve">f </w:t>
      </w:r>
      <w:r w:rsidR="004353EF">
        <w:t xml:space="preserve">what constitutes </w:t>
      </w:r>
      <w:r w:rsidR="00601CFD">
        <w:t>nationally important and culturally significant events</w:t>
      </w:r>
      <w:r w:rsidR="00E31F07">
        <w:t>.</w:t>
      </w:r>
    </w:p>
    <w:bookmarkEnd w:id="233"/>
    <w:p w14:paraId="067D5DDF" w14:textId="32391D41" w:rsidR="00CF5480" w:rsidRDefault="00B706A6" w:rsidP="00E31F07">
      <w:r>
        <w:lastRenderedPageBreak/>
        <w:t>T</w:t>
      </w:r>
      <w:r w:rsidR="002B628F">
        <w:t xml:space="preserve">he proposed composition of the streamlined list has been informed by the proposals for reductions to the current list put forward by various parties in response to the </w:t>
      </w:r>
      <w:r w:rsidR="00606A6A">
        <w:t>2022</w:t>
      </w:r>
      <w:r w:rsidR="002B628F">
        <w:t xml:space="preserve"> consultation paper, including </w:t>
      </w:r>
      <w:r w:rsidR="002B628F" w:rsidRPr="00EB3A87">
        <w:t xml:space="preserve">Foxtel, </w:t>
      </w:r>
      <w:proofErr w:type="spellStart"/>
      <w:r w:rsidR="002B628F" w:rsidRPr="00EB3A87">
        <w:t>Jane</w:t>
      </w:r>
      <w:r w:rsidR="002B628F">
        <w:t>z</w:t>
      </w:r>
      <w:proofErr w:type="spellEnd"/>
      <w:r w:rsidR="002B628F" w:rsidRPr="00EB3A87">
        <w:t xml:space="preserve"> Media</w:t>
      </w:r>
      <w:r w:rsidR="00560D19">
        <w:t>,</w:t>
      </w:r>
      <w:r w:rsidR="002B628F">
        <w:t xml:space="preserve"> and a number of other parties that requested that their submissions be treated as confidential. </w:t>
      </w:r>
      <w:r w:rsidR="00E31F07">
        <w:t>However, in some cases, the listing of certain events differs from the proposals put forward by stakeholders</w:t>
      </w:r>
      <w:r w:rsidR="002136B9">
        <w:t xml:space="preserve"> to enable the s</w:t>
      </w:r>
      <w:r w:rsidR="00E31F07">
        <w:t xml:space="preserve">cheme to operate effectively and </w:t>
      </w:r>
      <w:r w:rsidR="002136B9">
        <w:t xml:space="preserve">to </w:t>
      </w:r>
      <w:r w:rsidR="00E31F07">
        <w:t>fulfil the aims noted above.</w:t>
      </w:r>
    </w:p>
    <w:p w14:paraId="1286E1F2" w14:textId="54241224" w:rsidR="00C8631F" w:rsidRDefault="00A84C5D" w:rsidP="005441EF">
      <w:pPr>
        <w:pStyle w:val="Introduction"/>
        <w:rPr>
          <w:b/>
        </w:rPr>
      </w:pPr>
      <w:r>
        <w:rPr>
          <w:color w:val="000000" w:themeColor="text1"/>
          <w:sz w:val="22"/>
          <w:lang w:val="en-AU"/>
        </w:rPr>
        <w:t>Consistent with the other two list options canvassed in this paper, t</w:t>
      </w:r>
      <w:r w:rsidR="00CF5480" w:rsidRPr="00E14429">
        <w:rPr>
          <w:color w:val="000000" w:themeColor="text1"/>
          <w:sz w:val="22"/>
          <w:lang w:val="en-AU"/>
        </w:rPr>
        <w:t>he streamlined list takes a more inclusive approach to the</w:t>
      </w:r>
      <w:r w:rsidR="00B86610" w:rsidRPr="00E14429">
        <w:rPr>
          <w:color w:val="000000" w:themeColor="text1"/>
          <w:sz w:val="22"/>
          <w:lang w:val="en-AU"/>
        </w:rPr>
        <w:t xml:space="preserve"> matches that involve a senior Australian representative team. </w:t>
      </w:r>
      <w:r w:rsidR="0092530E" w:rsidRPr="00E14429">
        <w:rPr>
          <w:color w:val="000000" w:themeColor="text1"/>
          <w:sz w:val="22"/>
          <w:lang w:val="en-AU"/>
        </w:rPr>
        <w:t xml:space="preserve">Regardless of whether these matches are played as ‘standalone’ international fixtures, </w:t>
      </w:r>
      <w:r w:rsidR="00E14429" w:rsidRPr="00E14429">
        <w:rPr>
          <w:color w:val="000000" w:themeColor="text1"/>
          <w:sz w:val="22"/>
          <w:lang w:val="en-AU"/>
        </w:rPr>
        <w:t xml:space="preserve">or are played as part of a </w:t>
      </w:r>
      <w:r w:rsidR="00807112">
        <w:rPr>
          <w:color w:val="000000" w:themeColor="text1"/>
          <w:sz w:val="22"/>
          <w:lang w:val="en-AU"/>
        </w:rPr>
        <w:t>w</w:t>
      </w:r>
      <w:r w:rsidR="00E14429" w:rsidRPr="00E14429">
        <w:rPr>
          <w:color w:val="000000" w:themeColor="text1"/>
          <w:sz w:val="22"/>
          <w:lang w:val="en-AU"/>
        </w:rPr>
        <w:t xml:space="preserve">orld </w:t>
      </w:r>
      <w:r w:rsidR="00807112">
        <w:rPr>
          <w:color w:val="000000" w:themeColor="text1"/>
          <w:sz w:val="22"/>
          <w:lang w:val="en-AU"/>
        </w:rPr>
        <w:t>c</w:t>
      </w:r>
      <w:r w:rsidR="00E14429" w:rsidRPr="00E14429">
        <w:rPr>
          <w:color w:val="000000" w:themeColor="text1"/>
          <w:sz w:val="22"/>
          <w:lang w:val="en-AU"/>
        </w:rPr>
        <w:t xml:space="preserve">up, the streamlined list includes both the men’s and women’s tournaments. This </w:t>
      </w:r>
      <w:r w:rsidR="00E14429">
        <w:rPr>
          <w:color w:val="000000" w:themeColor="text1"/>
          <w:sz w:val="22"/>
          <w:lang w:val="en-AU"/>
        </w:rPr>
        <w:t>approach has been adopted to ensure</w:t>
      </w:r>
      <w:r w:rsidR="001D1FCC">
        <w:rPr>
          <w:color w:val="000000" w:themeColor="text1"/>
          <w:sz w:val="22"/>
          <w:lang w:val="en-AU"/>
        </w:rPr>
        <w:t xml:space="preserve"> the</w:t>
      </w:r>
      <w:r w:rsidR="00E14429">
        <w:rPr>
          <w:color w:val="000000" w:themeColor="text1"/>
          <w:sz w:val="22"/>
          <w:lang w:val="en-AU"/>
        </w:rPr>
        <w:t xml:space="preserve"> consistent treatment of matches that involve senior Australian representative sides selected by relevant sports bodies, irrespective of gender.</w:t>
      </w:r>
      <w:bookmarkEnd w:id="231"/>
    </w:p>
    <w:p w14:paraId="5B96C1A7" w14:textId="06D8CC84" w:rsidR="002B664D" w:rsidRPr="00A9605A" w:rsidRDefault="002B664D" w:rsidP="002B664D">
      <w:pPr>
        <w:pStyle w:val="Heading3"/>
        <w:rPr>
          <w:sz w:val="28"/>
          <w:szCs w:val="28"/>
        </w:rPr>
      </w:pPr>
      <w:bookmarkStart w:id="234" w:name="_Toc140842939"/>
      <w:bookmarkStart w:id="235" w:name="_Hlk141186255"/>
      <w:r>
        <w:rPr>
          <w:sz w:val="28"/>
          <w:szCs w:val="28"/>
        </w:rPr>
        <w:t>Comparison with</w:t>
      </w:r>
      <w:r w:rsidRPr="00A9605A">
        <w:rPr>
          <w:sz w:val="28"/>
          <w:szCs w:val="28"/>
        </w:rPr>
        <w:t xml:space="preserve"> the</w:t>
      </w:r>
      <w:r>
        <w:rPr>
          <w:sz w:val="28"/>
          <w:szCs w:val="28"/>
        </w:rPr>
        <w:t xml:space="preserve"> current</w:t>
      </w:r>
      <w:r w:rsidRPr="00A9605A">
        <w:rPr>
          <w:sz w:val="28"/>
          <w:szCs w:val="28"/>
        </w:rPr>
        <w:t xml:space="preserve"> list</w:t>
      </w:r>
      <w:bookmarkEnd w:id="234"/>
    </w:p>
    <w:p w14:paraId="418FFB1C" w14:textId="462AAAD6" w:rsidR="008822D5" w:rsidRDefault="00B31C67" w:rsidP="002B664D">
      <w:r>
        <w:t>T</w:t>
      </w:r>
      <w:r w:rsidR="002B664D">
        <w:t xml:space="preserve">he streamlined list </w:t>
      </w:r>
      <w:r w:rsidR="004D58EB">
        <w:t xml:space="preserve">contains events from the </w:t>
      </w:r>
      <w:r w:rsidR="00424A2C">
        <w:t>11</w:t>
      </w:r>
      <w:r w:rsidR="002B664D">
        <w:t xml:space="preserve"> sports</w:t>
      </w:r>
      <w:r w:rsidR="00D04E3C">
        <w:t xml:space="preserve"> </w:t>
      </w:r>
      <w:r w:rsidR="004D58EB">
        <w:t xml:space="preserve">represented on the </w:t>
      </w:r>
      <w:r w:rsidR="002B664D">
        <w:t>current list</w:t>
      </w:r>
      <w:r>
        <w:t xml:space="preserve">, but </w:t>
      </w:r>
      <w:r w:rsidR="008822D5">
        <w:t>reduces the n</w:t>
      </w:r>
      <w:r w:rsidR="002B664D">
        <w:t>umber of events listed under each.</w:t>
      </w:r>
    </w:p>
    <w:p w14:paraId="4BA13A09" w14:textId="1160C9ED" w:rsidR="002E4E80" w:rsidRDefault="005333FF" w:rsidP="002B664D">
      <w:r>
        <w:t>It is</w:t>
      </w:r>
      <w:r w:rsidR="00F30A2F">
        <w:t xml:space="preserve"> </w:t>
      </w:r>
      <w:r>
        <w:t>n</w:t>
      </w:r>
      <w:r w:rsidR="00F30A2F">
        <w:t>o</w:t>
      </w:r>
      <w:r>
        <w:t xml:space="preserve">t possible to provide a precise </w:t>
      </w:r>
      <w:r w:rsidR="00165C75">
        <w:t>total</w:t>
      </w:r>
      <w:r>
        <w:t xml:space="preserve"> of events on the list</w:t>
      </w:r>
      <w:r w:rsidR="00052354">
        <w:t xml:space="preserve"> </w:t>
      </w:r>
      <w:r w:rsidR="002E4E80">
        <w:t xml:space="preserve">as </w:t>
      </w:r>
      <w:r w:rsidR="0081439A">
        <w:t>the format and timing of many competitions changes over time and a number of competitions only take place periodically.</w:t>
      </w:r>
    </w:p>
    <w:p w14:paraId="033C5572" w14:textId="20DAF4D4" w:rsidR="00165C75" w:rsidRDefault="002E4E80" w:rsidP="002B664D">
      <w:r>
        <w:t xml:space="preserve">However, for illustrative purposes, the number of events on the current list is </w:t>
      </w:r>
      <w:r w:rsidR="004774BE">
        <w:t xml:space="preserve">approximately </w:t>
      </w:r>
      <w:r w:rsidRPr="00AD45FC">
        <w:t>1,</w:t>
      </w:r>
      <w:r w:rsidR="00AD45FC" w:rsidRPr="00AD45FC">
        <w:t>90</w:t>
      </w:r>
      <w:r w:rsidR="004774BE">
        <w:t>0</w:t>
      </w:r>
      <w:r w:rsidR="00165C75">
        <w:t>, subject to a number of caveats and assumptions.</w:t>
      </w:r>
      <w:r w:rsidR="00165C75">
        <w:rPr>
          <w:rStyle w:val="FootnoteReference"/>
        </w:rPr>
        <w:footnoteReference w:id="147"/>
      </w:r>
    </w:p>
    <w:p w14:paraId="6306A806" w14:textId="492F4544" w:rsidR="00165C75" w:rsidRDefault="00165C75" w:rsidP="002B664D">
      <w:r>
        <w:t xml:space="preserve">Under the streamlined list, </w:t>
      </w:r>
      <w:r w:rsidR="00C21008">
        <w:t xml:space="preserve">adopting the same caveats and assumptions, </w:t>
      </w:r>
      <w:r w:rsidR="00A84C5D">
        <w:t xml:space="preserve">the </w:t>
      </w:r>
      <w:r>
        <w:t xml:space="preserve">number of events would be </w:t>
      </w:r>
      <w:r w:rsidR="004774BE">
        <w:t xml:space="preserve">approximately </w:t>
      </w:r>
      <w:r w:rsidR="008640BF" w:rsidRPr="00056164">
        <w:t>33</w:t>
      </w:r>
      <w:r w:rsidR="004774BE" w:rsidRPr="00056164">
        <w:t>0;</w:t>
      </w:r>
      <w:r w:rsidR="004774BE" w:rsidRPr="00B93095">
        <w:t xml:space="preserve"> a reduction of around 80 per cent compared with the current list.</w:t>
      </w:r>
    </w:p>
    <w:p w14:paraId="1168D85B" w14:textId="34389E9C" w:rsidR="002D524F" w:rsidRDefault="00136660" w:rsidP="002B664D">
      <w:r>
        <w:t>Close to half of this reduction in the estimated number of events on the list is attributable to the removal of the bulk of the Summer Olympic Games, the Winter Olympic Games and the Commonwealth Games.</w:t>
      </w:r>
    </w:p>
    <w:p w14:paraId="7E40DD4B" w14:textId="77777777" w:rsidR="00755FE1" w:rsidRPr="00A425E9" w:rsidRDefault="00755FE1" w:rsidP="00755FE1">
      <w:pPr>
        <w:pStyle w:val="Heading3"/>
        <w:rPr>
          <w:sz w:val="28"/>
          <w:szCs w:val="28"/>
        </w:rPr>
      </w:pPr>
      <w:bookmarkStart w:id="236" w:name="_Toc140842940"/>
      <w:r>
        <w:rPr>
          <w:sz w:val="28"/>
          <w:szCs w:val="28"/>
        </w:rPr>
        <w:t>Relationship</w:t>
      </w:r>
      <w:r w:rsidRPr="00A425E9">
        <w:rPr>
          <w:sz w:val="28"/>
          <w:szCs w:val="28"/>
        </w:rPr>
        <w:t xml:space="preserve"> with proposed models</w:t>
      </w:r>
      <w:bookmarkEnd w:id="236"/>
    </w:p>
    <w:p w14:paraId="197675F8" w14:textId="77777777" w:rsidR="00507714" w:rsidRDefault="002136B9" w:rsidP="00B77C5A">
      <w:bookmarkStart w:id="237" w:name="_Hlk140825890"/>
      <w:r>
        <w:t>As noted above, t</w:t>
      </w:r>
      <w:r w:rsidR="004D58EB">
        <w:t>he streamlined list has been designed to</w:t>
      </w:r>
      <w:r w:rsidR="009449C8">
        <w:t xml:space="preserve"> operate in conjunction</w:t>
      </w:r>
      <w:r w:rsidR="004D58EB">
        <w:t xml:space="preserve"> with the free-to-view model for </w:t>
      </w:r>
      <w:r w:rsidR="009449C8">
        <w:t>the r</w:t>
      </w:r>
      <w:r w:rsidR="004D58EB">
        <w:t>eform of the scheme outlined in Chapter 6</w:t>
      </w:r>
      <w:r w:rsidR="0081439A">
        <w:t xml:space="preserve"> (Model 1)</w:t>
      </w:r>
      <w:r w:rsidR="004D58EB">
        <w:t>. This</w:t>
      </w:r>
      <w:r w:rsidR="009449C8">
        <w:t xml:space="preserve"> reform</w:t>
      </w:r>
      <w:r w:rsidR="004D58EB">
        <w:t xml:space="preserve"> model </w:t>
      </w:r>
      <w:r w:rsidR="0085239D">
        <w:t xml:space="preserve">is </w:t>
      </w:r>
      <w:r w:rsidR="00522175">
        <w:t xml:space="preserve">contingent upon </w:t>
      </w:r>
      <w:r w:rsidR="00507714">
        <w:t xml:space="preserve">a shorter list, as it would not be technically or financially feasible for content services to provide live and in full coverage of competitions that involve </w:t>
      </w:r>
      <w:r w:rsidR="004D58EB">
        <w:t>dozens</w:t>
      </w:r>
      <w:r w:rsidR="00507714">
        <w:t xml:space="preserve"> of events occurring simultaneously. In terms of the current list, this includes the Australian Open tennis tournament, the Summer and Winter Olympic Games, and the Commonwealth Games.</w:t>
      </w:r>
    </w:p>
    <w:p w14:paraId="709857F9" w14:textId="14705464" w:rsidR="00F0748D" w:rsidRDefault="00664454" w:rsidP="00B77C5A">
      <w:r>
        <w:t xml:space="preserve">The streamlined list outlined </w:t>
      </w:r>
      <w:r w:rsidRPr="00AD45FC">
        <w:t xml:space="preserve">at </w:t>
      </w:r>
      <w:r w:rsidRPr="00056164">
        <w:rPr>
          <w:b/>
        </w:rPr>
        <w:t xml:space="preserve">Attachment </w:t>
      </w:r>
      <w:r w:rsidR="00AD45FC" w:rsidRPr="00056164">
        <w:rPr>
          <w:b/>
        </w:rPr>
        <w:t>A</w:t>
      </w:r>
      <w:r w:rsidRPr="00664454">
        <w:t xml:space="preserve"> </w:t>
      </w:r>
      <w:r>
        <w:t xml:space="preserve">includes a proposed listing for these </w:t>
      </w:r>
      <w:r w:rsidR="00F0748D">
        <w:t>competitions</w:t>
      </w:r>
      <w:r>
        <w:t xml:space="preserve"> that is</w:t>
      </w:r>
      <w:r w:rsidR="00924943">
        <w:t xml:space="preserve"> </w:t>
      </w:r>
      <w:r w:rsidR="004D58EB">
        <w:t>feasible for the free-to-view model (with respect to the proposed coverage obligation) and that (</w:t>
      </w:r>
      <w:r w:rsidR="009449C8">
        <w:t xml:space="preserve">to the extent </w:t>
      </w:r>
      <w:r w:rsidR="004D58EB">
        <w:t>possible) adopts the proposals put forward by stakeholders for a reduced list</w:t>
      </w:r>
      <w:r w:rsidR="003D114F">
        <w:t>.</w:t>
      </w:r>
      <w:r w:rsidR="009362A7">
        <w:t xml:space="preserve"> </w:t>
      </w:r>
      <w:r w:rsidR="009449C8">
        <w:t xml:space="preserve">Although this </w:t>
      </w:r>
      <w:r w:rsidR="009362A7">
        <w:t>permits th</w:t>
      </w:r>
      <w:r w:rsidR="00AE75AF">
        <w:t>e</w:t>
      </w:r>
      <w:r w:rsidR="009362A7">
        <w:t xml:space="preserve"> listing of competitions that involve </w:t>
      </w:r>
      <w:r w:rsidR="009449C8">
        <w:t>a</w:t>
      </w:r>
      <w:r w:rsidR="00D979A0">
        <w:t xml:space="preserve"> </w:t>
      </w:r>
      <w:r w:rsidR="009362A7">
        <w:t xml:space="preserve">degree of simultaneity of events, there </w:t>
      </w:r>
      <w:r w:rsidR="009449C8">
        <w:t xml:space="preserve">are </w:t>
      </w:r>
      <w:r w:rsidR="009362A7">
        <w:t>limits</w:t>
      </w:r>
      <w:r w:rsidR="00147BDB">
        <w:t>,</w:t>
      </w:r>
      <w:r w:rsidR="009362A7">
        <w:t xml:space="preserve"> as a content service provider (or multiple providers) would</w:t>
      </w:r>
      <w:r w:rsidR="00D979A0">
        <w:t xml:space="preserve">n’t </w:t>
      </w:r>
      <w:r w:rsidR="009362A7">
        <w:t xml:space="preserve">be able to satisfy the live and in full coverage obligation where </w:t>
      </w:r>
      <w:r w:rsidR="004D58EB">
        <w:t>dozens</w:t>
      </w:r>
      <w:r w:rsidR="009362A7">
        <w:t xml:space="preserve"> of events tak</w:t>
      </w:r>
      <w:r w:rsidR="009449C8">
        <w:t xml:space="preserve">e </w:t>
      </w:r>
      <w:r w:rsidR="009362A7">
        <w:t>place at the one time.</w:t>
      </w:r>
    </w:p>
    <w:p w14:paraId="3E6F2D91" w14:textId="34624770" w:rsidR="00BB6E93" w:rsidRDefault="003D114F" w:rsidP="00E77579">
      <w:r>
        <w:t>Th</w:t>
      </w:r>
      <w:r w:rsidR="00FA5BAC">
        <w:t>e stream</w:t>
      </w:r>
      <w:r w:rsidR="009A3627">
        <w:t>lin</w:t>
      </w:r>
      <w:r w:rsidR="00FA5BAC">
        <w:t xml:space="preserve">ed </w:t>
      </w:r>
      <w:r>
        <w:t xml:space="preserve">list </w:t>
      </w:r>
      <w:r w:rsidR="00924943">
        <w:t>is not</w:t>
      </w:r>
      <w:r>
        <w:t xml:space="preserve"> </w:t>
      </w:r>
      <w:r w:rsidR="00D40C26">
        <w:t xml:space="preserve">intended </w:t>
      </w:r>
      <w:r>
        <w:t xml:space="preserve">to be compatible with the </w:t>
      </w:r>
      <w:r w:rsidR="00664454">
        <w:t xml:space="preserve">other two </w:t>
      </w:r>
      <w:r w:rsidR="00924943">
        <w:t xml:space="preserve">reform </w:t>
      </w:r>
      <w:r w:rsidR="00664454">
        <w:t>models proposed in Chapter 6</w:t>
      </w:r>
      <w:r w:rsidR="00F0748D">
        <w:t xml:space="preserve">: </w:t>
      </w:r>
      <w:r w:rsidR="00664454">
        <w:t>the broadcasting safety</w:t>
      </w:r>
      <w:r w:rsidR="00890861">
        <w:t xml:space="preserve"> </w:t>
      </w:r>
      <w:r w:rsidR="00664454">
        <w:t>net model (Model 2)</w:t>
      </w:r>
      <w:r w:rsidR="00F0748D">
        <w:t>;</w:t>
      </w:r>
      <w:r w:rsidR="00664454">
        <w:t xml:space="preserve"> and the free-to-air first model (Model 3)</w:t>
      </w:r>
      <w:r w:rsidR="00F0748D">
        <w:t xml:space="preserve">. Both of these models are </w:t>
      </w:r>
      <w:r w:rsidR="00165C75">
        <w:t>constructed around a restriction on the acquisition of telecast and coverage rights by certain partie</w:t>
      </w:r>
      <w:r w:rsidR="00F0748D">
        <w:t>s</w:t>
      </w:r>
      <w:r w:rsidR="00E77579">
        <w:t>. To be compatible with either of these two reform models, the streamlined list w</w:t>
      </w:r>
      <w:r w:rsidR="00AF0FB8">
        <w:t>ould need to</w:t>
      </w:r>
      <w:r w:rsidR="00832B13">
        <w:t xml:space="preserve"> </w:t>
      </w:r>
      <w:r w:rsidR="00327EF1">
        <w:t xml:space="preserve">provide the parties involved </w:t>
      </w:r>
      <w:r w:rsidR="009D01B6">
        <w:t>(</w:t>
      </w:r>
      <w:r w:rsidR="00327EF1">
        <w:t>and the regulator</w:t>
      </w:r>
      <w:r w:rsidR="009D01B6">
        <w:t>)</w:t>
      </w:r>
      <w:r w:rsidR="00327EF1">
        <w:t xml:space="preserve"> with certainty</w:t>
      </w:r>
      <w:r w:rsidR="009D01B6">
        <w:t xml:space="preserve"> </w:t>
      </w:r>
      <w:r w:rsidR="008661C8">
        <w:t>regarding the rights that can’t be acquired until a free-</w:t>
      </w:r>
      <w:r w:rsidR="008661C8">
        <w:lastRenderedPageBreak/>
        <w:t>to-air broadcaster has a relevant right or rights (depending on the scheme).</w:t>
      </w:r>
      <w:r w:rsidR="0034467F">
        <w:t xml:space="preserve"> </w:t>
      </w:r>
      <w:r w:rsidR="00E77579">
        <w:t>In this regard, t</w:t>
      </w:r>
      <w:r w:rsidR="008661C8">
        <w:t xml:space="preserve">here would be limits on the ability of a list to characterise events based on factors that </w:t>
      </w:r>
      <w:r w:rsidR="00984E39">
        <w:t xml:space="preserve">are </w:t>
      </w:r>
      <w:r w:rsidR="008661C8">
        <w:t>unclear or unquantifiable at the time of acquisition</w:t>
      </w:r>
      <w:r w:rsidR="00D40C26">
        <w:t>.</w:t>
      </w:r>
    </w:p>
    <w:p w14:paraId="7D999A9C" w14:textId="395B55A0" w:rsidR="00E77579" w:rsidRDefault="00BB6E93" w:rsidP="00E77579">
      <w:r>
        <w:t>I</w:t>
      </w:r>
      <w:r w:rsidR="00E77579">
        <w:t xml:space="preserve">t would be feasible to construct a streamlined list that </w:t>
      </w:r>
      <w:r w:rsidR="00984E39">
        <w:t>is</w:t>
      </w:r>
      <w:r w:rsidR="00E77579">
        <w:t xml:space="preserve"> compatible with either of these two models</w:t>
      </w:r>
      <w:r>
        <w:t xml:space="preserve">. However, </w:t>
      </w:r>
      <w:r w:rsidR="00E77579">
        <w:t xml:space="preserve">this approach isn’t considered in further </w:t>
      </w:r>
      <w:r w:rsidR="00984E39">
        <w:t xml:space="preserve">detail </w:t>
      </w:r>
      <w:r w:rsidR="00E77579">
        <w:t>in this paper as the streamlined list option is intended to operate in conjunction with the free-to-view reform model.</w:t>
      </w:r>
    </w:p>
    <w:p w14:paraId="3B29525A" w14:textId="77777777" w:rsidR="00522175" w:rsidRDefault="00522175" w:rsidP="00522175">
      <w:pPr>
        <w:pStyle w:val="Heading3"/>
        <w:rPr>
          <w:sz w:val="28"/>
          <w:szCs w:val="28"/>
        </w:rPr>
      </w:pPr>
      <w:bookmarkStart w:id="238" w:name="_Toc140842941"/>
      <w:bookmarkStart w:id="239" w:name="_Hlk141266066"/>
      <w:bookmarkEnd w:id="237"/>
      <w:r w:rsidRPr="004C4E7B">
        <w:rPr>
          <w:sz w:val="28"/>
          <w:szCs w:val="28"/>
        </w:rPr>
        <w:t>Preliminary assessment</w:t>
      </w:r>
      <w:bookmarkEnd w:id="238"/>
    </w:p>
    <w:p w14:paraId="3B490D34" w14:textId="7E6DADD8" w:rsidR="00242BAC" w:rsidRDefault="00194794" w:rsidP="00863A21">
      <w:pPr>
        <w:spacing w:after="0"/>
      </w:pPr>
      <w:r w:rsidRPr="00A65AF9">
        <w:t>Th</w:t>
      </w:r>
      <w:r w:rsidR="00F757E6">
        <w:t>e</w:t>
      </w:r>
      <w:r w:rsidR="00606BD7">
        <w:t xml:space="preserve"> streamlined list would significantly pare back the reach and scope of the anti-siphoning scheme. </w:t>
      </w:r>
      <w:r w:rsidR="00AD45FC">
        <w:t>T</w:t>
      </w:r>
      <w:r w:rsidR="0032382E">
        <w:t xml:space="preserve">his </w:t>
      </w:r>
      <w:r w:rsidR="00242BAC">
        <w:t xml:space="preserve">option would see a </w:t>
      </w:r>
      <w:r w:rsidR="00F629E7">
        <w:t xml:space="preserve">reduction of around 80 </w:t>
      </w:r>
      <w:r w:rsidR="00AD45FC" w:rsidRPr="00056164">
        <w:t xml:space="preserve">per cent </w:t>
      </w:r>
      <w:r w:rsidR="00242BAC">
        <w:t xml:space="preserve">in the number of events </w:t>
      </w:r>
      <w:r w:rsidR="00242BAC" w:rsidRPr="00AD45FC">
        <w:t>o</w:t>
      </w:r>
      <w:r w:rsidR="00AD45FC">
        <w:t>n</w:t>
      </w:r>
      <w:r w:rsidR="00242BAC">
        <w:t xml:space="preserve"> the list, from </w:t>
      </w:r>
      <w:r w:rsidR="00500D60">
        <w:t xml:space="preserve">approximately </w:t>
      </w:r>
      <w:r w:rsidR="00AD45FC" w:rsidRPr="00AD45FC">
        <w:t>1,90</w:t>
      </w:r>
      <w:r w:rsidR="004774BE">
        <w:t>0</w:t>
      </w:r>
      <w:r w:rsidR="00242BAC">
        <w:t xml:space="preserve"> </w:t>
      </w:r>
      <w:r w:rsidR="004774BE">
        <w:t>events</w:t>
      </w:r>
      <w:r w:rsidR="00242BAC">
        <w:t xml:space="preserve"> to</w:t>
      </w:r>
      <w:r w:rsidR="00F629E7">
        <w:t xml:space="preserve"> </w:t>
      </w:r>
      <w:r w:rsidR="004774BE">
        <w:t>approximately</w:t>
      </w:r>
      <w:r w:rsidR="00F629E7">
        <w:t xml:space="preserve"> </w:t>
      </w:r>
      <w:r w:rsidR="00500D60" w:rsidRPr="00056164">
        <w:t>33</w:t>
      </w:r>
      <w:r w:rsidR="004774BE" w:rsidRPr="00056164">
        <w:t>0 events</w:t>
      </w:r>
      <w:r w:rsidR="00242BAC">
        <w:t>.</w:t>
      </w:r>
    </w:p>
    <w:p w14:paraId="72A8D036" w14:textId="04382C95" w:rsidR="009449C8" w:rsidRDefault="009449C8" w:rsidP="00863A21">
      <w:pPr>
        <w:spacing w:after="0"/>
      </w:pPr>
      <w:r>
        <w:t xml:space="preserve">This is by design, given the twin aims of this list option of ensuring compatibility with the free-to-view reform model and limiting the </w:t>
      </w:r>
      <w:r w:rsidR="0032382E">
        <w:t>application</w:t>
      </w:r>
      <w:r>
        <w:t xml:space="preserve"> of the scheme by taking a narrower view of </w:t>
      </w:r>
      <w:r w:rsidR="00A84C5D">
        <w:t xml:space="preserve">what constitutes </w:t>
      </w:r>
      <w:r>
        <w:t>nationally important and culturally significant events.</w:t>
      </w:r>
    </w:p>
    <w:p w14:paraId="5148ABDD" w14:textId="47C8B41C" w:rsidR="00BC2229" w:rsidRDefault="00BC2229" w:rsidP="00863A21">
      <w:pPr>
        <w:spacing w:after="0"/>
      </w:pPr>
      <w:r>
        <w:t xml:space="preserve">For the </w:t>
      </w:r>
      <w:r w:rsidR="00F85E44">
        <w:t xml:space="preserve">relatively small </w:t>
      </w:r>
      <w:r>
        <w:t xml:space="preserve">number of events </w:t>
      </w:r>
      <w:r w:rsidR="0032382E">
        <w:t xml:space="preserve">that would remain </w:t>
      </w:r>
      <w:r>
        <w:t xml:space="preserve">on the </w:t>
      </w:r>
      <w:r w:rsidR="00F85E44">
        <w:t>streamlined l</w:t>
      </w:r>
      <w:r>
        <w:t xml:space="preserve">ist, this option (in conjunction with the free-to-view model) </w:t>
      </w:r>
      <w:r w:rsidR="00F85E44">
        <w:t xml:space="preserve">would provide </w:t>
      </w:r>
      <w:r>
        <w:t>Australian audiences with a guarantee of live and in full coverage. Importantly, this guarantee would be in place regardless of whether</w:t>
      </w:r>
      <w:r w:rsidR="00F85E44">
        <w:t xml:space="preserve"> the coverage was provided via a free-to-air broadcasting service, or via an online streaming service</w:t>
      </w:r>
      <w:r w:rsidR="00A84C5D">
        <w:t xml:space="preserve"> (or any other form of content service)</w:t>
      </w:r>
      <w:r w:rsidR="00F85E44">
        <w:t>.</w:t>
      </w:r>
    </w:p>
    <w:p w14:paraId="6BF62E0D" w14:textId="4B694CD1" w:rsidR="001C4117" w:rsidRPr="001C4117" w:rsidRDefault="00BC2229" w:rsidP="001C4117">
      <w:pPr>
        <w:spacing w:after="0"/>
      </w:pPr>
      <w:r>
        <w:t xml:space="preserve">However, as noted in </w:t>
      </w:r>
      <w:r w:rsidR="00A86474">
        <w:t>Chapter</w:t>
      </w:r>
      <w:r>
        <w:t xml:space="preserve"> 6, there are differences between access and availability</w:t>
      </w:r>
      <w:r w:rsidR="00F85E44">
        <w:t>. The provision of coverage of events online does not, a</w:t>
      </w:r>
      <w:r w:rsidR="003171AD">
        <w:t>t</w:t>
      </w:r>
      <w:r w:rsidR="00F85E44">
        <w:t xml:space="preserve"> present, mean that all Australians would </w:t>
      </w:r>
      <w:r w:rsidR="00242BAC">
        <w:t xml:space="preserve">necessarily </w:t>
      </w:r>
      <w:r w:rsidR="00F85E44">
        <w:t xml:space="preserve">have </w:t>
      </w:r>
      <w:r w:rsidR="00242BAC">
        <w:t xml:space="preserve">free </w:t>
      </w:r>
      <w:r w:rsidR="00F85E44">
        <w:t xml:space="preserve">access to this coverage. </w:t>
      </w:r>
      <w:r w:rsidR="001C4117">
        <w:rPr>
          <w:color w:val="000000"/>
          <w:shd w:val="clear" w:color="auto" w:fill="FFFFFF"/>
        </w:rPr>
        <w:t xml:space="preserve">Variations in consumer take-up of broadband or mobile services, and the </w:t>
      </w:r>
      <w:r w:rsidR="0032382E">
        <w:rPr>
          <w:color w:val="000000"/>
          <w:shd w:val="clear" w:color="auto" w:fill="FFFFFF"/>
        </w:rPr>
        <w:t>impact</w:t>
      </w:r>
      <w:r w:rsidR="001C4117">
        <w:rPr>
          <w:color w:val="000000"/>
          <w:shd w:val="clear" w:color="auto" w:fill="FFFFFF"/>
        </w:rPr>
        <w:t xml:space="preserve"> of factors such as indirect costs and service capabilities, mean that the objective of the scheme of </w:t>
      </w:r>
      <w:r w:rsidR="00984E39">
        <w:rPr>
          <w:color w:val="000000"/>
          <w:shd w:val="clear" w:color="auto" w:fill="FFFFFF"/>
        </w:rPr>
        <w:t xml:space="preserve">supporting </w:t>
      </w:r>
      <w:r w:rsidR="001C4117">
        <w:rPr>
          <w:color w:val="000000"/>
          <w:shd w:val="clear" w:color="auto" w:fill="FFFFFF"/>
        </w:rPr>
        <w:t xml:space="preserve">free access to </w:t>
      </w:r>
      <w:r w:rsidR="00984E39">
        <w:rPr>
          <w:color w:val="000000"/>
          <w:shd w:val="clear" w:color="auto" w:fill="FFFFFF"/>
        </w:rPr>
        <w:t xml:space="preserve">televised coverage of </w:t>
      </w:r>
      <w:r w:rsidR="001C4117">
        <w:rPr>
          <w:color w:val="000000"/>
          <w:shd w:val="clear" w:color="auto" w:fill="FFFFFF"/>
        </w:rPr>
        <w:t>these events by all Australians may not be fully realised.</w:t>
      </w:r>
    </w:p>
    <w:p w14:paraId="5E5190B9" w14:textId="21B4C691" w:rsidR="00242BAC" w:rsidRDefault="00BC2229" w:rsidP="00863A21">
      <w:pPr>
        <w:spacing w:after="0"/>
      </w:pPr>
      <w:r>
        <w:t>Th</w:t>
      </w:r>
      <w:r w:rsidR="001C4117">
        <w:t xml:space="preserve">e guarantee of live and in full coverage of these events is also </w:t>
      </w:r>
      <w:r w:rsidR="00242BAC">
        <w:t xml:space="preserve">likely to be </w:t>
      </w:r>
      <w:r w:rsidR="001C4117">
        <w:t xml:space="preserve">little different to current </w:t>
      </w:r>
      <w:r w:rsidR="00C26485">
        <w:t xml:space="preserve">consumer </w:t>
      </w:r>
      <w:r w:rsidR="001C4117">
        <w:t>outcome</w:t>
      </w:r>
      <w:r w:rsidR="0032382E">
        <w:t>s</w:t>
      </w:r>
      <w:r w:rsidR="001C4117">
        <w:t xml:space="preserve">. While the current scheme (and the two alternative reform models proposed in this paper) do not contain mandatory coverage requirements, the high profile and iconic events </w:t>
      </w:r>
      <w:r w:rsidR="00A84C5D">
        <w:t xml:space="preserve">proposed for inclusion </w:t>
      </w:r>
      <w:r w:rsidR="001C4117">
        <w:t xml:space="preserve">on the streamlined list </w:t>
      </w:r>
      <w:r w:rsidR="0032382E">
        <w:t xml:space="preserve">have historically </w:t>
      </w:r>
      <w:r w:rsidR="001C4117">
        <w:t>receive</w:t>
      </w:r>
      <w:r w:rsidR="0032382E">
        <w:t>d</w:t>
      </w:r>
      <w:r w:rsidR="001C4117">
        <w:t xml:space="preserve"> live and in full </w:t>
      </w:r>
      <w:r w:rsidR="00C26485">
        <w:t>coverage</w:t>
      </w:r>
      <w:r w:rsidR="001C4117">
        <w:t xml:space="preserve"> via free-to-air </w:t>
      </w:r>
      <w:r w:rsidR="00242BAC">
        <w:t>television</w:t>
      </w:r>
      <w:r w:rsidR="001C4117">
        <w:t xml:space="preserve"> services.</w:t>
      </w:r>
      <w:r w:rsidR="00242BAC">
        <w:t xml:space="preserve"> This is unlikely to change over the near- to medium-term, given this high profile and popularity of these events.</w:t>
      </w:r>
    </w:p>
    <w:p w14:paraId="7A29E78A" w14:textId="2F327DF2" w:rsidR="00242BAC" w:rsidRDefault="00242BAC" w:rsidP="00863A21">
      <w:pPr>
        <w:spacing w:after="0"/>
      </w:pPr>
      <w:r>
        <w:t xml:space="preserve">For the range of events effectively removed from the list under the streamlined list option – </w:t>
      </w:r>
      <w:r w:rsidR="00B93095">
        <w:t>around 1,600 events</w:t>
      </w:r>
      <w:r>
        <w:t xml:space="preserve"> – there is a risk that these events will not receive live, in full and free coverage. The anti</w:t>
      </w:r>
      <w:r w:rsidR="00EB2B9F">
        <w:noBreakHyphen/>
      </w:r>
      <w:r>
        <w:t xml:space="preserve">siphoning scheme would have no application to these events, and content service providers – </w:t>
      </w:r>
      <w:r w:rsidR="00A84C5D">
        <w:t xml:space="preserve">including </w:t>
      </w:r>
      <w:r>
        <w:t>traditional subscription television broadcasting services</w:t>
      </w:r>
      <w:r w:rsidR="00A84C5D">
        <w:t xml:space="preserve"> and </w:t>
      </w:r>
      <w:r>
        <w:t xml:space="preserve">newer, subscription-based streaming services – could opt to provide coverage of these events on subscription-based </w:t>
      </w:r>
      <w:r w:rsidR="00A84C5D">
        <w:t>platforms</w:t>
      </w:r>
      <w:r>
        <w:t>. They could also opt to provide partial coverage of these events.</w:t>
      </w:r>
    </w:p>
    <w:p w14:paraId="34A48D46" w14:textId="3F167B84" w:rsidR="00D237CC" w:rsidRDefault="00412F53" w:rsidP="006D05DE">
      <w:pPr>
        <w:spacing w:after="0"/>
      </w:pPr>
      <w:r>
        <w:t>This outcome is by no means certain</w:t>
      </w:r>
      <w:r w:rsidR="00123AA6">
        <w:t>. C</w:t>
      </w:r>
      <w:r>
        <w:t xml:space="preserve">ontent service providers (including broadcasters) may continue to seek to acquire rights and provide coverage of these events </w:t>
      </w:r>
      <w:r w:rsidR="008B799E">
        <w:t xml:space="preserve">live and in full and </w:t>
      </w:r>
      <w:r>
        <w:t>on ‘free’ platforms. However, under th</w:t>
      </w:r>
      <w:r w:rsidR="006D05DE">
        <w:t>e streamlined l</w:t>
      </w:r>
      <w:r>
        <w:t>ist option, th</w:t>
      </w:r>
      <w:r w:rsidR="00325CB4">
        <w:t xml:space="preserve">ere is an increased risk of these events being siphoned to paywalled services. </w:t>
      </w:r>
      <w:r w:rsidR="002036E3">
        <w:t>W</w:t>
      </w:r>
      <w:r w:rsidR="00D237CC">
        <w:t xml:space="preserve">hether this </w:t>
      </w:r>
      <w:r w:rsidR="0032382E">
        <w:t>i</w:t>
      </w:r>
      <w:r w:rsidR="002036E3">
        <w:t xml:space="preserve">s </w:t>
      </w:r>
      <w:r w:rsidR="0032382E">
        <w:t xml:space="preserve">an acceptable risk </w:t>
      </w:r>
      <w:r w:rsidR="002036E3">
        <w:t xml:space="preserve">ultimately </w:t>
      </w:r>
      <w:r w:rsidR="0032382E">
        <w:t xml:space="preserve">depends on </w:t>
      </w:r>
      <w:r w:rsidR="002036E3">
        <w:t xml:space="preserve">the importance of providing free access to coverage of these </w:t>
      </w:r>
      <w:r w:rsidR="00E77579">
        <w:t xml:space="preserve">approximately </w:t>
      </w:r>
      <w:r w:rsidR="00AD45FC" w:rsidRPr="00AD45FC">
        <w:t>1,</w:t>
      </w:r>
      <w:r w:rsidR="00B93095">
        <w:t>600</w:t>
      </w:r>
      <w:r w:rsidR="00A84C5D">
        <w:t xml:space="preserve"> </w:t>
      </w:r>
      <w:r w:rsidR="002036E3">
        <w:t>events.</w:t>
      </w:r>
    </w:p>
    <w:p w14:paraId="27CC7EE3" w14:textId="4EB8BF2E" w:rsidR="00325CB4" w:rsidRDefault="00325CB4" w:rsidP="00863A21">
      <w:pPr>
        <w:spacing w:after="0"/>
      </w:pPr>
      <w:r>
        <w:t>F</w:t>
      </w:r>
      <w:r w:rsidR="004D0EA8">
        <w:t>rom an industry perspective, the</w:t>
      </w:r>
      <w:r>
        <w:t xml:space="preserve"> </w:t>
      </w:r>
      <w:r w:rsidR="00A56892">
        <w:t xml:space="preserve">streamlined </w:t>
      </w:r>
      <w:r>
        <w:t xml:space="preserve">list </w:t>
      </w:r>
      <w:r w:rsidR="004D0EA8">
        <w:t xml:space="preserve">option </w:t>
      </w:r>
      <w:r>
        <w:t>would provide sports bodies with greater opportunity to negotiat</w:t>
      </w:r>
      <w:r w:rsidR="00A56892">
        <w:t>e</w:t>
      </w:r>
      <w:r>
        <w:t xml:space="preserve"> deals for rights without the restrictions of the scheme. Sporting bodies noted through submissions to the initial phase of the review that the ability to maximise revenue from these rights is critical to their ability to invest in their respective sports at the grassroots level, and underpins their operations as not-for-profit entities.</w:t>
      </w:r>
      <w:r w:rsidRPr="0037192C">
        <w:rPr>
          <w:vertAlign w:val="superscript"/>
        </w:rPr>
        <w:footnoteReference w:id="148"/>
      </w:r>
    </w:p>
    <w:p w14:paraId="289FCD6B" w14:textId="31BDCBD0" w:rsidR="00325CB4" w:rsidRDefault="00325CB4" w:rsidP="00863A21">
      <w:pPr>
        <w:spacing w:after="0"/>
      </w:pPr>
      <w:r>
        <w:lastRenderedPageBreak/>
        <w:t>Free-to-air broadcasters would be detrimentally impacted by the streamlined list</w:t>
      </w:r>
      <w:r w:rsidR="004D0EA8">
        <w:t xml:space="preserve"> </w:t>
      </w:r>
      <w:r>
        <w:t xml:space="preserve">by no longer having the first opportunity to acquire the rights to </w:t>
      </w:r>
      <w:r w:rsidR="004D0EA8">
        <w:t xml:space="preserve">a significant number of events under the protection of the scheme. </w:t>
      </w:r>
      <w:r>
        <w:t xml:space="preserve">Conversely, subscription television broadcasting licensees would be subject to less restrictions </w:t>
      </w:r>
      <w:r w:rsidR="004D0EA8">
        <w:t xml:space="preserve">and would have greater opportunity to </w:t>
      </w:r>
      <w:r>
        <w:t xml:space="preserve">purchase and monetise </w:t>
      </w:r>
      <w:r w:rsidR="004D0EA8">
        <w:t xml:space="preserve">those </w:t>
      </w:r>
      <w:r>
        <w:t>additional rights. Online streaming services and other content services would be brought into the scheme for the first time</w:t>
      </w:r>
      <w:r w:rsidR="004D0EA8">
        <w:t xml:space="preserve"> </w:t>
      </w:r>
      <w:r w:rsidR="002036E3">
        <w:t>if they opted</w:t>
      </w:r>
      <w:r w:rsidR="004D0EA8">
        <w:t xml:space="preserve"> to acquire the rights to provide coverage of events on the streamlined list</w:t>
      </w:r>
      <w:r w:rsidR="002036E3">
        <w:t xml:space="preserve">. However, </w:t>
      </w:r>
      <w:r w:rsidR="004D0EA8">
        <w:t xml:space="preserve">this impact </w:t>
      </w:r>
      <w:r w:rsidR="00984E39">
        <w:t xml:space="preserve">may </w:t>
      </w:r>
      <w:r w:rsidR="004D0EA8">
        <w:t>be relatively modest given the narrow range of events on the list.</w:t>
      </w:r>
    </w:p>
    <w:p w14:paraId="159845FC" w14:textId="5940A6F4" w:rsidR="00AD4661" w:rsidRPr="00D00926" w:rsidRDefault="00325F80" w:rsidP="00D00926">
      <w:pPr>
        <w:pStyle w:val="Heading3"/>
        <w:rPr>
          <w:sz w:val="28"/>
          <w:szCs w:val="28"/>
        </w:rPr>
      </w:pPr>
      <w:bookmarkStart w:id="240" w:name="_Toc140842942"/>
      <w:r>
        <w:rPr>
          <w:sz w:val="28"/>
          <w:szCs w:val="28"/>
        </w:rPr>
        <w:t>Government position</w:t>
      </w:r>
      <w:bookmarkEnd w:id="240"/>
    </w:p>
    <w:p w14:paraId="46E9F058" w14:textId="2051C7EB" w:rsidR="00984E39" w:rsidRDefault="00D00926" w:rsidP="006C7C36">
      <w:pPr>
        <w:pStyle w:val="ListParagraph"/>
        <w:tabs>
          <w:tab w:val="left" w:pos="567"/>
        </w:tabs>
        <w:spacing w:after="0"/>
        <w:ind w:left="0"/>
        <w:contextualSpacing w:val="0"/>
      </w:pPr>
      <w:r>
        <w:t xml:space="preserve">A streamlined list </w:t>
      </w:r>
      <w:r w:rsidR="00EF6D6A">
        <w:t xml:space="preserve">is the only list </w:t>
      </w:r>
      <w:r w:rsidR="006C7C36">
        <w:t xml:space="preserve">option that is compatible with the </w:t>
      </w:r>
      <w:r w:rsidR="00863A21">
        <w:t>free-to-view model</w:t>
      </w:r>
      <w:r w:rsidR="006C7C36">
        <w:t>. As noted in Chapter 6, this is</w:t>
      </w:r>
      <w:r w:rsidR="00863A21">
        <w:t xml:space="preserve"> likely to be the </w:t>
      </w:r>
      <w:r w:rsidR="006C7C36">
        <w:t xml:space="preserve">most suitable and appropriate </w:t>
      </w:r>
      <w:r w:rsidR="00863A21">
        <w:t>model for the anti-siphoning scheme</w:t>
      </w:r>
      <w:r w:rsidR="006C7C36">
        <w:t xml:space="preserve"> in the long-term.</w:t>
      </w:r>
    </w:p>
    <w:p w14:paraId="0DC18C4C" w14:textId="48AF77D9" w:rsidR="006C7C36" w:rsidRPr="00323AB6" w:rsidRDefault="00DF56D1" w:rsidP="006C7C36">
      <w:pPr>
        <w:pStyle w:val="ListParagraph"/>
        <w:tabs>
          <w:tab w:val="left" w:pos="567"/>
        </w:tabs>
        <w:spacing w:after="0"/>
        <w:ind w:left="0"/>
        <w:contextualSpacing w:val="0"/>
      </w:pPr>
      <w:r>
        <w:t xml:space="preserve">However, </w:t>
      </w:r>
      <w:r w:rsidR="006C7C36">
        <w:t>the technology and market conditions in Australia are not mature enough to enable the adoption of this model in the near- to medium-term</w:t>
      </w:r>
      <w:r w:rsidR="004D0EA8">
        <w:t xml:space="preserve"> and </w:t>
      </w:r>
      <w:r w:rsidR="001A6588">
        <w:t xml:space="preserve">as such, </w:t>
      </w:r>
      <w:r w:rsidR="004D0EA8">
        <w:t xml:space="preserve">the </w:t>
      </w:r>
      <w:r w:rsidR="006C7C36">
        <w:t xml:space="preserve">streamlined list is not </w:t>
      </w:r>
      <w:r w:rsidR="002036E3">
        <w:t>the</w:t>
      </w:r>
      <w:r w:rsidR="006C7C36">
        <w:t xml:space="preserve"> preferred option for the list at this time.</w:t>
      </w:r>
      <w:bookmarkEnd w:id="239"/>
    </w:p>
    <w:p w14:paraId="552FF87B" w14:textId="77777777" w:rsidR="00AD4661" w:rsidRDefault="00E34095" w:rsidP="00A513FC">
      <w:pPr>
        <w:pStyle w:val="Heading2"/>
      </w:pPr>
      <w:bookmarkStart w:id="241" w:name="_Toc140842943"/>
      <w:bookmarkStart w:id="242" w:name="_Toc141369810"/>
      <w:bookmarkStart w:id="243" w:name="_Toc143265601"/>
      <w:bookmarkEnd w:id="226"/>
      <w:bookmarkEnd w:id="235"/>
      <w:r>
        <w:t>Option 2</w:t>
      </w:r>
      <w:r w:rsidR="00C53181">
        <w:t xml:space="preserve">: </w:t>
      </w:r>
      <w:r w:rsidR="00D52462">
        <w:t>The m</w:t>
      </w:r>
      <w:r>
        <w:t>odernised</w:t>
      </w:r>
      <w:r w:rsidR="006913A7">
        <w:t xml:space="preserve"> </w:t>
      </w:r>
      <w:r w:rsidR="00C53181">
        <w:t>list</w:t>
      </w:r>
      <w:bookmarkEnd w:id="241"/>
      <w:r w:rsidR="00D52462">
        <w:t xml:space="preserve"> [Government</w:t>
      </w:r>
      <w:r w:rsidR="0012434B">
        <w:t xml:space="preserve"> </w:t>
      </w:r>
      <w:r w:rsidR="00D52462">
        <w:t>preferred]</w:t>
      </w:r>
      <w:bookmarkEnd w:id="242"/>
      <w:bookmarkEnd w:id="243"/>
    </w:p>
    <w:p w14:paraId="2C5C5B5B" w14:textId="0E959601" w:rsidR="009371AE" w:rsidRPr="009371AE" w:rsidRDefault="009371AE" w:rsidP="009371AE">
      <w:pPr>
        <w:pStyle w:val="Heading3"/>
        <w:rPr>
          <w:sz w:val="28"/>
          <w:szCs w:val="28"/>
        </w:rPr>
      </w:pPr>
      <w:bookmarkStart w:id="244" w:name="_Toc140842944"/>
      <w:bookmarkStart w:id="245" w:name="_Hlk141182050"/>
      <w:r w:rsidRPr="00A9605A">
        <w:rPr>
          <w:sz w:val="28"/>
          <w:szCs w:val="28"/>
        </w:rPr>
        <w:t>Overview</w:t>
      </w:r>
      <w:bookmarkEnd w:id="244"/>
    </w:p>
    <w:p w14:paraId="6E296F46" w14:textId="1BA8537F" w:rsidR="006E22D3" w:rsidRDefault="00C53181" w:rsidP="00B008B7">
      <w:r>
        <w:t>Th</w:t>
      </w:r>
      <w:r w:rsidR="00457EE0">
        <w:t>e modernised list would</w:t>
      </w:r>
      <w:r w:rsidR="00953BA8">
        <w:t xml:space="preserve"> </w:t>
      </w:r>
      <w:r w:rsidR="00457EE0">
        <w:t>represent</w:t>
      </w:r>
      <w:r w:rsidR="00953BA8">
        <w:t xml:space="preserve"> </w:t>
      </w:r>
      <w:r w:rsidR="007829C8">
        <w:t>a</w:t>
      </w:r>
      <w:r w:rsidR="001A6588">
        <w:t xml:space="preserve">n </w:t>
      </w:r>
      <w:r w:rsidR="00457EE0">
        <w:t xml:space="preserve">increase </w:t>
      </w:r>
      <w:r w:rsidR="007829C8">
        <w:t xml:space="preserve">in the number of events on the list compared with the current instrument. </w:t>
      </w:r>
      <w:r>
        <w:t>Th</w:t>
      </w:r>
      <w:r w:rsidR="002851CD">
        <w:t>is</w:t>
      </w:r>
      <w:r>
        <w:t xml:space="preserve"> </w:t>
      </w:r>
      <w:r w:rsidR="00953BA8">
        <w:t xml:space="preserve">list </w:t>
      </w:r>
      <w:r w:rsidR="00457EE0">
        <w:t xml:space="preserve">option is detailed </w:t>
      </w:r>
      <w:r w:rsidR="00457EE0" w:rsidRPr="00AD45FC">
        <w:t xml:space="preserve">at </w:t>
      </w:r>
      <w:r w:rsidR="00457EE0" w:rsidRPr="00056164">
        <w:rPr>
          <w:b/>
        </w:rPr>
        <w:t xml:space="preserve">Attachment </w:t>
      </w:r>
      <w:r w:rsidR="00AD45FC" w:rsidRPr="00056164">
        <w:rPr>
          <w:b/>
        </w:rPr>
        <w:t>B</w:t>
      </w:r>
      <w:r w:rsidR="00B008B7">
        <w:t>.</w:t>
      </w:r>
    </w:p>
    <w:p w14:paraId="469EB9A1" w14:textId="2397EC48" w:rsidR="00072842" w:rsidRDefault="00072842" w:rsidP="00B008B7">
      <w:bookmarkStart w:id="246" w:name="_Hlk141114697"/>
      <w:r>
        <w:t>The aims of the modernised list are two-fold:</w:t>
      </w:r>
    </w:p>
    <w:p w14:paraId="5244303A" w14:textId="16504207" w:rsidR="00072842" w:rsidRDefault="00072842" w:rsidP="001A687D">
      <w:pPr>
        <w:pStyle w:val="ListParagraph"/>
        <w:numPr>
          <w:ilvl w:val="0"/>
          <w:numId w:val="53"/>
        </w:numPr>
        <w:contextualSpacing w:val="0"/>
      </w:pPr>
      <w:r>
        <w:t xml:space="preserve">To enable the list </w:t>
      </w:r>
      <w:r w:rsidR="00DF5F6F">
        <w:t xml:space="preserve">to </w:t>
      </w:r>
      <w:r>
        <w:t>operate effectively with the broadcasting safety</w:t>
      </w:r>
      <w:r w:rsidR="00890861">
        <w:t xml:space="preserve"> </w:t>
      </w:r>
      <w:r>
        <w:t xml:space="preserve">net </w:t>
      </w:r>
      <w:r w:rsidR="002D520F">
        <w:t xml:space="preserve">and </w:t>
      </w:r>
      <w:r>
        <w:t>free-to-</w:t>
      </w:r>
      <w:r w:rsidR="00656FD4">
        <w:t xml:space="preserve">air </w:t>
      </w:r>
      <w:r w:rsidR="002D520F">
        <w:t>first</w:t>
      </w:r>
      <w:r>
        <w:t xml:space="preserve"> model</w:t>
      </w:r>
      <w:r w:rsidR="002D520F">
        <w:t>s</w:t>
      </w:r>
      <w:r>
        <w:t xml:space="preserve"> for the reform of the scheme (Model</w:t>
      </w:r>
      <w:r w:rsidR="002D520F">
        <w:t>s 2 and 3 respectively,</w:t>
      </w:r>
      <w:r>
        <w:t xml:space="preserve"> as outlined in Chapter 6).</w:t>
      </w:r>
    </w:p>
    <w:p w14:paraId="1CFAF9A3" w14:textId="2001BF0B" w:rsidR="000655F0" w:rsidRDefault="00072842" w:rsidP="00564CBE">
      <w:pPr>
        <w:pStyle w:val="ListParagraph"/>
        <w:numPr>
          <w:ilvl w:val="0"/>
          <w:numId w:val="53"/>
        </w:numPr>
        <w:contextualSpacing w:val="0"/>
      </w:pPr>
      <w:r>
        <w:t xml:space="preserve">To apply </w:t>
      </w:r>
      <w:r w:rsidR="00202FC4">
        <w:t>the</w:t>
      </w:r>
      <w:r>
        <w:t xml:space="preserve"> scheme </w:t>
      </w:r>
      <w:r w:rsidR="00656FD4">
        <w:t xml:space="preserve">in a way that better reflects the </w:t>
      </w:r>
      <w:r w:rsidR="000655F0">
        <w:t>contemporary</w:t>
      </w:r>
      <w:r w:rsidR="00AD6B43">
        <w:t xml:space="preserve"> media landscape and </w:t>
      </w:r>
      <w:r w:rsidR="000655F0">
        <w:t xml:space="preserve">moderately broadens the construction of </w:t>
      </w:r>
      <w:r>
        <w:t>nationally important and culturally significant events</w:t>
      </w:r>
      <w:r w:rsidR="00A62297">
        <w:t>.</w:t>
      </w:r>
    </w:p>
    <w:p w14:paraId="6347B083" w14:textId="7E0ABAD2" w:rsidR="0052021E" w:rsidRDefault="00431B08" w:rsidP="000655F0">
      <w:r>
        <w:t xml:space="preserve">As noted in Chapter 5, </w:t>
      </w:r>
      <w:r w:rsidR="00D23A6C">
        <w:t xml:space="preserve">proposals put forward by stakeholders </w:t>
      </w:r>
      <w:r>
        <w:t>vari</w:t>
      </w:r>
      <w:r w:rsidR="00D23A6C">
        <w:t>ed</w:t>
      </w:r>
      <w:r>
        <w:t xml:space="preserve"> </w:t>
      </w:r>
      <w:r w:rsidR="00656FD4">
        <w:t xml:space="preserve">considerably </w:t>
      </w:r>
      <w:r w:rsidR="001A6588">
        <w:t>with respect to</w:t>
      </w:r>
      <w:r>
        <w:t xml:space="preserve"> the composition of the list, particularly in relation to the listing of women’s sports.</w:t>
      </w:r>
      <w:r w:rsidRPr="00431B08">
        <w:t xml:space="preserve"> </w:t>
      </w:r>
      <w:r w:rsidR="00656FD4">
        <w:t xml:space="preserve">This list option makes </w:t>
      </w:r>
      <w:r w:rsidR="001A6588">
        <w:t xml:space="preserve">a number of </w:t>
      </w:r>
      <w:r w:rsidR="00656FD4">
        <w:t xml:space="preserve">additions to the list (the Paralympics and </w:t>
      </w:r>
      <w:r w:rsidR="000655F0">
        <w:t xml:space="preserve">some domestic </w:t>
      </w:r>
      <w:r w:rsidR="00656FD4">
        <w:t>women’s sporting events), taking those views into account. However, it does not adopt a number of the proposals put forward by these parties given the stated aims of this option</w:t>
      </w:r>
      <w:r w:rsidR="004C138C">
        <w:t>.</w:t>
      </w:r>
    </w:p>
    <w:p w14:paraId="504B8AAC" w14:textId="7CAE0278" w:rsidR="001A6588" w:rsidRDefault="006E22D3" w:rsidP="006E22D3">
      <w:pPr>
        <w:pStyle w:val="Introduction"/>
        <w:rPr>
          <w:color w:val="000000" w:themeColor="text1"/>
          <w:sz w:val="22"/>
          <w:lang w:val="en-AU"/>
        </w:rPr>
      </w:pPr>
      <w:r>
        <w:rPr>
          <w:color w:val="000000" w:themeColor="text1"/>
          <w:sz w:val="22"/>
          <w:lang w:val="en-AU"/>
        </w:rPr>
        <w:t>In this regard – and consistent with the other list options – t</w:t>
      </w:r>
      <w:r w:rsidRPr="00E14429">
        <w:rPr>
          <w:color w:val="000000" w:themeColor="text1"/>
          <w:sz w:val="22"/>
          <w:lang w:val="en-AU"/>
        </w:rPr>
        <w:t xml:space="preserve">he </w:t>
      </w:r>
      <w:r>
        <w:rPr>
          <w:color w:val="000000" w:themeColor="text1"/>
          <w:sz w:val="22"/>
          <w:lang w:val="en-AU"/>
        </w:rPr>
        <w:t>modernised</w:t>
      </w:r>
      <w:r w:rsidRPr="00E14429">
        <w:rPr>
          <w:color w:val="000000" w:themeColor="text1"/>
          <w:sz w:val="22"/>
          <w:lang w:val="en-AU"/>
        </w:rPr>
        <w:t xml:space="preserve"> list also takes a more inclusive approach to the matches that involve a senior Australian representative team. Regardless of whether these matches are played as ‘standalone’ international fixtures, or are played as part of a </w:t>
      </w:r>
      <w:r w:rsidR="00807112">
        <w:rPr>
          <w:color w:val="000000" w:themeColor="text1"/>
          <w:sz w:val="22"/>
          <w:lang w:val="en-AU"/>
        </w:rPr>
        <w:t>w</w:t>
      </w:r>
      <w:r w:rsidRPr="00E14429">
        <w:rPr>
          <w:color w:val="000000" w:themeColor="text1"/>
          <w:sz w:val="22"/>
          <w:lang w:val="en-AU"/>
        </w:rPr>
        <w:t xml:space="preserve">orld </w:t>
      </w:r>
      <w:r w:rsidR="00807112">
        <w:rPr>
          <w:color w:val="000000" w:themeColor="text1"/>
          <w:sz w:val="22"/>
          <w:lang w:val="en-AU"/>
        </w:rPr>
        <w:t>c</w:t>
      </w:r>
      <w:r w:rsidRPr="00E14429">
        <w:rPr>
          <w:color w:val="000000" w:themeColor="text1"/>
          <w:sz w:val="22"/>
          <w:lang w:val="en-AU"/>
        </w:rPr>
        <w:t xml:space="preserve">up, the </w:t>
      </w:r>
      <w:r>
        <w:rPr>
          <w:color w:val="000000" w:themeColor="text1"/>
          <w:sz w:val="22"/>
          <w:lang w:val="en-AU"/>
        </w:rPr>
        <w:t>modernised</w:t>
      </w:r>
      <w:r w:rsidRPr="00E14429">
        <w:rPr>
          <w:color w:val="000000" w:themeColor="text1"/>
          <w:sz w:val="22"/>
          <w:lang w:val="en-AU"/>
        </w:rPr>
        <w:t xml:space="preserve"> list includes both the men’s and women’s tournaments. </w:t>
      </w:r>
      <w:r w:rsidR="001A6588" w:rsidRPr="00E14429">
        <w:rPr>
          <w:color w:val="000000" w:themeColor="text1"/>
          <w:sz w:val="22"/>
          <w:lang w:val="en-AU"/>
        </w:rPr>
        <w:t xml:space="preserve">This </w:t>
      </w:r>
      <w:r w:rsidR="001A6588">
        <w:rPr>
          <w:color w:val="000000" w:themeColor="text1"/>
          <w:sz w:val="22"/>
          <w:lang w:val="en-AU"/>
        </w:rPr>
        <w:t>approach has been adopted to ensure consistent and inclusive treatment of events regardless of the gender or the disability status of the athletes competing in the events.</w:t>
      </w:r>
    </w:p>
    <w:p w14:paraId="7D13D6B3" w14:textId="3AA1C349" w:rsidR="00146128" w:rsidRPr="00AB786E" w:rsidRDefault="00146128" w:rsidP="00146128">
      <w:pPr>
        <w:pStyle w:val="Heading3"/>
        <w:rPr>
          <w:sz w:val="28"/>
          <w:szCs w:val="28"/>
        </w:rPr>
      </w:pPr>
      <w:bookmarkStart w:id="247" w:name="_Toc140842945"/>
      <w:bookmarkEnd w:id="245"/>
      <w:bookmarkEnd w:id="246"/>
      <w:r w:rsidRPr="00AB786E">
        <w:rPr>
          <w:sz w:val="28"/>
          <w:szCs w:val="28"/>
        </w:rPr>
        <w:t>Comparison with the current list</w:t>
      </w:r>
      <w:bookmarkEnd w:id="247"/>
    </w:p>
    <w:p w14:paraId="7D2098A5" w14:textId="6ACD8D93" w:rsidR="00DD5B24" w:rsidRDefault="00040D77" w:rsidP="00146128">
      <w:r>
        <w:t>T</w:t>
      </w:r>
      <w:r w:rsidR="00146128" w:rsidRPr="00AB786E">
        <w:t xml:space="preserve">he modernised list continues to include </w:t>
      </w:r>
      <w:r>
        <w:t xml:space="preserve">events and competitions from </w:t>
      </w:r>
      <w:r w:rsidR="00146128" w:rsidRPr="00AB786E">
        <w:t xml:space="preserve">the same </w:t>
      </w:r>
      <w:r>
        <w:t xml:space="preserve">11 </w:t>
      </w:r>
      <w:r w:rsidR="00146128" w:rsidRPr="00AB786E">
        <w:t>sports</w:t>
      </w:r>
      <w:r w:rsidR="00316460">
        <w:t xml:space="preserve"> </w:t>
      </w:r>
      <w:r w:rsidR="00146128" w:rsidRPr="00AB786E">
        <w:t>included in the current list. However, th</w:t>
      </w:r>
      <w:r>
        <w:t xml:space="preserve">is </w:t>
      </w:r>
      <w:r w:rsidR="00146128" w:rsidRPr="00AB786E">
        <w:t xml:space="preserve">list option </w:t>
      </w:r>
      <w:r w:rsidR="00C8549E">
        <w:t xml:space="preserve">would </w:t>
      </w:r>
      <w:r w:rsidR="00835618" w:rsidRPr="00AB786E">
        <w:t xml:space="preserve">increase the number </w:t>
      </w:r>
      <w:r w:rsidR="004414C7">
        <w:t>of</w:t>
      </w:r>
      <w:r w:rsidR="00835618" w:rsidRPr="00AB786E">
        <w:t xml:space="preserve"> listed events under </w:t>
      </w:r>
      <w:r w:rsidR="00C8549E">
        <w:t>certain</w:t>
      </w:r>
      <w:r w:rsidR="004414C7">
        <w:t xml:space="preserve"> </w:t>
      </w:r>
      <w:r>
        <w:t>sports</w:t>
      </w:r>
      <w:r w:rsidR="00AE1042">
        <w:t xml:space="preserve">, namely: </w:t>
      </w:r>
    </w:p>
    <w:p w14:paraId="668CE973" w14:textId="2238D7FD" w:rsidR="00DD5B24" w:rsidRDefault="00DD5B24" w:rsidP="00DD5B24">
      <w:pPr>
        <w:pStyle w:val="ListParagraph"/>
        <w:numPr>
          <w:ilvl w:val="0"/>
          <w:numId w:val="72"/>
        </w:numPr>
        <w:contextualSpacing w:val="0"/>
      </w:pPr>
      <w:r>
        <w:t>all events held as part of the Paralympic Games</w:t>
      </w:r>
    </w:p>
    <w:p w14:paraId="46E4D631" w14:textId="79C2D574" w:rsidR="00DD5B24" w:rsidRDefault="00DD5B24" w:rsidP="00DD5B24">
      <w:pPr>
        <w:pStyle w:val="ListParagraph"/>
        <w:numPr>
          <w:ilvl w:val="0"/>
          <w:numId w:val="72"/>
        </w:numPr>
        <w:contextualSpacing w:val="0"/>
      </w:pPr>
      <w:r>
        <w:t xml:space="preserve">the finals </w:t>
      </w:r>
      <w:proofErr w:type="gramStart"/>
      <w:r>
        <w:t>matches</w:t>
      </w:r>
      <w:proofErr w:type="gramEnd"/>
      <w:r>
        <w:t xml:space="preserve"> of the AFL Women’s Premiership and the NRL Women’s Premiership</w:t>
      </w:r>
    </w:p>
    <w:p w14:paraId="53F9E17A" w14:textId="786FF71F" w:rsidR="00DD5B24" w:rsidRDefault="00DD5B24" w:rsidP="003A0AB1">
      <w:pPr>
        <w:pStyle w:val="ListParagraph"/>
        <w:numPr>
          <w:ilvl w:val="0"/>
          <w:numId w:val="72"/>
        </w:numPr>
        <w:contextualSpacing w:val="0"/>
      </w:pPr>
      <w:r>
        <w:t>the NRL Women’s State of Origin Series.</w:t>
      </w:r>
    </w:p>
    <w:p w14:paraId="344BF0B2" w14:textId="0E4FC954" w:rsidR="00AE1042" w:rsidRDefault="00AE1042" w:rsidP="00146128">
      <w:r>
        <w:lastRenderedPageBreak/>
        <w:t>It isn’t possible to provide a precise indication of th</w:t>
      </w:r>
      <w:r w:rsidR="00C8549E">
        <w:t>e quantum of this</w:t>
      </w:r>
      <w:r>
        <w:t xml:space="preserve"> increase, as the format and timing of many competitions changes over time and a number of competitions only take place periodically.</w:t>
      </w:r>
    </w:p>
    <w:p w14:paraId="605D9B4D" w14:textId="25EB481A" w:rsidR="00DD5B24" w:rsidRDefault="00AE1042" w:rsidP="00146128">
      <w:r>
        <w:t xml:space="preserve">However, with a number of assumptions and caveats in place, the modernised list would constitute </w:t>
      </w:r>
      <w:r w:rsidR="00F629E7">
        <w:t xml:space="preserve">an increase of </w:t>
      </w:r>
      <w:r w:rsidR="008C4DD4">
        <w:t>around</w:t>
      </w:r>
      <w:r w:rsidR="00F629E7">
        <w:t xml:space="preserve"> 3</w:t>
      </w:r>
      <w:r w:rsidR="008C4DD4">
        <w:t>0</w:t>
      </w:r>
      <w:r w:rsidR="00F629E7">
        <w:t xml:space="preserve"> per cent </w:t>
      </w:r>
      <w:r w:rsidR="004774BE">
        <w:t xml:space="preserve">compared with the current list, </w:t>
      </w:r>
      <w:r>
        <w:t xml:space="preserve">from </w:t>
      </w:r>
      <w:r w:rsidR="004774BE">
        <w:t>approximately</w:t>
      </w:r>
      <w:r w:rsidR="00500D60">
        <w:t xml:space="preserve"> </w:t>
      </w:r>
      <w:r w:rsidR="00AD45FC" w:rsidRPr="00056164">
        <w:t>1,</w:t>
      </w:r>
      <w:r w:rsidR="004774BE" w:rsidRPr="00056164">
        <w:t xml:space="preserve">900 events </w:t>
      </w:r>
      <w:r w:rsidRPr="00AD45FC">
        <w:t xml:space="preserve">to </w:t>
      </w:r>
      <w:r w:rsidR="00F629E7">
        <w:t>a</w:t>
      </w:r>
      <w:r w:rsidR="004774BE">
        <w:t xml:space="preserve">pproximately </w:t>
      </w:r>
      <w:r w:rsidR="004774BE" w:rsidRPr="00B93095">
        <w:t>2,500 events</w:t>
      </w:r>
      <w:r w:rsidRPr="00AD45FC">
        <w:t>.</w:t>
      </w:r>
      <w:r w:rsidR="00AD45FC" w:rsidRPr="00AD45FC">
        <w:rPr>
          <w:rStyle w:val="FootnoteReference"/>
        </w:rPr>
        <w:t xml:space="preserve"> </w:t>
      </w:r>
      <w:r w:rsidR="00AD45FC" w:rsidRPr="00AD45FC">
        <w:rPr>
          <w:rStyle w:val="FootnoteReference"/>
        </w:rPr>
        <w:footnoteReference w:id="149"/>
      </w:r>
    </w:p>
    <w:p w14:paraId="008CEEDA" w14:textId="191B0A5D" w:rsidR="00AE1042" w:rsidRDefault="00DD5B24" w:rsidP="00146128">
      <w:r>
        <w:t xml:space="preserve">The bulk of this increase – some </w:t>
      </w:r>
      <w:r w:rsidRPr="00056164">
        <w:t>87 per cent</w:t>
      </w:r>
      <w:r>
        <w:t xml:space="preserve"> – comes from the inclusion of the Paralympic Games</w:t>
      </w:r>
      <w:r w:rsidR="002D524F">
        <w:t>.</w:t>
      </w:r>
    </w:p>
    <w:p w14:paraId="39B3DA85" w14:textId="77777777" w:rsidR="00AE1042" w:rsidRDefault="005F2F4A" w:rsidP="00AE1042">
      <w:pPr>
        <w:spacing w:after="0"/>
      </w:pPr>
      <w:r w:rsidRPr="005F2F4A">
        <w:rPr>
          <w:rFonts w:cstheme="minorHAnsi"/>
          <w:b/>
          <w:iCs/>
          <w:color w:val="000000"/>
          <w:shd w:val="clear" w:color="auto" w:fill="FFFFFF"/>
        </w:rPr>
        <w:t>Paralympics</w:t>
      </w:r>
    </w:p>
    <w:p w14:paraId="43D2E911" w14:textId="0F2A981F" w:rsidR="00AE1042" w:rsidRDefault="00AE1042" w:rsidP="00AB786E">
      <w:r>
        <w:t>Over the past two decades the Paralympics have grown significantly in terms of events and media coverage.</w:t>
      </w:r>
    </w:p>
    <w:p w14:paraId="0D440639" w14:textId="701A92C2" w:rsidR="001C0CA2" w:rsidRDefault="001C0CA2" w:rsidP="003A0AB1">
      <w:pPr>
        <w:pStyle w:val="ListParagraph"/>
        <w:numPr>
          <w:ilvl w:val="0"/>
          <w:numId w:val="73"/>
        </w:numPr>
        <w:contextualSpacing w:val="0"/>
      </w:pPr>
      <w:r>
        <w:t xml:space="preserve">In 2021, the Australian audiences for the </w:t>
      </w:r>
      <w:r w:rsidR="00AB786E" w:rsidRPr="00AB786E">
        <w:t>Tokyo Summer Paralympics</w:t>
      </w:r>
      <w:r w:rsidR="00F400E1">
        <w:t xml:space="preserve"> </w:t>
      </w:r>
      <w:r>
        <w:t xml:space="preserve">were significant. The Opening Ceremony attracted an average national audience of </w:t>
      </w:r>
      <w:r w:rsidR="00AB786E" w:rsidRPr="00AB786E">
        <w:t>953,000</w:t>
      </w:r>
      <w:r>
        <w:t xml:space="preserve">; </w:t>
      </w:r>
      <w:r w:rsidR="00F400E1" w:rsidRPr="004353EF">
        <w:t>10</w:t>
      </w:r>
      <w:r w:rsidR="00AB786E" w:rsidRPr="004353EF">
        <w:t xml:space="preserve"> times </w:t>
      </w:r>
      <w:r w:rsidR="00F400E1" w:rsidRPr="004353EF">
        <w:t>th</w:t>
      </w:r>
      <w:r w:rsidRPr="004353EF">
        <w:t xml:space="preserve">at of the Opening Ceremony for the </w:t>
      </w:r>
      <w:r w:rsidR="00AB786E" w:rsidRPr="004353EF">
        <w:t>Summer</w:t>
      </w:r>
      <w:r w:rsidR="00AB786E" w:rsidRPr="00AB786E">
        <w:t xml:space="preserve"> Paralympics </w:t>
      </w:r>
      <w:r>
        <w:t>held in R</w:t>
      </w:r>
      <w:r w:rsidR="00C26923">
        <w:t>io de Janeiro</w:t>
      </w:r>
      <w:r>
        <w:t xml:space="preserve"> in </w:t>
      </w:r>
      <w:r w:rsidR="00AB786E" w:rsidRPr="00AB786E">
        <w:t xml:space="preserve">2016, and 42 per cent higher than the previous </w:t>
      </w:r>
      <w:r w:rsidR="00C8549E">
        <w:t xml:space="preserve">audience </w:t>
      </w:r>
      <w:r w:rsidR="00AB786E" w:rsidRPr="00AB786E">
        <w:t>record set in Beijing in 2008.</w:t>
      </w:r>
      <w:r w:rsidR="00AB786E" w:rsidRPr="00AB786E">
        <w:rPr>
          <w:rStyle w:val="FootnoteReference"/>
        </w:rPr>
        <w:footnoteReference w:id="150"/>
      </w:r>
    </w:p>
    <w:p w14:paraId="36C4AE03" w14:textId="77777777" w:rsidR="00C8549E" w:rsidRDefault="00D711D9" w:rsidP="003A0AB1">
      <w:pPr>
        <w:pStyle w:val="ListParagraph"/>
        <w:numPr>
          <w:ilvl w:val="0"/>
          <w:numId w:val="73"/>
        </w:numPr>
        <w:contextualSpacing w:val="0"/>
      </w:pPr>
      <w:r>
        <w:t xml:space="preserve">The average primetime free-to-air audience for the </w:t>
      </w:r>
      <w:r w:rsidR="001C0CA2" w:rsidRPr="00AB786E">
        <w:t>Tokyo Summer Paralympics</w:t>
      </w:r>
      <w:r w:rsidR="001C0CA2">
        <w:t xml:space="preserve"> </w:t>
      </w:r>
      <w:r>
        <w:t xml:space="preserve">was </w:t>
      </w:r>
      <w:r w:rsidR="00AB786E" w:rsidRPr="00AB786E">
        <w:t xml:space="preserve">305,000, </w:t>
      </w:r>
      <w:r w:rsidR="001C0CA2">
        <w:t xml:space="preserve">with a daily </w:t>
      </w:r>
      <w:r w:rsidR="00AB786E" w:rsidRPr="00AB786E">
        <w:t xml:space="preserve">average reach of more than two million and nearly one million </w:t>
      </w:r>
      <w:r w:rsidR="00C8549E">
        <w:t xml:space="preserve">utilising </w:t>
      </w:r>
      <w:r w:rsidR="00AB786E" w:rsidRPr="00AB786E">
        <w:t>Seven’s streaming platform 7plus</w:t>
      </w:r>
      <w:r w:rsidR="00D1389E">
        <w:t>.</w:t>
      </w:r>
      <w:r w:rsidR="00D1389E">
        <w:rPr>
          <w:rStyle w:val="FootnoteReference"/>
        </w:rPr>
        <w:footnoteReference w:id="151"/>
      </w:r>
    </w:p>
    <w:p w14:paraId="6F9A1158" w14:textId="46FBE564" w:rsidR="00AB786E" w:rsidRDefault="00D1389E" w:rsidP="00316460">
      <w:pPr>
        <w:spacing w:after="120"/>
      </w:pPr>
      <w:r>
        <w:t xml:space="preserve">Paralympics Australia </w:t>
      </w:r>
      <w:r w:rsidR="00C8549E">
        <w:t xml:space="preserve">has highlighted a number of positive community and other impacts </w:t>
      </w:r>
      <w:r w:rsidR="00D711D9">
        <w:t xml:space="preserve">that stem </w:t>
      </w:r>
      <w:r w:rsidR="00C8549E">
        <w:t xml:space="preserve">from the growth in the </w:t>
      </w:r>
      <w:r w:rsidR="00C8549E" w:rsidRPr="00AB786E">
        <w:t>Tokyo Summer Paralympics</w:t>
      </w:r>
      <w:r w:rsidR="00C8549E">
        <w:t>.</w:t>
      </w:r>
    </w:p>
    <w:p w14:paraId="04985DB3" w14:textId="23F69293" w:rsidR="00DA6BCC" w:rsidRPr="00DA6BCC" w:rsidRDefault="00D1389E" w:rsidP="00DA6BCC">
      <w:pPr>
        <w:pStyle w:val="Quote"/>
        <w:rPr>
          <w:rFonts w:cstheme="minorHAnsi"/>
        </w:rPr>
      </w:pPr>
      <w:r w:rsidRPr="00E23238">
        <w:t>68 percent of all Australians watched some part of the Tokyo Paralympics</w:t>
      </w:r>
      <w:r w:rsidRPr="00E23238">
        <w:br/>
        <w:t>58 percent said the Australian athletes made them feel proud to be Australian</w:t>
      </w:r>
      <w:r w:rsidRPr="00E23238">
        <w:br/>
        <w:t>96 percent said they felt inspired by the athletes</w:t>
      </w:r>
      <w:r w:rsidRPr="00E23238">
        <w:br/>
        <w:t>91 percent described them as wonderful role models</w:t>
      </w:r>
      <w:r w:rsidRPr="00E23238">
        <w:br/>
        <w:t>82 percent said the Paralympics change negative perceptions of people with a disability</w:t>
      </w:r>
      <w:r w:rsidR="00C26923">
        <w:t>.</w:t>
      </w:r>
      <w:r w:rsidRPr="0052021E">
        <w:rPr>
          <w:vertAlign w:val="superscript"/>
        </w:rPr>
        <w:footnoteReference w:id="152"/>
      </w:r>
    </w:p>
    <w:p w14:paraId="44D872A9" w14:textId="77777777" w:rsidR="00DA6BCC" w:rsidRPr="00DA6BCC" w:rsidRDefault="00E833C9" w:rsidP="00316460">
      <w:pPr>
        <w:spacing w:before="400"/>
        <w:rPr>
          <w:rFonts w:cstheme="minorHAnsi"/>
          <w:b/>
          <w:iCs/>
          <w:color w:val="000000"/>
          <w:shd w:val="clear" w:color="auto" w:fill="FFFFFF"/>
        </w:rPr>
      </w:pPr>
      <w:r>
        <w:rPr>
          <w:rFonts w:cstheme="minorHAnsi"/>
          <w:b/>
          <w:iCs/>
          <w:color w:val="000000"/>
          <w:shd w:val="clear" w:color="auto" w:fill="FFFFFF"/>
        </w:rPr>
        <w:t>W</w:t>
      </w:r>
      <w:r w:rsidR="00DA6BCC" w:rsidRPr="00DA6BCC">
        <w:rPr>
          <w:rFonts w:cstheme="minorHAnsi"/>
          <w:b/>
          <w:iCs/>
          <w:color w:val="000000"/>
          <w:shd w:val="clear" w:color="auto" w:fill="FFFFFF"/>
        </w:rPr>
        <w:t xml:space="preserve">omen’s </w:t>
      </w:r>
      <w:r>
        <w:rPr>
          <w:rFonts w:cstheme="minorHAnsi"/>
          <w:b/>
          <w:iCs/>
          <w:color w:val="000000"/>
          <w:shd w:val="clear" w:color="auto" w:fill="FFFFFF"/>
        </w:rPr>
        <w:t>AFL and NRL</w:t>
      </w:r>
    </w:p>
    <w:p w14:paraId="3EB3979C" w14:textId="21474132" w:rsidR="00C8549E" w:rsidRDefault="00F400E1" w:rsidP="00D1389E">
      <w:r>
        <w:t>There has been a</w:t>
      </w:r>
      <w:r w:rsidR="00C8549E">
        <w:t xml:space="preserve"> significant </w:t>
      </w:r>
      <w:r>
        <w:t>rise in women’s sports in the past few years</w:t>
      </w:r>
      <w:r w:rsidR="00C8549E">
        <w:t>, particularly for Australian Rules Football</w:t>
      </w:r>
      <w:r w:rsidR="00E833C9">
        <w:t xml:space="preserve"> and </w:t>
      </w:r>
      <w:r w:rsidR="00C8549E">
        <w:t>the National Rugby League.</w:t>
      </w:r>
    </w:p>
    <w:p w14:paraId="0ACC09D3" w14:textId="2FACAD57" w:rsidR="00C8549E" w:rsidRDefault="00CB3419" w:rsidP="00C8549E">
      <w:r>
        <w:t>The AFL and NRL introduced women’s leagues in 2017 and 2018 respectively.</w:t>
      </w:r>
      <w:r w:rsidR="00C8549E">
        <w:t xml:space="preserve"> This was concurrent with, or after, the last major changes to the list were made in 2017, and these competitions have grown significantly since their inception.</w:t>
      </w:r>
    </w:p>
    <w:p w14:paraId="50A1A870" w14:textId="0E82B6D4" w:rsidR="00C8549E" w:rsidRPr="004353EF" w:rsidRDefault="00A83D38" w:rsidP="00316460">
      <w:pPr>
        <w:pStyle w:val="ListParagraph"/>
        <w:numPr>
          <w:ilvl w:val="0"/>
          <w:numId w:val="60"/>
        </w:numPr>
        <w:spacing w:after="120"/>
        <w:ind w:left="357" w:hanging="357"/>
        <w:contextualSpacing w:val="0"/>
      </w:pPr>
      <w:r w:rsidRPr="004353EF">
        <w:t>The 2022 AFL</w:t>
      </w:r>
      <w:r w:rsidR="00741975" w:rsidRPr="004353EF">
        <w:t>W</w:t>
      </w:r>
      <w:r w:rsidRPr="004353EF">
        <w:t xml:space="preserve"> grand final was viewed by 439,545 people, up from 392,452 in 2021. </w:t>
      </w:r>
      <w:r w:rsidR="00C8549E" w:rsidRPr="004353EF">
        <w:t>Collectively, t</w:t>
      </w:r>
      <w:r w:rsidRPr="004353EF">
        <w:t xml:space="preserve">he </w:t>
      </w:r>
      <w:r w:rsidR="00D711D9">
        <w:t xml:space="preserve">2022 </w:t>
      </w:r>
      <w:r w:rsidR="0060368E" w:rsidRPr="004353EF">
        <w:t xml:space="preserve">AFLW </w:t>
      </w:r>
      <w:r w:rsidRPr="004353EF">
        <w:t>finals series was watched by 1.42 million (up from 1.04 million in 2021).</w:t>
      </w:r>
      <w:r w:rsidRPr="004353EF">
        <w:rPr>
          <w:rStyle w:val="FootnoteReference"/>
        </w:rPr>
        <w:footnoteReference w:id="153"/>
      </w:r>
      <w:bookmarkStart w:id="248" w:name="_Hlk141045503"/>
    </w:p>
    <w:p w14:paraId="3D765616" w14:textId="54CA8C5A" w:rsidR="00D84D73" w:rsidRPr="004353EF" w:rsidRDefault="00741975" w:rsidP="001A687D">
      <w:pPr>
        <w:pStyle w:val="ListParagraph"/>
        <w:numPr>
          <w:ilvl w:val="0"/>
          <w:numId w:val="59"/>
        </w:numPr>
      </w:pPr>
      <w:r w:rsidRPr="004353EF">
        <w:t xml:space="preserve">The </w:t>
      </w:r>
      <w:r w:rsidR="00D711D9">
        <w:t>2022</w:t>
      </w:r>
      <w:r w:rsidRPr="004353EF">
        <w:t xml:space="preserve"> NRLW grand final was watched by 342,000 (5 city average).</w:t>
      </w:r>
      <w:r w:rsidRPr="004353EF">
        <w:rPr>
          <w:vertAlign w:val="superscript"/>
        </w:rPr>
        <w:footnoteReference w:id="154"/>
      </w:r>
      <w:bookmarkEnd w:id="248"/>
      <w:r w:rsidRPr="004353EF">
        <w:t xml:space="preserve"> The average audience of the NRLW </w:t>
      </w:r>
      <w:r w:rsidR="00D711D9">
        <w:t xml:space="preserve">competition </w:t>
      </w:r>
      <w:r w:rsidRPr="004353EF">
        <w:t>increased 53 per cent on Nine between 2020 and 2022, with a similar rise on Foxtel.</w:t>
      </w:r>
      <w:r w:rsidRPr="004353EF">
        <w:rPr>
          <w:rStyle w:val="FootnoteReference"/>
        </w:rPr>
        <w:footnoteReference w:id="155"/>
      </w:r>
    </w:p>
    <w:p w14:paraId="3643FE39" w14:textId="77777777" w:rsidR="00146128" w:rsidRPr="00EE0674" w:rsidRDefault="00146128" w:rsidP="00146128">
      <w:pPr>
        <w:pStyle w:val="Heading3"/>
        <w:rPr>
          <w:sz w:val="28"/>
          <w:szCs w:val="28"/>
        </w:rPr>
      </w:pPr>
      <w:bookmarkStart w:id="249" w:name="_Toc140842946"/>
      <w:r w:rsidRPr="00EE0674">
        <w:rPr>
          <w:sz w:val="28"/>
          <w:szCs w:val="28"/>
        </w:rPr>
        <w:lastRenderedPageBreak/>
        <w:t>Relationship with proposed models</w:t>
      </w:r>
      <w:bookmarkEnd w:id="249"/>
    </w:p>
    <w:p w14:paraId="697CAB38" w14:textId="4FE55C51" w:rsidR="00B72F88" w:rsidRDefault="00EE0674" w:rsidP="00AD495A">
      <w:r>
        <w:t xml:space="preserve">As noted above, the </w:t>
      </w:r>
      <w:r w:rsidR="00807635">
        <w:t>modernised</w:t>
      </w:r>
      <w:r>
        <w:t xml:space="preserve"> list has been designed to operate in conjunction with the </w:t>
      </w:r>
      <w:r w:rsidR="008038F1">
        <w:t>broadcasting safety</w:t>
      </w:r>
      <w:r w:rsidR="00890861">
        <w:t xml:space="preserve"> </w:t>
      </w:r>
      <w:r w:rsidR="008038F1">
        <w:t>net and free-to-</w:t>
      </w:r>
      <w:r w:rsidR="004414C7">
        <w:t xml:space="preserve">air </w:t>
      </w:r>
      <w:r w:rsidR="008038F1">
        <w:t>first models for the reform of the scheme (Models 2 and 3 respectively, as outlined in Chapter</w:t>
      </w:r>
      <w:r w:rsidR="00B93095">
        <w:t> </w:t>
      </w:r>
      <w:r w:rsidR="008038F1">
        <w:t>6)</w:t>
      </w:r>
      <w:r>
        <w:t xml:space="preserve">. </w:t>
      </w:r>
      <w:r w:rsidR="00AD495A">
        <w:t>Both models expand the scope of the scheme to place restrictions on parties other than free</w:t>
      </w:r>
      <w:r w:rsidR="00AD495A">
        <w:noBreakHyphen/>
        <w:t>to</w:t>
      </w:r>
      <w:r w:rsidR="00AD495A">
        <w:noBreakHyphen/>
        <w:t>air broadcasters acquiring media rights.</w:t>
      </w:r>
    </w:p>
    <w:p w14:paraId="6EC16D5D" w14:textId="0E0D4947" w:rsidR="00B72F88" w:rsidRDefault="00AD495A" w:rsidP="002705CE">
      <w:pPr>
        <w:pStyle w:val="ListParagraph"/>
        <w:numPr>
          <w:ilvl w:val="0"/>
          <w:numId w:val="59"/>
        </w:numPr>
        <w:spacing w:after="120"/>
        <w:ind w:left="357" w:hanging="357"/>
        <w:contextualSpacing w:val="0"/>
      </w:pPr>
      <w:r>
        <w:t>Under the broadcasting</w:t>
      </w:r>
      <w:r w:rsidR="006847BD">
        <w:t xml:space="preserve"> </w:t>
      </w:r>
      <w:r>
        <w:t>safety net (Model 2)</w:t>
      </w:r>
      <w:r w:rsidR="00412882">
        <w:t>,</w:t>
      </w:r>
      <w:r>
        <w:t xml:space="preserve"> these restrictions lift when a free-to-air broadcaster </w:t>
      </w:r>
      <w:r w:rsidR="00D711D9">
        <w:t>has a</w:t>
      </w:r>
      <w:r>
        <w:t xml:space="preserve"> broadcasting right</w:t>
      </w:r>
      <w:r w:rsidR="00B72F88">
        <w:t>.</w:t>
      </w:r>
    </w:p>
    <w:p w14:paraId="09ECC250" w14:textId="0ADA12FD" w:rsidR="00B72F88" w:rsidRDefault="00B72F88" w:rsidP="00562C1B">
      <w:pPr>
        <w:pStyle w:val="ListParagraph"/>
        <w:numPr>
          <w:ilvl w:val="0"/>
          <w:numId w:val="59"/>
        </w:numPr>
      </w:pPr>
      <w:r>
        <w:t xml:space="preserve">Under the </w:t>
      </w:r>
      <w:r w:rsidR="00AD495A">
        <w:t>free</w:t>
      </w:r>
      <w:r w:rsidR="00AD495A">
        <w:noBreakHyphen/>
        <w:t>to</w:t>
      </w:r>
      <w:r w:rsidR="00AD495A">
        <w:noBreakHyphen/>
        <w:t>air first model (Model 3)</w:t>
      </w:r>
      <w:r>
        <w:t xml:space="preserve">, these restrictions </w:t>
      </w:r>
      <w:r w:rsidR="00AD495A">
        <w:t xml:space="preserve">lift </w:t>
      </w:r>
      <w:r w:rsidR="00C26923">
        <w:t xml:space="preserve">when </w:t>
      </w:r>
      <w:r w:rsidR="00AD495A">
        <w:t>a free</w:t>
      </w:r>
      <w:r w:rsidR="00AD495A">
        <w:noBreakHyphen/>
        <w:t>to</w:t>
      </w:r>
      <w:r w:rsidR="00AD495A">
        <w:noBreakHyphen/>
        <w:t xml:space="preserve">air broadcaster has </w:t>
      </w:r>
      <w:r>
        <w:t>both a b</w:t>
      </w:r>
      <w:r w:rsidR="00AD495A">
        <w:t>roadcast</w:t>
      </w:r>
      <w:r w:rsidR="00C26923">
        <w:t>ing</w:t>
      </w:r>
      <w:r w:rsidR="00AD495A">
        <w:t xml:space="preserve"> </w:t>
      </w:r>
      <w:r w:rsidR="00C26923">
        <w:t xml:space="preserve">right </w:t>
      </w:r>
      <w:r w:rsidR="00AD495A">
        <w:t xml:space="preserve">and </w:t>
      </w:r>
      <w:r>
        <w:t xml:space="preserve">an </w:t>
      </w:r>
      <w:r w:rsidR="00AD495A">
        <w:t>online right.</w:t>
      </w:r>
    </w:p>
    <w:p w14:paraId="5AE7310E" w14:textId="77777777" w:rsidR="00B72F88" w:rsidRDefault="00AD495A" w:rsidP="00EE0674">
      <w:r>
        <w:t>The modernised list is not designed to be compatible with the free</w:t>
      </w:r>
      <w:r>
        <w:noBreakHyphen/>
        <w:t>to</w:t>
      </w:r>
      <w:r>
        <w:noBreakHyphen/>
        <w:t>view model proposed in Chapter 6</w:t>
      </w:r>
      <w:r w:rsidR="00B72F88">
        <w:t xml:space="preserve"> (Model 1)</w:t>
      </w:r>
      <w:r>
        <w:t>. That model is constructed around coverage obligations which require all events o</w:t>
      </w:r>
      <w:r w:rsidR="00412882">
        <w:t>n</w:t>
      </w:r>
      <w:r>
        <w:t xml:space="preserve"> the list to be shown live and in full. </w:t>
      </w:r>
      <w:r w:rsidR="00B72F88">
        <w:t>It would not be technically or financially feasible for content services to provide live and in full coverage of competitions that involve dozens of events occurring simultaneously. In terms of the current list, this includes the Australian Open tennis tournament, the Summer and Winter Olympic Games, and the Commonwealth Games.</w:t>
      </w:r>
    </w:p>
    <w:p w14:paraId="7251D68D" w14:textId="77777777" w:rsidR="00146128" w:rsidRPr="00746A52" w:rsidRDefault="00146128" w:rsidP="00146128">
      <w:pPr>
        <w:pStyle w:val="Heading3"/>
        <w:rPr>
          <w:sz w:val="28"/>
          <w:szCs w:val="28"/>
        </w:rPr>
      </w:pPr>
      <w:bookmarkStart w:id="250" w:name="_Toc140842947"/>
      <w:r w:rsidRPr="00746A52">
        <w:rPr>
          <w:sz w:val="28"/>
          <w:szCs w:val="28"/>
        </w:rPr>
        <w:t>Preliminary assessment</w:t>
      </w:r>
      <w:bookmarkEnd w:id="250"/>
    </w:p>
    <w:p w14:paraId="48A0D1B6" w14:textId="70B3C521" w:rsidR="00CA6B26" w:rsidRDefault="00146128" w:rsidP="005022CD">
      <w:r w:rsidRPr="00746A52">
        <w:t xml:space="preserve">The </w:t>
      </w:r>
      <w:r w:rsidR="00746A52">
        <w:t>modernised</w:t>
      </w:r>
      <w:r w:rsidRPr="00746A52">
        <w:t xml:space="preserve"> list would </w:t>
      </w:r>
      <w:r w:rsidR="00727A2B" w:rsidRPr="00746A52">
        <w:t>increase</w:t>
      </w:r>
      <w:r w:rsidRPr="00746A52">
        <w:t xml:space="preserve"> </w:t>
      </w:r>
      <w:r w:rsidR="00CA6B26">
        <w:t xml:space="preserve">the scope of the anti-siphoning scheme. As noted above, this option would see an increase in the number of events </w:t>
      </w:r>
      <w:r w:rsidR="00CA6B26" w:rsidRPr="00AD45FC">
        <w:t>o</w:t>
      </w:r>
      <w:r w:rsidR="00AD45FC">
        <w:t>n</w:t>
      </w:r>
      <w:r w:rsidR="00CA6B26">
        <w:t xml:space="preserve"> the list of approximately </w:t>
      </w:r>
      <w:r w:rsidR="00AD45FC" w:rsidRPr="00056164">
        <w:t>3</w:t>
      </w:r>
      <w:r w:rsidR="004774BE" w:rsidRPr="00056164">
        <w:t>0</w:t>
      </w:r>
      <w:r w:rsidR="00AD45FC" w:rsidRPr="00056164">
        <w:t xml:space="preserve"> per cent</w:t>
      </w:r>
      <w:r w:rsidR="00CA6B26" w:rsidRPr="009E37B3">
        <w:t xml:space="preserve"> compared</w:t>
      </w:r>
      <w:r w:rsidR="00CA6B26">
        <w:t xml:space="preserve"> with the current list</w:t>
      </w:r>
      <w:r w:rsidR="000D1D24">
        <w:t xml:space="preserve">. </w:t>
      </w:r>
      <w:r w:rsidR="00D711D9">
        <w:t>The bulk of this increase is attributable to the inclusion of the Paralympic Games.</w:t>
      </w:r>
    </w:p>
    <w:p w14:paraId="5C9A21EF" w14:textId="47616B7C" w:rsidR="00AD6B43" w:rsidRDefault="00AD6B43" w:rsidP="005022CD">
      <w:r>
        <w:t xml:space="preserve">This </w:t>
      </w:r>
      <w:r w:rsidR="00C22731">
        <w:t>increase</w:t>
      </w:r>
      <w:r>
        <w:t xml:space="preserve"> is by design, given the twin aims of this option of ensuring compatibility with the broadcasting safety</w:t>
      </w:r>
      <w:r w:rsidR="00890861">
        <w:t xml:space="preserve"> </w:t>
      </w:r>
      <w:r>
        <w:t>net and free</w:t>
      </w:r>
      <w:r w:rsidR="000263D8">
        <w:noBreakHyphen/>
      </w:r>
      <w:r>
        <w:t>to</w:t>
      </w:r>
      <w:r w:rsidR="000263D8">
        <w:noBreakHyphen/>
      </w:r>
      <w:r>
        <w:t>air first reform models</w:t>
      </w:r>
      <w:r w:rsidR="00412882">
        <w:t>,</w:t>
      </w:r>
      <w:r>
        <w:t xml:space="preserve"> and </w:t>
      </w:r>
      <w:r w:rsidR="00C22731">
        <w:t>applying the scheme in a way that better reflects the contemporary media landscape and moderately broadens the construction of nationally important and culturally significant events.</w:t>
      </w:r>
    </w:p>
    <w:p w14:paraId="2014C077" w14:textId="7F654783" w:rsidR="005022CD" w:rsidRDefault="00520914" w:rsidP="005022CD">
      <w:bookmarkStart w:id="251" w:name="_Toc140842948"/>
      <w:r>
        <w:t>T</w:t>
      </w:r>
      <w:r w:rsidR="003532B3">
        <w:t xml:space="preserve">he </w:t>
      </w:r>
      <w:r w:rsidR="000263D8">
        <w:t>modernised list</w:t>
      </w:r>
      <w:r w:rsidR="003532B3">
        <w:t xml:space="preserve"> </w:t>
      </w:r>
      <w:r w:rsidR="002E3A75">
        <w:t>– in conjunction with the broadcasting safety</w:t>
      </w:r>
      <w:r w:rsidR="00890861">
        <w:t xml:space="preserve"> </w:t>
      </w:r>
      <w:r w:rsidR="002E3A75">
        <w:t>net or free</w:t>
      </w:r>
      <w:r w:rsidR="002E3A75">
        <w:noBreakHyphen/>
        <w:t>to</w:t>
      </w:r>
      <w:r w:rsidR="002E3A75">
        <w:noBreakHyphen/>
        <w:t xml:space="preserve">air first models – </w:t>
      </w:r>
      <w:r w:rsidR="003532B3">
        <w:t>would</w:t>
      </w:r>
      <w:r w:rsidR="005022CD">
        <w:t xml:space="preserve"> include the bulk of the events already included on the current list. As with each of the list options, this proposal would take a more inclusive approach to international matches that involve a senior Australian representative team, and include standalone fixtures and </w:t>
      </w:r>
      <w:r w:rsidR="006D0036">
        <w:t>w</w:t>
      </w:r>
      <w:r w:rsidR="005022CD">
        <w:t xml:space="preserve">orld </w:t>
      </w:r>
      <w:r w:rsidR="006D0036">
        <w:t>c</w:t>
      </w:r>
      <w:r w:rsidR="005022CD">
        <w:t>up matches that involve a men’s or women’s senior representative side.</w:t>
      </w:r>
    </w:p>
    <w:p w14:paraId="57286B9F" w14:textId="35C657BF" w:rsidR="005022CD" w:rsidRDefault="00C22731" w:rsidP="005022CD">
      <w:r>
        <w:t>As noted above, t</w:t>
      </w:r>
      <w:r w:rsidR="005022CD">
        <w:t xml:space="preserve">here would also be a number of additional events included on the modernised list compared with the </w:t>
      </w:r>
      <w:r w:rsidR="00564CBE">
        <w:t>current list:</w:t>
      </w:r>
    </w:p>
    <w:p w14:paraId="44B59D29" w14:textId="4283CD75" w:rsidR="005022CD" w:rsidRDefault="00412882" w:rsidP="005022CD">
      <w:pPr>
        <w:pStyle w:val="ListParagraph"/>
        <w:numPr>
          <w:ilvl w:val="0"/>
          <w:numId w:val="66"/>
        </w:numPr>
        <w:contextualSpacing w:val="0"/>
      </w:pPr>
      <w:r>
        <w:t>all events held as part of the Paralympic Games</w:t>
      </w:r>
    </w:p>
    <w:p w14:paraId="065B050A" w14:textId="556DE755" w:rsidR="005022CD" w:rsidRDefault="005022CD" w:rsidP="005022CD">
      <w:pPr>
        <w:pStyle w:val="ListParagraph"/>
        <w:numPr>
          <w:ilvl w:val="0"/>
          <w:numId w:val="66"/>
        </w:numPr>
        <w:contextualSpacing w:val="0"/>
      </w:pPr>
      <w:r>
        <w:t xml:space="preserve">the finals </w:t>
      </w:r>
      <w:proofErr w:type="gramStart"/>
      <w:r>
        <w:t>matches</w:t>
      </w:r>
      <w:proofErr w:type="gramEnd"/>
      <w:r>
        <w:t xml:space="preserve"> of the AFL Women’s Premiership and the NRL Women’s Premiership</w:t>
      </w:r>
    </w:p>
    <w:p w14:paraId="6CDD0D9F" w14:textId="2E404734" w:rsidR="005022CD" w:rsidRDefault="005022CD" w:rsidP="005022CD">
      <w:pPr>
        <w:pStyle w:val="ListParagraph"/>
        <w:numPr>
          <w:ilvl w:val="0"/>
          <w:numId w:val="66"/>
        </w:numPr>
        <w:contextualSpacing w:val="0"/>
      </w:pPr>
      <w:r>
        <w:t>the NRL Women’s State of Origin Series.</w:t>
      </w:r>
    </w:p>
    <w:p w14:paraId="7760876B" w14:textId="72F86DDB" w:rsidR="00C22731" w:rsidRDefault="005022CD" w:rsidP="003532B3">
      <w:pPr>
        <w:spacing w:after="0"/>
      </w:pPr>
      <w:r>
        <w:t xml:space="preserve">This </w:t>
      </w:r>
      <w:r w:rsidR="00C22731">
        <w:t>list option</w:t>
      </w:r>
      <w:r>
        <w:t xml:space="preserve"> would enhance the scope of the scheme compared with the current list. It would increase the likelihood of free access to </w:t>
      </w:r>
      <w:r w:rsidR="003412C4">
        <w:t xml:space="preserve">televised </w:t>
      </w:r>
      <w:r>
        <w:t>coverage of these events for Australian audiences</w:t>
      </w:r>
      <w:r w:rsidR="00750D87">
        <w:t xml:space="preserve"> and, commensurately, </w:t>
      </w:r>
      <w:r w:rsidR="00C22731">
        <w:t>would seek to mitigate the</w:t>
      </w:r>
      <w:r w:rsidR="00750D87">
        <w:t xml:space="preserve"> risk of these events being placed behind a paywall.</w:t>
      </w:r>
    </w:p>
    <w:p w14:paraId="4D37FB0C" w14:textId="3F9B4DD7" w:rsidR="00DC6CC4" w:rsidRDefault="00C22731" w:rsidP="003532B3">
      <w:pPr>
        <w:spacing w:after="0"/>
      </w:pPr>
      <w:r>
        <w:t>While it is not certain that f</w:t>
      </w:r>
      <w:r w:rsidR="00750D87">
        <w:t xml:space="preserve">ree-to-air broadcasters </w:t>
      </w:r>
      <w:r>
        <w:t>would seek to a</w:t>
      </w:r>
      <w:r w:rsidR="00750D87">
        <w:t xml:space="preserve">cquire the relevant rights to these </w:t>
      </w:r>
      <w:r>
        <w:t xml:space="preserve">additional events, </w:t>
      </w:r>
      <w:r w:rsidR="00DC6CC4">
        <w:t xml:space="preserve">recent rights deals suggest that </w:t>
      </w:r>
      <w:r>
        <w:t>these</w:t>
      </w:r>
      <w:r w:rsidR="00DC6CC4">
        <w:t xml:space="preserve"> broadcasters have a strong interest in providing coverage of these events.</w:t>
      </w:r>
    </w:p>
    <w:p w14:paraId="77A6D9D7" w14:textId="77777777" w:rsidR="00DC6CC4" w:rsidRPr="00984E60" w:rsidRDefault="00984E60" w:rsidP="00984E60">
      <w:pPr>
        <w:pStyle w:val="ListParagraph"/>
        <w:numPr>
          <w:ilvl w:val="0"/>
          <w:numId w:val="66"/>
        </w:numPr>
        <w:contextualSpacing w:val="0"/>
      </w:pPr>
      <w:r>
        <w:lastRenderedPageBreak/>
        <w:t xml:space="preserve">The 2024 Paris </w:t>
      </w:r>
      <w:r w:rsidRPr="00984E60">
        <w:t>Paralympic Games</w:t>
      </w:r>
      <w:r>
        <w:t xml:space="preserve"> are to be televised by</w:t>
      </w:r>
      <w:r w:rsidRPr="00984E60">
        <w:t xml:space="preserve"> </w:t>
      </w:r>
      <w:r>
        <w:t xml:space="preserve">Nine Entertainment </w:t>
      </w:r>
      <w:r w:rsidRPr="00984E60">
        <w:t>across the Nine Network, 9Now and Stan.</w:t>
      </w:r>
      <w:r w:rsidRPr="00984E60">
        <w:rPr>
          <w:rStyle w:val="FootnoteReference"/>
        </w:rPr>
        <w:footnoteReference w:id="156"/>
      </w:r>
    </w:p>
    <w:p w14:paraId="38533E24" w14:textId="4405FE82" w:rsidR="00DC6CC4" w:rsidRPr="00984E60" w:rsidRDefault="00CE72E0" w:rsidP="00984E60">
      <w:pPr>
        <w:pStyle w:val="ListParagraph"/>
        <w:numPr>
          <w:ilvl w:val="0"/>
          <w:numId w:val="66"/>
        </w:numPr>
        <w:contextualSpacing w:val="0"/>
      </w:pPr>
      <w:r>
        <w:t>At least 30</w:t>
      </w:r>
      <w:r w:rsidR="00984E60">
        <w:t xml:space="preserve"> </w:t>
      </w:r>
      <w:r w:rsidR="00DC6CC4" w:rsidRPr="00984E60">
        <w:t>AFL Women’s Premiership</w:t>
      </w:r>
      <w:r w:rsidR="00984E60">
        <w:t xml:space="preserve"> home-and-away matches</w:t>
      </w:r>
      <w:r>
        <w:t>, the finals series and the Grand Final will</w:t>
      </w:r>
      <w:r w:rsidR="00984E60">
        <w:t xml:space="preserve"> </w:t>
      </w:r>
      <w:r>
        <w:t>be televised on the</w:t>
      </w:r>
      <w:r w:rsidR="00984E60">
        <w:t xml:space="preserve"> Seven Network </w:t>
      </w:r>
      <w:r>
        <w:t xml:space="preserve">and </w:t>
      </w:r>
      <w:r w:rsidR="007E42AD">
        <w:t xml:space="preserve">7plus </w:t>
      </w:r>
      <w:r>
        <w:t>under the recently agreed 2025-31 rights agreement.</w:t>
      </w:r>
      <w:r>
        <w:rPr>
          <w:rStyle w:val="FootnoteReference"/>
        </w:rPr>
        <w:footnoteReference w:id="157"/>
      </w:r>
    </w:p>
    <w:p w14:paraId="12240B37" w14:textId="77777777" w:rsidR="00DC6CC4" w:rsidRDefault="004A1E7F" w:rsidP="004A1E7F">
      <w:pPr>
        <w:pStyle w:val="ListParagraph"/>
        <w:numPr>
          <w:ilvl w:val="0"/>
          <w:numId w:val="66"/>
        </w:numPr>
        <w:contextualSpacing w:val="0"/>
      </w:pPr>
      <w:r>
        <w:t xml:space="preserve">For the 2023 season, all matches in </w:t>
      </w:r>
      <w:r w:rsidR="00DC6CC4" w:rsidRPr="001A4E3C">
        <w:t>NRL Women’s Premiership</w:t>
      </w:r>
      <w:r>
        <w:t xml:space="preserve"> and the </w:t>
      </w:r>
      <w:r w:rsidR="00DC6CC4" w:rsidRPr="001A4E3C">
        <w:t>NRL Women’s State of Origin</w:t>
      </w:r>
      <w:r>
        <w:t xml:space="preserve"> are being broadcast live on the Nine Network and 9Now.</w:t>
      </w:r>
      <w:r>
        <w:rPr>
          <w:rStyle w:val="FootnoteReference"/>
        </w:rPr>
        <w:footnoteReference w:id="158"/>
      </w:r>
    </w:p>
    <w:p w14:paraId="1EDFB3AD" w14:textId="35018D0E" w:rsidR="00DC6CC4" w:rsidRDefault="003532B3" w:rsidP="00DC6CC4">
      <w:pPr>
        <w:spacing w:after="0"/>
      </w:pPr>
      <w:r>
        <w:t xml:space="preserve">From an industry perspective, the </w:t>
      </w:r>
      <w:r w:rsidR="002225F5">
        <w:t>modernised</w:t>
      </w:r>
      <w:r>
        <w:t xml:space="preserve"> list option would</w:t>
      </w:r>
      <w:r w:rsidR="00DC6CC4">
        <w:t xml:space="preserve"> continue to</w:t>
      </w:r>
      <w:r>
        <w:t xml:space="preserve"> </w:t>
      </w:r>
      <w:r w:rsidR="00DC6CC4">
        <w:t xml:space="preserve">limit the ability of </w:t>
      </w:r>
      <w:r>
        <w:t xml:space="preserve">sports bodies </w:t>
      </w:r>
      <w:r w:rsidR="00DC6CC4">
        <w:t>to negotiate openly with respect to their rights</w:t>
      </w:r>
      <w:r w:rsidR="00262A28">
        <w:t xml:space="preserve">. This is </w:t>
      </w:r>
      <w:r w:rsidR="00D44CDA">
        <w:t>option would</w:t>
      </w:r>
      <w:r w:rsidR="00262A28">
        <w:t xml:space="preserve"> </w:t>
      </w:r>
      <w:r w:rsidR="00D44CDA">
        <w:t>i</w:t>
      </w:r>
      <w:r w:rsidR="00262A28">
        <w:t xml:space="preserve">ncrease </w:t>
      </w:r>
      <w:r w:rsidR="00D44CDA">
        <w:t>this</w:t>
      </w:r>
      <w:r w:rsidR="00262A28">
        <w:t xml:space="preserve"> level of restriction, given the addition of the </w:t>
      </w:r>
      <w:r w:rsidR="00DC6CC4">
        <w:t>Paralympic</w:t>
      </w:r>
      <w:r w:rsidR="00262A28">
        <w:t xml:space="preserve"> Games and matches of the </w:t>
      </w:r>
      <w:r w:rsidR="00DC6CC4">
        <w:t>AFL Women’s Premiership</w:t>
      </w:r>
      <w:r w:rsidR="00262A28">
        <w:t xml:space="preserve">, the </w:t>
      </w:r>
      <w:r w:rsidR="00DC6CC4">
        <w:t>NRL Women’s Premiership</w:t>
      </w:r>
      <w:r w:rsidR="00262A28">
        <w:t xml:space="preserve"> </w:t>
      </w:r>
      <w:r w:rsidR="00DC6CC4">
        <w:t xml:space="preserve">and </w:t>
      </w:r>
      <w:r w:rsidR="00262A28">
        <w:t xml:space="preserve">the </w:t>
      </w:r>
      <w:r w:rsidR="00DC6CC4">
        <w:t>NRL Women’s State of Origin.</w:t>
      </w:r>
    </w:p>
    <w:p w14:paraId="22AEDF1D" w14:textId="178D2509" w:rsidR="006D0036" w:rsidRDefault="003532B3" w:rsidP="003532B3">
      <w:pPr>
        <w:spacing w:after="0"/>
      </w:pPr>
      <w:r>
        <w:t xml:space="preserve">Free-to-air broadcasters would </w:t>
      </w:r>
      <w:r w:rsidR="00F01A48">
        <w:t>benefit</w:t>
      </w:r>
      <w:r>
        <w:t xml:space="preserve"> </w:t>
      </w:r>
      <w:r w:rsidR="00F01A48">
        <w:t>from the modernised</w:t>
      </w:r>
      <w:r>
        <w:t xml:space="preserve"> list</w:t>
      </w:r>
      <w:r w:rsidR="00F01A48">
        <w:t xml:space="preserve"> as </w:t>
      </w:r>
      <w:r w:rsidR="00562C1B">
        <w:t xml:space="preserve">it would maintain and, in some respects, </w:t>
      </w:r>
      <w:r w:rsidR="00F01A48">
        <w:t xml:space="preserve">advance their negotiating position with regard </w:t>
      </w:r>
      <w:r w:rsidR="004414C7">
        <w:t xml:space="preserve">to </w:t>
      </w:r>
      <w:r w:rsidR="00F01A48">
        <w:t>sporting rights</w:t>
      </w:r>
      <w:r w:rsidR="00562C1B">
        <w:t xml:space="preserve">. </w:t>
      </w:r>
      <w:r>
        <w:t xml:space="preserve">Conversely, subscription television broadcasting licensees would </w:t>
      </w:r>
      <w:r w:rsidR="00562C1B">
        <w:t xml:space="preserve">face additional restrictions on their ability to </w:t>
      </w:r>
      <w:r>
        <w:t xml:space="preserve">purchase and monetise </w:t>
      </w:r>
      <w:r w:rsidR="00562C1B">
        <w:t xml:space="preserve">the </w:t>
      </w:r>
      <w:r w:rsidR="00D44CDA">
        <w:t>additional</w:t>
      </w:r>
      <w:r w:rsidR="00562C1B">
        <w:t xml:space="preserve"> events proposed to be included on the modernised list (</w:t>
      </w:r>
      <w:r w:rsidR="0011674B">
        <w:t>until the event</w:t>
      </w:r>
      <w:r w:rsidR="00562C1B">
        <w:t xml:space="preserve">s are </w:t>
      </w:r>
      <w:r w:rsidR="0011674B">
        <w:t>delisted)</w:t>
      </w:r>
      <w:r>
        <w:t>.</w:t>
      </w:r>
    </w:p>
    <w:p w14:paraId="06FCB2B7" w14:textId="1CD280AC" w:rsidR="003532B3" w:rsidRDefault="003532B3" w:rsidP="003532B3">
      <w:pPr>
        <w:spacing w:after="0"/>
      </w:pPr>
      <w:r>
        <w:t xml:space="preserve">Online streaming services and other content services would be brought into the scheme for the first time if they opted to acquire the rights to provide coverage of events on the </w:t>
      </w:r>
      <w:r w:rsidR="0011674B">
        <w:t>modernised</w:t>
      </w:r>
      <w:r>
        <w:t xml:space="preserve"> list. </w:t>
      </w:r>
      <w:r w:rsidR="00317260">
        <w:t xml:space="preserve">The </w:t>
      </w:r>
      <w:r w:rsidR="0011674B">
        <w:t>number of events they would lose the first opportunity to obtain</w:t>
      </w:r>
      <w:r w:rsidR="00317260">
        <w:t xml:space="preserve"> would be greater than the streamlined list, but less than the expanded list.</w:t>
      </w:r>
    </w:p>
    <w:p w14:paraId="2760D92B" w14:textId="529EF504" w:rsidR="00146128" w:rsidRPr="00746A52" w:rsidRDefault="00146128" w:rsidP="00146128">
      <w:pPr>
        <w:pStyle w:val="Heading3"/>
        <w:rPr>
          <w:sz w:val="28"/>
          <w:szCs w:val="28"/>
        </w:rPr>
      </w:pPr>
      <w:r w:rsidRPr="00746A52">
        <w:rPr>
          <w:sz w:val="28"/>
          <w:szCs w:val="28"/>
        </w:rPr>
        <w:t>Government position</w:t>
      </w:r>
      <w:bookmarkEnd w:id="251"/>
    </w:p>
    <w:p w14:paraId="30698714" w14:textId="372A6C93" w:rsidR="006D0036" w:rsidRDefault="0011674B" w:rsidP="00323AB6">
      <w:r>
        <w:t>The</w:t>
      </w:r>
      <w:r w:rsidR="003532B3">
        <w:t xml:space="preserve"> modernised list is compatible with the broadcasting safety</w:t>
      </w:r>
      <w:r w:rsidR="00890861">
        <w:t xml:space="preserve"> </w:t>
      </w:r>
      <w:r w:rsidR="003532B3">
        <w:t>net and free-to-air first models</w:t>
      </w:r>
      <w:r w:rsidR="00317260">
        <w:t>, with the former being the Government’s preferred model</w:t>
      </w:r>
      <w:r w:rsidR="003532B3">
        <w:t xml:space="preserve">. </w:t>
      </w:r>
      <w:r w:rsidR="00562C1B">
        <w:t>The streamlined list would involve a</w:t>
      </w:r>
      <w:r w:rsidR="00D44CDA">
        <w:t xml:space="preserve">n </w:t>
      </w:r>
      <w:r w:rsidR="00562C1B">
        <w:t xml:space="preserve">increase in </w:t>
      </w:r>
      <w:r w:rsidR="00D32557">
        <w:t xml:space="preserve">the </w:t>
      </w:r>
      <w:r w:rsidR="00562C1B">
        <w:t>scope and application of the scheme compared with the current list</w:t>
      </w:r>
      <w:r w:rsidR="00D44CDA">
        <w:t xml:space="preserve">, although this is relatively modest in terms of </w:t>
      </w:r>
      <w:r w:rsidR="00D32557">
        <w:t xml:space="preserve">the </w:t>
      </w:r>
      <w:r w:rsidR="00D44CDA">
        <w:t xml:space="preserve">competitions </w:t>
      </w:r>
      <w:r w:rsidR="00D32557">
        <w:t>involved</w:t>
      </w:r>
      <w:r w:rsidR="00D44CDA">
        <w:t xml:space="preserve"> (given that the bulk of this increase is attributable to the additional of the Paralympic Games</w:t>
      </w:r>
      <w:r w:rsidR="00D32557">
        <w:t>,</w:t>
      </w:r>
      <w:r w:rsidR="00D44CDA">
        <w:t xml:space="preserve"> which take place every four years).</w:t>
      </w:r>
    </w:p>
    <w:p w14:paraId="4978136C" w14:textId="7194203C" w:rsidR="00146128" w:rsidRPr="003A0AB1" w:rsidRDefault="00562C1B" w:rsidP="00323AB6">
      <w:r>
        <w:t xml:space="preserve">Importantly, the additional inclusions proposed for the modernised list would seek to ensure a consistent and inclusive treatment of </w:t>
      </w:r>
      <w:r w:rsidR="00A730A4" w:rsidRPr="00A730A4">
        <w:t xml:space="preserve">nationally </w:t>
      </w:r>
      <w:r>
        <w:t xml:space="preserve">important </w:t>
      </w:r>
      <w:r w:rsidR="00A730A4" w:rsidRPr="00A730A4">
        <w:t>and culturally significant</w:t>
      </w:r>
      <w:r>
        <w:t xml:space="preserve"> events regardless of the gender or the disability status of the athletes competing in them. The modernised list is the Government’s preferred option for the new list.</w:t>
      </w:r>
    </w:p>
    <w:p w14:paraId="1E8DF70B" w14:textId="77777777" w:rsidR="00A90F63" w:rsidRDefault="000A0DE7" w:rsidP="00A90F63">
      <w:pPr>
        <w:pStyle w:val="Heading2"/>
      </w:pPr>
      <w:bookmarkStart w:id="252" w:name="_Toc140842949"/>
      <w:bookmarkStart w:id="253" w:name="_Toc141369811"/>
      <w:bookmarkStart w:id="254" w:name="_Toc143265602"/>
      <w:r>
        <w:t>Option</w:t>
      </w:r>
      <w:r w:rsidR="00B6343E">
        <w:t xml:space="preserve"> 3: </w:t>
      </w:r>
      <w:r w:rsidR="00D52462">
        <w:t>The e</w:t>
      </w:r>
      <w:r w:rsidR="00B6343E">
        <w:t>xpan</w:t>
      </w:r>
      <w:r>
        <w:t>ded</w:t>
      </w:r>
      <w:r w:rsidR="00B6343E">
        <w:t xml:space="preserve"> list</w:t>
      </w:r>
      <w:bookmarkEnd w:id="252"/>
      <w:bookmarkEnd w:id="253"/>
      <w:bookmarkEnd w:id="254"/>
    </w:p>
    <w:p w14:paraId="474B2E8C" w14:textId="5AA5A005" w:rsidR="009371AE" w:rsidRPr="00A9605A" w:rsidRDefault="009371AE" w:rsidP="009371AE">
      <w:pPr>
        <w:pStyle w:val="Heading3"/>
        <w:rPr>
          <w:sz w:val="28"/>
          <w:szCs w:val="28"/>
        </w:rPr>
      </w:pPr>
      <w:bookmarkStart w:id="255" w:name="_Toc140842950"/>
      <w:r w:rsidRPr="00A9605A">
        <w:rPr>
          <w:sz w:val="28"/>
          <w:szCs w:val="28"/>
        </w:rPr>
        <w:t>Overview</w:t>
      </w:r>
      <w:bookmarkEnd w:id="255"/>
    </w:p>
    <w:p w14:paraId="2A458AA0" w14:textId="1EF8D455" w:rsidR="004C6C26" w:rsidRDefault="004C6C26" w:rsidP="00874103">
      <w:bookmarkStart w:id="256" w:name="_Hlk142257350"/>
      <w:bookmarkStart w:id="257" w:name="_Toc140842951"/>
      <w:r>
        <w:t xml:space="preserve">The expanded list would represent a significant increase in the number of events on the list compared with the current instrument. This list option is detailed </w:t>
      </w:r>
      <w:r w:rsidRPr="00AD45FC">
        <w:t xml:space="preserve">at </w:t>
      </w:r>
      <w:r w:rsidRPr="00056164">
        <w:rPr>
          <w:b/>
        </w:rPr>
        <w:t xml:space="preserve">Attachment </w:t>
      </w:r>
      <w:r w:rsidR="00AD45FC" w:rsidRPr="00056164">
        <w:rPr>
          <w:b/>
        </w:rPr>
        <w:t>C</w:t>
      </w:r>
      <w:r>
        <w:t>.</w:t>
      </w:r>
    </w:p>
    <w:p w14:paraId="48E3E6D4" w14:textId="385C403B" w:rsidR="001377BA" w:rsidRDefault="001377BA" w:rsidP="00874103">
      <w:r>
        <w:t xml:space="preserve">The aims of the </w:t>
      </w:r>
      <w:r w:rsidR="007E42AD">
        <w:t xml:space="preserve">expanded </w:t>
      </w:r>
      <w:r>
        <w:t>list are two-fold:</w:t>
      </w:r>
    </w:p>
    <w:p w14:paraId="6A1B3086" w14:textId="4618E0CA" w:rsidR="000655F0" w:rsidRDefault="000655F0" w:rsidP="000655F0">
      <w:pPr>
        <w:pStyle w:val="ListParagraph"/>
        <w:numPr>
          <w:ilvl w:val="0"/>
          <w:numId w:val="53"/>
        </w:numPr>
        <w:contextualSpacing w:val="0"/>
      </w:pPr>
      <w:r>
        <w:t>To enable the list to operate effectively with the broadcasting safety</w:t>
      </w:r>
      <w:r w:rsidR="00890861">
        <w:t xml:space="preserve"> </w:t>
      </w:r>
      <w:r>
        <w:t>net and free-to-air first models for the reform of the scheme (Models 2 and 3 respectively, as outlined in Chapter 6).</w:t>
      </w:r>
    </w:p>
    <w:p w14:paraId="302178E5" w14:textId="4374788E" w:rsidR="000655F0" w:rsidRDefault="000655F0" w:rsidP="000655F0">
      <w:pPr>
        <w:pStyle w:val="ListParagraph"/>
        <w:numPr>
          <w:ilvl w:val="0"/>
          <w:numId w:val="53"/>
        </w:numPr>
        <w:contextualSpacing w:val="0"/>
      </w:pPr>
      <w:r>
        <w:t>To apply the scheme in a way that better reflects the contemporary media landscape and significantly broadens the construction of nationally important and culturally significant events.</w:t>
      </w:r>
    </w:p>
    <w:bookmarkEnd w:id="256"/>
    <w:p w14:paraId="0F27B878" w14:textId="0D4B5DAC" w:rsidR="001E59F5" w:rsidRDefault="001E59F5" w:rsidP="00874103">
      <w:r>
        <w:lastRenderedPageBreak/>
        <w:t xml:space="preserve">The proposed composition of the expanded list has been informed by the proposals for additions to the current list put forward by various parties in response to the </w:t>
      </w:r>
      <w:r w:rsidR="00606A6A">
        <w:t>2022</w:t>
      </w:r>
      <w:r>
        <w:t xml:space="preserve"> consultation paper, including </w:t>
      </w:r>
      <w:r w:rsidRPr="00CA6336">
        <w:t>the ABC, SBS, Free TV</w:t>
      </w:r>
      <w:r w:rsidR="004F3BC4">
        <w:t>,</w:t>
      </w:r>
      <w:r>
        <w:t xml:space="preserve"> and a number of other parties that requested that their submissions be treated as confidential. However, in some cases, the listing of certain events differs from the proposals put forward by stakeholders to enable the scheme to operate effectively and to fulfil the aims noted above.</w:t>
      </w:r>
    </w:p>
    <w:p w14:paraId="01DC8DD1" w14:textId="1F553B65" w:rsidR="00F7212E" w:rsidRDefault="00936673" w:rsidP="00F7212E">
      <w:pPr>
        <w:pStyle w:val="Introduction"/>
        <w:spacing w:before="160" w:after="80"/>
        <w:rPr>
          <w:color w:val="000000" w:themeColor="text1"/>
          <w:sz w:val="22"/>
          <w:lang w:val="en-AU"/>
        </w:rPr>
      </w:pPr>
      <w:r>
        <w:rPr>
          <w:color w:val="000000" w:themeColor="text1"/>
          <w:sz w:val="22"/>
          <w:lang w:val="en-AU"/>
        </w:rPr>
        <w:t>In this regard – and consistent with the other list options – t</w:t>
      </w:r>
      <w:r w:rsidRPr="00E14429">
        <w:rPr>
          <w:color w:val="000000" w:themeColor="text1"/>
          <w:sz w:val="22"/>
          <w:lang w:val="en-AU"/>
        </w:rPr>
        <w:t xml:space="preserve">he </w:t>
      </w:r>
      <w:r w:rsidR="00E707F3">
        <w:rPr>
          <w:color w:val="000000" w:themeColor="text1"/>
          <w:sz w:val="22"/>
          <w:lang w:val="en-AU"/>
        </w:rPr>
        <w:t>expanded</w:t>
      </w:r>
      <w:r w:rsidRPr="00E14429">
        <w:rPr>
          <w:color w:val="000000" w:themeColor="text1"/>
          <w:sz w:val="22"/>
          <w:lang w:val="en-AU"/>
        </w:rPr>
        <w:t xml:space="preserve"> list takes a more inclusive approach to the matches that involve a senior Australian representative team. Regardless of whether these matches are played as ‘standalone’ international fixtures, or are played as part of a </w:t>
      </w:r>
      <w:r w:rsidR="006D0036">
        <w:rPr>
          <w:color w:val="000000" w:themeColor="text1"/>
          <w:sz w:val="22"/>
          <w:lang w:val="en-AU"/>
        </w:rPr>
        <w:t>w</w:t>
      </w:r>
      <w:r w:rsidRPr="00E14429">
        <w:rPr>
          <w:color w:val="000000" w:themeColor="text1"/>
          <w:sz w:val="22"/>
          <w:lang w:val="en-AU"/>
        </w:rPr>
        <w:t xml:space="preserve">orld </w:t>
      </w:r>
      <w:r w:rsidR="006D0036">
        <w:rPr>
          <w:color w:val="000000" w:themeColor="text1"/>
          <w:sz w:val="22"/>
          <w:lang w:val="en-AU"/>
        </w:rPr>
        <w:t>c</w:t>
      </w:r>
      <w:r w:rsidRPr="00E14429">
        <w:rPr>
          <w:color w:val="000000" w:themeColor="text1"/>
          <w:sz w:val="22"/>
          <w:lang w:val="en-AU"/>
        </w:rPr>
        <w:t xml:space="preserve">up, the </w:t>
      </w:r>
      <w:r>
        <w:rPr>
          <w:color w:val="000000" w:themeColor="text1"/>
          <w:sz w:val="22"/>
          <w:lang w:val="en-AU"/>
        </w:rPr>
        <w:t>modernised</w:t>
      </w:r>
      <w:r w:rsidRPr="00E14429">
        <w:rPr>
          <w:color w:val="000000" w:themeColor="text1"/>
          <w:sz w:val="22"/>
          <w:lang w:val="en-AU"/>
        </w:rPr>
        <w:t xml:space="preserve"> list includes both the men’s and women’s tournaments. </w:t>
      </w:r>
      <w:r w:rsidR="00F7212E" w:rsidRPr="00E14429">
        <w:rPr>
          <w:color w:val="000000" w:themeColor="text1"/>
          <w:sz w:val="22"/>
          <w:lang w:val="en-AU"/>
        </w:rPr>
        <w:t xml:space="preserve">This </w:t>
      </w:r>
      <w:r w:rsidR="00F7212E">
        <w:rPr>
          <w:color w:val="000000" w:themeColor="text1"/>
          <w:sz w:val="22"/>
          <w:lang w:val="en-AU"/>
        </w:rPr>
        <w:t>approach has been adopted to ensure consistent and inclusive treatment of events regardless of the gender or the disability status of the athletes competing in the events.</w:t>
      </w:r>
    </w:p>
    <w:p w14:paraId="05394393" w14:textId="261F8243" w:rsidR="00860DD4" w:rsidRDefault="00860DD4" w:rsidP="00860DD4">
      <w:r>
        <w:t>The expanded list option would include a number of additional events compared with the current list:</w:t>
      </w:r>
    </w:p>
    <w:p w14:paraId="00E21E2C" w14:textId="21D50FAF" w:rsidR="00860DD4" w:rsidRPr="006C01CD" w:rsidRDefault="00860DD4" w:rsidP="00860DD4">
      <w:pPr>
        <w:pStyle w:val="ListParagraph"/>
        <w:numPr>
          <w:ilvl w:val="0"/>
          <w:numId w:val="66"/>
        </w:numPr>
        <w:contextualSpacing w:val="0"/>
      </w:pPr>
      <w:r w:rsidRPr="006C01CD">
        <w:t>all events held as part of the Paralympic Games</w:t>
      </w:r>
    </w:p>
    <w:p w14:paraId="7DAC3831" w14:textId="10D9FB44" w:rsidR="00860DD4" w:rsidRPr="006C01CD" w:rsidRDefault="00860DD4" w:rsidP="00860DD4">
      <w:pPr>
        <w:pStyle w:val="ListParagraph"/>
        <w:numPr>
          <w:ilvl w:val="0"/>
          <w:numId w:val="66"/>
        </w:numPr>
        <w:contextualSpacing w:val="0"/>
      </w:pPr>
      <w:r>
        <w:t xml:space="preserve">all matches of </w:t>
      </w:r>
      <w:r w:rsidRPr="006C01CD">
        <w:t xml:space="preserve">the AFL Women’s Premiership and the NRL Women’s Premiership, including </w:t>
      </w:r>
      <w:r>
        <w:t xml:space="preserve">the </w:t>
      </w:r>
      <w:r w:rsidRPr="006C01CD">
        <w:t>finals series</w:t>
      </w:r>
    </w:p>
    <w:p w14:paraId="52F4A5EB" w14:textId="499CFBC2" w:rsidR="00860DD4" w:rsidRPr="006C01CD" w:rsidRDefault="00860DD4" w:rsidP="00860DD4">
      <w:pPr>
        <w:pStyle w:val="ListParagraph"/>
        <w:numPr>
          <w:ilvl w:val="0"/>
          <w:numId w:val="66"/>
        </w:numPr>
        <w:contextualSpacing w:val="0"/>
      </w:pPr>
      <w:r w:rsidRPr="006C01CD">
        <w:t>the NRL Women’s State of Origin Series</w:t>
      </w:r>
    </w:p>
    <w:p w14:paraId="0E8DF912" w14:textId="4B3851E7" w:rsidR="00860DD4" w:rsidRPr="006C01CD" w:rsidRDefault="006B03A8" w:rsidP="00860DD4">
      <w:pPr>
        <w:pStyle w:val="ListParagraph"/>
        <w:numPr>
          <w:ilvl w:val="0"/>
          <w:numId w:val="66"/>
        </w:numPr>
        <w:contextualSpacing w:val="0"/>
      </w:pPr>
      <w:r>
        <w:t xml:space="preserve">each match of </w:t>
      </w:r>
      <w:r w:rsidR="00860DD4" w:rsidRPr="006C01CD">
        <w:t>the Super Rugby Pacific and Super W final</w:t>
      </w:r>
      <w:r w:rsidR="00860DD4">
        <w:t>s</w:t>
      </w:r>
      <w:r w:rsidR="00860DD4" w:rsidRPr="006C01CD">
        <w:t xml:space="preserve"> </w:t>
      </w:r>
      <w:r w:rsidR="00860DD4">
        <w:t xml:space="preserve">series </w:t>
      </w:r>
      <w:r w:rsidR="00860DD4" w:rsidRPr="006C01CD">
        <w:t xml:space="preserve">if </w:t>
      </w:r>
      <w:r>
        <w:t xml:space="preserve">it </w:t>
      </w:r>
      <w:r w:rsidR="00860DD4" w:rsidRPr="006C01CD">
        <w:t>involve</w:t>
      </w:r>
      <w:r>
        <w:t>s</w:t>
      </w:r>
      <w:r w:rsidR="00860DD4" w:rsidRPr="006C01CD">
        <w:t xml:space="preserve"> at least one Australian team</w:t>
      </w:r>
    </w:p>
    <w:p w14:paraId="7798F310" w14:textId="29420038" w:rsidR="00860DD4" w:rsidRDefault="00F7212E" w:rsidP="00860DD4">
      <w:pPr>
        <w:pStyle w:val="ListParagraph"/>
        <w:numPr>
          <w:ilvl w:val="0"/>
          <w:numId w:val="66"/>
        </w:numPr>
        <w:contextualSpacing w:val="0"/>
      </w:pPr>
      <w:r>
        <w:t>a</w:t>
      </w:r>
      <w:r w:rsidR="00860DD4">
        <w:t>ll matches of the FIFA Men’s World Cup and the FIFA Women’s World Cup</w:t>
      </w:r>
    </w:p>
    <w:p w14:paraId="41B1B09D" w14:textId="26731D91" w:rsidR="00860DD4" w:rsidRPr="006C01CD" w:rsidRDefault="00860DD4" w:rsidP="00860DD4">
      <w:pPr>
        <w:pStyle w:val="ListParagraph"/>
        <w:numPr>
          <w:ilvl w:val="0"/>
          <w:numId w:val="66"/>
        </w:numPr>
        <w:contextualSpacing w:val="0"/>
      </w:pPr>
      <w:r w:rsidRPr="006C01CD">
        <w:t>each match in each tie and the final of the International Tennis Federation Billie Jean Cup tennis tournament that involves an Australian representative team</w:t>
      </w:r>
    </w:p>
    <w:p w14:paraId="58D13DFE" w14:textId="130E9CFC" w:rsidR="00860DD4" w:rsidRPr="006C01CD" w:rsidRDefault="00860DD4" w:rsidP="00860DD4">
      <w:pPr>
        <w:pStyle w:val="ListParagraph"/>
        <w:numPr>
          <w:ilvl w:val="0"/>
          <w:numId w:val="66"/>
        </w:numPr>
        <w:contextualSpacing w:val="0"/>
      </w:pPr>
      <w:r w:rsidRPr="006C01CD">
        <w:t xml:space="preserve">all matches of the </w:t>
      </w:r>
      <w:r w:rsidR="007E42AD">
        <w:t xml:space="preserve">women’s </w:t>
      </w:r>
      <w:r w:rsidRPr="006C01CD">
        <w:t xml:space="preserve">Australian Netball team </w:t>
      </w:r>
      <w:r>
        <w:t xml:space="preserve">played </w:t>
      </w:r>
      <w:r w:rsidRPr="006C01CD">
        <w:t>in Australia.</w:t>
      </w:r>
    </w:p>
    <w:bookmarkEnd w:id="257"/>
    <w:p w14:paraId="6E4413A2" w14:textId="05C76569" w:rsidR="008D0040" w:rsidRPr="003F12B5" w:rsidRDefault="005C3BB6" w:rsidP="003F12B5">
      <w:pPr>
        <w:pStyle w:val="Heading3"/>
        <w:rPr>
          <w:sz w:val="28"/>
          <w:szCs w:val="28"/>
        </w:rPr>
      </w:pPr>
      <w:r>
        <w:rPr>
          <w:sz w:val="28"/>
          <w:szCs w:val="28"/>
        </w:rPr>
        <w:t>Comparison with</w:t>
      </w:r>
      <w:r w:rsidRPr="00A9605A">
        <w:rPr>
          <w:sz w:val="28"/>
          <w:szCs w:val="28"/>
        </w:rPr>
        <w:t xml:space="preserve"> the</w:t>
      </w:r>
      <w:r>
        <w:rPr>
          <w:sz w:val="28"/>
          <w:szCs w:val="28"/>
        </w:rPr>
        <w:t xml:space="preserve"> current</w:t>
      </w:r>
      <w:r w:rsidRPr="00A9605A">
        <w:rPr>
          <w:sz w:val="28"/>
          <w:szCs w:val="28"/>
        </w:rPr>
        <w:t xml:space="preserve"> list</w:t>
      </w:r>
    </w:p>
    <w:p w14:paraId="44B2304D" w14:textId="28A3AA64" w:rsidR="00A06483" w:rsidRDefault="00A06483" w:rsidP="008D0040">
      <w:pPr>
        <w:rPr>
          <w:highlight w:val="yellow"/>
        </w:rPr>
      </w:pPr>
      <w:r>
        <w:t>T</w:t>
      </w:r>
      <w:r w:rsidRPr="00AB786E">
        <w:t xml:space="preserve">he </w:t>
      </w:r>
      <w:r w:rsidR="00A4437F">
        <w:t>expanded</w:t>
      </w:r>
      <w:r w:rsidR="00A4437F" w:rsidRPr="00AB786E">
        <w:t xml:space="preserve"> </w:t>
      </w:r>
      <w:r w:rsidRPr="00AB786E">
        <w:t xml:space="preserve">list continues to include </w:t>
      </w:r>
      <w:r>
        <w:t xml:space="preserve">events and competitions from </w:t>
      </w:r>
      <w:r w:rsidRPr="00AB786E">
        <w:t xml:space="preserve">the same </w:t>
      </w:r>
      <w:r>
        <w:t xml:space="preserve">11 </w:t>
      </w:r>
      <w:r w:rsidRPr="00AB786E">
        <w:t>sports</w:t>
      </w:r>
      <w:r w:rsidR="002705CE">
        <w:t xml:space="preserve"> </w:t>
      </w:r>
      <w:r w:rsidRPr="00AB786E">
        <w:t>included in the current list. However, th</w:t>
      </w:r>
      <w:r>
        <w:t xml:space="preserve">is </w:t>
      </w:r>
      <w:r w:rsidRPr="00AB786E">
        <w:t xml:space="preserve">list option </w:t>
      </w:r>
      <w:r>
        <w:t xml:space="preserve">would </w:t>
      </w:r>
      <w:r w:rsidR="008D0040">
        <w:t xml:space="preserve">significantly </w:t>
      </w:r>
      <w:r w:rsidR="008D0040" w:rsidRPr="00AB786E">
        <w:t xml:space="preserve">increase in the number listed events </w:t>
      </w:r>
      <w:r w:rsidR="007162A3">
        <w:t xml:space="preserve">with respect to </w:t>
      </w:r>
      <w:r w:rsidR="008D0040">
        <w:t xml:space="preserve">certain of sports, namely: </w:t>
      </w:r>
      <w:r w:rsidR="008D0040" w:rsidRPr="007162A3">
        <w:t xml:space="preserve">Paralympics, </w:t>
      </w:r>
      <w:r w:rsidRPr="007162A3">
        <w:t>AFL</w:t>
      </w:r>
      <w:r w:rsidRPr="00A06483">
        <w:t>, NRL</w:t>
      </w:r>
      <w:r>
        <w:t>,</w:t>
      </w:r>
      <w:r w:rsidRPr="00A06483">
        <w:t xml:space="preserve"> Rugby, </w:t>
      </w:r>
      <w:r w:rsidR="004F3BC4">
        <w:t>s</w:t>
      </w:r>
      <w:r>
        <w:t>occer</w:t>
      </w:r>
      <w:r w:rsidRPr="00A06483">
        <w:t xml:space="preserve">, </w:t>
      </w:r>
      <w:r w:rsidR="004F3BC4">
        <w:t>t</w:t>
      </w:r>
      <w:r w:rsidRPr="00A06483">
        <w:t>ennis</w:t>
      </w:r>
      <w:r w:rsidR="004353EF">
        <w:t xml:space="preserve"> and </w:t>
      </w:r>
      <w:r w:rsidR="004F3BC4">
        <w:t>n</w:t>
      </w:r>
      <w:r w:rsidRPr="00A06483">
        <w:t>etball.</w:t>
      </w:r>
    </w:p>
    <w:p w14:paraId="02F3DCF5" w14:textId="48A62343" w:rsidR="008D0040" w:rsidRDefault="008D0040" w:rsidP="008D0040">
      <w:r>
        <w:t>It isn’t possible to provide a precise indication of the quantum of this increase, as the format and timing of many competitions changes over time and a number of competitions only take place periodically.</w:t>
      </w:r>
    </w:p>
    <w:p w14:paraId="60705474" w14:textId="29CC8B22" w:rsidR="00F7212E" w:rsidRDefault="008D0040" w:rsidP="00B87C67">
      <w:r>
        <w:t>However, with a number of assumptions and caveats in place, the modernised list would constitute a</w:t>
      </w:r>
      <w:r w:rsidR="00F629E7">
        <w:t xml:space="preserve">n increase of </w:t>
      </w:r>
      <w:r w:rsidR="004774BE">
        <w:t>close to</w:t>
      </w:r>
      <w:r w:rsidR="00AD45FC">
        <w:t xml:space="preserve"> </w:t>
      </w:r>
      <w:r w:rsidR="004774BE" w:rsidRPr="00056164">
        <w:t>50</w:t>
      </w:r>
      <w:r w:rsidR="00F7212E" w:rsidRPr="00056164">
        <w:t> </w:t>
      </w:r>
      <w:r w:rsidR="00AD45FC" w:rsidRPr="00056164">
        <w:t>per</w:t>
      </w:r>
      <w:r w:rsidR="00F7212E" w:rsidRPr="00056164">
        <w:t> </w:t>
      </w:r>
      <w:r w:rsidR="00AD45FC" w:rsidRPr="00056164">
        <w:t>cent</w:t>
      </w:r>
      <w:r>
        <w:t xml:space="preserve"> </w:t>
      </w:r>
      <w:r w:rsidR="00AD45FC">
        <w:t>in the number of</w:t>
      </w:r>
      <w:r>
        <w:t xml:space="preserve"> events compared with the current list</w:t>
      </w:r>
      <w:r w:rsidR="00F629E7">
        <w:t>,</w:t>
      </w:r>
      <w:r>
        <w:t xml:space="preserve"> from </w:t>
      </w:r>
      <w:r w:rsidR="00F629E7">
        <w:t>around</w:t>
      </w:r>
      <w:r w:rsidR="00F7212E">
        <w:t xml:space="preserve"> </w:t>
      </w:r>
      <w:r w:rsidR="00AD45FC" w:rsidRPr="00056164">
        <w:t>1,90</w:t>
      </w:r>
      <w:r w:rsidR="004774BE" w:rsidRPr="00056164">
        <w:t>0</w:t>
      </w:r>
      <w:r w:rsidRPr="00AD45FC">
        <w:t xml:space="preserve"> </w:t>
      </w:r>
      <w:r w:rsidR="004774BE">
        <w:t>events</w:t>
      </w:r>
      <w:r w:rsidRPr="00AD45FC">
        <w:t xml:space="preserve"> to </w:t>
      </w:r>
      <w:r w:rsidR="00F629E7">
        <w:t>around</w:t>
      </w:r>
      <w:r w:rsidR="00F7212E">
        <w:t xml:space="preserve"> </w:t>
      </w:r>
      <w:r w:rsidR="00AD45FC" w:rsidRPr="00056164">
        <w:t>2,</w:t>
      </w:r>
      <w:r w:rsidR="00F7212E" w:rsidRPr="00056164">
        <w:t>8</w:t>
      </w:r>
      <w:r w:rsidR="004774BE" w:rsidRPr="00056164">
        <w:t>00 events</w:t>
      </w:r>
      <w:r w:rsidR="00F7212E">
        <w:t>.</w:t>
      </w:r>
      <w:r w:rsidR="00AD45FC">
        <w:rPr>
          <w:rStyle w:val="FootnoteReference"/>
        </w:rPr>
        <w:footnoteReference w:id="159"/>
      </w:r>
    </w:p>
    <w:p w14:paraId="26AD3992" w14:textId="5D5898D7" w:rsidR="002705CE" w:rsidRDefault="00F7212E">
      <w:r>
        <w:t>The bulk of this increase (</w:t>
      </w:r>
      <w:r w:rsidRPr="00056164">
        <w:t>60 per cent</w:t>
      </w:r>
      <w:r>
        <w:t>) is attributable to the inclusion of the Paralympic Games, with a significant minority (</w:t>
      </w:r>
      <w:r w:rsidRPr="00056164">
        <w:t>16 per cent</w:t>
      </w:r>
      <w:r>
        <w:t xml:space="preserve">) attributable to the inclusion of </w:t>
      </w:r>
      <w:r w:rsidR="00916CD6">
        <w:t xml:space="preserve">all </w:t>
      </w:r>
      <w:r>
        <w:t>matches of the AFL Women’s Premiership and NRL Women’s Premiership.</w:t>
      </w:r>
      <w:r w:rsidR="002705CE">
        <w:br w:type="page"/>
      </w:r>
    </w:p>
    <w:p w14:paraId="31B606D3" w14:textId="77777777" w:rsidR="005C3BB6" w:rsidRPr="00A90F63" w:rsidRDefault="005C3BB6" w:rsidP="005C3BB6">
      <w:pPr>
        <w:pStyle w:val="Heading3"/>
        <w:rPr>
          <w:sz w:val="28"/>
          <w:szCs w:val="28"/>
        </w:rPr>
      </w:pPr>
      <w:r w:rsidRPr="00FF0A8C">
        <w:rPr>
          <w:sz w:val="28"/>
          <w:szCs w:val="28"/>
        </w:rPr>
        <w:lastRenderedPageBreak/>
        <w:t>Relationship with proposed models</w:t>
      </w:r>
    </w:p>
    <w:p w14:paraId="2F30AB96" w14:textId="1F08CCAA" w:rsidR="005F3895" w:rsidRDefault="005F3895" w:rsidP="005F3895">
      <w:bookmarkStart w:id="258" w:name="_Toc140842953"/>
      <w:r>
        <w:t xml:space="preserve">As noted above, the </w:t>
      </w:r>
      <w:r w:rsidR="009E3523">
        <w:t>expanded</w:t>
      </w:r>
      <w:r>
        <w:t xml:space="preserve"> list has been designed to operate in conjunction with the broadcasting safety</w:t>
      </w:r>
      <w:r w:rsidR="00890861">
        <w:t xml:space="preserve"> </w:t>
      </w:r>
      <w:r>
        <w:t>net and free-to-</w:t>
      </w:r>
      <w:r w:rsidR="00810BC4">
        <w:t xml:space="preserve">air </w:t>
      </w:r>
      <w:r>
        <w:t>first models for the reform of the scheme (Models 2 and 3 respectively, as outlined in Chapter 6). Both models expand the scope of the scheme to place restrictions on parties other than free</w:t>
      </w:r>
      <w:r>
        <w:noBreakHyphen/>
        <w:t>to</w:t>
      </w:r>
      <w:r>
        <w:noBreakHyphen/>
        <w:t>air broadcasters acquiring media rights.</w:t>
      </w:r>
    </w:p>
    <w:p w14:paraId="793378A6" w14:textId="77777777" w:rsidR="005F3895" w:rsidRPr="00015A9C" w:rsidRDefault="005F3895" w:rsidP="00015A9C">
      <w:r>
        <w:t xml:space="preserve">The </w:t>
      </w:r>
      <w:r w:rsidR="009E3523">
        <w:t>expanded</w:t>
      </w:r>
      <w:r>
        <w:t xml:space="preserve"> list is not designed to be compatible with the free</w:t>
      </w:r>
      <w:r>
        <w:noBreakHyphen/>
        <w:t>to</w:t>
      </w:r>
      <w:r>
        <w:noBreakHyphen/>
        <w:t>view model proposed in Chapter 6 (Model</w:t>
      </w:r>
      <w:r w:rsidR="009E3523">
        <w:t> </w:t>
      </w:r>
      <w:r>
        <w:t>1). That model is constructed around coverage obligations which require all events on the list to be shown live and in full. It would not be technically or financially feasible for content services to provide live and in full coverage of competitions that involve dozens of events occurring simultaneously. In terms of the current list, this includes the Australian Open tennis tournament, the Summer and Winter Olympic Games, and the Commonwealth Games.</w:t>
      </w:r>
    </w:p>
    <w:p w14:paraId="46A86C5E" w14:textId="77777777" w:rsidR="005C3BB6" w:rsidRPr="00A90F63" w:rsidRDefault="005C3BB6" w:rsidP="005C3BB6">
      <w:pPr>
        <w:pStyle w:val="Heading3"/>
        <w:rPr>
          <w:sz w:val="28"/>
          <w:szCs w:val="28"/>
        </w:rPr>
      </w:pPr>
      <w:r w:rsidRPr="00727A2B">
        <w:rPr>
          <w:sz w:val="28"/>
          <w:szCs w:val="28"/>
        </w:rPr>
        <w:t>Preliminary assessment</w:t>
      </w:r>
      <w:bookmarkEnd w:id="258"/>
    </w:p>
    <w:p w14:paraId="465239ED" w14:textId="2DFC2D68" w:rsidR="00B34C8B" w:rsidRDefault="00B23287" w:rsidP="00B23287">
      <w:pPr>
        <w:spacing w:after="0"/>
      </w:pPr>
      <w:bookmarkStart w:id="259" w:name="_Toc140842954"/>
      <w:r w:rsidRPr="00746A52">
        <w:t xml:space="preserve">The </w:t>
      </w:r>
      <w:r>
        <w:t>expanded</w:t>
      </w:r>
      <w:r w:rsidRPr="00746A52">
        <w:t xml:space="preserve"> list would </w:t>
      </w:r>
      <w:r>
        <w:t>significantly</w:t>
      </w:r>
      <w:r w:rsidRPr="00746A52">
        <w:t xml:space="preserve"> increase </w:t>
      </w:r>
      <w:r>
        <w:t xml:space="preserve">the scope of the anti-siphoning scheme. As noted above, this option would see an increase in the number of events of the list of </w:t>
      </w:r>
      <w:r w:rsidR="0093137A">
        <w:t xml:space="preserve">close to </w:t>
      </w:r>
      <w:r w:rsidR="0093137A" w:rsidRPr="00056164">
        <w:t>50</w:t>
      </w:r>
      <w:r w:rsidR="00AD45FC" w:rsidRPr="00056164">
        <w:t xml:space="preserve"> per cent</w:t>
      </w:r>
      <w:r>
        <w:t xml:space="preserve"> compared with the current list</w:t>
      </w:r>
      <w:r w:rsidR="00B34C8B">
        <w:t>, although the bulk of this increase is attributable to the inclusion of the Paralympic Games and the AFL and NRL Women’s Premiership competitions.</w:t>
      </w:r>
    </w:p>
    <w:p w14:paraId="5B850287" w14:textId="3E66AF98" w:rsidR="00B34C8B" w:rsidRDefault="009E3523" w:rsidP="003A0AB1">
      <w:pPr>
        <w:spacing w:after="0"/>
      </w:pPr>
      <w:r>
        <w:t>This is by design, given the twin aims of this list option of ensuring compatibility with the broadcasting safety</w:t>
      </w:r>
      <w:r w:rsidR="00890861">
        <w:t xml:space="preserve"> </w:t>
      </w:r>
      <w:r>
        <w:t>net and free</w:t>
      </w:r>
      <w:r>
        <w:noBreakHyphen/>
        <w:t>to</w:t>
      </w:r>
      <w:r>
        <w:noBreakHyphen/>
        <w:t xml:space="preserve">air first reform models, and </w:t>
      </w:r>
      <w:r w:rsidR="00B34C8B">
        <w:t>applying the scheme in a way that better reflects the contemporary media landscape and significantly broadens the construction of nationally important and culturally significant events.</w:t>
      </w:r>
    </w:p>
    <w:p w14:paraId="18BECF2F" w14:textId="046B38A2" w:rsidR="005340E1" w:rsidRDefault="009E3523" w:rsidP="009E3523">
      <w:r>
        <w:t xml:space="preserve">As with the </w:t>
      </w:r>
      <w:r w:rsidR="00564CBE">
        <w:t xml:space="preserve">other </w:t>
      </w:r>
      <w:r>
        <w:t xml:space="preserve">list options, this proposal would take a more inclusive approach to international matches that involve a senior Australian representative team, </w:t>
      </w:r>
      <w:r w:rsidR="00B34C8B">
        <w:t xml:space="preserve">including </w:t>
      </w:r>
      <w:r>
        <w:t xml:space="preserve">standalone fixtures and </w:t>
      </w:r>
      <w:r w:rsidR="005F2D1E">
        <w:t>w</w:t>
      </w:r>
      <w:r>
        <w:t xml:space="preserve">orld </w:t>
      </w:r>
      <w:r w:rsidR="005F2D1E">
        <w:t>c</w:t>
      </w:r>
      <w:r>
        <w:t>up matches that involve a men’s or women’s senior representative side.</w:t>
      </w:r>
    </w:p>
    <w:p w14:paraId="6B1F0541" w14:textId="20684D3C" w:rsidR="009E3523" w:rsidRDefault="00B34C8B" w:rsidP="003A0AB1">
      <w:r>
        <w:t xml:space="preserve">As noted in the overview, there </w:t>
      </w:r>
      <w:r w:rsidR="009E3523">
        <w:t xml:space="preserve">would also be a number of additional events included on the </w:t>
      </w:r>
      <w:r w:rsidR="005340E1">
        <w:t>expanded</w:t>
      </w:r>
      <w:r w:rsidR="009E3523">
        <w:t xml:space="preserve"> list compared with the </w:t>
      </w:r>
      <w:r w:rsidR="00564CBE">
        <w:t>current list</w:t>
      </w:r>
      <w:r w:rsidR="009E3523">
        <w:t xml:space="preserve">. </w:t>
      </w:r>
      <w:r w:rsidR="000F30C7">
        <w:t>This</w:t>
      </w:r>
      <w:r w:rsidR="00B4405F">
        <w:t xml:space="preserve"> </w:t>
      </w:r>
      <w:r w:rsidR="006561C4">
        <w:t>would be done with the aim of</w:t>
      </w:r>
      <w:r w:rsidR="009E3523">
        <w:t xml:space="preserve"> increas</w:t>
      </w:r>
      <w:r w:rsidR="006561C4">
        <w:t>ing</w:t>
      </w:r>
      <w:r w:rsidR="009E3523">
        <w:t xml:space="preserve"> the likelihood of free access to </w:t>
      </w:r>
      <w:r w:rsidR="003412C4">
        <w:t xml:space="preserve">televised </w:t>
      </w:r>
      <w:r w:rsidR="009E3523">
        <w:t xml:space="preserve">coverage of these events for Australian audiences and, commensurately, </w:t>
      </w:r>
      <w:r>
        <w:t xml:space="preserve">seek to mitigate the </w:t>
      </w:r>
      <w:r w:rsidR="009E3523">
        <w:t>of these events being placed behind a paywall. However, this outcome</w:t>
      </w:r>
      <w:r w:rsidR="00B4405F">
        <w:t xml:space="preserve"> is</w:t>
      </w:r>
      <w:r w:rsidR="009E3523">
        <w:t xml:space="preserve"> would be dependent on free-to-air broadcasters opting to acquire the relevant rights to these events under either the broadcasting safety net or free-to-air first models for the scheme (Models 2 and 3 respectively as outlined in Chapter 6).</w:t>
      </w:r>
    </w:p>
    <w:p w14:paraId="20197DE2" w14:textId="77777777" w:rsidR="00B34C8B" w:rsidRDefault="00B34C8B" w:rsidP="00487EB8">
      <w:pPr>
        <w:spacing w:after="0"/>
      </w:pPr>
      <w:r>
        <w:t>T</w:t>
      </w:r>
      <w:r w:rsidR="00C849BF">
        <w:t>here is a risk that</w:t>
      </w:r>
      <w:r w:rsidR="009E3523">
        <w:t xml:space="preserve"> free-to-air broadcasters may </w:t>
      </w:r>
      <w:r w:rsidR="00F21D83">
        <w:t xml:space="preserve">not </w:t>
      </w:r>
      <w:r w:rsidR="00DF1C45">
        <w:t xml:space="preserve">seek to </w:t>
      </w:r>
      <w:r>
        <w:t xml:space="preserve">do so, resulting in </w:t>
      </w:r>
      <w:r w:rsidR="00F21D83">
        <w:t xml:space="preserve">little </w:t>
      </w:r>
      <w:r>
        <w:t xml:space="preserve">net </w:t>
      </w:r>
      <w:r w:rsidR="00F21D83">
        <w:t xml:space="preserve">benefit for audiences compared with current listing arrangements if coverage is ultimately provided on subscription-based platforms (i.e. the rights to these additional events continue to be acquired by entities other than free-to-air broadcasters). </w:t>
      </w:r>
      <w:r w:rsidR="00C05134">
        <w:t>Previous rights deals suggest this has been the case for some events included on the expanded list.</w:t>
      </w:r>
    </w:p>
    <w:p w14:paraId="0CFF16E7" w14:textId="637F2973" w:rsidR="009E3523" w:rsidRDefault="00CF2205" w:rsidP="00487EB8">
      <w:pPr>
        <w:spacing w:after="0"/>
      </w:pPr>
      <w:r>
        <w:t>If the rights</w:t>
      </w:r>
      <w:r w:rsidR="00B34C8B">
        <w:t xml:space="preserve"> to these additional events</w:t>
      </w:r>
      <w:r>
        <w:t xml:space="preserve"> are not acquired </w:t>
      </w:r>
      <w:r w:rsidR="005A0C54">
        <w:t>by free</w:t>
      </w:r>
      <w:r w:rsidR="005A0C54">
        <w:noBreakHyphen/>
        <w:t>to</w:t>
      </w:r>
      <w:r w:rsidR="005A0C54">
        <w:noBreakHyphen/>
        <w:t xml:space="preserve">air broadcasters, </w:t>
      </w:r>
      <w:r>
        <w:t xml:space="preserve">all </w:t>
      </w:r>
      <w:r w:rsidR="005A0C54">
        <w:t xml:space="preserve">other parties would be prohibited from acquiring </w:t>
      </w:r>
      <w:r>
        <w:t xml:space="preserve">any rights </w:t>
      </w:r>
      <w:r w:rsidR="005A0C54">
        <w:t xml:space="preserve">until </w:t>
      </w:r>
      <w:r w:rsidR="006C01CD">
        <w:t>the event</w:t>
      </w:r>
      <w:r w:rsidR="005A0C54">
        <w:t xml:space="preserve"> </w:t>
      </w:r>
      <w:r w:rsidR="006C01CD">
        <w:t>is</w:t>
      </w:r>
      <w:r w:rsidR="005A0C54">
        <w:t xml:space="preserve"> delisted (26 weeks prior to commencement).</w:t>
      </w:r>
      <w:r w:rsidR="00DF1C45">
        <w:t xml:space="preserve"> </w:t>
      </w:r>
      <w:r w:rsidR="0069656A">
        <w:t xml:space="preserve">If this were to disincentivise entities other than free-to-air broadcasters from seeking to take up those rights, then there </w:t>
      </w:r>
      <w:r w:rsidR="00B34C8B">
        <w:t xml:space="preserve">may be an erosion in </w:t>
      </w:r>
      <w:r w:rsidR="00DF1C45">
        <w:t xml:space="preserve">overall </w:t>
      </w:r>
      <w:r w:rsidR="00B34C8B">
        <w:t xml:space="preserve">benefits for audiences </w:t>
      </w:r>
      <w:r w:rsidR="00DF1C45">
        <w:t>(</w:t>
      </w:r>
      <w:r w:rsidR="007162A3">
        <w:t xml:space="preserve">i.e. if there </w:t>
      </w:r>
      <w:r w:rsidR="00F21D83">
        <w:t>were to be</w:t>
      </w:r>
      <w:r w:rsidR="007162A3">
        <w:t xml:space="preserve"> reduced or no </w:t>
      </w:r>
      <w:r w:rsidR="00DF1C45">
        <w:t>coverage of the additional events).</w:t>
      </w:r>
    </w:p>
    <w:p w14:paraId="538821A5" w14:textId="20661C30" w:rsidR="005F2D1E" w:rsidRDefault="009E3523" w:rsidP="00487EB8">
      <w:pPr>
        <w:spacing w:after="0"/>
      </w:pPr>
      <w:r>
        <w:t xml:space="preserve">From an industry perspective, the </w:t>
      </w:r>
      <w:r w:rsidR="006C01CD">
        <w:t>expanded</w:t>
      </w:r>
      <w:r>
        <w:t xml:space="preserve"> list option would continue to limit the ability of sports bodies to negotiate openly with respect</w:t>
      </w:r>
      <w:r w:rsidR="005F2D1E">
        <w:t xml:space="preserve"> to their rights, </w:t>
      </w:r>
      <w:r w:rsidR="0069656A">
        <w:t>and to a greater degree than the other list options.</w:t>
      </w:r>
      <w:r w:rsidR="007162A3">
        <w:t xml:space="preserve"> </w:t>
      </w:r>
      <w:r>
        <w:t xml:space="preserve">Free-to-air broadcasters would benefit from the </w:t>
      </w:r>
      <w:r w:rsidR="007C276A">
        <w:t>expanded</w:t>
      </w:r>
      <w:r>
        <w:t xml:space="preserve"> list as it would maintain and, in some respects, advance their negotiating position with regard </w:t>
      </w:r>
      <w:r w:rsidR="006825A8">
        <w:t xml:space="preserve">to </w:t>
      </w:r>
      <w:r>
        <w:t>sporting rights.</w:t>
      </w:r>
    </w:p>
    <w:p w14:paraId="419CF1EC" w14:textId="08541723" w:rsidR="005F2D1E" w:rsidRDefault="009E3523" w:rsidP="00487EB8">
      <w:pPr>
        <w:spacing w:after="0"/>
      </w:pPr>
      <w:r>
        <w:t xml:space="preserve">Conversely, subscription television broadcasting licensees would face restrictions on their ability to purchase and monetise the </w:t>
      </w:r>
      <w:r w:rsidR="007C276A">
        <w:t xml:space="preserve">additional </w:t>
      </w:r>
      <w:r>
        <w:t xml:space="preserve">events proposed to be included on the </w:t>
      </w:r>
      <w:r w:rsidR="007C276A">
        <w:t>expanded</w:t>
      </w:r>
      <w:r>
        <w:t xml:space="preserve"> list (until the events are delisted).</w:t>
      </w:r>
    </w:p>
    <w:p w14:paraId="311E608E" w14:textId="31CF26E0" w:rsidR="009E3523" w:rsidRDefault="009E3523" w:rsidP="00487EB8">
      <w:pPr>
        <w:spacing w:after="0"/>
      </w:pPr>
      <w:r>
        <w:lastRenderedPageBreak/>
        <w:t xml:space="preserve">Online streaming services and other content services would be brought into the scheme for the first time if they opted to acquire the rights to provide coverage of events on the </w:t>
      </w:r>
      <w:r w:rsidR="007C276A">
        <w:t>expanded</w:t>
      </w:r>
      <w:r>
        <w:t xml:space="preserve"> list. The number of events they would lose the opportunity to obtain </w:t>
      </w:r>
      <w:r w:rsidR="007162A3">
        <w:t xml:space="preserve">without restriction under the </w:t>
      </w:r>
      <w:r w:rsidR="006825A8">
        <w:t xml:space="preserve">expanded list </w:t>
      </w:r>
      <w:r>
        <w:t xml:space="preserve">would be greater than the streamlined </w:t>
      </w:r>
      <w:r w:rsidR="00F37082">
        <w:t>and modernised lis</w:t>
      </w:r>
      <w:r w:rsidR="00E71238">
        <w:t>t options.</w:t>
      </w:r>
    </w:p>
    <w:bookmarkEnd w:id="259"/>
    <w:p w14:paraId="756AE9BF" w14:textId="73131BEA" w:rsidR="007E79A4" w:rsidRPr="00746A52" w:rsidRDefault="007E79A4" w:rsidP="007E79A4">
      <w:pPr>
        <w:pStyle w:val="Heading3"/>
        <w:rPr>
          <w:sz w:val="28"/>
          <w:szCs w:val="28"/>
        </w:rPr>
      </w:pPr>
      <w:r w:rsidRPr="00746A52">
        <w:rPr>
          <w:sz w:val="28"/>
          <w:szCs w:val="28"/>
        </w:rPr>
        <w:t>Government position</w:t>
      </w:r>
    </w:p>
    <w:p w14:paraId="460D47F4" w14:textId="4D09B243" w:rsidR="00DF628D" w:rsidRDefault="007E79A4" w:rsidP="0017404C">
      <w:pPr>
        <w:sectPr w:rsidR="00DF628D" w:rsidSect="00DC2F3E">
          <w:headerReference w:type="even" r:id="rId28"/>
          <w:headerReference w:type="default" r:id="rId29"/>
          <w:headerReference w:type="first" r:id="rId30"/>
          <w:pgSz w:w="11906" w:h="16838" w:code="9"/>
          <w:pgMar w:top="1021" w:right="1021" w:bottom="851" w:left="1021" w:header="340" w:footer="187" w:gutter="0"/>
          <w:cols w:space="708"/>
          <w:docGrid w:linePitch="360"/>
        </w:sectPr>
      </w:pPr>
      <w:r>
        <w:t xml:space="preserve">The expanded list </w:t>
      </w:r>
      <w:r w:rsidR="0069656A">
        <w:t>option</w:t>
      </w:r>
      <w:r>
        <w:t xml:space="preserve"> </w:t>
      </w:r>
      <w:r w:rsidR="007162A3">
        <w:t>would be</w:t>
      </w:r>
      <w:r>
        <w:t xml:space="preserve"> compatible with the broadcasting safety</w:t>
      </w:r>
      <w:r w:rsidR="00890861">
        <w:t xml:space="preserve"> </w:t>
      </w:r>
      <w:r>
        <w:t>net and free-to-air first models</w:t>
      </w:r>
      <w:r w:rsidR="008067FF">
        <w:t xml:space="preserve">. </w:t>
      </w:r>
      <w:r w:rsidR="007162A3">
        <w:t>However, t</w:t>
      </w:r>
      <w:r>
        <w:t xml:space="preserve">he </w:t>
      </w:r>
      <w:r w:rsidR="007B77CA">
        <w:t>expanded</w:t>
      </w:r>
      <w:r>
        <w:t xml:space="preserve"> list would significant</w:t>
      </w:r>
      <w:r w:rsidR="001521CF">
        <w:t>ly</w:t>
      </w:r>
      <w:r>
        <w:t xml:space="preserve"> increase </w:t>
      </w:r>
      <w:r w:rsidR="007162A3">
        <w:t>the</w:t>
      </w:r>
      <w:r>
        <w:t xml:space="preserve"> scope and application of the scheme compared with the current list</w:t>
      </w:r>
      <w:r w:rsidR="007162A3">
        <w:t xml:space="preserve">. While the inclusion of these additional events may enhance the overall outcome for Australian audiences </w:t>
      </w:r>
      <w:r w:rsidR="0069656A">
        <w:t>(</w:t>
      </w:r>
      <w:r w:rsidR="007162A3">
        <w:t xml:space="preserve">and support the objective of the scheme of free access to </w:t>
      </w:r>
      <w:r w:rsidR="003412C4">
        <w:t xml:space="preserve">televised coverage of </w:t>
      </w:r>
      <w:r w:rsidR="007162A3">
        <w:t>iconic events</w:t>
      </w:r>
      <w:r w:rsidR="0069656A">
        <w:t>)</w:t>
      </w:r>
      <w:r w:rsidR="007162A3">
        <w:t>, th</w:t>
      </w:r>
      <w:r w:rsidR="0069656A">
        <w:t xml:space="preserve">is outcome is not assured. Overall, </w:t>
      </w:r>
      <w:r w:rsidR="001E02E0">
        <w:t xml:space="preserve">a compelling </w:t>
      </w:r>
      <w:r w:rsidR="0069656A">
        <w:t xml:space="preserve">case for this level of expansion hasn’t been made through the review and this option is not the preferred approach to reform of the list at this time. </w:t>
      </w:r>
    </w:p>
    <w:p w14:paraId="068E34E2" w14:textId="77777777" w:rsidR="00DF628D" w:rsidRPr="00270507" w:rsidRDefault="00DF628D" w:rsidP="00657D06">
      <w:pPr>
        <w:pStyle w:val="Heading1"/>
        <w:suppressAutoHyphens/>
        <w:jc w:val="right"/>
      </w:pPr>
      <w:bookmarkStart w:id="260" w:name="_Toc141369812"/>
      <w:bookmarkStart w:id="261" w:name="_Toc143265603"/>
      <w:r w:rsidRPr="00270507">
        <w:lastRenderedPageBreak/>
        <w:t xml:space="preserve">Attachment </w:t>
      </w:r>
      <w:r w:rsidR="00270507">
        <w:t>A</w:t>
      </w:r>
      <w:bookmarkEnd w:id="260"/>
      <w:bookmarkEnd w:id="261"/>
    </w:p>
    <w:p w14:paraId="188F8265" w14:textId="6F15CEC0" w:rsidR="00DF628D" w:rsidRPr="003A0AB1" w:rsidRDefault="00DF628D" w:rsidP="003A0AB1">
      <w:pPr>
        <w:pStyle w:val="Heading1"/>
        <w:shd w:val="clear" w:color="auto" w:fill="FFFFFF" w:themeFill="background1"/>
        <w:suppressAutoHyphens/>
        <w:rPr>
          <w:color w:val="000000" w:themeColor="text1"/>
          <w:sz w:val="22"/>
        </w:rPr>
      </w:pPr>
      <w:bookmarkStart w:id="262" w:name="_Toc141369813"/>
      <w:bookmarkStart w:id="263" w:name="_Toc143265604"/>
      <w:bookmarkStart w:id="264" w:name="_Hlk142053191"/>
      <w:bookmarkStart w:id="265" w:name="_Hlk143189318"/>
      <w:r w:rsidRPr="003A0AB1">
        <w:rPr>
          <w:color w:val="6D7989" w:themeColor="accent4" w:themeShade="BF"/>
          <w:sz w:val="36"/>
          <w:szCs w:val="26"/>
        </w:rPr>
        <w:t>List 1: the streamlined list</w:t>
      </w:r>
      <w:bookmarkEnd w:id="262"/>
      <w:bookmarkEnd w:id="263"/>
    </w:p>
    <w:p w14:paraId="548A0A52" w14:textId="77777777" w:rsidR="00DF628D" w:rsidRPr="00EF02A9" w:rsidRDefault="00DF628D" w:rsidP="00DF628D">
      <w:pPr>
        <w:pStyle w:val="Introduction"/>
        <w:spacing w:before="0" w:after="0"/>
        <w:rPr>
          <w:b/>
          <w:color w:val="000000" w:themeColor="text1"/>
          <w:sz w:val="22"/>
          <w:lang w:val="en-AU"/>
        </w:rPr>
      </w:pPr>
    </w:p>
    <w:tbl>
      <w:tblPr>
        <w:tblStyle w:val="DefaultTable11"/>
        <w:tblW w:w="4925" w:type="pct"/>
        <w:tblInd w:w="0" w:type="dxa"/>
        <w:tblLook w:val="04A0" w:firstRow="1" w:lastRow="0" w:firstColumn="1" w:lastColumn="0" w:noHBand="0" w:noVBand="1"/>
      </w:tblPr>
      <w:tblGrid>
        <w:gridCol w:w="2345"/>
        <w:gridCol w:w="5562"/>
        <w:gridCol w:w="5561"/>
        <w:gridCol w:w="1274"/>
      </w:tblGrid>
      <w:tr w:rsidR="00DF628D" w14:paraId="5E23DDDA" w14:textId="77777777" w:rsidTr="004254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5" w:type="pct"/>
            <w:tcBorders>
              <w:left w:val="nil"/>
              <w:right w:val="nil"/>
            </w:tcBorders>
            <w:hideMark/>
          </w:tcPr>
          <w:p w14:paraId="4EBADD61" w14:textId="77777777" w:rsidR="00DF628D" w:rsidRPr="00C830B7" w:rsidRDefault="00DF628D" w:rsidP="00425490">
            <w:pPr>
              <w:rPr>
                <w:rFonts w:cstheme="minorHAnsi"/>
                <w:color w:val="auto"/>
                <w:sz w:val="20"/>
                <w:szCs w:val="20"/>
              </w:rPr>
            </w:pPr>
            <w:bookmarkStart w:id="266" w:name="_Hlk142052848"/>
            <w:r w:rsidRPr="00C830B7">
              <w:rPr>
                <w:rFonts w:cstheme="minorHAnsi"/>
                <w:color w:val="auto"/>
                <w:sz w:val="20"/>
                <w:szCs w:val="20"/>
              </w:rPr>
              <w:t>Sport</w:t>
            </w:r>
          </w:p>
        </w:tc>
        <w:tc>
          <w:tcPr>
            <w:tcW w:w="1886" w:type="pct"/>
            <w:tcBorders>
              <w:left w:val="nil"/>
              <w:right w:val="nil"/>
            </w:tcBorders>
          </w:tcPr>
          <w:p w14:paraId="71CBBA29" w14:textId="77777777" w:rsidR="00DF628D" w:rsidRPr="00C830B7" w:rsidRDefault="00DF628D" w:rsidP="00425490">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Current list</w:t>
            </w:r>
          </w:p>
        </w:tc>
        <w:tc>
          <w:tcPr>
            <w:tcW w:w="1886" w:type="pct"/>
            <w:tcBorders>
              <w:left w:val="nil"/>
              <w:right w:val="nil"/>
            </w:tcBorders>
            <w:hideMark/>
          </w:tcPr>
          <w:p w14:paraId="2FB1B4A0" w14:textId="77777777" w:rsidR="00DF628D" w:rsidRPr="00C830B7" w:rsidRDefault="005441EF" w:rsidP="00425490">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noProof/>
                <w:color w:val="auto"/>
                <w:sz w:val="20"/>
                <w:szCs w:val="20"/>
              </w:rPr>
              <mc:AlternateContent>
                <mc:Choice Requires="wps">
                  <w:drawing>
                    <wp:anchor distT="0" distB="0" distL="114300" distR="114300" simplePos="0" relativeHeight="251658242" behindDoc="0" locked="0" layoutInCell="1" allowOverlap="1" wp14:anchorId="327C10A2" wp14:editId="46224377">
                      <wp:simplePos x="0" y="0"/>
                      <wp:positionH relativeFrom="column">
                        <wp:posOffset>1654784</wp:posOffset>
                      </wp:positionH>
                      <wp:positionV relativeFrom="paragraph">
                        <wp:posOffset>70765</wp:posOffset>
                      </wp:positionV>
                      <wp:extent cx="1359877" cy="127146"/>
                      <wp:effectExtent l="0" t="19050" r="31115" b="44450"/>
                      <wp:wrapNone/>
                      <wp:docPr id="7" name="Arrow: Right 7"/>
                      <wp:cNvGraphicFramePr/>
                      <a:graphic xmlns:a="http://schemas.openxmlformats.org/drawingml/2006/main">
                        <a:graphicData uri="http://schemas.microsoft.com/office/word/2010/wordprocessingShape">
                          <wps:wsp>
                            <wps:cNvSpPr/>
                            <wps:spPr>
                              <a:xfrm>
                                <a:off x="0" y="0"/>
                                <a:ext cx="1359877" cy="127146"/>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E5D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130.3pt;margin-top:5.55pt;width:107.1pt;height:1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" adj="20590" fillcolor="white [3212]" strokecolor="#040e1e [1604]" strokeweight="1pt"/>
                  </w:pict>
                </mc:Fallback>
              </mc:AlternateContent>
            </w:r>
            <w:r w:rsidR="00DF628D">
              <w:rPr>
                <w:rFonts w:cstheme="minorHAnsi"/>
                <w:color w:val="auto"/>
                <w:sz w:val="20"/>
                <w:szCs w:val="20"/>
              </w:rPr>
              <w:t xml:space="preserve">Streamlined list </w:t>
            </w:r>
          </w:p>
        </w:tc>
        <w:tc>
          <w:tcPr>
            <w:tcW w:w="432" w:type="pct"/>
            <w:tcBorders>
              <w:left w:val="nil"/>
              <w:right w:val="nil"/>
            </w:tcBorders>
          </w:tcPr>
          <w:p w14:paraId="4F6B302C" w14:textId="77777777" w:rsidR="00DF628D" w:rsidRDefault="00DF628D" w:rsidP="00425490">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Gender</w:t>
            </w:r>
          </w:p>
        </w:tc>
      </w:tr>
      <w:tr w:rsidR="00DF628D" w:rsidRPr="00BC40F9" w14:paraId="0022BDBE" w14:textId="77777777" w:rsidTr="00425490">
        <w:tc>
          <w:tcPr>
            <w:cnfStyle w:val="001000000000" w:firstRow="0" w:lastRow="0" w:firstColumn="1" w:lastColumn="0" w:oddVBand="0" w:evenVBand="0" w:oddHBand="0" w:evenHBand="0" w:firstRowFirstColumn="0" w:firstRowLastColumn="0" w:lastRowFirstColumn="0" w:lastRowLastColumn="0"/>
            <w:tcW w:w="795" w:type="pct"/>
            <w:vMerge w:val="restart"/>
            <w:tcBorders>
              <w:top w:val="single" w:sz="4" w:space="0" w:color="008089" w:themeColor="accent2"/>
              <w:left w:val="nil"/>
              <w:right w:val="nil"/>
            </w:tcBorders>
            <w:shd w:val="clear" w:color="auto" w:fill="auto"/>
            <w:hideMark/>
          </w:tcPr>
          <w:p w14:paraId="2102D42E" w14:textId="77777777" w:rsidR="00DF628D" w:rsidRPr="00C830B7" w:rsidRDefault="00DF628D" w:rsidP="00425490">
            <w:pPr>
              <w:spacing w:before="60" w:after="60"/>
              <w:rPr>
                <w:rFonts w:cstheme="minorHAnsi"/>
                <w:color w:val="auto"/>
                <w:sz w:val="20"/>
                <w:szCs w:val="20"/>
              </w:rPr>
            </w:pPr>
            <w:r w:rsidRPr="00C830B7">
              <w:rPr>
                <w:rFonts w:cstheme="minorHAnsi"/>
                <w:color w:val="auto"/>
                <w:sz w:val="20"/>
                <w:szCs w:val="20"/>
              </w:rPr>
              <w:t>Olympic Games</w:t>
            </w:r>
          </w:p>
        </w:tc>
        <w:tc>
          <w:tcPr>
            <w:tcW w:w="1886" w:type="pct"/>
            <w:tcBorders>
              <w:top w:val="single" w:sz="4" w:space="0" w:color="008089" w:themeColor="accent2"/>
              <w:left w:val="nil"/>
              <w:bottom w:val="single" w:sz="4" w:space="0" w:color="008089" w:themeColor="accent2"/>
              <w:right w:val="nil"/>
            </w:tcBorders>
            <w:shd w:val="clear" w:color="auto" w:fill="auto"/>
          </w:tcPr>
          <w:p w14:paraId="0492B657"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event that is held as part of the Summer Olympic Games, including the Opening and Closing Ceremonies.</w:t>
            </w:r>
          </w:p>
        </w:tc>
        <w:tc>
          <w:tcPr>
            <w:tcW w:w="1886" w:type="pct"/>
            <w:tcBorders>
              <w:top w:val="single" w:sz="4" w:space="0" w:color="008089" w:themeColor="accent2"/>
              <w:left w:val="nil"/>
              <w:bottom w:val="single" w:sz="4" w:space="0" w:color="008089" w:themeColor="accent2"/>
              <w:right w:val="nil"/>
            </w:tcBorders>
            <w:shd w:val="clear" w:color="auto" w:fill="auto"/>
            <w:hideMark/>
          </w:tcPr>
          <w:p w14:paraId="0B69E1FA"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Opening and Closing ceremonies of the Summer Olympic Games.</w:t>
            </w:r>
          </w:p>
          <w:p w14:paraId="780EFA66"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medal rounds of events involving Australian athletes that make up the Summer Olympic Games.</w:t>
            </w:r>
          </w:p>
        </w:tc>
        <w:tc>
          <w:tcPr>
            <w:tcW w:w="432" w:type="pct"/>
            <w:tcBorders>
              <w:top w:val="single" w:sz="4" w:space="0" w:color="008089" w:themeColor="accent2"/>
              <w:left w:val="nil"/>
              <w:bottom w:val="single" w:sz="4" w:space="0" w:color="008089" w:themeColor="accent2"/>
              <w:right w:val="nil"/>
            </w:tcBorders>
          </w:tcPr>
          <w:p w14:paraId="71A91F4D"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W &amp; Mix</w:t>
            </w:r>
          </w:p>
        </w:tc>
      </w:tr>
      <w:tr w:rsidR="00DF628D" w:rsidRPr="00BC40F9" w14:paraId="213E6BA9"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tcBorders>
              <w:left w:val="nil"/>
              <w:bottom w:val="single" w:sz="4" w:space="0" w:color="008089" w:themeColor="accent2"/>
              <w:right w:val="nil"/>
            </w:tcBorders>
            <w:shd w:val="clear" w:color="auto" w:fill="auto"/>
          </w:tcPr>
          <w:p w14:paraId="4FD5E3BC" w14:textId="77777777" w:rsidR="00DF628D" w:rsidRPr="00C830B7" w:rsidRDefault="00DF628D" w:rsidP="00425490">
            <w:pPr>
              <w:spacing w:before="60" w:after="60"/>
              <w:rPr>
                <w:rFonts w:cstheme="minorHAnsi"/>
                <w:color w:val="auto"/>
                <w:sz w:val="20"/>
                <w:szCs w:val="20"/>
              </w:rPr>
            </w:pPr>
          </w:p>
        </w:tc>
        <w:tc>
          <w:tcPr>
            <w:tcW w:w="1886" w:type="pct"/>
            <w:tcBorders>
              <w:top w:val="single" w:sz="4" w:space="0" w:color="008089" w:themeColor="accent2"/>
              <w:left w:val="nil"/>
              <w:bottom w:val="single" w:sz="4" w:space="0" w:color="008089" w:themeColor="accent2"/>
              <w:right w:val="nil"/>
            </w:tcBorders>
            <w:shd w:val="clear" w:color="auto" w:fill="auto"/>
          </w:tcPr>
          <w:p w14:paraId="5B8E889A"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event that is held as part of the Winter Olympic Games, including the Opening and Closing Ceremonies.</w:t>
            </w:r>
          </w:p>
        </w:tc>
        <w:tc>
          <w:tcPr>
            <w:tcW w:w="1886" w:type="pct"/>
            <w:tcBorders>
              <w:top w:val="single" w:sz="4" w:space="0" w:color="008089" w:themeColor="accent2"/>
              <w:left w:val="nil"/>
              <w:bottom w:val="single" w:sz="4" w:space="0" w:color="008089" w:themeColor="accent2"/>
              <w:right w:val="nil"/>
            </w:tcBorders>
            <w:shd w:val="clear" w:color="auto" w:fill="auto"/>
          </w:tcPr>
          <w:p w14:paraId="061B53FD"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Opening and Closing ceremonies of the Winter Olympic Games.</w:t>
            </w:r>
          </w:p>
          <w:p w14:paraId="6171D4CB"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medal rounds of events involving Australian athletes that make up the Winter Olympic Games.</w:t>
            </w:r>
          </w:p>
        </w:tc>
        <w:tc>
          <w:tcPr>
            <w:tcW w:w="432" w:type="pct"/>
            <w:tcBorders>
              <w:top w:val="single" w:sz="4" w:space="0" w:color="008089" w:themeColor="accent2"/>
              <w:left w:val="nil"/>
              <w:bottom w:val="single" w:sz="4" w:space="0" w:color="008089" w:themeColor="accent2"/>
              <w:right w:val="nil"/>
            </w:tcBorders>
            <w:shd w:val="clear" w:color="auto" w:fill="auto"/>
          </w:tcPr>
          <w:p w14:paraId="66FD5F50"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 W &amp; Mix</w:t>
            </w:r>
          </w:p>
        </w:tc>
      </w:tr>
      <w:tr w:rsidR="00DF628D" w:rsidRPr="00BC40F9" w14:paraId="55C704D1" w14:textId="77777777" w:rsidTr="00425490">
        <w:tc>
          <w:tcPr>
            <w:cnfStyle w:val="001000000000" w:firstRow="0" w:lastRow="0" w:firstColumn="1" w:lastColumn="0" w:oddVBand="0" w:evenVBand="0" w:oddHBand="0" w:evenHBand="0" w:firstRowFirstColumn="0" w:firstRowLastColumn="0" w:lastRowFirstColumn="0" w:lastRowLastColumn="0"/>
            <w:tcW w:w="795" w:type="pct"/>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72B505F0" w14:textId="77777777" w:rsidR="00DF628D" w:rsidRPr="00C830B7" w:rsidRDefault="00DF628D" w:rsidP="00425490">
            <w:pPr>
              <w:spacing w:before="60" w:after="60"/>
              <w:rPr>
                <w:rFonts w:cstheme="minorHAnsi"/>
                <w:color w:val="auto"/>
                <w:sz w:val="20"/>
                <w:szCs w:val="20"/>
              </w:rPr>
            </w:pPr>
            <w:r w:rsidRPr="00C830B7">
              <w:rPr>
                <w:rFonts w:cstheme="minorHAnsi"/>
                <w:color w:val="auto"/>
                <w:sz w:val="20"/>
                <w:szCs w:val="20"/>
              </w:rPr>
              <w:t>Commonwealth Games</w:t>
            </w:r>
          </w:p>
        </w:tc>
        <w:tc>
          <w:tcPr>
            <w:tcW w:w="1886"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25B1B656"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event held as part of the Commonwealth Games, including the Opening Ceremony and the Closing Ceremony.</w:t>
            </w:r>
          </w:p>
        </w:tc>
        <w:tc>
          <w:tcPr>
            <w:tcW w:w="1886" w:type="pct"/>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2DACB552"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Opening and Closing ceremonies of the Commonwealth Games.</w:t>
            </w:r>
          </w:p>
          <w:p w14:paraId="55B4C77B"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medal rounds of events involving Australian athletes that make up the Commonwealth Games.</w:t>
            </w:r>
          </w:p>
        </w:tc>
        <w:tc>
          <w:tcPr>
            <w:tcW w:w="432"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13559879"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W &amp; Mix</w:t>
            </w:r>
          </w:p>
        </w:tc>
      </w:tr>
      <w:tr w:rsidR="00DF628D" w:rsidRPr="00BC40F9" w14:paraId="3F02DA87"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tcBorders>
              <w:top w:val="single" w:sz="4" w:space="0" w:color="008089" w:themeColor="accent2"/>
              <w:left w:val="nil"/>
              <w:bottom w:val="single" w:sz="4" w:space="0" w:color="008089" w:themeColor="accent2"/>
              <w:right w:val="nil"/>
            </w:tcBorders>
            <w:shd w:val="clear" w:color="auto" w:fill="auto"/>
            <w:hideMark/>
          </w:tcPr>
          <w:p w14:paraId="4F109BDE" w14:textId="77777777" w:rsidR="00DF628D" w:rsidRPr="00C830B7" w:rsidRDefault="00DF628D" w:rsidP="00425490">
            <w:pPr>
              <w:spacing w:before="60" w:after="60"/>
              <w:rPr>
                <w:rFonts w:cstheme="minorHAnsi"/>
                <w:color w:val="auto"/>
                <w:sz w:val="20"/>
                <w:szCs w:val="20"/>
              </w:rPr>
            </w:pPr>
            <w:r w:rsidRPr="00C830B7">
              <w:rPr>
                <w:rFonts w:cstheme="minorHAnsi"/>
                <w:color w:val="auto"/>
                <w:sz w:val="20"/>
                <w:szCs w:val="20"/>
              </w:rPr>
              <w:t>Horse racing</w:t>
            </w:r>
          </w:p>
        </w:tc>
        <w:tc>
          <w:tcPr>
            <w:tcW w:w="1886" w:type="pct"/>
            <w:tcBorders>
              <w:top w:val="single" w:sz="4" w:space="0" w:color="008089" w:themeColor="accent2"/>
              <w:left w:val="nil"/>
              <w:bottom w:val="single" w:sz="4" w:space="0" w:color="008089" w:themeColor="accent2"/>
              <w:right w:val="nil"/>
            </w:tcBorders>
            <w:shd w:val="clear" w:color="auto" w:fill="auto"/>
          </w:tcPr>
          <w:p w14:paraId="4B387A99"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running of the Melbourne Cup organised by the Victoria Racing Club.</w:t>
            </w:r>
          </w:p>
        </w:tc>
        <w:tc>
          <w:tcPr>
            <w:tcW w:w="1886" w:type="pct"/>
            <w:tcBorders>
              <w:top w:val="single" w:sz="4" w:space="0" w:color="008089" w:themeColor="accent2"/>
              <w:left w:val="nil"/>
              <w:bottom w:val="single" w:sz="4" w:space="0" w:color="008089" w:themeColor="accent2"/>
              <w:right w:val="nil"/>
            </w:tcBorders>
            <w:shd w:val="clear" w:color="auto" w:fill="auto"/>
            <w:hideMark/>
          </w:tcPr>
          <w:p w14:paraId="50C42F73"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running of the Melbourne Cup organised by the Victoria Racing Club.</w:t>
            </w:r>
          </w:p>
        </w:tc>
        <w:tc>
          <w:tcPr>
            <w:tcW w:w="432" w:type="pct"/>
            <w:tcBorders>
              <w:top w:val="single" w:sz="4" w:space="0" w:color="008089" w:themeColor="accent2"/>
              <w:left w:val="nil"/>
              <w:bottom w:val="single" w:sz="4" w:space="0" w:color="008089" w:themeColor="accent2"/>
              <w:right w:val="nil"/>
            </w:tcBorders>
            <w:shd w:val="clear" w:color="auto" w:fill="auto"/>
          </w:tcPr>
          <w:p w14:paraId="115D2FE3"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Mix</w:t>
            </w:r>
          </w:p>
        </w:tc>
      </w:tr>
      <w:tr w:rsidR="00DF628D" w:rsidRPr="00BC40F9" w14:paraId="175A1A1E" w14:textId="77777777" w:rsidTr="00425490">
        <w:tc>
          <w:tcPr>
            <w:cnfStyle w:val="001000000000" w:firstRow="0" w:lastRow="0" w:firstColumn="1" w:lastColumn="0" w:oddVBand="0" w:evenVBand="0" w:oddHBand="0" w:evenHBand="0" w:firstRowFirstColumn="0" w:firstRowLastColumn="0" w:lastRowFirstColumn="0" w:lastRowLastColumn="0"/>
            <w:tcW w:w="795" w:type="pct"/>
            <w:vMerge w:val="restart"/>
            <w:tcBorders>
              <w:top w:val="single" w:sz="4" w:space="0" w:color="008089" w:themeColor="accent2"/>
              <w:left w:val="nil"/>
              <w:right w:val="nil"/>
            </w:tcBorders>
            <w:shd w:val="clear" w:color="auto" w:fill="F2F2F2" w:themeFill="background1" w:themeFillShade="F2"/>
            <w:hideMark/>
          </w:tcPr>
          <w:p w14:paraId="6B863652" w14:textId="77777777" w:rsidR="00DF628D" w:rsidRPr="00C830B7" w:rsidRDefault="00DF628D" w:rsidP="00425490">
            <w:pPr>
              <w:spacing w:before="60" w:after="60"/>
              <w:rPr>
                <w:rFonts w:cstheme="minorHAnsi"/>
                <w:color w:val="auto"/>
                <w:sz w:val="20"/>
                <w:szCs w:val="20"/>
              </w:rPr>
            </w:pPr>
            <w:r w:rsidRPr="00C830B7">
              <w:rPr>
                <w:rFonts w:cstheme="minorHAnsi"/>
                <w:color w:val="auto"/>
                <w:sz w:val="20"/>
                <w:szCs w:val="20"/>
              </w:rPr>
              <w:t>AFL</w:t>
            </w:r>
          </w:p>
        </w:tc>
        <w:tc>
          <w:tcPr>
            <w:tcW w:w="1886"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7E6BA48E" w14:textId="78DABC1F" w:rsidR="00DF628D" w:rsidRPr="001538AF" w:rsidRDefault="00DF628D" w:rsidP="00CD7BD1">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the Australian Football League Premiership competition, including the Finals Series.</w:t>
            </w:r>
          </w:p>
        </w:tc>
        <w:tc>
          <w:tcPr>
            <w:tcW w:w="1886" w:type="pct"/>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0294D114"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One match of the Australian Football League Premiership competition played on the following days: ANZAC Day; Good Friday; Easter Monday; and the King's birthday public holiday in Melbourne, Victoria. </w:t>
            </w:r>
          </w:p>
        </w:tc>
        <w:tc>
          <w:tcPr>
            <w:tcW w:w="432"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2225988D"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w:t>
            </w:r>
          </w:p>
        </w:tc>
      </w:tr>
      <w:tr w:rsidR="00DF628D" w:rsidRPr="00BC40F9" w14:paraId="3260A325"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tcBorders>
              <w:left w:val="nil"/>
              <w:bottom w:val="single" w:sz="4" w:space="0" w:color="008089" w:themeColor="accent2"/>
              <w:right w:val="nil"/>
            </w:tcBorders>
          </w:tcPr>
          <w:p w14:paraId="76A8A08D" w14:textId="77777777" w:rsidR="00DF628D" w:rsidRPr="00C830B7" w:rsidRDefault="00DF628D" w:rsidP="00425490">
            <w:pPr>
              <w:spacing w:before="60" w:after="60"/>
              <w:rPr>
                <w:rFonts w:cstheme="minorHAnsi"/>
                <w:color w:val="auto"/>
                <w:sz w:val="20"/>
                <w:szCs w:val="20"/>
              </w:rPr>
            </w:pPr>
          </w:p>
        </w:tc>
        <w:tc>
          <w:tcPr>
            <w:tcW w:w="1886" w:type="pct"/>
            <w:tcBorders>
              <w:top w:val="single" w:sz="4" w:space="0" w:color="008089" w:themeColor="accent2"/>
              <w:left w:val="nil"/>
              <w:bottom w:val="single" w:sz="4" w:space="0" w:color="008089" w:themeColor="accent2"/>
              <w:right w:val="nil"/>
            </w:tcBorders>
          </w:tcPr>
          <w:p w14:paraId="3E242F25"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1886" w:type="pct"/>
            <w:tcBorders>
              <w:top w:val="single" w:sz="4" w:space="0" w:color="008089" w:themeColor="accent2"/>
              <w:left w:val="nil"/>
              <w:bottom w:val="single" w:sz="4" w:space="0" w:color="008089" w:themeColor="accent2"/>
              <w:right w:val="nil"/>
            </w:tcBorders>
          </w:tcPr>
          <w:p w14:paraId="0D3163E7"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Finals Series of the Australian Football League Premiership competition.</w:t>
            </w:r>
          </w:p>
        </w:tc>
        <w:tc>
          <w:tcPr>
            <w:tcW w:w="432" w:type="pct"/>
            <w:tcBorders>
              <w:top w:val="single" w:sz="4" w:space="0" w:color="008089" w:themeColor="accent2"/>
              <w:left w:val="nil"/>
              <w:bottom w:val="single" w:sz="4" w:space="0" w:color="008089" w:themeColor="accent2"/>
              <w:right w:val="nil"/>
            </w:tcBorders>
          </w:tcPr>
          <w:p w14:paraId="3AD25701"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w:t>
            </w:r>
          </w:p>
        </w:tc>
      </w:tr>
      <w:tr w:rsidR="00DF628D" w:rsidRPr="00BC40F9" w14:paraId="1E75883B" w14:textId="77777777" w:rsidTr="00425490">
        <w:tc>
          <w:tcPr>
            <w:cnfStyle w:val="001000000000" w:firstRow="0" w:lastRow="0" w:firstColumn="1" w:lastColumn="0" w:oddVBand="0" w:evenVBand="0" w:oddHBand="0" w:evenHBand="0" w:firstRowFirstColumn="0" w:firstRowLastColumn="0" w:lastRowFirstColumn="0" w:lastRowLastColumn="0"/>
            <w:tcW w:w="795" w:type="pct"/>
            <w:vMerge w:val="restart"/>
            <w:tcBorders>
              <w:top w:val="single" w:sz="4" w:space="0" w:color="008089" w:themeColor="accent2"/>
              <w:left w:val="nil"/>
              <w:right w:val="nil"/>
            </w:tcBorders>
            <w:shd w:val="clear" w:color="auto" w:fill="auto"/>
            <w:hideMark/>
          </w:tcPr>
          <w:p w14:paraId="405F9DDB" w14:textId="77777777" w:rsidR="00DF628D" w:rsidRPr="00C830B7" w:rsidRDefault="00DF628D" w:rsidP="00425490">
            <w:pPr>
              <w:spacing w:before="60" w:after="60"/>
              <w:rPr>
                <w:rFonts w:cstheme="minorHAnsi"/>
                <w:color w:val="auto"/>
                <w:sz w:val="20"/>
                <w:szCs w:val="20"/>
              </w:rPr>
            </w:pPr>
            <w:r w:rsidRPr="00C830B7">
              <w:rPr>
                <w:rFonts w:cstheme="minorHAnsi"/>
                <w:color w:val="auto"/>
                <w:sz w:val="20"/>
                <w:szCs w:val="20"/>
              </w:rPr>
              <w:t>Rugby League</w:t>
            </w:r>
          </w:p>
        </w:tc>
        <w:tc>
          <w:tcPr>
            <w:tcW w:w="1886" w:type="pct"/>
            <w:tcBorders>
              <w:top w:val="single" w:sz="4" w:space="0" w:color="008089" w:themeColor="accent2"/>
              <w:left w:val="nil"/>
              <w:right w:val="nil"/>
            </w:tcBorders>
            <w:shd w:val="clear" w:color="auto" w:fill="auto"/>
          </w:tcPr>
          <w:p w14:paraId="2F37A51D"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the National Rugby League Premiership competition, including the Finals Series.</w:t>
            </w:r>
          </w:p>
        </w:tc>
        <w:tc>
          <w:tcPr>
            <w:tcW w:w="1886" w:type="pct"/>
            <w:tcBorders>
              <w:top w:val="single" w:sz="4" w:space="0" w:color="008089" w:themeColor="accent2"/>
              <w:left w:val="nil"/>
              <w:bottom w:val="single" w:sz="4" w:space="0" w:color="008089" w:themeColor="accent2"/>
              <w:right w:val="nil"/>
            </w:tcBorders>
            <w:shd w:val="clear" w:color="auto" w:fill="auto"/>
            <w:hideMark/>
          </w:tcPr>
          <w:p w14:paraId="04C6191D"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One match of the National Rugby League Premiership competition played on the following days: ANZAC Day; and Good Friday.</w:t>
            </w:r>
          </w:p>
        </w:tc>
        <w:tc>
          <w:tcPr>
            <w:tcW w:w="432" w:type="pct"/>
            <w:tcBorders>
              <w:top w:val="single" w:sz="4" w:space="0" w:color="008089" w:themeColor="accent2"/>
              <w:left w:val="nil"/>
              <w:bottom w:val="single" w:sz="4" w:space="0" w:color="008089" w:themeColor="accent2"/>
              <w:right w:val="nil"/>
            </w:tcBorders>
          </w:tcPr>
          <w:p w14:paraId="3EBE1D44"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w:t>
            </w:r>
          </w:p>
        </w:tc>
      </w:tr>
      <w:tr w:rsidR="00DF628D" w:rsidRPr="00BC40F9" w14:paraId="47B829D1"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tcBorders>
              <w:top w:val="single" w:sz="4" w:space="0" w:color="008089" w:themeColor="accent2"/>
              <w:left w:val="nil"/>
              <w:right w:val="nil"/>
            </w:tcBorders>
            <w:shd w:val="clear" w:color="auto" w:fill="auto"/>
          </w:tcPr>
          <w:p w14:paraId="1DF800B3" w14:textId="77777777" w:rsidR="00DF628D" w:rsidRPr="00C830B7" w:rsidRDefault="00DF628D" w:rsidP="00425490">
            <w:pPr>
              <w:spacing w:before="60" w:after="60"/>
              <w:rPr>
                <w:rFonts w:cstheme="minorHAnsi"/>
                <w:color w:val="auto"/>
                <w:sz w:val="20"/>
                <w:szCs w:val="20"/>
              </w:rPr>
            </w:pPr>
          </w:p>
        </w:tc>
        <w:tc>
          <w:tcPr>
            <w:tcW w:w="1886" w:type="pct"/>
            <w:tcBorders>
              <w:top w:val="single" w:sz="4" w:space="0" w:color="008089" w:themeColor="accent2"/>
              <w:left w:val="nil"/>
              <w:right w:val="nil"/>
            </w:tcBorders>
            <w:shd w:val="clear" w:color="auto" w:fill="auto"/>
          </w:tcPr>
          <w:p w14:paraId="4E3F8E85"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1886" w:type="pct"/>
            <w:tcBorders>
              <w:top w:val="single" w:sz="4" w:space="0" w:color="008089" w:themeColor="accent2"/>
              <w:left w:val="nil"/>
              <w:bottom w:val="single" w:sz="4" w:space="0" w:color="008089" w:themeColor="accent2"/>
              <w:right w:val="nil"/>
            </w:tcBorders>
            <w:shd w:val="clear" w:color="auto" w:fill="auto"/>
          </w:tcPr>
          <w:p w14:paraId="774B66B2"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Finals Series of the National Rugby League Premiership competition.</w:t>
            </w:r>
          </w:p>
        </w:tc>
        <w:tc>
          <w:tcPr>
            <w:tcW w:w="432" w:type="pct"/>
            <w:tcBorders>
              <w:top w:val="single" w:sz="4" w:space="0" w:color="008089" w:themeColor="accent2"/>
              <w:left w:val="nil"/>
              <w:bottom w:val="single" w:sz="4" w:space="0" w:color="008089" w:themeColor="accent2"/>
              <w:right w:val="nil"/>
            </w:tcBorders>
            <w:shd w:val="clear" w:color="auto" w:fill="auto"/>
          </w:tcPr>
          <w:p w14:paraId="22AFA776"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w:t>
            </w:r>
          </w:p>
        </w:tc>
      </w:tr>
      <w:tr w:rsidR="00DF628D" w:rsidRPr="00BC40F9" w14:paraId="3C6EA9D0" w14:textId="77777777" w:rsidTr="00425490">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7F29097E" w14:textId="77777777" w:rsidR="00DF628D" w:rsidRPr="00C830B7" w:rsidRDefault="00DF628D" w:rsidP="00425490">
            <w:pPr>
              <w:spacing w:before="60" w:after="60"/>
              <w:rPr>
                <w:rFonts w:cstheme="minorHAnsi"/>
                <w:color w:val="auto"/>
                <w:sz w:val="20"/>
                <w:szCs w:val="20"/>
              </w:rPr>
            </w:pPr>
          </w:p>
        </w:tc>
        <w:tc>
          <w:tcPr>
            <w:tcW w:w="1886" w:type="pct"/>
            <w:tcBorders>
              <w:left w:val="nil"/>
              <w:right w:val="nil"/>
            </w:tcBorders>
            <w:shd w:val="clear" w:color="auto" w:fill="auto"/>
          </w:tcPr>
          <w:p w14:paraId="645E2D6B"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the National Rugby League State of Origin Series.</w:t>
            </w:r>
          </w:p>
        </w:tc>
        <w:tc>
          <w:tcPr>
            <w:tcW w:w="1886" w:type="pct"/>
            <w:tcBorders>
              <w:top w:val="single" w:sz="4" w:space="0" w:color="008089" w:themeColor="accent2"/>
              <w:left w:val="nil"/>
              <w:bottom w:val="single" w:sz="4" w:space="0" w:color="008089" w:themeColor="accent2"/>
              <w:right w:val="nil"/>
            </w:tcBorders>
            <w:shd w:val="clear" w:color="auto" w:fill="auto"/>
          </w:tcPr>
          <w:p w14:paraId="0C014B73"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match in the National Rugby League State of Origin Series. </w:t>
            </w:r>
          </w:p>
        </w:tc>
        <w:tc>
          <w:tcPr>
            <w:tcW w:w="432" w:type="pct"/>
            <w:tcBorders>
              <w:top w:val="single" w:sz="4" w:space="0" w:color="008089" w:themeColor="accent2"/>
              <w:left w:val="nil"/>
              <w:bottom w:val="single" w:sz="4" w:space="0" w:color="008089" w:themeColor="accent2"/>
              <w:right w:val="nil"/>
            </w:tcBorders>
          </w:tcPr>
          <w:p w14:paraId="28B82BA2"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w:t>
            </w:r>
          </w:p>
        </w:tc>
      </w:tr>
      <w:tr w:rsidR="00DF628D" w:rsidRPr="00BC40F9" w14:paraId="39998114"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7C7560BB" w14:textId="77777777" w:rsidR="00DF628D" w:rsidRPr="00C830B7" w:rsidRDefault="00DF628D" w:rsidP="00425490">
            <w:pPr>
              <w:spacing w:before="60" w:after="60"/>
              <w:rPr>
                <w:rFonts w:cstheme="minorHAnsi"/>
                <w:color w:val="auto"/>
                <w:sz w:val="20"/>
                <w:szCs w:val="20"/>
              </w:rPr>
            </w:pPr>
          </w:p>
        </w:tc>
        <w:tc>
          <w:tcPr>
            <w:tcW w:w="1886" w:type="pct"/>
            <w:tcBorders>
              <w:left w:val="nil"/>
              <w:right w:val="nil"/>
            </w:tcBorders>
            <w:shd w:val="clear" w:color="auto" w:fill="auto"/>
          </w:tcPr>
          <w:p w14:paraId="3E0CF3C6"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international rugby league test match that: involves the senior Australian representative team; and is played in Australia or New Zealand.</w:t>
            </w:r>
          </w:p>
        </w:tc>
        <w:tc>
          <w:tcPr>
            <w:tcW w:w="1886" w:type="pct"/>
            <w:tcBorders>
              <w:top w:val="single" w:sz="4" w:space="0" w:color="008089" w:themeColor="accent2"/>
              <w:left w:val="nil"/>
              <w:bottom w:val="single" w:sz="4" w:space="0" w:color="008089" w:themeColor="accent2"/>
              <w:right w:val="nil"/>
            </w:tcBorders>
            <w:shd w:val="clear" w:color="auto" w:fill="auto"/>
          </w:tcPr>
          <w:p w14:paraId="11F0C6ED"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 xml:space="preserve">Each international rugby league test match that: involves the senior Australian representative team; and is played in Australia. </w:t>
            </w:r>
          </w:p>
        </w:tc>
        <w:tc>
          <w:tcPr>
            <w:tcW w:w="432" w:type="pct"/>
            <w:tcBorders>
              <w:top w:val="single" w:sz="4" w:space="0" w:color="008089" w:themeColor="accent2"/>
              <w:left w:val="nil"/>
              <w:bottom w:val="single" w:sz="4" w:space="0" w:color="008089" w:themeColor="accent2"/>
              <w:right w:val="nil"/>
            </w:tcBorders>
            <w:shd w:val="clear" w:color="auto" w:fill="auto"/>
          </w:tcPr>
          <w:p w14:paraId="5D0C3D53"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 &amp; W</w:t>
            </w:r>
          </w:p>
        </w:tc>
      </w:tr>
      <w:tr w:rsidR="00DF628D" w:rsidRPr="00BC40F9" w14:paraId="329B14A4" w14:textId="77777777" w:rsidTr="00425490">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50F9B3A2" w14:textId="77777777" w:rsidR="00DF628D" w:rsidRPr="00C830B7" w:rsidRDefault="00DF628D" w:rsidP="00425490">
            <w:pPr>
              <w:spacing w:before="60" w:after="60"/>
              <w:rPr>
                <w:rFonts w:cstheme="minorHAnsi"/>
                <w:sz w:val="20"/>
                <w:szCs w:val="20"/>
              </w:rPr>
            </w:pPr>
          </w:p>
        </w:tc>
        <w:tc>
          <w:tcPr>
            <w:tcW w:w="1886" w:type="pct"/>
            <w:tcBorders>
              <w:left w:val="nil"/>
              <w:right w:val="nil"/>
            </w:tcBorders>
            <w:shd w:val="clear" w:color="auto" w:fill="auto"/>
          </w:tcPr>
          <w:p w14:paraId="166D1FC0"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Rugby League World Cup that: involves the senior Australian representative team; and is played in Australia, New Zealand or Papua New Guinea</w:t>
            </w:r>
          </w:p>
        </w:tc>
        <w:tc>
          <w:tcPr>
            <w:tcW w:w="1886" w:type="pct"/>
            <w:tcBorders>
              <w:top w:val="single" w:sz="4" w:space="0" w:color="008089" w:themeColor="accent2"/>
              <w:left w:val="nil"/>
              <w:bottom w:val="single" w:sz="4" w:space="0" w:color="008089" w:themeColor="accent2"/>
              <w:right w:val="nil"/>
            </w:tcBorders>
            <w:shd w:val="clear" w:color="auto" w:fill="auto"/>
          </w:tcPr>
          <w:p w14:paraId="7367D0AE"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match of the Rugby League World Cup that: involves the senior Australian representative team; and is played in Australia. </w:t>
            </w:r>
          </w:p>
        </w:tc>
        <w:tc>
          <w:tcPr>
            <w:tcW w:w="432" w:type="pct"/>
            <w:tcBorders>
              <w:top w:val="single" w:sz="4" w:space="0" w:color="008089" w:themeColor="accent2"/>
              <w:left w:val="nil"/>
              <w:bottom w:val="single" w:sz="4" w:space="0" w:color="008089" w:themeColor="accent2"/>
              <w:right w:val="nil"/>
            </w:tcBorders>
          </w:tcPr>
          <w:p w14:paraId="70BD8B6F"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&amp; W</w:t>
            </w:r>
          </w:p>
        </w:tc>
      </w:tr>
      <w:tr w:rsidR="00DF628D" w:rsidRPr="00BC40F9" w14:paraId="19B97EBF"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val="restart"/>
            <w:tcBorders>
              <w:top w:val="single" w:sz="4" w:space="0" w:color="008089" w:themeColor="accent2"/>
              <w:left w:val="nil"/>
              <w:right w:val="nil"/>
            </w:tcBorders>
            <w:hideMark/>
          </w:tcPr>
          <w:p w14:paraId="0273A00A" w14:textId="77777777" w:rsidR="00DF628D" w:rsidRPr="00C830B7" w:rsidRDefault="00DF628D" w:rsidP="00425490">
            <w:pPr>
              <w:spacing w:before="60" w:after="60"/>
              <w:rPr>
                <w:rFonts w:cstheme="minorHAnsi"/>
                <w:sz w:val="20"/>
                <w:szCs w:val="20"/>
              </w:rPr>
            </w:pPr>
            <w:r w:rsidRPr="00C830B7">
              <w:rPr>
                <w:rFonts w:cstheme="minorHAnsi"/>
                <w:sz w:val="20"/>
                <w:szCs w:val="20"/>
              </w:rPr>
              <w:t>Rugby Union</w:t>
            </w:r>
          </w:p>
        </w:tc>
        <w:tc>
          <w:tcPr>
            <w:tcW w:w="1886" w:type="pct"/>
            <w:tcBorders>
              <w:top w:val="single" w:sz="4" w:space="0" w:color="008089" w:themeColor="accent2"/>
              <w:left w:val="nil"/>
              <w:right w:val="nil"/>
            </w:tcBorders>
          </w:tcPr>
          <w:p w14:paraId="28CF458C"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international test match that: involves the senior Australian representative team; and is played in Australia or New Zealand.</w:t>
            </w:r>
          </w:p>
        </w:tc>
        <w:tc>
          <w:tcPr>
            <w:tcW w:w="1886" w:type="pct"/>
            <w:tcBorders>
              <w:top w:val="single" w:sz="4" w:space="0" w:color="008089" w:themeColor="accent2"/>
              <w:left w:val="nil"/>
              <w:bottom w:val="single" w:sz="4" w:space="0" w:color="008089" w:themeColor="accent2"/>
              <w:right w:val="nil"/>
            </w:tcBorders>
            <w:hideMark/>
          </w:tcPr>
          <w:p w14:paraId="32ABE241"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 xml:space="preserve">Each international test match that: involves the senior Australian representative team; and is played in Australia. </w:t>
            </w:r>
          </w:p>
        </w:tc>
        <w:tc>
          <w:tcPr>
            <w:tcW w:w="432" w:type="pct"/>
            <w:tcBorders>
              <w:top w:val="single" w:sz="4" w:space="0" w:color="008089" w:themeColor="accent2"/>
              <w:left w:val="nil"/>
              <w:bottom w:val="single" w:sz="4" w:space="0" w:color="008089" w:themeColor="accent2"/>
              <w:right w:val="nil"/>
            </w:tcBorders>
          </w:tcPr>
          <w:p w14:paraId="0713B2A8"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 &amp; W</w:t>
            </w:r>
          </w:p>
        </w:tc>
      </w:tr>
      <w:tr w:rsidR="00DF628D" w:rsidRPr="00BC40F9" w14:paraId="2F7D9F0C" w14:textId="77777777" w:rsidTr="00425490">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F2F2F2" w:themeFill="background1" w:themeFillShade="F2"/>
          </w:tcPr>
          <w:p w14:paraId="7C402333" w14:textId="77777777" w:rsidR="00DF628D" w:rsidRPr="00C830B7" w:rsidRDefault="00DF628D" w:rsidP="00425490">
            <w:pPr>
              <w:spacing w:before="60" w:after="60"/>
              <w:rPr>
                <w:rFonts w:cstheme="minorHAnsi"/>
                <w:sz w:val="20"/>
                <w:szCs w:val="20"/>
              </w:rPr>
            </w:pPr>
          </w:p>
        </w:tc>
        <w:tc>
          <w:tcPr>
            <w:tcW w:w="1886" w:type="pct"/>
            <w:tcBorders>
              <w:left w:val="nil"/>
              <w:right w:val="nil"/>
            </w:tcBorders>
            <w:shd w:val="clear" w:color="auto" w:fill="F2F2F2" w:themeFill="background1" w:themeFillShade="F2"/>
          </w:tcPr>
          <w:p w14:paraId="4393561C"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Rugby World Cup tournament that involves the senior Australian representative team.</w:t>
            </w:r>
          </w:p>
        </w:tc>
        <w:tc>
          <w:tcPr>
            <w:tcW w:w="1886"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065B504F"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match of the Rugby World Cup tournament that: involves the senior representative team; and is played in Australia. </w:t>
            </w:r>
          </w:p>
        </w:tc>
        <w:tc>
          <w:tcPr>
            <w:tcW w:w="432"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78249BE5"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&amp; W</w:t>
            </w:r>
          </w:p>
        </w:tc>
      </w:tr>
      <w:tr w:rsidR="00DF628D" w:rsidRPr="00BC40F9" w14:paraId="31418DC7"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014B56C5" w14:textId="77777777" w:rsidR="00DF628D" w:rsidRPr="00C830B7" w:rsidRDefault="00DF628D" w:rsidP="00425490">
            <w:pPr>
              <w:spacing w:before="60" w:after="60"/>
              <w:rPr>
                <w:rFonts w:cstheme="minorHAnsi"/>
                <w:sz w:val="20"/>
                <w:szCs w:val="20"/>
              </w:rPr>
            </w:pPr>
          </w:p>
        </w:tc>
        <w:tc>
          <w:tcPr>
            <w:tcW w:w="1886" w:type="pct"/>
            <w:tcBorders>
              <w:left w:val="nil"/>
              <w:right w:val="nil"/>
            </w:tcBorders>
          </w:tcPr>
          <w:p w14:paraId="424C7B03"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Rugby World Cup tournament.</w:t>
            </w:r>
          </w:p>
        </w:tc>
        <w:tc>
          <w:tcPr>
            <w:tcW w:w="1886" w:type="pct"/>
            <w:tcBorders>
              <w:top w:val="single" w:sz="4" w:space="0" w:color="008089" w:themeColor="accent2"/>
              <w:left w:val="nil"/>
              <w:bottom w:val="single" w:sz="4" w:space="0" w:color="008089" w:themeColor="accent2"/>
              <w:right w:val="nil"/>
            </w:tcBorders>
          </w:tcPr>
          <w:p w14:paraId="0B180BD2"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Rugby World Cup tournament if the event is played in Australia.</w:t>
            </w:r>
          </w:p>
        </w:tc>
        <w:tc>
          <w:tcPr>
            <w:tcW w:w="432" w:type="pct"/>
            <w:tcBorders>
              <w:top w:val="single" w:sz="4" w:space="0" w:color="008089" w:themeColor="accent2"/>
              <w:left w:val="nil"/>
              <w:bottom w:val="single" w:sz="4" w:space="0" w:color="008089" w:themeColor="accent2"/>
              <w:right w:val="nil"/>
            </w:tcBorders>
          </w:tcPr>
          <w:p w14:paraId="348A1B2E"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 &amp; W</w:t>
            </w:r>
          </w:p>
        </w:tc>
      </w:tr>
      <w:tr w:rsidR="008C6B47" w:rsidRPr="00BC40F9" w14:paraId="77085542" w14:textId="77777777" w:rsidTr="00425490">
        <w:tc>
          <w:tcPr>
            <w:cnfStyle w:val="001000000000" w:firstRow="0" w:lastRow="0" w:firstColumn="1" w:lastColumn="0" w:oddVBand="0" w:evenVBand="0" w:oddHBand="0" w:evenHBand="0" w:firstRowFirstColumn="0" w:firstRowLastColumn="0" w:lastRowFirstColumn="0" w:lastRowLastColumn="0"/>
            <w:tcW w:w="795" w:type="pct"/>
            <w:vMerge w:val="restart"/>
            <w:tcBorders>
              <w:top w:val="single" w:sz="4" w:space="0" w:color="008089" w:themeColor="accent2"/>
              <w:left w:val="nil"/>
              <w:right w:val="nil"/>
            </w:tcBorders>
            <w:shd w:val="clear" w:color="auto" w:fill="auto"/>
            <w:hideMark/>
          </w:tcPr>
          <w:p w14:paraId="3AE8CB82" w14:textId="77777777" w:rsidR="008C6B47" w:rsidRPr="00C830B7" w:rsidRDefault="008C6B47" w:rsidP="00425490">
            <w:pPr>
              <w:spacing w:before="60" w:after="60"/>
              <w:rPr>
                <w:rFonts w:cstheme="minorHAnsi"/>
                <w:sz w:val="20"/>
                <w:szCs w:val="20"/>
              </w:rPr>
            </w:pPr>
            <w:r w:rsidRPr="00C830B7">
              <w:rPr>
                <w:rFonts w:cstheme="minorHAnsi"/>
                <w:sz w:val="20"/>
                <w:szCs w:val="20"/>
              </w:rPr>
              <w:t>Cricket</w:t>
            </w:r>
          </w:p>
        </w:tc>
        <w:tc>
          <w:tcPr>
            <w:tcW w:w="1886" w:type="pct"/>
            <w:tcBorders>
              <w:top w:val="single" w:sz="4" w:space="0" w:color="008089" w:themeColor="accent2"/>
              <w:left w:val="nil"/>
              <w:right w:val="nil"/>
            </w:tcBorders>
            <w:shd w:val="clear" w:color="auto" w:fill="auto"/>
          </w:tcPr>
          <w:p w14:paraId="0FD40742"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test match that: involves the senior Australian representative team; and is played in Australia.</w:t>
            </w:r>
          </w:p>
        </w:tc>
        <w:tc>
          <w:tcPr>
            <w:tcW w:w="1886" w:type="pct"/>
            <w:tcBorders>
              <w:top w:val="single" w:sz="4" w:space="0" w:color="008089" w:themeColor="accent2"/>
              <w:left w:val="nil"/>
              <w:bottom w:val="single" w:sz="4" w:space="0" w:color="008089" w:themeColor="accent2"/>
              <w:right w:val="nil"/>
            </w:tcBorders>
            <w:shd w:val="clear" w:color="auto" w:fill="auto"/>
            <w:hideMark/>
          </w:tcPr>
          <w:p w14:paraId="542717F6"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test match that involves the senior Australian representative team and is played in Australia.</w:t>
            </w:r>
          </w:p>
        </w:tc>
        <w:tc>
          <w:tcPr>
            <w:tcW w:w="432" w:type="pct"/>
            <w:tcBorders>
              <w:top w:val="single" w:sz="4" w:space="0" w:color="008089" w:themeColor="accent2"/>
              <w:left w:val="nil"/>
              <w:bottom w:val="single" w:sz="4" w:space="0" w:color="008089" w:themeColor="accent2"/>
              <w:right w:val="nil"/>
            </w:tcBorders>
          </w:tcPr>
          <w:p w14:paraId="7ACF1FEA"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&amp; W</w:t>
            </w:r>
          </w:p>
        </w:tc>
      </w:tr>
      <w:tr w:rsidR="008C6B47" w:rsidRPr="00BC40F9" w14:paraId="20226343"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15BBAB8E" w14:textId="77777777" w:rsidR="008C6B47" w:rsidRPr="00C830B7" w:rsidRDefault="008C6B47" w:rsidP="00425490">
            <w:pPr>
              <w:spacing w:before="60" w:after="60"/>
              <w:rPr>
                <w:rFonts w:cstheme="minorHAnsi"/>
                <w:sz w:val="20"/>
                <w:szCs w:val="20"/>
              </w:rPr>
            </w:pPr>
          </w:p>
        </w:tc>
        <w:tc>
          <w:tcPr>
            <w:tcW w:w="1886" w:type="pct"/>
            <w:tcBorders>
              <w:top w:val="single" w:sz="4" w:space="0" w:color="008089" w:themeColor="accent2"/>
              <w:left w:val="nil"/>
              <w:right w:val="nil"/>
            </w:tcBorders>
            <w:shd w:val="clear" w:color="auto" w:fill="auto"/>
          </w:tcPr>
          <w:p w14:paraId="5BB133B0" w14:textId="7A6FE5EC"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test match that involves both: the senior Australian representative team; and the senior English representative team; and is played in the United Kingdom.</w:t>
            </w:r>
          </w:p>
        </w:tc>
        <w:tc>
          <w:tcPr>
            <w:tcW w:w="1886" w:type="pct"/>
            <w:tcBorders>
              <w:top w:val="single" w:sz="4" w:space="0" w:color="008089" w:themeColor="accent2"/>
              <w:left w:val="nil"/>
              <w:bottom w:val="single" w:sz="4" w:space="0" w:color="008089" w:themeColor="accent2"/>
              <w:right w:val="nil"/>
            </w:tcBorders>
            <w:shd w:val="clear" w:color="auto" w:fill="auto"/>
          </w:tcPr>
          <w:p w14:paraId="3818BD41" w14:textId="0A3DDA30"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 xml:space="preserve">Each match of an </w:t>
            </w:r>
            <w:r w:rsidR="00CD7BD1">
              <w:rPr>
                <w:color w:val="auto"/>
                <w:sz w:val="20"/>
                <w:szCs w:val="20"/>
              </w:rPr>
              <w:t>‘</w:t>
            </w:r>
            <w:r w:rsidR="00DF628D" w:rsidRPr="001538AF">
              <w:rPr>
                <w:color w:val="auto"/>
                <w:sz w:val="20"/>
                <w:szCs w:val="20"/>
              </w:rPr>
              <w:t>Ashes</w:t>
            </w:r>
            <w:r w:rsidR="00CD7BD1">
              <w:rPr>
                <w:color w:val="auto"/>
                <w:sz w:val="20"/>
                <w:szCs w:val="20"/>
              </w:rPr>
              <w:t>’</w:t>
            </w:r>
            <w:r w:rsidRPr="001538AF">
              <w:rPr>
                <w:color w:val="auto"/>
                <w:sz w:val="20"/>
                <w:szCs w:val="20"/>
              </w:rPr>
              <w:t xml:space="preserve"> series that involves the senior Australian representative team and the senior English representative team; and is played in the United Kingdom or in Australia.</w:t>
            </w:r>
          </w:p>
        </w:tc>
        <w:tc>
          <w:tcPr>
            <w:tcW w:w="432" w:type="pct"/>
            <w:tcBorders>
              <w:top w:val="single" w:sz="4" w:space="0" w:color="008089" w:themeColor="accent2"/>
              <w:left w:val="nil"/>
              <w:bottom w:val="single" w:sz="4" w:space="0" w:color="008089" w:themeColor="accent2"/>
              <w:right w:val="nil"/>
            </w:tcBorders>
            <w:shd w:val="clear" w:color="auto" w:fill="auto"/>
          </w:tcPr>
          <w:p w14:paraId="28214A0B"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 &amp; W</w:t>
            </w:r>
          </w:p>
        </w:tc>
      </w:tr>
      <w:tr w:rsidR="008C6B47" w:rsidRPr="00BC40F9" w14:paraId="1214A759" w14:textId="77777777" w:rsidTr="00425490">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6246BDF4" w14:textId="77777777" w:rsidR="008C6B47" w:rsidRPr="00C830B7" w:rsidRDefault="008C6B47" w:rsidP="00425490">
            <w:pPr>
              <w:spacing w:before="60" w:after="60"/>
              <w:rPr>
                <w:rFonts w:cstheme="minorHAnsi"/>
                <w:sz w:val="20"/>
                <w:szCs w:val="20"/>
              </w:rPr>
            </w:pPr>
          </w:p>
        </w:tc>
        <w:tc>
          <w:tcPr>
            <w:tcW w:w="1886" w:type="pct"/>
            <w:tcBorders>
              <w:left w:val="nil"/>
              <w:right w:val="nil"/>
            </w:tcBorders>
            <w:shd w:val="clear" w:color="auto" w:fill="auto"/>
          </w:tcPr>
          <w:p w14:paraId="4EF237D2"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w:t>
            </w:r>
            <w:proofErr w:type="gramStart"/>
            <w:r w:rsidRPr="001538AF">
              <w:rPr>
                <w:color w:val="auto"/>
                <w:sz w:val="20"/>
                <w:szCs w:val="20"/>
              </w:rPr>
              <w:t>one day</w:t>
            </w:r>
            <w:proofErr w:type="gramEnd"/>
            <w:r w:rsidRPr="001538AF">
              <w:rPr>
                <w:color w:val="auto"/>
                <w:sz w:val="20"/>
                <w:szCs w:val="20"/>
              </w:rPr>
              <w:t xml:space="preserve"> cricket match that: involves the senior Australian representative team; and is played in Australia.</w:t>
            </w:r>
          </w:p>
        </w:tc>
        <w:tc>
          <w:tcPr>
            <w:tcW w:w="1886" w:type="pct"/>
            <w:tcBorders>
              <w:top w:val="single" w:sz="4" w:space="0" w:color="008089" w:themeColor="accent2"/>
              <w:left w:val="nil"/>
              <w:bottom w:val="single" w:sz="4" w:space="0" w:color="008089" w:themeColor="accent2"/>
              <w:right w:val="nil"/>
            </w:tcBorders>
            <w:shd w:val="clear" w:color="auto" w:fill="auto"/>
          </w:tcPr>
          <w:p w14:paraId="3D5448A2"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No listing. </w:t>
            </w:r>
          </w:p>
        </w:tc>
        <w:tc>
          <w:tcPr>
            <w:tcW w:w="432" w:type="pct"/>
            <w:tcBorders>
              <w:top w:val="single" w:sz="4" w:space="0" w:color="008089" w:themeColor="accent2"/>
              <w:left w:val="nil"/>
              <w:bottom w:val="single" w:sz="4" w:space="0" w:color="008089" w:themeColor="accent2"/>
              <w:right w:val="nil"/>
            </w:tcBorders>
          </w:tcPr>
          <w:p w14:paraId="6573446B"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8C6B47" w:rsidRPr="00BC40F9" w14:paraId="277B28BA"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3D64B914" w14:textId="77777777" w:rsidR="008C6B47" w:rsidRPr="00C830B7" w:rsidRDefault="008C6B47" w:rsidP="00425490">
            <w:pPr>
              <w:spacing w:before="60" w:after="60"/>
              <w:rPr>
                <w:rFonts w:cstheme="minorHAnsi"/>
                <w:sz w:val="20"/>
                <w:szCs w:val="20"/>
              </w:rPr>
            </w:pPr>
          </w:p>
        </w:tc>
        <w:tc>
          <w:tcPr>
            <w:tcW w:w="1886" w:type="pct"/>
            <w:tcBorders>
              <w:left w:val="nil"/>
              <w:right w:val="nil"/>
            </w:tcBorders>
            <w:shd w:val="clear" w:color="auto" w:fill="auto"/>
          </w:tcPr>
          <w:p w14:paraId="5C1D1380"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Twenty20 (T20) cricket match that: involves the senior Australian representative; and is played in Australia.</w:t>
            </w:r>
          </w:p>
        </w:tc>
        <w:tc>
          <w:tcPr>
            <w:tcW w:w="1886" w:type="pct"/>
            <w:tcBorders>
              <w:top w:val="single" w:sz="4" w:space="0" w:color="008089" w:themeColor="accent2"/>
              <w:left w:val="nil"/>
              <w:bottom w:val="single" w:sz="4" w:space="0" w:color="008089" w:themeColor="accent2"/>
              <w:right w:val="nil"/>
            </w:tcBorders>
            <w:shd w:val="clear" w:color="auto" w:fill="auto"/>
          </w:tcPr>
          <w:p w14:paraId="6281EA2B"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No listing.</w:t>
            </w:r>
          </w:p>
        </w:tc>
        <w:tc>
          <w:tcPr>
            <w:tcW w:w="432" w:type="pct"/>
            <w:tcBorders>
              <w:top w:val="single" w:sz="4" w:space="0" w:color="008089" w:themeColor="accent2"/>
              <w:left w:val="nil"/>
              <w:bottom w:val="single" w:sz="4" w:space="0" w:color="008089" w:themeColor="accent2"/>
              <w:right w:val="nil"/>
            </w:tcBorders>
            <w:shd w:val="clear" w:color="auto" w:fill="auto"/>
          </w:tcPr>
          <w:p w14:paraId="2D015734"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r>
      <w:tr w:rsidR="008C6B47" w:rsidRPr="00BC40F9" w14:paraId="66BB0CD9" w14:textId="77777777" w:rsidTr="00425490">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3AD6424F" w14:textId="77777777" w:rsidR="008C6B47" w:rsidRPr="00C830B7" w:rsidRDefault="008C6B47" w:rsidP="00425490">
            <w:pPr>
              <w:spacing w:before="60" w:after="60"/>
              <w:rPr>
                <w:rFonts w:cstheme="minorHAnsi"/>
                <w:sz w:val="20"/>
                <w:szCs w:val="20"/>
              </w:rPr>
            </w:pPr>
          </w:p>
        </w:tc>
        <w:tc>
          <w:tcPr>
            <w:tcW w:w="1886" w:type="pct"/>
            <w:tcBorders>
              <w:left w:val="nil"/>
              <w:right w:val="nil"/>
            </w:tcBorders>
            <w:shd w:val="clear" w:color="auto" w:fill="auto"/>
          </w:tcPr>
          <w:p w14:paraId="48BAA944"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International Cricket Council Cricket World Cup that: involves the senior Australian representative team; and is played in Australia or New Zealand.</w:t>
            </w:r>
          </w:p>
        </w:tc>
        <w:tc>
          <w:tcPr>
            <w:tcW w:w="1886" w:type="pct"/>
            <w:tcBorders>
              <w:top w:val="single" w:sz="4" w:space="0" w:color="008089" w:themeColor="accent2"/>
              <w:left w:val="nil"/>
              <w:bottom w:val="single" w:sz="4" w:space="0" w:color="008089" w:themeColor="accent2"/>
              <w:right w:val="nil"/>
            </w:tcBorders>
            <w:shd w:val="clear" w:color="auto" w:fill="auto"/>
          </w:tcPr>
          <w:p w14:paraId="3BFC6401"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No listing.</w:t>
            </w:r>
          </w:p>
        </w:tc>
        <w:tc>
          <w:tcPr>
            <w:tcW w:w="432" w:type="pct"/>
            <w:tcBorders>
              <w:top w:val="single" w:sz="4" w:space="0" w:color="008089" w:themeColor="accent2"/>
              <w:left w:val="nil"/>
              <w:bottom w:val="single" w:sz="4" w:space="0" w:color="008089" w:themeColor="accent2"/>
              <w:right w:val="nil"/>
            </w:tcBorders>
          </w:tcPr>
          <w:p w14:paraId="5C954D15"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8C6B47" w:rsidRPr="00BC40F9" w14:paraId="0D2332A7"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30E8C217" w14:textId="77777777" w:rsidR="008C6B47" w:rsidRPr="00C830B7" w:rsidRDefault="008C6B47" w:rsidP="00425490">
            <w:pPr>
              <w:spacing w:before="60" w:after="60"/>
              <w:rPr>
                <w:rFonts w:cstheme="minorHAnsi"/>
                <w:sz w:val="20"/>
                <w:szCs w:val="20"/>
              </w:rPr>
            </w:pPr>
          </w:p>
        </w:tc>
        <w:tc>
          <w:tcPr>
            <w:tcW w:w="1886" w:type="pct"/>
            <w:tcBorders>
              <w:left w:val="nil"/>
              <w:right w:val="nil"/>
            </w:tcBorders>
            <w:shd w:val="clear" w:color="auto" w:fill="auto"/>
          </w:tcPr>
          <w:p w14:paraId="6C6ABD5A"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International Cricket Council Cricket World Cup if the final is played in Australia or New Zealand.</w:t>
            </w:r>
          </w:p>
        </w:tc>
        <w:tc>
          <w:tcPr>
            <w:tcW w:w="1886" w:type="pct"/>
            <w:tcBorders>
              <w:top w:val="single" w:sz="4" w:space="0" w:color="008089" w:themeColor="accent2"/>
              <w:left w:val="nil"/>
              <w:bottom w:val="single" w:sz="4" w:space="0" w:color="008089" w:themeColor="accent2"/>
              <w:right w:val="nil"/>
            </w:tcBorders>
            <w:shd w:val="clear" w:color="auto" w:fill="auto"/>
          </w:tcPr>
          <w:p w14:paraId="55EF0D18" w14:textId="01E82C0C"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International Cricket Council Men’s Cricket World Cup if the final is played in Australia.</w:t>
            </w:r>
          </w:p>
        </w:tc>
        <w:tc>
          <w:tcPr>
            <w:tcW w:w="432" w:type="pct"/>
            <w:tcBorders>
              <w:top w:val="single" w:sz="4" w:space="0" w:color="008089" w:themeColor="accent2"/>
              <w:left w:val="nil"/>
              <w:bottom w:val="single" w:sz="4" w:space="0" w:color="008089" w:themeColor="accent2"/>
              <w:right w:val="nil"/>
            </w:tcBorders>
            <w:shd w:val="clear" w:color="auto" w:fill="auto"/>
          </w:tcPr>
          <w:p w14:paraId="4ED64508"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w:t>
            </w:r>
          </w:p>
        </w:tc>
      </w:tr>
      <w:tr w:rsidR="008C6B47" w:rsidRPr="00BC40F9" w14:paraId="6EFBADB9" w14:textId="77777777" w:rsidTr="00425490">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1A5AF5FB" w14:textId="77777777" w:rsidR="008C6B47" w:rsidRPr="00C830B7" w:rsidRDefault="008C6B47" w:rsidP="00425490">
            <w:pPr>
              <w:spacing w:before="60" w:after="60"/>
              <w:rPr>
                <w:rFonts w:cstheme="minorHAnsi"/>
                <w:sz w:val="20"/>
                <w:szCs w:val="20"/>
              </w:rPr>
            </w:pPr>
          </w:p>
        </w:tc>
        <w:tc>
          <w:tcPr>
            <w:tcW w:w="1886" w:type="pct"/>
            <w:tcBorders>
              <w:left w:val="nil"/>
              <w:right w:val="nil"/>
            </w:tcBorders>
            <w:shd w:val="clear" w:color="auto" w:fill="auto"/>
          </w:tcPr>
          <w:p w14:paraId="2E9B5256"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886" w:type="pct"/>
            <w:tcBorders>
              <w:top w:val="single" w:sz="4" w:space="0" w:color="008089" w:themeColor="accent2"/>
              <w:left w:val="nil"/>
              <w:bottom w:val="single" w:sz="4" w:space="0" w:color="008089" w:themeColor="accent2"/>
              <w:right w:val="nil"/>
            </w:tcBorders>
            <w:shd w:val="clear" w:color="auto" w:fill="auto"/>
          </w:tcPr>
          <w:p w14:paraId="17B270E8"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International Cricket Council Women’s Cricket World Cup if the final is played in Australia.</w:t>
            </w:r>
          </w:p>
        </w:tc>
        <w:tc>
          <w:tcPr>
            <w:tcW w:w="432" w:type="pct"/>
            <w:tcBorders>
              <w:top w:val="single" w:sz="4" w:space="0" w:color="008089" w:themeColor="accent2"/>
              <w:left w:val="nil"/>
              <w:bottom w:val="single" w:sz="4" w:space="0" w:color="008089" w:themeColor="accent2"/>
              <w:right w:val="nil"/>
            </w:tcBorders>
            <w:shd w:val="clear" w:color="auto" w:fill="auto"/>
          </w:tcPr>
          <w:p w14:paraId="33A22895"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W</w:t>
            </w:r>
          </w:p>
        </w:tc>
      </w:tr>
      <w:tr w:rsidR="008C6B47" w:rsidRPr="00BC40F9" w14:paraId="00A4CBE5"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48448AFE" w14:textId="77777777" w:rsidR="008C6B47" w:rsidRPr="00C830B7" w:rsidRDefault="008C6B47" w:rsidP="00425490">
            <w:pPr>
              <w:spacing w:before="60" w:after="60"/>
              <w:rPr>
                <w:rFonts w:cstheme="minorHAnsi"/>
                <w:sz w:val="20"/>
                <w:szCs w:val="20"/>
              </w:rPr>
            </w:pPr>
          </w:p>
        </w:tc>
        <w:tc>
          <w:tcPr>
            <w:tcW w:w="1886" w:type="pct"/>
            <w:tcBorders>
              <w:left w:val="nil"/>
              <w:right w:val="nil"/>
            </w:tcBorders>
            <w:shd w:val="clear" w:color="auto" w:fill="auto"/>
          </w:tcPr>
          <w:p w14:paraId="089504A0"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of the International Cricket Council T20 World Cup that: involves the senior Australian representative team; and is played in Australia or New Zealand.</w:t>
            </w:r>
          </w:p>
        </w:tc>
        <w:tc>
          <w:tcPr>
            <w:tcW w:w="1886" w:type="pct"/>
            <w:tcBorders>
              <w:top w:val="single" w:sz="4" w:space="0" w:color="008089" w:themeColor="accent2"/>
              <w:left w:val="nil"/>
              <w:bottom w:val="single" w:sz="4" w:space="0" w:color="008089" w:themeColor="accent2"/>
              <w:right w:val="nil"/>
            </w:tcBorders>
            <w:shd w:val="clear" w:color="auto" w:fill="auto"/>
          </w:tcPr>
          <w:p w14:paraId="57DF1323"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No listing.</w:t>
            </w:r>
          </w:p>
        </w:tc>
        <w:tc>
          <w:tcPr>
            <w:tcW w:w="432" w:type="pct"/>
            <w:tcBorders>
              <w:top w:val="single" w:sz="4" w:space="0" w:color="008089" w:themeColor="accent2"/>
              <w:left w:val="nil"/>
              <w:bottom w:val="single" w:sz="4" w:space="0" w:color="008089" w:themeColor="accent2"/>
              <w:right w:val="nil"/>
            </w:tcBorders>
            <w:shd w:val="clear" w:color="auto" w:fill="FFFFFF" w:themeFill="background1"/>
          </w:tcPr>
          <w:p w14:paraId="23EE1B94"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r>
      <w:tr w:rsidR="008C6B47" w:rsidRPr="00BC40F9" w14:paraId="64D86643" w14:textId="77777777" w:rsidTr="00425490">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4D2EBC79" w14:textId="77777777" w:rsidR="008C6B47" w:rsidRPr="00C830B7" w:rsidRDefault="008C6B47" w:rsidP="00425490">
            <w:pPr>
              <w:spacing w:before="60" w:after="60"/>
              <w:rPr>
                <w:rFonts w:cstheme="minorHAnsi"/>
                <w:sz w:val="20"/>
                <w:szCs w:val="20"/>
              </w:rPr>
            </w:pPr>
          </w:p>
        </w:tc>
        <w:tc>
          <w:tcPr>
            <w:tcW w:w="1886" w:type="pct"/>
            <w:tcBorders>
              <w:left w:val="nil"/>
              <w:right w:val="nil"/>
            </w:tcBorders>
            <w:shd w:val="clear" w:color="auto" w:fill="auto"/>
          </w:tcPr>
          <w:p w14:paraId="15015536"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International Cricket Council T20 World Cup if the final is played in Australia or New Zealand.</w:t>
            </w:r>
          </w:p>
        </w:tc>
        <w:tc>
          <w:tcPr>
            <w:tcW w:w="1886" w:type="pct"/>
            <w:tcBorders>
              <w:top w:val="single" w:sz="4" w:space="0" w:color="008089" w:themeColor="accent2"/>
              <w:left w:val="nil"/>
              <w:bottom w:val="single" w:sz="4" w:space="0" w:color="008089" w:themeColor="accent2"/>
              <w:right w:val="nil"/>
            </w:tcBorders>
            <w:shd w:val="clear" w:color="auto" w:fill="auto"/>
          </w:tcPr>
          <w:p w14:paraId="6FFF5EAF" w14:textId="2E8AEE5B" w:rsidR="008C6B47" w:rsidRPr="001538AF" w:rsidRDefault="008C6B47" w:rsidP="00CD7BD1">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International Cricket Council Men’s T20 World Cup if the final is played in Australia.</w:t>
            </w:r>
          </w:p>
        </w:tc>
        <w:tc>
          <w:tcPr>
            <w:tcW w:w="432" w:type="pct"/>
            <w:tcBorders>
              <w:top w:val="single" w:sz="4" w:space="0" w:color="008089" w:themeColor="accent2"/>
              <w:left w:val="nil"/>
              <w:bottom w:val="single" w:sz="4" w:space="0" w:color="008089" w:themeColor="accent2"/>
              <w:right w:val="nil"/>
            </w:tcBorders>
            <w:shd w:val="clear" w:color="auto" w:fill="auto"/>
          </w:tcPr>
          <w:p w14:paraId="32E0603A"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w:t>
            </w:r>
          </w:p>
        </w:tc>
      </w:tr>
      <w:tr w:rsidR="008C6B47" w:rsidRPr="00BC40F9" w14:paraId="72D3D682"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5CD80655" w14:textId="77777777" w:rsidR="008C6B47" w:rsidRPr="00C830B7" w:rsidRDefault="008C6B47" w:rsidP="00425490">
            <w:pPr>
              <w:spacing w:before="60" w:after="60"/>
              <w:rPr>
                <w:rFonts w:cstheme="minorHAnsi"/>
                <w:sz w:val="20"/>
                <w:szCs w:val="20"/>
              </w:rPr>
            </w:pPr>
          </w:p>
        </w:tc>
        <w:tc>
          <w:tcPr>
            <w:tcW w:w="1886" w:type="pct"/>
            <w:tcBorders>
              <w:left w:val="nil"/>
              <w:right w:val="nil"/>
            </w:tcBorders>
            <w:shd w:val="clear" w:color="auto" w:fill="auto"/>
          </w:tcPr>
          <w:p w14:paraId="6677DD98"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1886" w:type="pct"/>
            <w:tcBorders>
              <w:top w:val="single" w:sz="4" w:space="0" w:color="008089" w:themeColor="accent2"/>
              <w:left w:val="nil"/>
              <w:bottom w:val="single" w:sz="4" w:space="0" w:color="008089" w:themeColor="accent2"/>
              <w:right w:val="nil"/>
            </w:tcBorders>
            <w:shd w:val="clear" w:color="auto" w:fill="auto"/>
          </w:tcPr>
          <w:p w14:paraId="1F7CED95"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International Cricket Council Women’s T20 World Cup if the final is played in Australia.</w:t>
            </w:r>
          </w:p>
        </w:tc>
        <w:tc>
          <w:tcPr>
            <w:tcW w:w="432" w:type="pct"/>
            <w:tcBorders>
              <w:top w:val="single" w:sz="4" w:space="0" w:color="008089" w:themeColor="accent2"/>
              <w:left w:val="nil"/>
              <w:bottom w:val="single" w:sz="4" w:space="0" w:color="008089" w:themeColor="accent2"/>
              <w:right w:val="nil"/>
            </w:tcBorders>
            <w:shd w:val="clear" w:color="auto" w:fill="auto"/>
          </w:tcPr>
          <w:p w14:paraId="16B32D0C"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W</w:t>
            </w:r>
          </w:p>
        </w:tc>
      </w:tr>
      <w:tr w:rsidR="00DF628D" w:rsidRPr="00BC40F9" w14:paraId="35171FB0" w14:textId="77777777" w:rsidTr="00425490">
        <w:tc>
          <w:tcPr>
            <w:cnfStyle w:val="001000000000" w:firstRow="0" w:lastRow="0" w:firstColumn="1" w:lastColumn="0" w:oddVBand="0" w:evenVBand="0" w:oddHBand="0" w:evenHBand="0" w:firstRowFirstColumn="0" w:firstRowLastColumn="0" w:lastRowFirstColumn="0" w:lastRowLastColumn="0"/>
            <w:tcW w:w="795" w:type="pct"/>
            <w:vMerge w:val="restart"/>
            <w:tcBorders>
              <w:top w:val="single" w:sz="4" w:space="0" w:color="008089" w:themeColor="accent2"/>
              <w:left w:val="nil"/>
              <w:right w:val="nil"/>
            </w:tcBorders>
            <w:shd w:val="clear" w:color="auto" w:fill="F2F2F2" w:themeFill="background1" w:themeFillShade="F2"/>
            <w:hideMark/>
          </w:tcPr>
          <w:p w14:paraId="43D93F6C" w14:textId="77777777" w:rsidR="00DF628D" w:rsidRPr="00C830B7" w:rsidRDefault="00DF628D" w:rsidP="00425490">
            <w:pPr>
              <w:spacing w:before="60" w:after="60"/>
              <w:rPr>
                <w:rFonts w:cstheme="minorHAnsi"/>
                <w:sz w:val="20"/>
                <w:szCs w:val="20"/>
              </w:rPr>
            </w:pPr>
            <w:r w:rsidRPr="00C830B7">
              <w:rPr>
                <w:rFonts w:cstheme="minorHAnsi"/>
                <w:sz w:val="20"/>
                <w:szCs w:val="20"/>
              </w:rPr>
              <w:t>Soccer</w:t>
            </w:r>
          </w:p>
        </w:tc>
        <w:tc>
          <w:tcPr>
            <w:tcW w:w="1886" w:type="pct"/>
            <w:tcBorders>
              <w:top w:val="single" w:sz="4" w:space="0" w:color="008089" w:themeColor="accent2"/>
              <w:left w:val="nil"/>
              <w:right w:val="nil"/>
            </w:tcBorders>
            <w:shd w:val="clear" w:color="auto" w:fill="F2F2F2" w:themeFill="background1" w:themeFillShade="F2"/>
          </w:tcPr>
          <w:p w14:paraId="0062F85E"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Fédération Internationale de Football Association World Cup tournament that involves the senior Australian representative team.</w:t>
            </w:r>
          </w:p>
        </w:tc>
        <w:tc>
          <w:tcPr>
            <w:tcW w:w="1886" w:type="pct"/>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6FDED15D"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Fédération Internationale de Football Association World Cup tournament that involves the senior Australian representative team and is played in Australia.</w:t>
            </w:r>
          </w:p>
        </w:tc>
        <w:tc>
          <w:tcPr>
            <w:tcW w:w="432"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5212C4DC"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M </w:t>
            </w:r>
          </w:p>
        </w:tc>
      </w:tr>
      <w:tr w:rsidR="00DF628D" w:rsidRPr="00BC40F9" w14:paraId="33A7EC29"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tcBorders>
              <w:top w:val="single" w:sz="4" w:space="0" w:color="008089" w:themeColor="accent2"/>
              <w:left w:val="nil"/>
              <w:right w:val="nil"/>
            </w:tcBorders>
          </w:tcPr>
          <w:p w14:paraId="53276EC4" w14:textId="77777777" w:rsidR="00DF628D" w:rsidRPr="00C830B7" w:rsidRDefault="00DF628D" w:rsidP="00425490">
            <w:pPr>
              <w:spacing w:before="60" w:after="60"/>
              <w:rPr>
                <w:rFonts w:cstheme="minorHAnsi"/>
                <w:sz w:val="20"/>
                <w:szCs w:val="20"/>
              </w:rPr>
            </w:pPr>
          </w:p>
        </w:tc>
        <w:tc>
          <w:tcPr>
            <w:tcW w:w="1886" w:type="pct"/>
            <w:tcBorders>
              <w:top w:val="single" w:sz="4" w:space="0" w:color="008089" w:themeColor="accent2"/>
              <w:left w:val="nil"/>
              <w:right w:val="nil"/>
            </w:tcBorders>
          </w:tcPr>
          <w:p w14:paraId="2AD12826"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1886" w:type="pct"/>
            <w:tcBorders>
              <w:top w:val="single" w:sz="4" w:space="0" w:color="008089" w:themeColor="accent2"/>
              <w:left w:val="nil"/>
              <w:bottom w:val="single" w:sz="4" w:space="0" w:color="008089" w:themeColor="accent2"/>
              <w:right w:val="nil"/>
            </w:tcBorders>
          </w:tcPr>
          <w:p w14:paraId="34FE1691"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of the Fédération Internationale de Football Association Women’s World Cup tournament that involves the senior Australian representative team and is played in Australia.</w:t>
            </w:r>
          </w:p>
        </w:tc>
        <w:tc>
          <w:tcPr>
            <w:tcW w:w="432" w:type="pct"/>
            <w:tcBorders>
              <w:top w:val="single" w:sz="4" w:space="0" w:color="008089" w:themeColor="accent2"/>
              <w:left w:val="nil"/>
              <w:bottom w:val="single" w:sz="4" w:space="0" w:color="008089" w:themeColor="accent2"/>
              <w:right w:val="nil"/>
            </w:tcBorders>
          </w:tcPr>
          <w:p w14:paraId="12B48D93"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W</w:t>
            </w:r>
          </w:p>
        </w:tc>
      </w:tr>
      <w:tr w:rsidR="00DF628D" w:rsidRPr="00BC40F9" w14:paraId="49BB0CF1" w14:textId="77777777" w:rsidTr="00425490">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F2F2F2" w:themeFill="background1" w:themeFillShade="F2"/>
          </w:tcPr>
          <w:p w14:paraId="4C1BBDBB" w14:textId="77777777" w:rsidR="00DF628D" w:rsidRPr="00C830B7" w:rsidRDefault="00DF628D" w:rsidP="00425490">
            <w:pPr>
              <w:spacing w:before="60" w:after="60"/>
              <w:rPr>
                <w:rFonts w:cstheme="minorHAnsi"/>
                <w:sz w:val="20"/>
                <w:szCs w:val="20"/>
              </w:rPr>
            </w:pPr>
          </w:p>
        </w:tc>
        <w:tc>
          <w:tcPr>
            <w:tcW w:w="1886" w:type="pct"/>
            <w:tcBorders>
              <w:left w:val="nil"/>
              <w:right w:val="nil"/>
            </w:tcBorders>
            <w:shd w:val="clear" w:color="auto" w:fill="F2F2F2" w:themeFill="background1" w:themeFillShade="F2"/>
          </w:tcPr>
          <w:p w14:paraId="5F4A8ACB"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Fédération Internationale de Football Association World Cup tournament.</w:t>
            </w:r>
          </w:p>
        </w:tc>
        <w:tc>
          <w:tcPr>
            <w:tcW w:w="1886"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49BB821C" w14:textId="22E6E018"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Fédération Internationale de Football Association World Cup tournament if the final is played in Australia.</w:t>
            </w:r>
          </w:p>
        </w:tc>
        <w:tc>
          <w:tcPr>
            <w:tcW w:w="432"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397B4962"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w:t>
            </w:r>
          </w:p>
        </w:tc>
      </w:tr>
      <w:tr w:rsidR="00DF628D" w:rsidRPr="00BC40F9" w14:paraId="57F4157D"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tcPr>
          <w:p w14:paraId="27EC5950" w14:textId="77777777" w:rsidR="00DF628D" w:rsidRPr="00C830B7" w:rsidRDefault="00DF628D" w:rsidP="00425490">
            <w:pPr>
              <w:spacing w:before="60" w:after="60"/>
              <w:rPr>
                <w:rFonts w:cstheme="minorHAnsi"/>
                <w:sz w:val="20"/>
                <w:szCs w:val="20"/>
              </w:rPr>
            </w:pPr>
          </w:p>
        </w:tc>
        <w:tc>
          <w:tcPr>
            <w:tcW w:w="1886" w:type="pct"/>
            <w:tcBorders>
              <w:left w:val="nil"/>
              <w:right w:val="nil"/>
            </w:tcBorders>
          </w:tcPr>
          <w:p w14:paraId="312B0AC9"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1886" w:type="pct"/>
            <w:tcBorders>
              <w:top w:val="single" w:sz="4" w:space="0" w:color="008089" w:themeColor="accent2"/>
              <w:left w:val="nil"/>
              <w:bottom w:val="single" w:sz="4" w:space="0" w:color="008089" w:themeColor="accent2"/>
              <w:right w:val="nil"/>
            </w:tcBorders>
          </w:tcPr>
          <w:p w14:paraId="5B4987C0"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Fédération Internationale de Football Association World Cup tournament if the final is played in Australia.</w:t>
            </w:r>
          </w:p>
        </w:tc>
        <w:tc>
          <w:tcPr>
            <w:tcW w:w="432" w:type="pct"/>
            <w:tcBorders>
              <w:top w:val="single" w:sz="4" w:space="0" w:color="008089" w:themeColor="accent2"/>
              <w:left w:val="nil"/>
              <w:bottom w:val="single" w:sz="4" w:space="0" w:color="008089" w:themeColor="accent2"/>
              <w:right w:val="nil"/>
            </w:tcBorders>
          </w:tcPr>
          <w:p w14:paraId="2EE9BC93"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W</w:t>
            </w:r>
          </w:p>
        </w:tc>
      </w:tr>
      <w:tr w:rsidR="00DF628D" w:rsidRPr="00BC40F9" w14:paraId="73268635" w14:textId="77777777" w:rsidTr="00425490">
        <w:tc>
          <w:tcPr>
            <w:cnfStyle w:val="001000000000" w:firstRow="0" w:lastRow="0" w:firstColumn="1" w:lastColumn="0" w:oddVBand="0" w:evenVBand="0" w:oddHBand="0" w:evenHBand="0" w:firstRowFirstColumn="0" w:firstRowLastColumn="0" w:lastRowFirstColumn="0" w:lastRowLastColumn="0"/>
            <w:tcW w:w="795" w:type="pct"/>
            <w:vMerge/>
            <w:tcBorders>
              <w:left w:val="nil"/>
              <w:bottom w:val="single" w:sz="4" w:space="0" w:color="008089" w:themeColor="accent2"/>
              <w:right w:val="nil"/>
            </w:tcBorders>
            <w:shd w:val="clear" w:color="auto" w:fill="F2F2F2" w:themeFill="background1" w:themeFillShade="F2"/>
          </w:tcPr>
          <w:p w14:paraId="49E93E31" w14:textId="77777777" w:rsidR="00DF628D" w:rsidRPr="00C830B7" w:rsidRDefault="00DF628D" w:rsidP="00425490">
            <w:pPr>
              <w:spacing w:before="60" w:after="60"/>
              <w:rPr>
                <w:rFonts w:cstheme="minorHAnsi"/>
                <w:sz w:val="20"/>
                <w:szCs w:val="20"/>
              </w:rPr>
            </w:pPr>
          </w:p>
        </w:tc>
        <w:tc>
          <w:tcPr>
            <w:tcW w:w="1886" w:type="pct"/>
            <w:tcBorders>
              <w:left w:val="nil"/>
              <w:bottom w:val="single" w:sz="4" w:space="0" w:color="008089" w:themeColor="accent2"/>
              <w:right w:val="nil"/>
            </w:tcBorders>
            <w:shd w:val="clear" w:color="auto" w:fill="F2F2F2" w:themeFill="background1" w:themeFillShade="F2"/>
          </w:tcPr>
          <w:p w14:paraId="1403B937"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the Fédération Internationale de Football Association (FIFA) World Cup Qualification tournament that: involves the senior Australian representative team; and is played in Australia.</w:t>
            </w:r>
          </w:p>
        </w:tc>
        <w:tc>
          <w:tcPr>
            <w:tcW w:w="1886"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6DE53D88"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No listing</w:t>
            </w:r>
          </w:p>
        </w:tc>
        <w:tc>
          <w:tcPr>
            <w:tcW w:w="432"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0E768059"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DF628D" w:rsidRPr="00BC40F9" w14:paraId="407754C9"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val="restart"/>
            <w:tcBorders>
              <w:top w:val="single" w:sz="4" w:space="0" w:color="008089" w:themeColor="accent2"/>
              <w:left w:val="nil"/>
              <w:right w:val="nil"/>
            </w:tcBorders>
            <w:shd w:val="clear" w:color="auto" w:fill="auto"/>
            <w:hideMark/>
          </w:tcPr>
          <w:p w14:paraId="27F7A215" w14:textId="77777777" w:rsidR="00DF628D" w:rsidRPr="00C830B7" w:rsidRDefault="00DF628D" w:rsidP="00425490">
            <w:pPr>
              <w:spacing w:before="60" w:after="60"/>
              <w:rPr>
                <w:rFonts w:cstheme="minorHAnsi"/>
                <w:sz w:val="20"/>
                <w:szCs w:val="20"/>
              </w:rPr>
            </w:pPr>
            <w:r w:rsidRPr="00C830B7">
              <w:rPr>
                <w:rFonts w:cstheme="minorHAnsi"/>
                <w:sz w:val="20"/>
                <w:szCs w:val="20"/>
              </w:rPr>
              <w:t>Tennis</w:t>
            </w:r>
          </w:p>
        </w:tc>
        <w:tc>
          <w:tcPr>
            <w:tcW w:w="1886" w:type="pct"/>
            <w:tcBorders>
              <w:top w:val="single" w:sz="4" w:space="0" w:color="008089" w:themeColor="accent2"/>
              <w:left w:val="nil"/>
              <w:right w:val="nil"/>
            </w:tcBorders>
            <w:shd w:val="clear" w:color="auto" w:fill="auto"/>
          </w:tcPr>
          <w:p w14:paraId="6211B8CC"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Australian Open tennis tournament.</w:t>
            </w:r>
          </w:p>
        </w:tc>
        <w:tc>
          <w:tcPr>
            <w:tcW w:w="1886" w:type="pct"/>
            <w:tcBorders>
              <w:top w:val="single" w:sz="4" w:space="0" w:color="008089" w:themeColor="accent2"/>
              <w:left w:val="nil"/>
              <w:bottom w:val="single" w:sz="4" w:space="0" w:color="008089" w:themeColor="accent2"/>
              <w:right w:val="nil"/>
            </w:tcBorders>
            <w:shd w:val="clear" w:color="auto" w:fill="auto"/>
            <w:hideMark/>
          </w:tcPr>
          <w:p w14:paraId="4C018BC3" w14:textId="32330733" w:rsidR="00DF628D" w:rsidRPr="001538AF" w:rsidRDefault="00DF628D" w:rsidP="00CD7BD1">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Men’s and Women’s singles finals of the Australian Open tennis tournament.</w:t>
            </w:r>
          </w:p>
        </w:tc>
        <w:tc>
          <w:tcPr>
            <w:tcW w:w="432" w:type="pct"/>
            <w:tcBorders>
              <w:top w:val="single" w:sz="4" w:space="0" w:color="008089" w:themeColor="accent2"/>
              <w:left w:val="nil"/>
              <w:bottom w:val="single" w:sz="4" w:space="0" w:color="008089" w:themeColor="accent2"/>
              <w:right w:val="nil"/>
            </w:tcBorders>
            <w:shd w:val="clear" w:color="auto" w:fill="auto"/>
          </w:tcPr>
          <w:p w14:paraId="725BA289"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 &amp; W</w:t>
            </w:r>
          </w:p>
        </w:tc>
      </w:tr>
      <w:tr w:rsidR="00DF628D" w:rsidRPr="00BC40F9" w14:paraId="48655C5C" w14:textId="77777777" w:rsidTr="00425490">
        <w:tc>
          <w:tcPr>
            <w:cnfStyle w:val="001000000000" w:firstRow="0" w:lastRow="0" w:firstColumn="1" w:lastColumn="0" w:oddVBand="0" w:evenVBand="0" w:oddHBand="0" w:evenHBand="0" w:firstRowFirstColumn="0" w:firstRowLastColumn="0" w:lastRowFirstColumn="0" w:lastRowLastColumn="0"/>
            <w:tcW w:w="795" w:type="pct"/>
            <w:vMerge/>
            <w:tcBorders>
              <w:top w:val="single" w:sz="4" w:space="0" w:color="008089" w:themeColor="accent2"/>
              <w:left w:val="nil"/>
              <w:right w:val="nil"/>
            </w:tcBorders>
            <w:shd w:val="clear" w:color="auto" w:fill="auto"/>
          </w:tcPr>
          <w:p w14:paraId="3CFC75F7" w14:textId="77777777" w:rsidR="00DF628D" w:rsidRPr="00C830B7" w:rsidRDefault="00DF628D" w:rsidP="00425490">
            <w:pPr>
              <w:spacing w:before="60" w:after="60"/>
              <w:rPr>
                <w:rFonts w:cstheme="minorHAnsi"/>
                <w:sz w:val="20"/>
                <w:szCs w:val="20"/>
              </w:rPr>
            </w:pPr>
          </w:p>
        </w:tc>
        <w:tc>
          <w:tcPr>
            <w:tcW w:w="1886" w:type="pct"/>
            <w:tcBorders>
              <w:top w:val="single" w:sz="4" w:space="0" w:color="008089" w:themeColor="accent2"/>
              <w:left w:val="nil"/>
              <w:right w:val="nil"/>
            </w:tcBorders>
            <w:shd w:val="clear" w:color="auto" w:fill="auto"/>
          </w:tcPr>
          <w:p w14:paraId="3C46617E"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886" w:type="pct"/>
            <w:tcBorders>
              <w:top w:val="single" w:sz="4" w:space="0" w:color="008089" w:themeColor="accent2"/>
              <w:left w:val="nil"/>
              <w:bottom w:val="single" w:sz="4" w:space="0" w:color="008089" w:themeColor="accent2"/>
              <w:right w:val="nil"/>
            </w:tcBorders>
            <w:shd w:val="clear" w:color="auto" w:fill="auto"/>
          </w:tcPr>
          <w:p w14:paraId="7316F3AA"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Men’s and Women’s singles matches that make up the Australian Open tennis tournament that are played in the main two stadia of the tournament after 7:00 pm Australian Eastern Daylight Time.</w:t>
            </w:r>
          </w:p>
        </w:tc>
        <w:tc>
          <w:tcPr>
            <w:tcW w:w="432" w:type="pct"/>
            <w:tcBorders>
              <w:top w:val="single" w:sz="4" w:space="0" w:color="008089" w:themeColor="accent2"/>
              <w:left w:val="nil"/>
              <w:bottom w:val="single" w:sz="4" w:space="0" w:color="008089" w:themeColor="accent2"/>
              <w:right w:val="nil"/>
            </w:tcBorders>
            <w:shd w:val="clear" w:color="auto" w:fill="auto"/>
          </w:tcPr>
          <w:p w14:paraId="528EB93E"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&amp; W</w:t>
            </w:r>
          </w:p>
        </w:tc>
      </w:tr>
      <w:tr w:rsidR="00DF628D" w:rsidRPr="00BC40F9" w14:paraId="6946DA40" w14:textId="77777777" w:rsidTr="008168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73951148" w14:textId="77777777" w:rsidR="00DF628D" w:rsidRPr="00C830B7" w:rsidRDefault="00DF628D" w:rsidP="00425490">
            <w:pPr>
              <w:spacing w:before="60" w:after="60"/>
              <w:rPr>
                <w:rFonts w:cstheme="minorHAnsi"/>
                <w:sz w:val="20"/>
                <w:szCs w:val="20"/>
              </w:rPr>
            </w:pPr>
          </w:p>
        </w:tc>
        <w:tc>
          <w:tcPr>
            <w:tcW w:w="1886" w:type="pct"/>
            <w:tcBorders>
              <w:top w:val="single" w:sz="4" w:space="0" w:color="008089" w:themeColor="accent2"/>
              <w:left w:val="nil"/>
              <w:right w:val="nil"/>
            </w:tcBorders>
            <w:shd w:val="clear" w:color="auto" w:fill="auto"/>
          </w:tcPr>
          <w:p w14:paraId="38C4EB85"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each tie of the International Tennis Federation Davis Cup World Group tennis tournament that: involves an Australian representative team; and is played in Australia.</w:t>
            </w:r>
          </w:p>
        </w:tc>
        <w:tc>
          <w:tcPr>
            <w:tcW w:w="1886" w:type="pct"/>
            <w:tcBorders>
              <w:top w:val="single" w:sz="4" w:space="0" w:color="008089" w:themeColor="accent2"/>
              <w:left w:val="nil"/>
              <w:bottom w:val="single" w:sz="4" w:space="0" w:color="008089" w:themeColor="accent2"/>
              <w:right w:val="nil"/>
            </w:tcBorders>
            <w:shd w:val="clear" w:color="auto" w:fill="auto"/>
          </w:tcPr>
          <w:p w14:paraId="758C2A99"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No listing</w:t>
            </w:r>
          </w:p>
        </w:tc>
        <w:tc>
          <w:tcPr>
            <w:tcW w:w="432" w:type="pct"/>
            <w:tcBorders>
              <w:top w:val="single" w:sz="4" w:space="0" w:color="008089" w:themeColor="accent2"/>
              <w:left w:val="nil"/>
              <w:bottom w:val="single" w:sz="4" w:space="0" w:color="008089" w:themeColor="accent2"/>
              <w:right w:val="nil"/>
            </w:tcBorders>
            <w:shd w:val="clear" w:color="auto" w:fill="auto"/>
          </w:tcPr>
          <w:p w14:paraId="1D4B3542"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r>
      <w:tr w:rsidR="00DF628D" w:rsidRPr="00BC40F9" w14:paraId="3755CE27" w14:textId="77777777" w:rsidTr="00425490">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5E2FA8B5" w14:textId="77777777" w:rsidR="00DF628D" w:rsidRPr="00C830B7" w:rsidRDefault="00DF628D" w:rsidP="00425490">
            <w:pPr>
              <w:spacing w:before="60" w:after="60"/>
              <w:rPr>
                <w:rFonts w:cstheme="minorHAnsi"/>
                <w:sz w:val="20"/>
                <w:szCs w:val="20"/>
              </w:rPr>
            </w:pPr>
          </w:p>
        </w:tc>
        <w:tc>
          <w:tcPr>
            <w:tcW w:w="1886" w:type="pct"/>
            <w:tcBorders>
              <w:top w:val="single" w:sz="4" w:space="0" w:color="008089" w:themeColor="accent2"/>
              <w:left w:val="nil"/>
              <w:right w:val="nil"/>
            </w:tcBorders>
            <w:shd w:val="clear" w:color="auto" w:fill="auto"/>
          </w:tcPr>
          <w:p w14:paraId="65681153"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International Tennis Federation Davis Cup World Group tennis tournament if the final involves an Australian representative team.</w:t>
            </w:r>
          </w:p>
        </w:tc>
        <w:tc>
          <w:tcPr>
            <w:tcW w:w="1886" w:type="pct"/>
            <w:tcBorders>
              <w:top w:val="single" w:sz="4" w:space="0" w:color="008089" w:themeColor="accent2"/>
              <w:left w:val="nil"/>
              <w:bottom w:val="single" w:sz="4" w:space="0" w:color="008089" w:themeColor="accent2"/>
              <w:right w:val="nil"/>
            </w:tcBorders>
            <w:shd w:val="clear" w:color="auto" w:fill="auto"/>
          </w:tcPr>
          <w:p w14:paraId="646D9ABB"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No listing</w:t>
            </w:r>
          </w:p>
        </w:tc>
        <w:tc>
          <w:tcPr>
            <w:tcW w:w="432" w:type="pct"/>
            <w:tcBorders>
              <w:top w:val="single" w:sz="4" w:space="0" w:color="008089" w:themeColor="accent2"/>
              <w:left w:val="nil"/>
              <w:bottom w:val="single" w:sz="4" w:space="0" w:color="008089" w:themeColor="accent2"/>
              <w:right w:val="nil"/>
            </w:tcBorders>
            <w:shd w:val="clear" w:color="auto" w:fill="auto"/>
          </w:tcPr>
          <w:p w14:paraId="5BD5E241"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DF628D" w:rsidRPr="00BC40F9" w14:paraId="78B4D78B" w14:textId="77777777" w:rsidTr="0042549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5" w:type="pct"/>
            <w:vMerge w:val="restart"/>
            <w:tcBorders>
              <w:top w:val="single" w:sz="4" w:space="0" w:color="008089" w:themeColor="accent2"/>
              <w:left w:val="nil"/>
              <w:right w:val="nil"/>
            </w:tcBorders>
            <w:hideMark/>
          </w:tcPr>
          <w:p w14:paraId="71D26F47" w14:textId="77777777" w:rsidR="00DF628D" w:rsidRPr="00B04C29" w:rsidRDefault="00DF628D" w:rsidP="00425490">
            <w:pPr>
              <w:spacing w:before="60" w:after="60"/>
              <w:rPr>
                <w:rFonts w:cstheme="minorHAnsi"/>
                <w:b w:val="0"/>
                <w:sz w:val="20"/>
                <w:szCs w:val="20"/>
              </w:rPr>
            </w:pPr>
            <w:r w:rsidRPr="00C830B7">
              <w:rPr>
                <w:rFonts w:cstheme="minorHAnsi"/>
                <w:sz w:val="20"/>
                <w:szCs w:val="20"/>
              </w:rPr>
              <w:t>Netball</w:t>
            </w:r>
          </w:p>
          <w:p w14:paraId="3103F114" w14:textId="77777777" w:rsidR="00DF628D" w:rsidRPr="00C830B7" w:rsidRDefault="00DF628D" w:rsidP="00425490">
            <w:pPr>
              <w:spacing w:before="60" w:after="60"/>
              <w:rPr>
                <w:rFonts w:cstheme="minorHAnsi"/>
                <w:sz w:val="20"/>
                <w:szCs w:val="20"/>
              </w:rPr>
            </w:pPr>
          </w:p>
        </w:tc>
        <w:tc>
          <w:tcPr>
            <w:tcW w:w="1886" w:type="pct"/>
            <w:tcBorders>
              <w:top w:val="single" w:sz="4" w:space="0" w:color="008089" w:themeColor="accent2"/>
              <w:left w:val="nil"/>
              <w:bottom w:val="single" w:sz="4" w:space="0" w:color="008089" w:themeColor="accent2"/>
              <w:right w:val="nil"/>
            </w:tcBorders>
          </w:tcPr>
          <w:p w14:paraId="7F445086"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A semi-final of the Netball World Cup if the semi-final involves the senior Australian representative team.</w:t>
            </w:r>
          </w:p>
        </w:tc>
        <w:tc>
          <w:tcPr>
            <w:tcW w:w="1886" w:type="pct"/>
            <w:tcBorders>
              <w:top w:val="single" w:sz="4" w:space="0" w:color="008089" w:themeColor="accent2"/>
              <w:left w:val="nil"/>
              <w:bottom w:val="single" w:sz="4" w:space="0" w:color="008089" w:themeColor="accent2"/>
              <w:right w:val="nil"/>
            </w:tcBorders>
            <w:hideMark/>
          </w:tcPr>
          <w:p w14:paraId="7AD210B9" w14:textId="6AA7FCDA"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A semi-final of the Netball World Cup if the match involves the senior Australian representative team; and is played in Australia.</w:t>
            </w:r>
          </w:p>
        </w:tc>
        <w:tc>
          <w:tcPr>
            <w:tcW w:w="432" w:type="pct"/>
            <w:tcBorders>
              <w:top w:val="single" w:sz="4" w:space="0" w:color="008089" w:themeColor="accent2"/>
              <w:left w:val="nil"/>
              <w:bottom w:val="single" w:sz="4" w:space="0" w:color="008089" w:themeColor="accent2"/>
              <w:right w:val="nil"/>
            </w:tcBorders>
          </w:tcPr>
          <w:p w14:paraId="67D886B6"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W</w:t>
            </w:r>
          </w:p>
        </w:tc>
      </w:tr>
      <w:tr w:rsidR="00DF628D" w:rsidRPr="00BC40F9" w14:paraId="4F3EA140" w14:textId="77777777" w:rsidTr="00E409E4">
        <w:trPr>
          <w:cantSplit/>
        </w:trPr>
        <w:tc>
          <w:tcPr>
            <w:cnfStyle w:val="001000000000" w:firstRow="0" w:lastRow="0" w:firstColumn="1" w:lastColumn="0" w:oddVBand="0" w:evenVBand="0" w:oddHBand="0" w:evenHBand="0" w:firstRowFirstColumn="0" w:firstRowLastColumn="0" w:lastRowFirstColumn="0" w:lastRowLastColumn="0"/>
            <w:tcW w:w="795" w:type="pct"/>
            <w:vMerge/>
            <w:tcBorders>
              <w:left w:val="nil"/>
              <w:bottom w:val="single" w:sz="4" w:space="0" w:color="008089" w:themeColor="accent2"/>
              <w:right w:val="nil"/>
            </w:tcBorders>
            <w:shd w:val="clear" w:color="auto" w:fill="F2F2F2" w:themeFill="background1" w:themeFillShade="F2"/>
          </w:tcPr>
          <w:p w14:paraId="4CBDF11F" w14:textId="77777777" w:rsidR="00DF628D" w:rsidRPr="00C830B7" w:rsidRDefault="00DF628D" w:rsidP="00425490">
            <w:pPr>
              <w:spacing w:before="60" w:after="60"/>
              <w:rPr>
                <w:rFonts w:cstheme="minorHAnsi"/>
                <w:sz w:val="20"/>
                <w:szCs w:val="20"/>
              </w:rPr>
            </w:pPr>
          </w:p>
        </w:tc>
        <w:tc>
          <w:tcPr>
            <w:tcW w:w="1886"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2DD81565"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Netball World Cup if the final involves the senior Australian representative team.</w:t>
            </w:r>
          </w:p>
        </w:tc>
        <w:tc>
          <w:tcPr>
            <w:tcW w:w="1886"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55B98314"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A final of the Netball World Cup if the match involves the senior Australian representative team; and is played in Australia.</w:t>
            </w:r>
          </w:p>
        </w:tc>
        <w:tc>
          <w:tcPr>
            <w:tcW w:w="432"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48E689BB"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W</w:t>
            </w:r>
          </w:p>
        </w:tc>
      </w:tr>
      <w:tr w:rsidR="00DF628D" w:rsidRPr="00BC40F9" w14:paraId="35299FB5" w14:textId="77777777" w:rsidTr="008168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Merge w:val="restart"/>
            <w:tcBorders>
              <w:top w:val="single" w:sz="4" w:space="0" w:color="008089" w:themeColor="accent2"/>
              <w:left w:val="nil"/>
              <w:right w:val="nil"/>
            </w:tcBorders>
            <w:shd w:val="clear" w:color="auto" w:fill="auto"/>
            <w:hideMark/>
          </w:tcPr>
          <w:p w14:paraId="30BCF7AE" w14:textId="77777777" w:rsidR="00DF628D" w:rsidRPr="00C830B7" w:rsidRDefault="00DF628D" w:rsidP="00425490">
            <w:pPr>
              <w:keepNext/>
              <w:spacing w:before="60" w:after="60"/>
              <w:rPr>
                <w:rFonts w:cstheme="minorHAnsi"/>
                <w:sz w:val="20"/>
                <w:szCs w:val="20"/>
              </w:rPr>
            </w:pPr>
            <w:r w:rsidRPr="00C830B7">
              <w:rPr>
                <w:rFonts w:cstheme="minorHAnsi"/>
                <w:sz w:val="20"/>
                <w:szCs w:val="20"/>
              </w:rPr>
              <w:t>Motor Sports</w:t>
            </w:r>
          </w:p>
        </w:tc>
        <w:tc>
          <w:tcPr>
            <w:tcW w:w="1886" w:type="pct"/>
            <w:tcBorders>
              <w:top w:val="single" w:sz="4" w:space="0" w:color="008089" w:themeColor="accent2"/>
              <w:left w:val="nil"/>
              <w:right w:val="nil"/>
            </w:tcBorders>
            <w:shd w:val="clear" w:color="auto" w:fill="auto"/>
          </w:tcPr>
          <w:p w14:paraId="5C76A979"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 xml:space="preserve">Each race in the Fédération Internationale de </w:t>
            </w:r>
            <w:proofErr w:type="spellStart"/>
            <w:r w:rsidRPr="001538AF">
              <w:rPr>
                <w:color w:val="auto"/>
                <w:sz w:val="20"/>
                <w:szCs w:val="20"/>
              </w:rPr>
              <w:t>l’Automobile</w:t>
            </w:r>
            <w:proofErr w:type="spellEnd"/>
            <w:r w:rsidRPr="001538AF">
              <w:rPr>
                <w:color w:val="auto"/>
                <w:sz w:val="20"/>
                <w:szCs w:val="20"/>
              </w:rPr>
              <w:t xml:space="preserve"> Formula One World Championship (Grand Prix) held in Australia.</w:t>
            </w:r>
          </w:p>
        </w:tc>
        <w:tc>
          <w:tcPr>
            <w:tcW w:w="1886" w:type="pct"/>
            <w:tcBorders>
              <w:top w:val="single" w:sz="4" w:space="0" w:color="008089" w:themeColor="accent2"/>
              <w:left w:val="nil"/>
              <w:bottom w:val="single" w:sz="4" w:space="0" w:color="008089" w:themeColor="accent2"/>
              <w:right w:val="nil"/>
            </w:tcBorders>
            <w:shd w:val="clear" w:color="auto" w:fill="auto"/>
            <w:hideMark/>
          </w:tcPr>
          <w:p w14:paraId="4F5069F0"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 xml:space="preserve">Each race in the Fédération Internationale de </w:t>
            </w:r>
            <w:proofErr w:type="spellStart"/>
            <w:r w:rsidRPr="001538AF">
              <w:rPr>
                <w:color w:val="auto"/>
                <w:sz w:val="20"/>
                <w:szCs w:val="20"/>
              </w:rPr>
              <w:t>l’Automobile</w:t>
            </w:r>
            <w:proofErr w:type="spellEnd"/>
            <w:r w:rsidRPr="001538AF">
              <w:rPr>
                <w:color w:val="auto"/>
                <w:sz w:val="20"/>
                <w:szCs w:val="20"/>
              </w:rPr>
              <w:t xml:space="preserve"> Formula One World Championship (Grand Prix) held in Australia.</w:t>
            </w:r>
          </w:p>
        </w:tc>
        <w:tc>
          <w:tcPr>
            <w:tcW w:w="432" w:type="pct"/>
            <w:tcBorders>
              <w:top w:val="single" w:sz="4" w:space="0" w:color="008089" w:themeColor="accent2"/>
              <w:left w:val="nil"/>
              <w:bottom w:val="single" w:sz="4" w:space="0" w:color="008089" w:themeColor="accent2"/>
              <w:right w:val="nil"/>
            </w:tcBorders>
            <w:shd w:val="clear" w:color="auto" w:fill="auto"/>
          </w:tcPr>
          <w:p w14:paraId="5AFCF401"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Mix</w:t>
            </w:r>
          </w:p>
        </w:tc>
      </w:tr>
      <w:tr w:rsidR="00DF628D" w:rsidRPr="00BC40F9" w14:paraId="00DF8866" w14:textId="77777777" w:rsidTr="00425490">
        <w:trPr>
          <w:cantSplit/>
        </w:trPr>
        <w:tc>
          <w:tcPr>
            <w:cnfStyle w:val="001000000000" w:firstRow="0" w:lastRow="0" w:firstColumn="1" w:lastColumn="0" w:oddVBand="0" w:evenVBand="0" w:oddHBand="0" w:evenHBand="0" w:firstRowFirstColumn="0" w:firstRowLastColumn="0" w:lastRowFirstColumn="0" w:lastRowLastColumn="0"/>
            <w:tcW w:w="795" w:type="pct"/>
            <w:vMerge/>
            <w:tcBorders>
              <w:left w:val="nil"/>
              <w:right w:val="nil"/>
            </w:tcBorders>
            <w:shd w:val="clear" w:color="auto" w:fill="auto"/>
          </w:tcPr>
          <w:p w14:paraId="18E0B853" w14:textId="77777777" w:rsidR="00DF628D" w:rsidRPr="00C830B7" w:rsidRDefault="00DF628D" w:rsidP="00425490">
            <w:pPr>
              <w:keepNext/>
              <w:spacing w:before="60" w:after="60"/>
              <w:rPr>
                <w:rFonts w:cstheme="minorHAnsi"/>
                <w:sz w:val="20"/>
                <w:szCs w:val="20"/>
              </w:rPr>
            </w:pPr>
          </w:p>
        </w:tc>
        <w:tc>
          <w:tcPr>
            <w:tcW w:w="1886" w:type="pct"/>
            <w:tcBorders>
              <w:left w:val="nil"/>
              <w:right w:val="nil"/>
            </w:tcBorders>
            <w:shd w:val="clear" w:color="auto" w:fill="auto"/>
          </w:tcPr>
          <w:p w14:paraId="000C0C44"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race in the Fédération Internationale de </w:t>
            </w:r>
            <w:proofErr w:type="spellStart"/>
            <w:r w:rsidRPr="001538AF">
              <w:rPr>
                <w:color w:val="auto"/>
                <w:sz w:val="20"/>
                <w:szCs w:val="20"/>
              </w:rPr>
              <w:t>Motocyclisme</w:t>
            </w:r>
            <w:proofErr w:type="spellEnd"/>
            <w:r w:rsidRPr="001538AF">
              <w:rPr>
                <w:color w:val="auto"/>
                <w:sz w:val="20"/>
                <w:szCs w:val="20"/>
              </w:rPr>
              <w:t xml:space="preserve"> MotoGP World Championship held in Australia.</w:t>
            </w:r>
          </w:p>
        </w:tc>
        <w:tc>
          <w:tcPr>
            <w:tcW w:w="1886" w:type="pct"/>
            <w:tcBorders>
              <w:top w:val="single" w:sz="4" w:space="0" w:color="008089" w:themeColor="accent2"/>
              <w:left w:val="nil"/>
              <w:bottom w:val="single" w:sz="4" w:space="0" w:color="008089" w:themeColor="accent2"/>
              <w:right w:val="nil"/>
            </w:tcBorders>
            <w:shd w:val="clear" w:color="auto" w:fill="auto"/>
          </w:tcPr>
          <w:p w14:paraId="693F4473"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race in the Fédération Internationale de </w:t>
            </w:r>
            <w:proofErr w:type="spellStart"/>
            <w:r w:rsidRPr="001538AF">
              <w:rPr>
                <w:color w:val="auto"/>
                <w:sz w:val="20"/>
                <w:szCs w:val="20"/>
              </w:rPr>
              <w:t>Motocyclisme</w:t>
            </w:r>
            <w:proofErr w:type="spellEnd"/>
            <w:r w:rsidRPr="001538AF">
              <w:rPr>
                <w:color w:val="auto"/>
                <w:sz w:val="20"/>
                <w:szCs w:val="20"/>
              </w:rPr>
              <w:t xml:space="preserve"> MotoGP World Championship held in Australia.</w:t>
            </w:r>
          </w:p>
        </w:tc>
        <w:tc>
          <w:tcPr>
            <w:tcW w:w="432" w:type="pct"/>
            <w:tcBorders>
              <w:top w:val="single" w:sz="4" w:space="0" w:color="008089" w:themeColor="accent2"/>
              <w:left w:val="nil"/>
              <w:bottom w:val="single" w:sz="4" w:space="0" w:color="008089" w:themeColor="accent2"/>
              <w:right w:val="nil"/>
            </w:tcBorders>
            <w:shd w:val="clear" w:color="auto" w:fill="auto"/>
          </w:tcPr>
          <w:p w14:paraId="3B31CF03" w14:textId="77777777" w:rsidR="00DF628D" w:rsidRPr="001538AF" w:rsidRDefault="00DF628D"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Mix</w:t>
            </w:r>
          </w:p>
        </w:tc>
      </w:tr>
      <w:tr w:rsidR="00DF628D" w:rsidRPr="00BC40F9" w14:paraId="4459A2EC" w14:textId="77777777" w:rsidTr="0081686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5" w:type="pct"/>
            <w:vMerge/>
            <w:tcBorders>
              <w:left w:val="nil"/>
              <w:bottom w:val="single" w:sz="4" w:space="0" w:color="008089" w:themeColor="accent2"/>
              <w:right w:val="nil"/>
            </w:tcBorders>
            <w:shd w:val="clear" w:color="auto" w:fill="auto"/>
          </w:tcPr>
          <w:p w14:paraId="1A807086" w14:textId="77777777" w:rsidR="00DF628D" w:rsidRPr="00C830B7" w:rsidRDefault="00DF628D" w:rsidP="00425490">
            <w:pPr>
              <w:keepNext/>
              <w:spacing w:before="60" w:after="60"/>
              <w:rPr>
                <w:rFonts w:cstheme="minorHAnsi"/>
                <w:sz w:val="20"/>
                <w:szCs w:val="20"/>
              </w:rPr>
            </w:pPr>
          </w:p>
        </w:tc>
        <w:tc>
          <w:tcPr>
            <w:tcW w:w="1886" w:type="pct"/>
            <w:tcBorders>
              <w:left w:val="nil"/>
              <w:bottom w:val="single" w:sz="4" w:space="0" w:color="008089" w:themeColor="accent2"/>
              <w:right w:val="nil"/>
            </w:tcBorders>
            <w:shd w:val="clear" w:color="auto" w:fill="auto"/>
          </w:tcPr>
          <w:p w14:paraId="4C697263"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Bathurst 1000 race in the Supercars Championship.</w:t>
            </w:r>
          </w:p>
        </w:tc>
        <w:tc>
          <w:tcPr>
            <w:tcW w:w="1886" w:type="pct"/>
            <w:tcBorders>
              <w:top w:val="single" w:sz="4" w:space="0" w:color="008089" w:themeColor="accent2"/>
              <w:left w:val="nil"/>
              <w:bottom w:val="single" w:sz="4" w:space="0" w:color="008089" w:themeColor="accent2"/>
              <w:right w:val="nil"/>
            </w:tcBorders>
            <w:shd w:val="clear" w:color="auto" w:fill="auto"/>
          </w:tcPr>
          <w:p w14:paraId="04561DAB"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Bathurst 1000 race in the Supercars Championship.</w:t>
            </w:r>
          </w:p>
        </w:tc>
        <w:tc>
          <w:tcPr>
            <w:tcW w:w="432" w:type="pct"/>
            <w:tcBorders>
              <w:top w:val="single" w:sz="4" w:space="0" w:color="008089" w:themeColor="accent2"/>
              <w:left w:val="nil"/>
              <w:bottom w:val="single" w:sz="4" w:space="0" w:color="008089" w:themeColor="accent2"/>
              <w:right w:val="nil"/>
            </w:tcBorders>
            <w:shd w:val="clear" w:color="auto" w:fill="auto"/>
          </w:tcPr>
          <w:p w14:paraId="76BCCEE2" w14:textId="77777777" w:rsidR="00DF628D" w:rsidRPr="001538AF" w:rsidRDefault="00DF628D"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Mix</w:t>
            </w:r>
          </w:p>
        </w:tc>
      </w:tr>
    </w:tbl>
    <w:p w14:paraId="3DCC0416" w14:textId="77777777" w:rsidR="00425490" w:rsidRDefault="00425490" w:rsidP="00DF628D">
      <w:pPr>
        <w:pStyle w:val="ListParagraph"/>
        <w:ind w:left="360"/>
        <w:contextualSpacing w:val="0"/>
        <w:rPr>
          <w:rFonts w:cstheme="minorHAnsi"/>
          <w:color w:val="auto"/>
          <w:sz w:val="18"/>
          <w:szCs w:val="18"/>
          <w:shd w:val="clear" w:color="auto" w:fill="FFFFFF"/>
        </w:rPr>
      </w:pPr>
    </w:p>
    <w:tbl>
      <w:tblPr>
        <w:tblStyle w:val="DefaultTable1"/>
        <w:tblW w:w="0" w:type="auto"/>
        <w:tblLook w:val="04A0" w:firstRow="1" w:lastRow="0" w:firstColumn="1" w:lastColumn="0" w:noHBand="0" w:noVBand="1"/>
      </w:tblPr>
      <w:tblGrid>
        <w:gridCol w:w="1040"/>
        <w:gridCol w:w="1347"/>
      </w:tblGrid>
      <w:tr w:rsidR="00DD42BB" w:rsidRPr="00BB227D" w14:paraId="76326BF8" w14:textId="77777777" w:rsidTr="00DD4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gridSpan w:val="2"/>
          </w:tcPr>
          <w:p w14:paraId="56C59D5A" w14:textId="77777777" w:rsidR="00DD42BB" w:rsidRPr="00BB227D" w:rsidRDefault="00DD42BB" w:rsidP="00DD42BB">
            <w:pPr>
              <w:spacing w:before="0" w:after="0"/>
              <w:rPr>
                <w:b w:val="0"/>
                <w:sz w:val="18"/>
                <w:szCs w:val="18"/>
              </w:rPr>
            </w:pPr>
            <w:r w:rsidRPr="00BB227D">
              <w:rPr>
                <w:sz w:val="18"/>
                <w:szCs w:val="18"/>
              </w:rPr>
              <w:t>Key</w:t>
            </w:r>
          </w:p>
        </w:tc>
      </w:tr>
      <w:tr w:rsidR="00DD42BB" w:rsidRPr="00BB227D" w14:paraId="4D3322EF" w14:textId="77777777" w:rsidTr="006649CF">
        <w:tc>
          <w:tcPr>
            <w:cnfStyle w:val="001000000000" w:firstRow="0" w:lastRow="0" w:firstColumn="1" w:lastColumn="0" w:oddVBand="0" w:evenVBand="0" w:oddHBand="0" w:evenHBand="0" w:firstRowFirstColumn="0" w:firstRowLastColumn="0" w:lastRowFirstColumn="0" w:lastRowLastColumn="0"/>
            <w:tcW w:w="0" w:type="dxa"/>
            <w:shd w:val="clear" w:color="auto" w:fill="D7E5FA" w:themeFill="accent1" w:themeFillTint="1A"/>
          </w:tcPr>
          <w:p w14:paraId="076506FA" w14:textId="77777777" w:rsidR="00DD42BB" w:rsidRPr="00BB227D" w:rsidRDefault="00DD42BB" w:rsidP="00DD42BB">
            <w:pPr>
              <w:spacing w:before="0" w:after="0"/>
              <w:rPr>
                <w:b w:val="0"/>
                <w:sz w:val="18"/>
                <w:szCs w:val="18"/>
              </w:rPr>
            </w:pPr>
            <w:r w:rsidRPr="00BB227D">
              <w:rPr>
                <w:sz w:val="18"/>
                <w:szCs w:val="18"/>
              </w:rPr>
              <w:t>Acronym</w:t>
            </w:r>
          </w:p>
        </w:tc>
        <w:tc>
          <w:tcPr>
            <w:tcW w:w="0" w:type="dxa"/>
            <w:shd w:val="clear" w:color="auto" w:fill="D7E5FA" w:themeFill="accent1" w:themeFillTint="1A"/>
          </w:tcPr>
          <w:p w14:paraId="49C95E4A" w14:textId="77777777" w:rsidR="00DD42BB" w:rsidRPr="00BB227D" w:rsidRDefault="00DD42BB" w:rsidP="00DD42BB">
            <w:pPr>
              <w:spacing w:before="0" w:after="0"/>
              <w:cnfStyle w:val="000000000000" w:firstRow="0" w:lastRow="0" w:firstColumn="0" w:lastColumn="0" w:oddVBand="0" w:evenVBand="0" w:oddHBand="0" w:evenHBand="0" w:firstRowFirstColumn="0" w:firstRowLastColumn="0" w:lastRowFirstColumn="0" w:lastRowLastColumn="0"/>
              <w:rPr>
                <w:b/>
                <w:sz w:val="18"/>
                <w:szCs w:val="18"/>
              </w:rPr>
            </w:pPr>
            <w:r w:rsidRPr="00BB227D">
              <w:rPr>
                <w:b/>
                <w:sz w:val="18"/>
                <w:szCs w:val="18"/>
              </w:rPr>
              <w:t>Meaning</w:t>
            </w:r>
          </w:p>
        </w:tc>
      </w:tr>
      <w:tr w:rsidR="00DD42BB" w:rsidRPr="00BB227D" w14:paraId="41FF4644" w14:textId="77777777" w:rsidTr="00DD42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dxa"/>
          </w:tcPr>
          <w:p w14:paraId="3DD013CD" w14:textId="77777777" w:rsidR="00DD42BB" w:rsidRPr="00BB227D" w:rsidRDefault="00DD42BB" w:rsidP="00DD42BB">
            <w:pPr>
              <w:spacing w:before="0" w:after="0"/>
              <w:rPr>
                <w:sz w:val="18"/>
                <w:szCs w:val="18"/>
              </w:rPr>
            </w:pPr>
            <w:r w:rsidRPr="00BB227D">
              <w:rPr>
                <w:sz w:val="18"/>
                <w:szCs w:val="18"/>
              </w:rPr>
              <w:t>M</w:t>
            </w:r>
          </w:p>
        </w:tc>
        <w:tc>
          <w:tcPr>
            <w:tcW w:w="1347" w:type="dxa"/>
          </w:tcPr>
          <w:p w14:paraId="7294654E" w14:textId="77777777" w:rsidR="00DD42BB" w:rsidRPr="00BB227D" w:rsidRDefault="00DD42BB" w:rsidP="00DD42BB">
            <w:pPr>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BB227D">
              <w:rPr>
                <w:sz w:val="18"/>
                <w:szCs w:val="18"/>
              </w:rPr>
              <w:t>Men’s</w:t>
            </w:r>
          </w:p>
        </w:tc>
      </w:tr>
      <w:tr w:rsidR="00DD42BB" w:rsidRPr="00BB227D" w14:paraId="3EE05388" w14:textId="77777777" w:rsidTr="00DD42BB">
        <w:tc>
          <w:tcPr>
            <w:cnfStyle w:val="001000000000" w:firstRow="0" w:lastRow="0" w:firstColumn="1" w:lastColumn="0" w:oddVBand="0" w:evenVBand="0" w:oddHBand="0" w:evenHBand="0" w:firstRowFirstColumn="0" w:firstRowLastColumn="0" w:lastRowFirstColumn="0" w:lastRowLastColumn="0"/>
            <w:tcW w:w="1040" w:type="dxa"/>
          </w:tcPr>
          <w:p w14:paraId="79376BF3" w14:textId="77777777" w:rsidR="00DD42BB" w:rsidRPr="00BB227D" w:rsidRDefault="00DD42BB" w:rsidP="00DD42BB">
            <w:pPr>
              <w:spacing w:before="0" w:after="0"/>
              <w:rPr>
                <w:sz w:val="18"/>
                <w:szCs w:val="18"/>
              </w:rPr>
            </w:pPr>
            <w:r w:rsidRPr="00BB227D">
              <w:rPr>
                <w:sz w:val="18"/>
                <w:szCs w:val="18"/>
              </w:rPr>
              <w:t>W</w:t>
            </w:r>
          </w:p>
        </w:tc>
        <w:tc>
          <w:tcPr>
            <w:tcW w:w="1347" w:type="dxa"/>
          </w:tcPr>
          <w:p w14:paraId="5E3553E5" w14:textId="77777777" w:rsidR="00DD42BB" w:rsidRPr="00BB227D" w:rsidRDefault="00DD42BB" w:rsidP="00DD42B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B227D">
              <w:rPr>
                <w:sz w:val="18"/>
                <w:szCs w:val="18"/>
              </w:rPr>
              <w:t>Women’s</w:t>
            </w:r>
          </w:p>
        </w:tc>
      </w:tr>
      <w:tr w:rsidR="00DD42BB" w:rsidRPr="00BB227D" w14:paraId="0F3359D1" w14:textId="77777777" w:rsidTr="00DD42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dxa"/>
          </w:tcPr>
          <w:p w14:paraId="3EF14BFE" w14:textId="77777777" w:rsidR="00DD42BB" w:rsidRPr="00BB227D" w:rsidRDefault="00DD42BB" w:rsidP="00DD42BB">
            <w:pPr>
              <w:spacing w:before="0" w:after="0"/>
              <w:rPr>
                <w:sz w:val="18"/>
                <w:szCs w:val="18"/>
              </w:rPr>
            </w:pPr>
            <w:r w:rsidRPr="00BB227D">
              <w:rPr>
                <w:sz w:val="18"/>
                <w:szCs w:val="18"/>
              </w:rPr>
              <w:t>Mix</w:t>
            </w:r>
          </w:p>
        </w:tc>
        <w:tc>
          <w:tcPr>
            <w:tcW w:w="1347" w:type="dxa"/>
          </w:tcPr>
          <w:p w14:paraId="49FD22F8" w14:textId="77777777" w:rsidR="00DD42BB" w:rsidRPr="00BB227D" w:rsidRDefault="00DD42BB" w:rsidP="00DD42BB">
            <w:pPr>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BB227D">
              <w:rPr>
                <w:sz w:val="18"/>
                <w:szCs w:val="18"/>
              </w:rPr>
              <w:t>Mixed/Open</w:t>
            </w:r>
          </w:p>
        </w:tc>
      </w:tr>
    </w:tbl>
    <w:p w14:paraId="4009529C" w14:textId="77777777" w:rsidR="00425490" w:rsidRDefault="00425490">
      <w:pPr>
        <w:rPr>
          <w:rFonts w:cstheme="minorHAnsi"/>
          <w:color w:val="auto"/>
          <w:sz w:val="18"/>
          <w:szCs w:val="18"/>
          <w:shd w:val="clear" w:color="auto" w:fill="FFFFFF"/>
        </w:rPr>
      </w:pPr>
      <w:r>
        <w:rPr>
          <w:rFonts w:cstheme="minorHAnsi"/>
          <w:color w:val="auto"/>
          <w:sz w:val="18"/>
          <w:szCs w:val="18"/>
          <w:shd w:val="clear" w:color="auto" w:fill="FFFFFF"/>
        </w:rPr>
        <w:br w:type="page"/>
      </w:r>
    </w:p>
    <w:p w14:paraId="40B3008A" w14:textId="77777777" w:rsidR="00425490" w:rsidRPr="00270507" w:rsidRDefault="00425490" w:rsidP="00657D06">
      <w:pPr>
        <w:pStyle w:val="Heading1"/>
        <w:suppressAutoHyphens/>
        <w:jc w:val="right"/>
      </w:pPr>
      <w:bookmarkStart w:id="267" w:name="_Toc141369814"/>
      <w:bookmarkStart w:id="268" w:name="_Toc143265605"/>
      <w:r w:rsidRPr="00270507">
        <w:lastRenderedPageBreak/>
        <w:t xml:space="preserve">Attachment </w:t>
      </w:r>
      <w:r w:rsidR="00270507">
        <w:t>B</w:t>
      </w:r>
      <w:bookmarkEnd w:id="267"/>
      <w:bookmarkEnd w:id="268"/>
    </w:p>
    <w:p w14:paraId="2E288E1E" w14:textId="77777777" w:rsidR="00425490" w:rsidRPr="003A0AB1" w:rsidRDefault="00425490" w:rsidP="00657D06">
      <w:pPr>
        <w:pStyle w:val="Heading1"/>
        <w:suppressAutoHyphens/>
        <w:rPr>
          <w:color w:val="6D7989" w:themeColor="accent4" w:themeShade="BF"/>
          <w:sz w:val="36"/>
          <w:szCs w:val="26"/>
        </w:rPr>
      </w:pPr>
      <w:bookmarkStart w:id="269" w:name="_Toc143265606"/>
      <w:bookmarkStart w:id="270" w:name="_Toc141369815"/>
      <w:r w:rsidRPr="003A0AB1">
        <w:rPr>
          <w:color w:val="6D7989" w:themeColor="accent4" w:themeShade="BF"/>
          <w:sz w:val="36"/>
          <w:szCs w:val="26"/>
        </w:rPr>
        <w:t>List 2: the modernised list</w:t>
      </w:r>
      <w:bookmarkEnd w:id="269"/>
    </w:p>
    <w:bookmarkEnd w:id="270"/>
    <w:p w14:paraId="64E0E286" w14:textId="77777777" w:rsidR="00425490" w:rsidRPr="00182A71" w:rsidRDefault="00425490" w:rsidP="00425490">
      <w:pPr>
        <w:pStyle w:val="Introduction"/>
        <w:spacing w:before="0" w:after="0"/>
        <w:rPr>
          <w:b/>
          <w:color w:val="000000" w:themeColor="text1"/>
          <w:sz w:val="22"/>
          <w:lang w:val="en-AU"/>
        </w:rPr>
      </w:pPr>
    </w:p>
    <w:tbl>
      <w:tblPr>
        <w:tblStyle w:val="DefaultTable11"/>
        <w:tblW w:w="4973" w:type="pct"/>
        <w:tblInd w:w="0" w:type="dxa"/>
        <w:tblLook w:val="04A0" w:firstRow="1" w:lastRow="0" w:firstColumn="1" w:lastColumn="0" w:noHBand="0" w:noVBand="1"/>
      </w:tblPr>
      <w:tblGrid>
        <w:gridCol w:w="1768"/>
        <w:gridCol w:w="5564"/>
        <w:gridCol w:w="5567"/>
        <w:gridCol w:w="1986"/>
      </w:tblGrid>
      <w:tr w:rsidR="00425490" w14:paraId="19452C3B" w14:textId="77777777" w:rsidTr="004254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 w:type="pct"/>
            <w:tcBorders>
              <w:left w:val="nil"/>
              <w:right w:val="nil"/>
            </w:tcBorders>
            <w:hideMark/>
          </w:tcPr>
          <w:p w14:paraId="225F0F6A" w14:textId="77777777" w:rsidR="00425490" w:rsidRPr="00B6343E" w:rsidRDefault="00425490" w:rsidP="00425490">
            <w:pPr>
              <w:rPr>
                <w:sz w:val="20"/>
                <w:szCs w:val="20"/>
              </w:rPr>
            </w:pPr>
            <w:bookmarkStart w:id="271" w:name="_Hlk140844588"/>
            <w:r w:rsidRPr="00B6343E">
              <w:rPr>
                <w:sz w:val="20"/>
                <w:szCs w:val="20"/>
              </w:rPr>
              <w:t>Sport</w:t>
            </w:r>
          </w:p>
        </w:tc>
        <w:tc>
          <w:tcPr>
            <w:tcW w:w="1869" w:type="pct"/>
            <w:tcBorders>
              <w:left w:val="nil"/>
              <w:right w:val="nil"/>
            </w:tcBorders>
          </w:tcPr>
          <w:p w14:paraId="33DF1C17" w14:textId="77777777" w:rsidR="00425490" w:rsidRDefault="00425490" w:rsidP="0042549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Current List</w:t>
            </w:r>
          </w:p>
        </w:tc>
        <w:tc>
          <w:tcPr>
            <w:tcW w:w="1870" w:type="pct"/>
            <w:tcBorders>
              <w:left w:val="nil"/>
              <w:right w:val="nil"/>
            </w:tcBorders>
            <w:hideMark/>
          </w:tcPr>
          <w:p w14:paraId="11457C3E" w14:textId="77777777" w:rsidR="00425490" w:rsidRPr="00B6343E" w:rsidRDefault="00425490" w:rsidP="0042549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Modernised list</w:t>
            </w:r>
          </w:p>
        </w:tc>
        <w:tc>
          <w:tcPr>
            <w:tcW w:w="667" w:type="pct"/>
            <w:tcBorders>
              <w:left w:val="nil"/>
              <w:right w:val="nil"/>
            </w:tcBorders>
          </w:tcPr>
          <w:p w14:paraId="31BC20DA" w14:textId="77777777" w:rsidR="00425490" w:rsidRPr="00B6343E" w:rsidRDefault="00425490" w:rsidP="0042549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Gender </w:t>
            </w:r>
          </w:p>
        </w:tc>
      </w:tr>
      <w:tr w:rsidR="00425490" w:rsidRPr="00BC40F9" w14:paraId="2508F15B" w14:textId="77777777" w:rsidTr="00425490">
        <w:tc>
          <w:tcPr>
            <w:cnfStyle w:val="001000000000" w:firstRow="0" w:lastRow="0" w:firstColumn="1" w:lastColumn="0" w:oddVBand="0" w:evenVBand="0" w:oddHBand="0" w:evenHBand="0" w:firstRowFirstColumn="0" w:firstRowLastColumn="0" w:lastRowFirstColumn="0" w:lastRowLastColumn="0"/>
            <w:tcW w:w="594" w:type="pct"/>
            <w:vMerge w:val="restart"/>
            <w:tcBorders>
              <w:top w:val="single" w:sz="4" w:space="0" w:color="008089" w:themeColor="accent2"/>
              <w:left w:val="nil"/>
              <w:right w:val="nil"/>
            </w:tcBorders>
            <w:shd w:val="clear" w:color="auto" w:fill="auto"/>
            <w:hideMark/>
          </w:tcPr>
          <w:p w14:paraId="0DBE8F88" w14:textId="77777777" w:rsidR="00425490" w:rsidRPr="00B6343E" w:rsidRDefault="00425490" w:rsidP="00425490">
            <w:pPr>
              <w:spacing w:before="60" w:after="60"/>
              <w:rPr>
                <w:sz w:val="20"/>
                <w:szCs w:val="20"/>
              </w:rPr>
            </w:pPr>
            <w:r w:rsidRPr="00B6343E">
              <w:rPr>
                <w:sz w:val="20"/>
                <w:szCs w:val="20"/>
              </w:rPr>
              <w:t>Olympic Games</w:t>
            </w:r>
          </w:p>
        </w:tc>
        <w:tc>
          <w:tcPr>
            <w:tcW w:w="1869" w:type="pct"/>
            <w:tcBorders>
              <w:top w:val="single" w:sz="4" w:space="0" w:color="008089" w:themeColor="accent2"/>
              <w:left w:val="nil"/>
              <w:right w:val="nil"/>
            </w:tcBorders>
            <w:shd w:val="clear" w:color="auto" w:fill="auto"/>
          </w:tcPr>
          <w:p w14:paraId="6294FB71"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event that is held as part of the Summer Olympic Games, including the Opening and Closing Ceremonies.</w:t>
            </w:r>
          </w:p>
        </w:tc>
        <w:tc>
          <w:tcPr>
            <w:tcW w:w="1870" w:type="pct"/>
            <w:tcBorders>
              <w:top w:val="single" w:sz="4" w:space="0" w:color="008089" w:themeColor="accent2"/>
              <w:left w:val="nil"/>
              <w:bottom w:val="single" w:sz="4" w:space="0" w:color="008089" w:themeColor="accent2"/>
              <w:right w:val="nil"/>
            </w:tcBorders>
            <w:shd w:val="clear" w:color="auto" w:fill="auto"/>
            <w:hideMark/>
          </w:tcPr>
          <w:p w14:paraId="087F103F"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noProof/>
                <w:color w:val="auto"/>
                <w:sz w:val="20"/>
                <w:szCs w:val="20"/>
              </w:rPr>
              <mc:AlternateContent>
                <mc:Choice Requires="wps">
                  <w:drawing>
                    <wp:anchor distT="0" distB="0" distL="114300" distR="114300" simplePos="0" relativeHeight="251658243" behindDoc="0" locked="0" layoutInCell="1" allowOverlap="1" wp14:anchorId="03F5F6A8" wp14:editId="0E0430F3">
                      <wp:simplePos x="0" y="0"/>
                      <wp:positionH relativeFrom="column">
                        <wp:posOffset>1440033</wp:posOffset>
                      </wp:positionH>
                      <wp:positionV relativeFrom="paragraph">
                        <wp:posOffset>-186690</wp:posOffset>
                      </wp:positionV>
                      <wp:extent cx="1359535" cy="127000"/>
                      <wp:effectExtent l="0" t="19050" r="31115" b="44450"/>
                      <wp:wrapNone/>
                      <wp:docPr id="2" name="Arrow: Right 2"/>
                      <wp:cNvGraphicFramePr/>
                      <a:graphic xmlns:a="http://schemas.openxmlformats.org/drawingml/2006/main">
                        <a:graphicData uri="http://schemas.microsoft.com/office/word/2010/wordprocessingShape">
                          <wps:wsp>
                            <wps:cNvSpPr/>
                            <wps:spPr>
                              <a:xfrm>
                                <a:off x="0" y="0"/>
                                <a:ext cx="1359535" cy="12700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1C230" id="Arrow: Right 2" o:spid="_x0000_s1026" type="#_x0000_t13" style="position:absolute;margin-left:113.4pt;margin-top:-14.7pt;width:107.05pt;height:1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" adj="20591" fillcolor="white [3212]" strokecolor="#040e1e [1604]" strokeweight="1pt"/>
                  </w:pict>
                </mc:Fallback>
              </mc:AlternateContent>
            </w:r>
            <w:r w:rsidRPr="001538AF">
              <w:rPr>
                <w:color w:val="auto"/>
                <w:sz w:val="20"/>
                <w:szCs w:val="20"/>
              </w:rPr>
              <w:t>Each event that is held as part of the Summer Olympic Games, including the Opening and Closing Ceremonies.</w:t>
            </w:r>
          </w:p>
        </w:tc>
        <w:tc>
          <w:tcPr>
            <w:tcW w:w="667" w:type="pct"/>
            <w:tcBorders>
              <w:top w:val="single" w:sz="4" w:space="0" w:color="008089" w:themeColor="accent2"/>
              <w:left w:val="nil"/>
              <w:bottom w:val="single" w:sz="4" w:space="0" w:color="008089" w:themeColor="accent2"/>
              <w:right w:val="nil"/>
            </w:tcBorders>
          </w:tcPr>
          <w:p w14:paraId="0D9EED79"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&amp; W, Mix</w:t>
            </w:r>
          </w:p>
        </w:tc>
      </w:tr>
      <w:tr w:rsidR="00425490" w:rsidRPr="00BC40F9" w14:paraId="7BC0671D"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632004F3" w14:textId="77777777" w:rsidR="00425490" w:rsidRPr="00B6343E" w:rsidRDefault="00425490" w:rsidP="00425490">
            <w:pPr>
              <w:spacing w:before="60" w:after="60"/>
              <w:rPr>
                <w:sz w:val="20"/>
                <w:szCs w:val="20"/>
              </w:rPr>
            </w:pPr>
          </w:p>
        </w:tc>
        <w:tc>
          <w:tcPr>
            <w:tcW w:w="1869" w:type="pct"/>
            <w:tcBorders>
              <w:left w:val="nil"/>
              <w:right w:val="nil"/>
            </w:tcBorders>
            <w:shd w:val="clear" w:color="auto" w:fill="auto"/>
          </w:tcPr>
          <w:p w14:paraId="5E6AD6C3"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1870" w:type="pct"/>
            <w:tcBorders>
              <w:top w:val="single" w:sz="4" w:space="0" w:color="008089" w:themeColor="accent2"/>
              <w:left w:val="nil"/>
              <w:bottom w:val="single" w:sz="4" w:space="0" w:color="008089" w:themeColor="accent2"/>
              <w:right w:val="nil"/>
            </w:tcBorders>
            <w:shd w:val="clear" w:color="auto" w:fill="auto"/>
          </w:tcPr>
          <w:p w14:paraId="43BDD3AD"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FE2F5C">
              <w:rPr>
                <w:color w:val="auto"/>
                <w:sz w:val="20"/>
                <w:szCs w:val="20"/>
              </w:rPr>
              <w:t>Each event that is held as part of the Summer Paralympic Games, including the Opening and Closing Ceremonies.</w:t>
            </w:r>
          </w:p>
        </w:tc>
        <w:tc>
          <w:tcPr>
            <w:tcW w:w="667" w:type="pct"/>
            <w:tcBorders>
              <w:top w:val="single" w:sz="4" w:space="0" w:color="008089" w:themeColor="accent2"/>
              <w:left w:val="nil"/>
              <w:bottom w:val="single" w:sz="4" w:space="0" w:color="008089" w:themeColor="accent2"/>
              <w:right w:val="nil"/>
            </w:tcBorders>
            <w:shd w:val="clear" w:color="auto" w:fill="auto"/>
          </w:tcPr>
          <w:p w14:paraId="646E6FB5"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FE2F5C">
              <w:rPr>
                <w:color w:val="auto"/>
                <w:sz w:val="20"/>
                <w:szCs w:val="20"/>
              </w:rPr>
              <w:t>M &amp; W</w:t>
            </w:r>
            <w:r>
              <w:rPr>
                <w:color w:val="auto"/>
                <w:sz w:val="20"/>
                <w:szCs w:val="20"/>
              </w:rPr>
              <w:t>, Mix</w:t>
            </w:r>
          </w:p>
        </w:tc>
      </w:tr>
      <w:tr w:rsidR="00425490" w:rsidRPr="00BC40F9" w14:paraId="6B5B029A" w14:textId="77777777" w:rsidTr="00425490">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1F40C71D" w14:textId="77777777" w:rsidR="00425490" w:rsidRPr="00B6343E" w:rsidRDefault="00425490" w:rsidP="00425490">
            <w:pPr>
              <w:spacing w:before="60" w:after="60"/>
              <w:rPr>
                <w:sz w:val="20"/>
                <w:szCs w:val="20"/>
              </w:rPr>
            </w:pPr>
          </w:p>
        </w:tc>
        <w:tc>
          <w:tcPr>
            <w:tcW w:w="1869" w:type="pct"/>
            <w:tcBorders>
              <w:left w:val="nil"/>
              <w:right w:val="nil"/>
            </w:tcBorders>
            <w:shd w:val="clear" w:color="auto" w:fill="auto"/>
          </w:tcPr>
          <w:p w14:paraId="13235584"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event that is held as part of the Winter Olympic Games, including the Opening and Closing Ceremonies.</w:t>
            </w:r>
          </w:p>
        </w:tc>
        <w:tc>
          <w:tcPr>
            <w:tcW w:w="1870" w:type="pct"/>
            <w:tcBorders>
              <w:top w:val="single" w:sz="4" w:space="0" w:color="008089" w:themeColor="accent2"/>
              <w:left w:val="nil"/>
              <w:bottom w:val="single" w:sz="4" w:space="0" w:color="008089" w:themeColor="accent2"/>
              <w:right w:val="nil"/>
            </w:tcBorders>
            <w:shd w:val="clear" w:color="auto" w:fill="auto"/>
          </w:tcPr>
          <w:p w14:paraId="4D946259"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event that is held as part of the Winter Olympic Games, including the Opening and Closing Ceremonies.</w:t>
            </w:r>
          </w:p>
        </w:tc>
        <w:tc>
          <w:tcPr>
            <w:tcW w:w="667" w:type="pct"/>
            <w:tcBorders>
              <w:top w:val="single" w:sz="4" w:space="0" w:color="008089" w:themeColor="accent2"/>
              <w:left w:val="nil"/>
              <w:bottom w:val="single" w:sz="4" w:space="0" w:color="008089" w:themeColor="accent2"/>
              <w:right w:val="nil"/>
            </w:tcBorders>
            <w:shd w:val="clear" w:color="auto" w:fill="auto"/>
          </w:tcPr>
          <w:p w14:paraId="508DCF6A"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&amp; W, Mix</w:t>
            </w:r>
          </w:p>
        </w:tc>
      </w:tr>
      <w:tr w:rsidR="00425490" w:rsidRPr="00BC40F9" w14:paraId="01C46190" w14:textId="77777777" w:rsidTr="00E40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tcBorders>
              <w:top w:val="single" w:sz="4" w:space="0" w:color="008089" w:themeColor="accent2"/>
              <w:left w:val="nil"/>
              <w:bottom w:val="single" w:sz="4" w:space="0" w:color="008089" w:themeColor="accent2"/>
              <w:right w:val="nil"/>
            </w:tcBorders>
            <w:hideMark/>
          </w:tcPr>
          <w:p w14:paraId="1D7FB9C5" w14:textId="77777777" w:rsidR="00425490" w:rsidRPr="00B6343E" w:rsidRDefault="00425490" w:rsidP="00425490">
            <w:pPr>
              <w:spacing w:before="60" w:after="60"/>
              <w:rPr>
                <w:sz w:val="20"/>
                <w:szCs w:val="20"/>
              </w:rPr>
            </w:pPr>
            <w:r w:rsidRPr="00B6343E">
              <w:rPr>
                <w:sz w:val="20"/>
                <w:szCs w:val="20"/>
              </w:rPr>
              <w:t>Commonwealth Games</w:t>
            </w:r>
          </w:p>
        </w:tc>
        <w:tc>
          <w:tcPr>
            <w:tcW w:w="1869" w:type="pct"/>
            <w:tcBorders>
              <w:top w:val="single" w:sz="4" w:space="0" w:color="008089" w:themeColor="accent2"/>
              <w:left w:val="nil"/>
              <w:bottom w:val="single" w:sz="4" w:space="0" w:color="008089" w:themeColor="accent2"/>
              <w:right w:val="nil"/>
            </w:tcBorders>
          </w:tcPr>
          <w:p w14:paraId="48067CBA"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event held as part of the Commonwealth Games, including the Opening Ceremony and the Closing Ceremony.</w:t>
            </w:r>
          </w:p>
        </w:tc>
        <w:tc>
          <w:tcPr>
            <w:tcW w:w="1870" w:type="pct"/>
            <w:tcBorders>
              <w:top w:val="single" w:sz="4" w:space="0" w:color="008089" w:themeColor="accent2"/>
              <w:left w:val="nil"/>
              <w:bottom w:val="single" w:sz="4" w:space="0" w:color="008089" w:themeColor="accent2"/>
              <w:right w:val="nil"/>
            </w:tcBorders>
            <w:hideMark/>
          </w:tcPr>
          <w:p w14:paraId="3BEBD452"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event held as part of the Commonwealth Games, including the Opening Ceremony and the Closing Ceremony.</w:t>
            </w:r>
          </w:p>
        </w:tc>
        <w:tc>
          <w:tcPr>
            <w:tcW w:w="667" w:type="pct"/>
            <w:tcBorders>
              <w:top w:val="single" w:sz="4" w:space="0" w:color="008089" w:themeColor="accent2"/>
              <w:left w:val="nil"/>
              <w:bottom w:val="single" w:sz="4" w:space="0" w:color="008089" w:themeColor="accent2"/>
              <w:right w:val="nil"/>
            </w:tcBorders>
          </w:tcPr>
          <w:p w14:paraId="613D2514"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 &amp; W, Mix</w:t>
            </w:r>
          </w:p>
        </w:tc>
      </w:tr>
      <w:tr w:rsidR="00425490" w:rsidRPr="00BC40F9" w14:paraId="23532E27" w14:textId="77777777" w:rsidTr="00425490">
        <w:tc>
          <w:tcPr>
            <w:cnfStyle w:val="001000000000" w:firstRow="0" w:lastRow="0" w:firstColumn="1" w:lastColumn="0" w:oddVBand="0" w:evenVBand="0" w:oddHBand="0" w:evenHBand="0" w:firstRowFirstColumn="0" w:firstRowLastColumn="0" w:lastRowFirstColumn="0" w:lastRowLastColumn="0"/>
            <w:tcW w:w="594" w:type="pct"/>
            <w:tcBorders>
              <w:top w:val="single" w:sz="4" w:space="0" w:color="008089" w:themeColor="accent2"/>
              <w:left w:val="nil"/>
              <w:bottom w:val="single" w:sz="4" w:space="0" w:color="008089" w:themeColor="accent2"/>
              <w:right w:val="nil"/>
            </w:tcBorders>
            <w:shd w:val="clear" w:color="auto" w:fill="auto"/>
            <w:hideMark/>
          </w:tcPr>
          <w:p w14:paraId="65DF7700" w14:textId="77777777" w:rsidR="00425490" w:rsidRPr="00B6343E" w:rsidRDefault="00425490" w:rsidP="00425490">
            <w:pPr>
              <w:spacing w:before="60" w:after="60"/>
              <w:rPr>
                <w:sz w:val="20"/>
                <w:szCs w:val="20"/>
              </w:rPr>
            </w:pPr>
            <w:r w:rsidRPr="00B6343E">
              <w:rPr>
                <w:sz w:val="20"/>
                <w:szCs w:val="20"/>
              </w:rPr>
              <w:t>Horse racing</w:t>
            </w:r>
          </w:p>
        </w:tc>
        <w:tc>
          <w:tcPr>
            <w:tcW w:w="1869" w:type="pct"/>
            <w:tcBorders>
              <w:top w:val="single" w:sz="4" w:space="0" w:color="008089" w:themeColor="accent2"/>
              <w:left w:val="nil"/>
              <w:bottom w:val="single" w:sz="4" w:space="0" w:color="008089" w:themeColor="accent2"/>
              <w:right w:val="nil"/>
            </w:tcBorders>
            <w:shd w:val="clear" w:color="auto" w:fill="auto"/>
          </w:tcPr>
          <w:p w14:paraId="48E522DA"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running of the Melbourne Cup organised by the Victoria Racing Club.</w:t>
            </w:r>
          </w:p>
        </w:tc>
        <w:tc>
          <w:tcPr>
            <w:tcW w:w="1870" w:type="pct"/>
            <w:tcBorders>
              <w:top w:val="single" w:sz="4" w:space="0" w:color="008089" w:themeColor="accent2"/>
              <w:left w:val="nil"/>
              <w:bottom w:val="single" w:sz="4" w:space="0" w:color="008089" w:themeColor="accent2"/>
              <w:right w:val="nil"/>
            </w:tcBorders>
            <w:shd w:val="clear" w:color="auto" w:fill="auto"/>
            <w:hideMark/>
          </w:tcPr>
          <w:p w14:paraId="1976EC99"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running of the Melbourne Cup organised by the Victoria Racing Club.</w:t>
            </w:r>
          </w:p>
        </w:tc>
        <w:tc>
          <w:tcPr>
            <w:tcW w:w="667" w:type="pct"/>
            <w:tcBorders>
              <w:top w:val="single" w:sz="4" w:space="0" w:color="008089" w:themeColor="accent2"/>
              <w:left w:val="nil"/>
              <w:bottom w:val="single" w:sz="4" w:space="0" w:color="008089" w:themeColor="accent2"/>
              <w:right w:val="nil"/>
            </w:tcBorders>
            <w:shd w:val="clear" w:color="auto" w:fill="auto"/>
          </w:tcPr>
          <w:p w14:paraId="025F768A"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Mix</w:t>
            </w:r>
          </w:p>
        </w:tc>
      </w:tr>
      <w:tr w:rsidR="008C6B47" w:rsidRPr="00BC40F9" w14:paraId="1B9DB17A" w14:textId="77777777" w:rsidTr="00794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val="restart"/>
            <w:tcBorders>
              <w:top w:val="single" w:sz="4" w:space="0" w:color="008089" w:themeColor="accent2"/>
              <w:left w:val="nil"/>
              <w:right w:val="nil"/>
            </w:tcBorders>
            <w:hideMark/>
          </w:tcPr>
          <w:p w14:paraId="491E537B" w14:textId="77777777" w:rsidR="008C6B47" w:rsidRPr="00B6343E" w:rsidRDefault="008C6B47" w:rsidP="00425490">
            <w:pPr>
              <w:spacing w:before="60" w:after="60"/>
              <w:rPr>
                <w:sz w:val="20"/>
                <w:szCs w:val="20"/>
              </w:rPr>
            </w:pPr>
            <w:r w:rsidRPr="00B6343E">
              <w:rPr>
                <w:sz w:val="20"/>
                <w:szCs w:val="20"/>
              </w:rPr>
              <w:t>AFL</w:t>
            </w:r>
          </w:p>
        </w:tc>
        <w:tc>
          <w:tcPr>
            <w:tcW w:w="1869" w:type="pct"/>
            <w:tcBorders>
              <w:top w:val="single" w:sz="4" w:space="0" w:color="008089" w:themeColor="accent2"/>
              <w:left w:val="nil"/>
              <w:bottom w:val="single" w:sz="4" w:space="0" w:color="008089" w:themeColor="accent2"/>
              <w:right w:val="nil"/>
            </w:tcBorders>
          </w:tcPr>
          <w:p w14:paraId="2B7560D7"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Australian Football League Premiership competition, including the Finals Series.</w:t>
            </w:r>
          </w:p>
        </w:tc>
        <w:tc>
          <w:tcPr>
            <w:tcW w:w="1870" w:type="pct"/>
            <w:tcBorders>
              <w:top w:val="single" w:sz="4" w:space="0" w:color="008089" w:themeColor="accent2"/>
              <w:left w:val="nil"/>
              <w:bottom w:val="single" w:sz="4" w:space="0" w:color="008089" w:themeColor="accent2"/>
              <w:right w:val="nil"/>
            </w:tcBorders>
            <w:hideMark/>
          </w:tcPr>
          <w:p w14:paraId="5110D2B3"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Australian Football League Premiership competition, including the Finals Series.</w:t>
            </w:r>
          </w:p>
        </w:tc>
        <w:tc>
          <w:tcPr>
            <w:tcW w:w="667" w:type="pct"/>
            <w:tcBorders>
              <w:top w:val="single" w:sz="4" w:space="0" w:color="008089" w:themeColor="accent2"/>
              <w:left w:val="nil"/>
              <w:bottom w:val="single" w:sz="4" w:space="0" w:color="008089" w:themeColor="accent2"/>
              <w:right w:val="nil"/>
            </w:tcBorders>
          </w:tcPr>
          <w:p w14:paraId="0D6FF885"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w:t>
            </w:r>
          </w:p>
        </w:tc>
      </w:tr>
      <w:tr w:rsidR="008C6B47" w:rsidRPr="00EF52A2" w14:paraId="31750753" w14:textId="77777777" w:rsidTr="00794B76">
        <w:tc>
          <w:tcPr>
            <w:cnfStyle w:val="001000000000" w:firstRow="0" w:lastRow="0" w:firstColumn="1" w:lastColumn="0" w:oddVBand="0" w:evenVBand="0" w:oddHBand="0" w:evenHBand="0" w:firstRowFirstColumn="0" w:firstRowLastColumn="0" w:lastRowFirstColumn="0" w:lastRowLastColumn="0"/>
            <w:tcW w:w="594" w:type="pct"/>
            <w:vMerge/>
            <w:tcBorders>
              <w:left w:val="nil"/>
              <w:bottom w:val="single" w:sz="4" w:space="0" w:color="008089" w:themeColor="accent2"/>
              <w:right w:val="nil"/>
            </w:tcBorders>
            <w:shd w:val="clear" w:color="auto" w:fill="F2F2F2" w:themeFill="background1" w:themeFillShade="F2"/>
          </w:tcPr>
          <w:p w14:paraId="0BAE60C7" w14:textId="77777777" w:rsidR="008C6B47" w:rsidRPr="00B6343E" w:rsidRDefault="008C6B47" w:rsidP="00425490">
            <w:pPr>
              <w:spacing w:before="60" w:after="60"/>
              <w:rPr>
                <w:sz w:val="20"/>
                <w:szCs w:val="20"/>
              </w:rPr>
            </w:pPr>
          </w:p>
        </w:tc>
        <w:tc>
          <w:tcPr>
            <w:tcW w:w="1869"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3BC36266"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87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51A2AE0F"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the Australian Football League Women’s Premiership Finals Series.</w:t>
            </w:r>
          </w:p>
        </w:tc>
        <w:tc>
          <w:tcPr>
            <w:tcW w:w="667"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68FC4878"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W</w:t>
            </w:r>
          </w:p>
        </w:tc>
      </w:tr>
      <w:tr w:rsidR="00425490" w:rsidRPr="00BC40F9" w14:paraId="443B024F"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val="restart"/>
            <w:tcBorders>
              <w:top w:val="single" w:sz="4" w:space="0" w:color="008089" w:themeColor="accent2"/>
              <w:left w:val="nil"/>
              <w:right w:val="nil"/>
            </w:tcBorders>
            <w:shd w:val="clear" w:color="auto" w:fill="auto"/>
            <w:hideMark/>
          </w:tcPr>
          <w:p w14:paraId="71A6CBEC" w14:textId="77777777" w:rsidR="00425490" w:rsidRPr="00B6343E" w:rsidRDefault="00425490" w:rsidP="00425490">
            <w:pPr>
              <w:spacing w:before="60" w:after="60"/>
              <w:rPr>
                <w:sz w:val="20"/>
                <w:szCs w:val="20"/>
              </w:rPr>
            </w:pPr>
            <w:r w:rsidRPr="00B6343E">
              <w:rPr>
                <w:sz w:val="20"/>
                <w:szCs w:val="20"/>
              </w:rPr>
              <w:t>Rugby League</w:t>
            </w:r>
          </w:p>
        </w:tc>
        <w:tc>
          <w:tcPr>
            <w:tcW w:w="1869" w:type="pct"/>
            <w:tcBorders>
              <w:top w:val="single" w:sz="4" w:space="0" w:color="008089" w:themeColor="accent2"/>
              <w:left w:val="nil"/>
              <w:right w:val="nil"/>
            </w:tcBorders>
            <w:shd w:val="clear" w:color="auto" w:fill="auto"/>
          </w:tcPr>
          <w:p w14:paraId="26EA1598"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National Rugby League Premiership competition, including the Finals Series.</w:t>
            </w:r>
          </w:p>
        </w:tc>
        <w:tc>
          <w:tcPr>
            <w:tcW w:w="1870" w:type="pct"/>
            <w:tcBorders>
              <w:top w:val="single" w:sz="4" w:space="0" w:color="008089" w:themeColor="accent2"/>
              <w:left w:val="nil"/>
              <w:bottom w:val="single" w:sz="4" w:space="0" w:color="008089" w:themeColor="accent2"/>
              <w:right w:val="nil"/>
            </w:tcBorders>
            <w:shd w:val="clear" w:color="auto" w:fill="auto"/>
            <w:hideMark/>
          </w:tcPr>
          <w:p w14:paraId="7D4B419B" w14:textId="0BC71FC6"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National Rugby League Premiership competition, including the Finals Series.</w:t>
            </w:r>
          </w:p>
        </w:tc>
        <w:tc>
          <w:tcPr>
            <w:tcW w:w="667" w:type="pct"/>
            <w:tcBorders>
              <w:top w:val="single" w:sz="4" w:space="0" w:color="008089" w:themeColor="accent2"/>
              <w:left w:val="nil"/>
              <w:bottom w:val="single" w:sz="4" w:space="0" w:color="008089" w:themeColor="accent2"/>
              <w:right w:val="nil"/>
            </w:tcBorders>
            <w:shd w:val="clear" w:color="auto" w:fill="auto"/>
          </w:tcPr>
          <w:p w14:paraId="4B20CBE6"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w:t>
            </w:r>
          </w:p>
        </w:tc>
      </w:tr>
      <w:tr w:rsidR="00425490" w:rsidRPr="00BC40F9" w14:paraId="06A12C1A" w14:textId="77777777" w:rsidTr="00425490">
        <w:tc>
          <w:tcPr>
            <w:cnfStyle w:val="001000000000" w:firstRow="0" w:lastRow="0" w:firstColumn="1" w:lastColumn="0" w:oddVBand="0" w:evenVBand="0" w:oddHBand="0" w:evenHBand="0" w:firstRowFirstColumn="0" w:firstRowLastColumn="0" w:lastRowFirstColumn="0" w:lastRowLastColumn="0"/>
            <w:tcW w:w="594" w:type="pct"/>
            <w:vMerge/>
            <w:tcBorders>
              <w:top w:val="single" w:sz="4" w:space="0" w:color="008089" w:themeColor="accent2"/>
              <w:left w:val="nil"/>
              <w:right w:val="nil"/>
            </w:tcBorders>
            <w:shd w:val="clear" w:color="auto" w:fill="auto"/>
          </w:tcPr>
          <w:p w14:paraId="26D45CAE" w14:textId="77777777" w:rsidR="00425490" w:rsidRPr="00B6343E" w:rsidRDefault="00425490" w:rsidP="00425490">
            <w:pPr>
              <w:spacing w:before="60" w:after="60"/>
              <w:rPr>
                <w:sz w:val="20"/>
                <w:szCs w:val="20"/>
              </w:rPr>
            </w:pPr>
          </w:p>
        </w:tc>
        <w:tc>
          <w:tcPr>
            <w:tcW w:w="1869" w:type="pct"/>
            <w:tcBorders>
              <w:top w:val="single" w:sz="4" w:space="0" w:color="008089" w:themeColor="accent2"/>
              <w:left w:val="nil"/>
              <w:right w:val="nil"/>
            </w:tcBorders>
            <w:shd w:val="clear" w:color="auto" w:fill="auto"/>
          </w:tcPr>
          <w:p w14:paraId="3BF439BB"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870" w:type="pct"/>
            <w:tcBorders>
              <w:top w:val="single" w:sz="4" w:space="0" w:color="008089" w:themeColor="accent2"/>
              <w:left w:val="nil"/>
              <w:bottom w:val="single" w:sz="4" w:space="0" w:color="008089" w:themeColor="accent2"/>
              <w:right w:val="nil"/>
            </w:tcBorders>
            <w:shd w:val="clear" w:color="auto" w:fill="auto"/>
          </w:tcPr>
          <w:p w14:paraId="23578F74"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the National Rugby League Women’s Premiership Finals Series.</w:t>
            </w:r>
          </w:p>
        </w:tc>
        <w:tc>
          <w:tcPr>
            <w:tcW w:w="667" w:type="pct"/>
            <w:tcBorders>
              <w:top w:val="single" w:sz="4" w:space="0" w:color="008089" w:themeColor="accent2"/>
              <w:left w:val="nil"/>
              <w:bottom w:val="single" w:sz="4" w:space="0" w:color="008089" w:themeColor="accent2"/>
              <w:right w:val="nil"/>
            </w:tcBorders>
            <w:shd w:val="clear" w:color="auto" w:fill="auto"/>
          </w:tcPr>
          <w:p w14:paraId="71272AC8"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W</w:t>
            </w:r>
          </w:p>
        </w:tc>
      </w:tr>
      <w:tr w:rsidR="00425490" w:rsidRPr="00BC40F9" w14:paraId="7880E87F"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70259538" w14:textId="77777777" w:rsidR="00425490" w:rsidRPr="00B6343E" w:rsidRDefault="00425490" w:rsidP="00425490">
            <w:pPr>
              <w:spacing w:before="60" w:after="60"/>
              <w:rPr>
                <w:sz w:val="20"/>
                <w:szCs w:val="20"/>
              </w:rPr>
            </w:pPr>
          </w:p>
        </w:tc>
        <w:tc>
          <w:tcPr>
            <w:tcW w:w="1869" w:type="pct"/>
            <w:tcBorders>
              <w:left w:val="nil"/>
              <w:right w:val="nil"/>
            </w:tcBorders>
            <w:shd w:val="clear" w:color="auto" w:fill="auto"/>
          </w:tcPr>
          <w:p w14:paraId="6CDA72E3"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National Rugby League State of Origin Series</w:t>
            </w:r>
          </w:p>
        </w:tc>
        <w:tc>
          <w:tcPr>
            <w:tcW w:w="1870" w:type="pct"/>
            <w:tcBorders>
              <w:top w:val="single" w:sz="4" w:space="0" w:color="008089" w:themeColor="accent2"/>
              <w:left w:val="nil"/>
              <w:bottom w:val="single" w:sz="4" w:space="0" w:color="008089" w:themeColor="accent2"/>
              <w:right w:val="nil"/>
            </w:tcBorders>
            <w:shd w:val="clear" w:color="auto" w:fill="auto"/>
          </w:tcPr>
          <w:p w14:paraId="13765DE3"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National Rugby League State of Origin Series.</w:t>
            </w:r>
          </w:p>
        </w:tc>
        <w:tc>
          <w:tcPr>
            <w:tcW w:w="667" w:type="pct"/>
            <w:tcBorders>
              <w:top w:val="single" w:sz="4" w:space="0" w:color="008089" w:themeColor="accent2"/>
              <w:left w:val="nil"/>
              <w:bottom w:val="single" w:sz="4" w:space="0" w:color="008089" w:themeColor="accent2"/>
              <w:right w:val="nil"/>
            </w:tcBorders>
            <w:shd w:val="clear" w:color="auto" w:fill="auto"/>
          </w:tcPr>
          <w:p w14:paraId="3EFC84D6"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w:t>
            </w:r>
          </w:p>
        </w:tc>
      </w:tr>
      <w:tr w:rsidR="00425490" w:rsidRPr="00BC40F9" w14:paraId="07F7C805" w14:textId="77777777" w:rsidTr="00425490">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0464396A" w14:textId="77777777" w:rsidR="00425490" w:rsidRPr="00B6343E" w:rsidRDefault="00425490" w:rsidP="00425490">
            <w:pPr>
              <w:spacing w:before="60" w:after="60"/>
              <w:rPr>
                <w:sz w:val="20"/>
                <w:szCs w:val="20"/>
              </w:rPr>
            </w:pPr>
          </w:p>
        </w:tc>
        <w:tc>
          <w:tcPr>
            <w:tcW w:w="1869" w:type="pct"/>
            <w:tcBorders>
              <w:left w:val="nil"/>
              <w:right w:val="nil"/>
            </w:tcBorders>
            <w:shd w:val="clear" w:color="auto" w:fill="auto"/>
          </w:tcPr>
          <w:p w14:paraId="13FB52EE"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870" w:type="pct"/>
            <w:tcBorders>
              <w:top w:val="single" w:sz="4" w:space="0" w:color="008089" w:themeColor="accent2"/>
              <w:left w:val="nil"/>
              <w:bottom w:val="single" w:sz="4" w:space="0" w:color="008089" w:themeColor="accent2"/>
              <w:right w:val="nil"/>
            </w:tcBorders>
            <w:shd w:val="clear" w:color="auto" w:fill="auto"/>
          </w:tcPr>
          <w:p w14:paraId="2BA92983"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the National Rugby League Women’s State of Origin Series</w:t>
            </w:r>
          </w:p>
        </w:tc>
        <w:tc>
          <w:tcPr>
            <w:tcW w:w="667" w:type="pct"/>
            <w:tcBorders>
              <w:top w:val="single" w:sz="4" w:space="0" w:color="008089" w:themeColor="accent2"/>
              <w:left w:val="nil"/>
              <w:bottom w:val="single" w:sz="4" w:space="0" w:color="008089" w:themeColor="accent2"/>
              <w:right w:val="nil"/>
            </w:tcBorders>
            <w:shd w:val="clear" w:color="auto" w:fill="auto"/>
          </w:tcPr>
          <w:p w14:paraId="13AA5126"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W</w:t>
            </w:r>
          </w:p>
        </w:tc>
      </w:tr>
      <w:tr w:rsidR="00425490" w:rsidRPr="00BC40F9" w14:paraId="326CB37B"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47C1178C" w14:textId="77777777" w:rsidR="00425490" w:rsidRPr="00B6343E" w:rsidRDefault="00425490" w:rsidP="00425490">
            <w:pPr>
              <w:spacing w:before="60" w:after="60"/>
              <w:rPr>
                <w:sz w:val="20"/>
                <w:szCs w:val="20"/>
              </w:rPr>
            </w:pPr>
          </w:p>
        </w:tc>
        <w:tc>
          <w:tcPr>
            <w:tcW w:w="1869" w:type="pct"/>
            <w:tcBorders>
              <w:left w:val="nil"/>
              <w:right w:val="nil"/>
            </w:tcBorders>
            <w:shd w:val="clear" w:color="auto" w:fill="auto"/>
          </w:tcPr>
          <w:p w14:paraId="55B12462"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international rugby league test match that: involves the senior Australian representative team; and is played in Australia or New Zealand.</w:t>
            </w:r>
          </w:p>
        </w:tc>
        <w:tc>
          <w:tcPr>
            <w:tcW w:w="1870" w:type="pct"/>
            <w:tcBorders>
              <w:top w:val="single" w:sz="4" w:space="0" w:color="008089" w:themeColor="accent2"/>
              <w:left w:val="nil"/>
              <w:bottom w:val="single" w:sz="4" w:space="0" w:color="008089" w:themeColor="accent2"/>
              <w:right w:val="nil"/>
            </w:tcBorders>
            <w:shd w:val="clear" w:color="auto" w:fill="auto"/>
          </w:tcPr>
          <w:p w14:paraId="07CDAB3B"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international rugby league test match that: involves the senior Australian representative team; and is played in Australia or New Zealand.</w:t>
            </w:r>
          </w:p>
        </w:tc>
        <w:tc>
          <w:tcPr>
            <w:tcW w:w="667" w:type="pct"/>
            <w:tcBorders>
              <w:top w:val="single" w:sz="4" w:space="0" w:color="008089" w:themeColor="accent2"/>
              <w:left w:val="nil"/>
              <w:bottom w:val="single" w:sz="4" w:space="0" w:color="008089" w:themeColor="accent2"/>
              <w:right w:val="nil"/>
            </w:tcBorders>
            <w:shd w:val="clear" w:color="auto" w:fill="auto"/>
          </w:tcPr>
          <w:p w14:paraId="782EB1EC"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 &amp; W</w:t>
            </w:r>
          </w:p>
        </w:tc>
      </w:tr>
      <w:tr w:rsidR="00425490" w:rsidRPr="00BC40F9" w14:paraId="3CCBF7C4" w14:textId="77777777" w:rsidTr="00425490">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0F2E3C32" w14:textId="77777777" w:rsidR="00425490" w:rsidRPr="00B6343E" w:rsidRDefault="00425490" w:rsidP="00425490">
            <w:pPr>
              <w:spacing w:before="60" w:after="60"/>
              <w:rPr>
                <w:sz w:val="20"/>
                <w:szCs w:val="20"/>
              </w:rPr>
            </w:pPr>
          </w:p>
        </w:tc>
        <w:tc>
          <w:tcPr>
            <w:tcW w:w="1869" w:type="pct"/>
            <w:tcBorders>
              <w:left w:val="nil"/>
              <w:right w:val="nil"/>
            </w:tcBorders>
            <w:shd w:val="clear" w:color="auto" w:fill="auto"/>
          </w:tcPr>
          <w:p w14:paraId="7BC7FAB7"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Rugby League World Cup that: involves the senior Australian representative team; and is played in Australia, New Zealand or Papua New Guinea</w:t>
            </w:r>
          </w:p>
        </w:tc>
        <w:tc>
          <w:tcPr>
            <w:tcW w:w="1870" w:type="pct"/>
            <w:tcBorders>
              <w:top w:val="single" w:sz="4" w:space="0" w:color="008089" w:themeColor="accent2"/>
              <w:left w:val="nil"/>
              <w:bottom w:val="single" w:sz="4" w:space="0" w:color="008089" w:themeColor="accent2"/>
              <w:right w:val="nil"/>
            </w:tcBorders>
            <w:shd w:val="clear" w:color="auto" w:fill="auto"/>
          </w:tcPr>
          <w:p w14:paraId="41EA334B"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Rugby League World Cup that: involves the senior Australian representative team; and is played in Australia, New Zealand or Papua New Guinea.</w:t>
            </w:r>
          </w:p>
        </w:tc>
        <w:tc>
          <w:tcPr>
            <w:tcW w:w="667" w:type="pct"/>
            <w:tcBorders>
              <w:top w:val="single" w:sz="4" w:space="0" w:color="008089" w:themeColor="accent2"/>
              <w:left w:val="nil"/>
              <w:bottom w:val="single" w:sz="4" w:space="0" w:color="008089" w:themeColor="accent2"/>
              <w:right w:val="nil"/>
            </w:tcBorders>
            <w:shd w:val="clear" w:color="auto" w:fill="auto"/>
          </w:tcPr>
          <w:p w14:paraId="50BEA4FA"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&amp; W</w:t>
            </w:r>
          </w:p>
        </w:tc>
      </w:tr>
      <w:tr w:rsidR="00425490" w:rsidRPr="00BC40F9" w14:paraId="53C566C1" w14:textId="77777777" w:rsidTr="00E40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val="restart"/>
            <w:tcBorders>
              <w:top w:val="single" w:sz="4" w:space="0" w:color="008089" w:themeColor="accent2"/>
              <w:left w:val="nil"/>
              <w:right w:val="nil"/>
            </w:tcBorders>
            <w:hideMark/>
          </w:tcPr>
          <w:p w14:paraId="77ECF816" w14:textId="77777777" w:rsidR="00425490" w:rsidRPr="00B6343E" w:rsidRDefault="00425490" w:rsidP="00425490">
            <w:pPr>
              <w:spacing w:before="60" w:after="60"/>
              <w:rPr>
                <w:sz w:val="20"/>
                <w:szCs w:val="20"/>
              </w:rPr>
            </w:pPr>
            <w:r w:rsidRPr="00B6343E">
              <w:rPr>
                <w:sz w:val="20"/>
                <w:szCs w:val="20"/>
              </w:rPr>
              <w:t>Rugby Union</w:t>
            </w:r>
          </w:p>
        </w:tc>
        <w:tc>
          <w:tcPr>
            <w:tcW w:w="1869" w:type="pct"/>
            <w:tcBorders>
              <w:top w:val="single" w:sz="4" w:space="0" w:color="008089" w:themeColor="accent2"/>
              <w:left w:val="nil"/>
              <w:right w:val="nil"/>
            </w:tcBorders>
          </w:tcPr>
          <w:p w14:paraId="58F654AF"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international test match that: involves the senior Australian representative team selected by Rugby Australia; and is played in Australia or New Zealand.</w:t>
            </w:r>
          </w:p>
        </w:tc>
        <w:tc>
          <w:tcPr>
            <w:tcW w:w="1870" w:type="pct"/>
            <w:tcBorders>
              <w:top w:val="single" w:sz="4" w:space="0" w:color="008089" w:themeColor="accent2"/>
              <w:left w:val="nil"/>
              <w:bottom w:val="single" w:sz="4" w:space="0" w:color="008089" w:themeColor="accent2"/>
              <w:right w:val="nil"/>
            </w:tcBorders>
            <w:hideMark/>
          </w:tcPr>
          <w:p w14:paraId="7D1B9E9A"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international test match that: involves the senior Australian representative team; and is played in Australia or New Zealand.</w:t>
            </w:r>
          </w:p>
        </w:tc>
        <w:tc>
          <w:tcPr>
            <w:tcW w:w="667" w:type="pct"/>
            <w:tcBorders>
              <w:top w:val="single" w:sz="4" w:space="0" w:color="008089" w:themeColor="accent2"/>
              <w:left w:val="nil"/>
              <w:bottom w:val="single" w:sz="4" w:space="0" w:color="008089" w:themeColor="accent2"/>
              <w:right w:val="nil"/>
            </w:tcBorders>
          </w:tcPr>
          <w:p w14:paraId="27A082C4"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 &amp; W</w:t>
            </w:r>
          </w:p>
        </w:tc>
      </w:tr>
      <w:tr w:rsidR="00425490" w:rsidRPr="00BC40F9" w14:paraId="069AAD9C" w14:textId="77777777" w:rsidTr="00E409E4">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F2F2F2" w:themeFill="background1" w:themeFillShade="F2"/>
          </w:tcPr>
          <w:p w14:paraId="5703D3E0" w14:textId="77777777" w:rsidR="00425490" w:rsidRPr="00B6343E" w:rsidRDefault="00425490" w:rsidP="00425490">
            <w:pPr>
              <w:spacing w:before="60" w:after="60"/>
              <w:rPr>
                <w:sz w:val="20"/>
                <w:szCs w:val="20"/>
              </w:rPr>
            </w:pPr>
          </w:p>
        </w:tc>
        <w:tc>
          <w:tcPr>
            <w:tcW w:w="1869" w:type="pct"/>
            <w:tcBorders>
              <w:left w:val="nil"/>
              <w:right w:val="nil"/>
            </w:tcBorders>
            <w:shd w:val="clear" w:color="auto" w:fill="F2F2F2" w:themeFill="background1" w:themeFillShade="F2"/>
          </w:tcPr>
          <w:p w14:paraId="48E42971"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Rugby World Cup tournament that involves the senior Australian representative team selected by Rugby Australia.</w:t>
            </w:r>
          </w:p>
        </w:tc>
        <w:tc>
          <w:tcPr>
            <w:tcW w:w="187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7416B18F"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Rugby World Cup tournament that: involves the senior Australian representative team; and is played in Australia or New Zealand.</w:t>
            </w:r>
          </w:p>
        </w:tc>
        <w:tc>
          <w:tcPr>
            <w:tcW w:w="667"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25A6AF2A"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&amp; W</w:t>
            </w:r>
          </w:p>
        </w:tc>
      </w:tr>
      <w:tr w:rsidR="00425490" w14:paraId="6A229323" w14:textId="77777777" w:rsidTr="00E40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tcPr>
          <w:p w14:paraId="7702FADB" w14:textId="77777777" w:rsidR="00425490" w:rsidRPr="00B6343E" w:rsidRDefault="00425490" w:rsidP="00425490">
            <w:pPr>
              <w:spacing w:before="60" w:after="60"/>
              <w:rPr>
                <w:sz w:val="20"/>
                <w:szCs w:val="20"/>
              </w:rPr>
            </w:pPr>
          </w:p>
        </w:tc>
        <w:tc>
          <w:tcPr>
            <w:tcW w:w="1869" w:type="pct"/>
            <w:tcBorders>
              <w:left w:val="nil"/>
              <w:right w:val="nil"/>
            </w:tcBorders>
          </w:tcPr>
          <w:p w14:paraId="485EA4CF"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Rugby World Cup tournament.</w:t>
            </w:r>
          </w:p>
        </w:tc>
        <w:tc>
          <w:tcPr>
            <w:tcW w:w="1870" w:type="pct"/>
            <w:tcBorders>
              <w:top w:val="single" w:sz="4" w:space="0" w:color="008089" w:themeColor="accent2"/>
              <w:left w:val="nil"/>
              <w:bottom w:val="single" w:sz="4" w:space="0" w:color="008089" w:themeColor="accent2"/>
              <w:right w:val="nil"/>
            </w:tcBorders>
          </w:tcPr>
          <w:p w14:paraId="71E57FC6"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Rugby World Cup tournament.</w:t>
            </w:r>
          </w:p>
        </w:tc>
        <w:tc>
          <w:tcPr>
            <w:tcW w:w="667" w:type="pct"/>
            <w:tcBorders>
              <w:top w:val="single" w:sz="4" w:space="0" w:color="008089" w:themeColor="accent2"/>
              <w:left w:val="nil"/>
              <w:bottom w:val="single" w:sz="4" w:space="0" w:color="008089" w:themeColor="accent2"/>
              <w:right w:val="nil"/>
            </w:tcBorders>
          </w:tcPr>
          <w:p w14:paraId="0C63C253"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 &amp; W</w:t>
            </w:r>
          </w:p>
        </w:tc>
      </w:tr>
      <w:tr w:rsidR="008C6B47" w:rsidRPr="00BC40F9" w14:paraId="77AB8827" w14:textId="77777777" w:rsidTr="00425490">
        <w:tc>
          <w:tcPr>
            <w:cnfStyle w:val="001000000000" w:firstRow="0" w:lastRow="0" w:firstColumn="1" w:lastColumn="0" w:oddVBand="0" w:evenVBand="0" w:oddHBand="0" w:evenHBand="0" w:firstRowFirstColumn="0" w:firstRowLastColumn="0" w:lastRowFirstColumn="0" w:lastRowLastColumn="0"/>
            <w:tcW w:w="594" w:type="pct"/>
            <w:vMerge w:val="restart"/>
            <w:tcBorders>
              <w:top w:val="single" w:sz="4" w:space="0" w:color="008089" w:themeColor="accent2"/>
              <w:left w:val="nil"/>
              <w:right w:val="nil"/>
            </w:tcBorders>
            <w:shd w:val="clear" w:color="auto" w:fill="auto"/>
            <w:hideMark/>
          </w:tcPr>
          <w:p w14:paraId="4B738D44" w14:textId="77777777" w:rsidR="008C6B47" w:rsidRPr="00B6343E" w:rsidRDefault="008C6B47" w:rsidP="00425490">
            <w:pPr>
              <w:spacing w:before="60" w:after="60"/>
              <w:rPr>
                <w:sz w:val="20"/>
                <w:szCs w:val="20"/>
              </w:rPr>
            </w:pPr>
            <w:r w:rsidRPr="00B6343E">
              <w:rPr>
                <w:sz w:val="20"/>
                <w:szCs w:val="20"/>
              </w:rPr>
              <w:t>Cricket</w:t>
            </w:r>
          </w:p>
        </w:tc>
        <w:tc>
          <w:tcPr>
            <w:tcW w:w="1869" w:type="pct"/>
            <w:tcBorders>
              <w:top w:val="single" w:sz="4" w:space="0" w:color="008089" w:themeColor="accent2"/>
              <w:left w:val="nil"/>
              <w:right w:val="nil"/>
            </w:tcBorders>
            <w:shd w:val="clear" w:color="auto" w:fill="auto"/>
          </w:tcPr>
          <w:p w14:paraId="2AFF4498"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test match that: involves the senior Australian representative team selected by Cricket Australia; and is played in Australia.</w:t>
            </w:r>
          </w:p>
        </w:tc>
        <w:tc>
          <w:tcPr>
            <w:tcW w:w="1870" w:type="pct"/>
            <w:tcBorders>
              <w:top w:val="single" w:sz="4" w:space="0" w:color="008089" w:themeColor="accent2"/>
              <w:left w:val="nil"/>
              <w:bottom w:val="single" w:sz="4" w:space="0" w:color="008089" w:themeColor="accent2"/>
              <w:right w:val="nil"/>
            </w:tcBorders>
            <w:shd w:val="clear" w:color="auto" w:fill="auto"/>
            <w:hideMark/>
          </w:tcPr>
          <w:p w14:paraId="1DF73B5C"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test match that: involves the senior Australian representative team; and is played in Australia.</w:t>
            </w:r>
          </w:p>
        </w:tc>
        <w:tc>
          <w:tcPr>
            <w:tcW w:w="667" w:type="pct"/>
            <w:tcBorders>
              <w:top w:val="single" w:sz="4" w:space="0" w:color="008089" w:themeColor="accent2"/>
              <w:left w:val="nil"/>
              <w:bottom w:val="single" w:sz="4" w:space="0" w:color="008089" w:themeColor="accent2"/>
              <w:right w:val="nil"/>
            </w:tcBorders>
            <w:shd w:val="clear" w:color="auto" w:fill="auto"/>
          </w:tcPr>
          <w:p w14:paraId="30ACFE7B"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&amp; W</w:t>
            </w:r>
          </w:p>
        </w:tc>
      </w:tr>
      <w:tr w:rsidR="008C6B47" w:rsidRPr="00BC40F9" w14:paraId="02456838"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0A932759" w14:textId="77777777" w:rsidR="008C6B47" w:rsidRPr="00B6343E" w:rsidRDefault="008C6B47" w:rsidP="002D673F">
            <w:pPr>
              <w:spacing w:before="60" w:after="60"/>
              <w:rPr>
                <w:sz w:val="20"/>
                <w:szCs w:val="20"/>
              </w:rPr>
            </w:pPr>
          </w:p>
        </w:tc>
        <w:tc>
          <w:tcPr>
            <w:tcW w:w="1869" w:type="pct"/>
            <w:tcBorders>
              <w:left w:val="nil"/>
              <w:right w:val="nil"/>
            </w:tcBorders>
            <w:shd w:val="clear" w:color="auto" w:fill="auto"/>
          </w:tcPr>
          <w:p w14:paraId="4A593974" w14:textId="77777777" w:rsidR="008C6B47" w:rsidRPr="001538AF" w:rsidRDefault="008C6B47" w:rsidP="002D673F">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test match that involves both: the senior Australian representative team selected by Cricket Australia; and the senior English representative team; and is played in the United Kingdom.</w:t>
            </w:r>
          </w:p>
        </w:tc>
        <w:tc>
          <w:tcPr>
            <w:tcW w:w="1870" w:type="pct"/>
            <w:tcBorders>
              <w:top w:val="single" w:sz="4" w:space="0" w:color="008089" w:themeColor="accent2"/>
              <w:left w:val="nil"/>
              <w:bottom w:val="single" w:sz="4" w:space="0" w:color="008089" w:themeColor="accent2"/>
              <w:right w:val="nil"/>
            </w:tcBorders>
            <w:shd w:val="clear" w:color="auto" w:fill="auto"/>
          </w:tcPr>
          <w:p w14:paraId="5BFDF2DA" w14:textId="08D6B303" w:rsidR="008C6B47" w:rsidRPr="001538AF" w:rsidRDefault="008C6B47" w:rsidP="002D673F">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 xml:space="preserve">Each match of an </w:t>
            </w:r>
            <w:r w:rsidR="00A34CE1">
              <w:rPr>
                <w:color w:val="auto"/>
                <w:sz w:val="20"/>
                <w:szCs w:val="20"/>
              </w:rPr>
              <w:t>‘</w:t>
            </w:r>
            <w:r w:rsidR="002D673F" w:rsidRPr="001538AF">
              <w:rPr>
                <w:color w:val="auto"/>
                <w:sz w:val="20"/>
                <w:szCs w:val="20"/>
              </w:rPr>
              <w:t>Ashes</w:t>
            </w:r>
            <w:r w:rsidR="00A34CE1">
              <w:rPr>
                <w:color w:val="auto"/>
                <w:sz w:val="20"/>
                <w:szCs w:val="20"/>
              </w:rPr>
              <w:t>’</w:t>
            </w:r>
            <w:r w:rsidRPr="001538AF">
              <w:rPr>
                <w:color w:val="auto"/>
                <w:sz w:val="20"/>
                <w:szCs w:val="20"/>
              </w:rPr>
              <w:t xml:space="preserve"> series that involves the senior Australian representative team and the senior English representative team; and is played in the United Kingdom or in Australia.</w:t>
            </w:r>
          </w:p>
        </w:tc>
        <w:tc>
          <w:tcPr>
            <w:tcW w:w="667" w:type="pct"/>
            <w:tcBorders>
              <w:top w:val="single" w:sz="4" w:space="0" w:color="008089" w:themeColor="accent2"/>
              <w:left w:val="nil"/>
              <w:bottom w:val="single" w:sz="4" w:space="0" w:color="008089" w:themeColor="accent2"/>
              <w:right w:val="nil"/>
            </w:tcBorders>
            <w:shd w:val="clear" w:color="auto" w:fill="auto"/>
          </w:tcPr>
          <w:p w14:paraId="385A7BA0" w14:textId="77777777" w:rsidR="008C6B47" w:rsidRPr="001538AF" w:rsidRDefault="008C6B47" w:rsidP="002D673F">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 &amp; W</w:t>
            </w:r>
          </w:p>
        </w:tc>
      </w:tr>
      <w:tr w:rsidR="008C6B47" w:rsidRPr="00BC40F9" w14:paraId="734FB758" w14:textId="77777777" w:rsidTr="00425490">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0DECB97A" w14:textId="77777777" w:rsidR="008C6B47" w:rsidRPr="00B6343E" w:rsidRDefault="008C6B47" w:rsidP="00425490">
            <w:pPr>
              <w:spacing w:before="60" w:after="60"/>
              <w:rPr>
                <w:sz w:val="20"/>
                <w:szCs w:val="20"/>
              </w:rPr>
            </w:pPr>
          </w:p>
        </w:tc>
        <w:tc>
          <w:tcPr>
            <w:tcW w:w="1869" w:type="pct"/>
            <w:tcBorders>
              <w:left w:val="nil"/>
              <w:right w:val="nil"/>
            </w:tcBorders>
            <w:shd w:val="clear" w:color="auto" w:fill="auto"/>
          </w:tcPr>
          <w:p w14:paraId="4D944567"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w:t>
            </w:r>
            <w:proofErr w:type="gramStart"/>
            <w:r w:rsidRPr="001538AF">
              <w:rPr>
                <w:color w:val="auto"/>
                <w:sz w:val="20"/>
                <w:szCs w:val="20"/>
              </w:rPr>
              <w:t>one day</w:t>
            </w:r>
            <w:proofErr w:type="gramEnd"/>
            <w:r w:rsidRPr="001538AF">
              <w:rPr>
                <w:color w:val="auto"/>
                <w:sz w:val="20"/>
                <w:szCs w:val="20"/>
              </w:rPr>
              <w:t xml:space="preserve"> cricket match that: involves the senior Australian representative team selected by Cricket Australia; and is played in Australia.</w:t>
            </w:r>
          </w:p>
        </w:tc>
        <w:tc>
          <w:tcPr>
            <w:tcW w:w="1870" w:type="pct"/>
            <w:tcBorders>
              <w:top w:val="single" w:sz="4" w:space="0" w:color="008089" w:themeColor="accent2"/>
              <w:left w:val="nil"/>
              <w:bottom w:val="single" w:sz="4" w:space="0" w:color="008089" w:themeColor="accent2"/>
              <w:right w:val="nil"/>
            </w:tcBorders>
            <w:shd w:val="clear" w:color="auto" w:fill="auto"/>
          </w:tcPr>
          <w:p w14:paraId="4C375037"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w:t>
            </w:r>
            <w:proofErr w:type="gramStart"/>
            <w:r w:rsidRPr="001538AF">
              <w:rPr>
                <w:color w:val="auto"/>
                <w:sz w:val="20"/>
                <w:szCs w:val="20"/>
              </w:rPr>
              <w:t>one day</w:t>
            </w:r>
            <w:proofErr w:type="gramEnd"/>
            <w:r w:rsidRPr="001538AF">
              <w:rPr>
                <w:color w:val="auto"/>
                <w:sz w:val="20"/>
                <w:szCs w:val="20"/>
              </w:rPr>
              <w:t xml:space="preserve"> cricket match that: involves the senior Australian representative team; and is played in Australia.</w:t>
            </w:r>
          </w:p>
        </w:tc>
        <w:tc>
          <w:tcPr>
            <w:tcW w:w="667" w:type="pct"/>
            <w:tcBorders>
              <w:top w:val="single" w:sz="4" w:space="0" w:color="008089" w:themeColor="accent2"/>
              <w:left w:val="nil"/>
              <w:bottom w:val="single" w:sz="4" w:space="0" w:color="008089" w:themeColor="accent2"/>
              <w:right w:val="nil"/>
            </w:tcBorders>
            <w:shd w:val="clear" w:color="auto" w:fill="auto"/>
          </w:tcPr>
          <w:p w14:paraId="010D38FB"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&amp; W</w:t>
            </w:r>
          </w:p>
        </w:tc>
      </w:tr>
      <w:tr w:rsidR="008C6B47" w:rsidRPr="00BC40F9" w14:paraId="1408AE5A"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543993B8" w14:textId="77777777" w:rsidR="008C6B47" w:rsidRPr="00B6343E" w:rsidRDefault="008C6B47" w:rsidP="00425490">
            <w:pPr>
              <w:spacing w:before="60" w:after="60"/>
              <w:rPr>
                <w:sz w:val="20"/>
                <w:szCs w:val="20"/>
              </w:rPr>
            </w:pPr>
          </w:p>
        </w:tc>
        <w:tc>
          <w:tcPr>
            <w:tcW w:w="1869" w:type="pct"/>
            <w:tcBorders>
              <w:left w:val="nil"/>
              <w:right w:val="nil"/>
            </w:tcBorders>
            <w:shd w:val="clear" w:color="auto" w:fill="auto"/>
          </w:tcPr>
          <w:p w14:paraId="3FE4DCAD"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Twenty20 (T20) cricket match that: involves the senior Australian representative team selected by Cricket Australia; and is played in Australia.</w:t>
            </w:r>
          </w:p>
        </w:tc>
        <w:tc>
          <w:tcPr>
            <w:tcW w:w="1870" w:type="pct"/>
            <w:tcBorders>
              <w:top w:val="single" w:sz="4" w:space="0" w:color="008089" w:themeColor="accent2"/>
              <w:left w:val="nil"/>
              <w:bottom w:val="single" w:sz="4" w:space="0" w:color="008089" w:themeColor="accent2"/>
              <w:right w:val="nil"/>
            </w:tcBorders>
            <w:shd w:val="clear" w:color="auto" w:fill="auto"/>
          </w:tcPr>
          <w:p w14:paraId="49F2A2BA"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Twenty20 (T20) cricket match that: involves the senior Australian representative team; and is played in Australia.</w:t>
            </w:r>
          </w:p>
        </w:tc>
        <w:tc>
          <w:tcPr>
            <w:tcW w:w="667" w:type="pct"/>
            <w:tcBorders>
              <w:top w:val="single" w:sz="4" w:space="0" w:color="008089" w:themeColor="accent2"/>
              <w:left w:val="nil"/>
              <w:bottom w:val="single" w:sz="4" w:space="0" w:color="008089" w:themeColor="accent2"/>
              <w:right w:val="nil"/>
            </w:tcBorders>
            <w:shd w:val="clear" w:color="auto" w:fill="auto"/>
          </w:tcPr>
          <w:p w14:paraId="7C599727"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 &amp; W</w:t>
            </w:r>
          </w:p>
        </w:tc>
      </w:tr>
      <w:tr w:rsidR="008C6B47" w:rsidRPr="00BC40F9" w14:paraId="63F24538" w14:textId="77777777" w:rsidTr="00425490">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2C157DDA" w14:textId="77777777" w:rsidR="008C6B47" w:rsidRPr="00B6343E" w:rsidRDefault="008C6B47" w:rsidP="00425490">
            <w:pPr>
              <w:spacing w:before="60" w:after="60"/>
              <w:rPr>
                <w:sz w:val="20"/>
                <w:szCs w:val="20"/>
              </w:rPr>
            </w:pPr>
          </w:p>
        </w:tc>
        <w:tc>
          <w:tcPr>
            <w:tcW w:w="1869" w:type="pct"/>
            <w:tcBorders>
              <w:left w:val="nil"/>
              <w:right w:val="nil"/>
            </w:tcBorders>
            <w:shd w:val="clear" w:color="auto" w:fill="auto"/>
          </w:tcPr>
          <w:p w14:paraId="4F89CECA"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International Cricket Council Cricket World Cup that: involves the senior Australian representative team selected by Cricket Australia; and is played in Australia or New Zealand.</w:t>
            </w:r>
          </w:p>
        </w:tc>
        <w:tc>
          <w:tcPr>
            <w:tcW w:w="1870" w:type="pct"/>
            <w:tcBorders>
              <w:top w:val="single" w:sz="4" w:space="0" w:color="008089" w:themeColor="accent2"/>
              <w:left w:val="nil"/>
              <w:bottom w:val="single" w:sz="4" w:space="0" w:color="008089" w:themeColor="accent2"/>
              <w:right w:val="nil"/>
            </w:tcBorders>
            <w:shd w:val="clear" w:color="auto" w:fill="auto"/>
          </w:tcPr>
          <w:p w14:paraId="74CEF6DE"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International Cricket Council Men’s Cricket World Cup that: involves the senior Australian representative team; and is played in Australia or New Zealand.</w:t>
            </w:r>
          </w:p>
        </w:tc>
        <w:tc>
          <w:tcPr>
            <w:tcW w:w="667" w:type="pct"/>
            <w:tcBorders>
              <w:top w:val="single" w:sz="4" w:space="0" w:color="008089" w:themeColor="accent2"/>
              <w:left w:val="nil"/>
              <w:bottom w:val="single" w:sz="4" w:space="0" w:color="008089" w:themeColor="accent2"/>
              <w:right w:val="nil"/>
            </w:tcBorders>
            <w:shd w:val="clear" w:color="auto" w:fill="auto"/>
          </w:tcPr>
          <w:p w14:paraId="42E19A89"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w:t>
            </w:r>
          </w:p>
        </w:tc>
      </w:tr>
      <w:tr w:rsidR="008C6B47" w:rsidRPr="00BC40F9" w14:paraId="7D6FBE63"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6056722C" w14:textId="77777777" w:rsidR="008C6B47" w:rsidRPr="00B6343E" w:rsidRDefault="008C6B47" w:rsidP="00425490">
            <w:pPr>
              <w:spacing w:before="60" w:after="60"/>
              <w:rPr>
                <w:sz w:val="20"/>
                <w:szCs w:val="20"/>
              </w:rPr>
            </w:pPr>
          </w:p>
        </w:tc>
        <w:tc>
          <w:tcPr>
            <w:tcW w:w="1869" w:type="pct"/>
            <w:tcBorders>
              <w:left w:val="nil"/>
              <w:right w:val="nil"/>
            </w:tcBorders>
            <w:shd w:val="clear" w:color="auto" w:fill="auto"/>
          </w:tcPr>
          <w:p w14:paraId="6F66F359"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1870" w:type="pct"/>
            <w:tcBorders>
              <w:top w:val="single" w:sz="4" w:space="0" w:color="008089" w:themeColor="accent2"/>
              <w:left w:val="nil"/>
              <w:bottom w:val="single" w:sz="4" w:space="0" w:color="008089" w:themeColor="accent2"/>
              <w:right w:val="nil"/>
            </w:tcBorders>
            <w:shd w:val="clear" w:color="auto" w:fill="auto"/>
          </w:tcPr>
          <w:p w14:paraId="5B9296B7"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of the International Cricket Council Women’s Cricket World Cup that: involves the senior Australian representative team; and is played in Australia or New Zealand.</w:t>
            </w:r>
          </w:p>
        </w:tc>
        <w:tc>
          <w:tcPr>
            <w:tcW w:w="667" w:type="pct"/>
            <w:tcBorders>
              <w:top w:val="single" w:sz="4" w:space="0" w:color="008089" w:themeColor="accent2"/>
              <w:left w:val="nil"/>
              <w:bottom w:val="single" w:sz="4" w:space="0" w:color="008089" w:themeColor="accent2"/>
              <w:right w:val="nil"/>
            </w:tcBorders>
            <w:shd w:val="clear" w:color="auto" w:fill="auto"/>
          </w:tcPr>
          <w:p w14:paraId="21ACCE36"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W</w:t>
            </w:r>
          </w:p>
        </w:tc>
      </w:tr>
      <w:tr w:rsidR="008C6B47" w:rsidRPr="00BC40F9" w14:paraId="25CE38EC" w14:textId="77777777" w:rsidTr="00425490">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42E7D4D3" w14:textId="77777777" w:rsidR="008C6B47" w:rsidRPr="00B6343E" w:rsidRDefault="008C6B47" w:rsidP="00425490">
            <w:pPr>
              <w:spacing w:before="60" w:after="60"/>
              <w:rPr>
                <w:sz w:val="20"/>
                <w:szCs w:val="20"/>
              </w:rPr>
            </w:pPr>
          </w:p>
        </w:tc>
        <w:tc>
          <w:tcPr>
            <w:tcW w:w="1869" w:type="pct"/>
            <w:tcBorders>
              <w:left w:val="nil"/>
              <w:right w:val="nil"/>
            </w:tcBorders>
            <w:shd w:val="clear" w:color="auto" w:fill="auto"/>
          </w:tcPr>
          <w:p w14:paraId="52DC7C0A"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International Cricket Council Cricket World Cup if the final is played in Australia or New Zealand.</w:t>
            </w:r>
          </w:p>
        </w:tc>
        <w:tc>
          <w:tcPr>
            <w:tcW w:w="1870" w:type="pct"/>
            <w:tcBorders>
              <w:top w:val="single" w:sz="4" w:space="0" w:color="008089" w:themeColor="accent2"/>
              <w:left w:val="nil"/>
              <w:bottom w:val="single" w:sz="4" w:space="0" w:color="008089" w:themeColor="accent2"/>
              <w:right w:val="nil"/>
            </w:tcBorders>
            <w:shd w:val="clear" w:color="auto" w:fill="auto"/>
          </w:tcPr>
          <w:p w14:paraId="6F8F8038"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International Cricket Council Men’s Cricket World Cup if the final is played in Australia or New Zealand.</w:t>
            </w:r>
          </w:p>
        </w:tc>
        <w:tc>
          <w:tcPr>
            <w:tcW w:w="667" w:type="pct"/>
            <w:tcBorders>
              <w:top w:val="single" w:sz="4" w:space="0" w:color="008089" w:themeColor="accent2"/>
              <w:left w:val="nil"/>
              <w:bottom w:val="single" w:sz="4" w:space="0" w:color="008089" w:themeColor="accent2"/>
              <w:right w:val="nil"/>
            </w:tcBorders>
            <w:shd w:val="clear" w:color="auto" w:fill="auto"/>
          </w:tcPr>
          <w:p w14:paraId="6F36D675"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w:t>
            </w:r>
          </w:p>
        </w:tc>
      </w:tr>
      <w:tr w:rsidR="008C6B47" w:rsidRPr="00BC40F9" w14:paraId="36F3EAF0"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736A774B" w14:textId="77777777" w:rsidR="008C6B47" w:rsidRPr="00B6343E" w:rsidRDefault="008C6B47" w:rsidP="00425490">
            <w:pPr>
              <w:spacing w:before="60" w:after="60"/>
              <w:rPr>
                <w:sz w:val="20"/>
                <w:szCs w:val="20"/>
              </w:rPr>
            </w:pPr>
          </w:p>
        </w:tc>
        <w:tc>
          <w:tcPr>
            <w:tcW w:w="1869" w:type="pct"/>
            <w:tcBorders>
              <w:left w:val="nil"/>
              <w:right w:val="nil"/>
            </w:tcBorders>
            <w:shd w:val="clear" w:color="auto" w:fill="auto"/>
          </w:tcPr>
          <w:p w14:paraId="566F75FA"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1870" w:type="pct"/>
            <w:tcBorders>
              <w:top w:val="single" w:sz="4" w:space="0" w:color="008089" w:themeColor="accent2"/>
              <w:left w:val="nil"/>
              <w:bottom w:val="single" w:sz="4" w:space="0" w:color="008089" w:themeColor="accent2"/>
              <w:right w:val="nil"/>
            </w:tcBorders>
            <w:shd w:val="clear" w:color="auto" w:fill="auto"/>
          </w:tcPr>
          <w:p w14:paraId="0D0DC9DF"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International Cricket Council Women’s Cricket World Cup if the final is played in Australia or New Zealand.</w:t>
            </w:r>
          </w:p>
        </w:tc>
        <w:tc>
          <w:tcPr>
            <w:tcW w:w="667" w:type="pct"/>
            <w:tcBorders>
              <w:top w:val="single" w:sz="4" w:space="0" w:color="008089" w:themeColor="accent2"/>
              <w:left w:val="nil"/>
              <w:bottom w:val="single" w:sz="4" w:space="0" w:color="008089" w:themeColor="accent2"/>
              <w:right w:val="nil"/>
            </w:tcBorders>
            <w:shd w:val="clear" w:color="auto" w:fill="auto"/>
          </w:tcPr>
          <w:p w14:paraId="65061F84"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W</w:t>
            </w:r>
          </w:p>
        </w:tc>
      </w:tr>
      <w:tr w:rsidR="008C6B47" w:rsidRPr="00BC40F9" w14:paraId="16E74745" w14:textId="77777777" w:rsidTr="00425490">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4688C6D0" w14:textId="77777777" w:rsidR="008C6B47" w:rsidRPr="00B6343E" w:rsidRDefault="008C6B47" w:rsidP="00425490">
            <w:pPr>
              <w:spacing w:before="60" w:after="60"/>
              <w:rPr>
                <w:sz w:val="20"/>
                <w:szCs w:val="20"/>
              </w:rPr>
            </w:pPr>
          </w:p>
        </w:tc>
        <w:tc>
          <w:tcPr>
            <w:tcW w:w="1869" w:type="pct"/>
            <w:tcBorders>
              <w:left w:val="nil"/>
              <w:right w:val="nil"/>
            </w:tcBorders>
            <w:shd w:val="clear" w:color="auto" w:fill="auto"/>
          </w:tcPr>
          <w:p w14:paraId="083FFA4C"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International Cricket Council T20 World Cup that: involves the senior Australian representative team selected by Cricket Australia; and is played in Australia or New Zealand.</w:t>
            </w:r>
          </w:p>
        </w:tc>
        <w:tc>
          <w:tcPr>
            <w:tcW w:w="1870" w:type="pct"/>
            <w:tcBorders>
              <w:top w:val="single" w:sz="4" w:space="0" w:color="008089" w:themeColor="accent2"/>
              <w:left w:val="nil"/>
              <w:bottom w:val="single" w:sz="4" w:space="0" w:color="008089" w:themeColor="accent2"/>
              <w:right w:val="nil"/>
            </w:tcBorders>
            <w:shd w:val="clear" w:color="auto" w:fill="auto"/>
          </w:tcPr>
          <w:p w14:paraId="1971FC32"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International Cricket Council Men’s T20 World Cup that: involves the senior Australian representative team; and is played in Australia or New Zealand.</w:t>
            </w:r>
          </w:p>
        </w:tc>
        <w:tc>
          <w:tcPr>
            <w:tcW w:w="667" w:type="pct"/>
            <w:tcBorders>
              <w:top w:val="single" w:sz="4" w:space="0" w:color="008089" w:themeColor="accent2"/>
              <w:left w:val="nil"/>
              <w:bottom w:val="single" w:sz="4" w:space="0" w:color="008089" w:themeColor="accent2"/>
              <w:right w:val="nil"/>
            </w:tcBorders>
            <w:shd w:val="clear" w:color="auto" w:fill="auto"/>
          </w:tcPr>
          <w:p w14:paraId="44E4C1B0"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w:t>
            </w:r>
          </w:p>
        </w:tc>
      </w:tr>
      <w:tr w:rsidR="008C6B47" w:rsidRPr="00BC40F9" w14:paraId="6CD35599"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41A5DCBC" w14:textId="77777777" w:rsidR="008C6B47" w:rsidRPr="00B6343E" w:rsidRDefault="008C6B47" w:rsidP="00425490">
            <w:pPr>
              <w:spacing w:before="60" w:after="60"/>
              <w:rPr>
                <w:sz w:val="20"/>
                <w:szCs w:val="20"/>
              </w:rPr>
            </w:pPr>
          </w:p>
        </w:tc>
        <w:tc>
          <w:tcPr>
            <w:tcW w:w="1869" w:type="pct"/>
            <w:tcBorders>
              <w:left w:val="nil"/>
              <w:right w:val="nil"/>
            </w:tcBorders>
            <w:shd w:val="clear" w:color="auto" w:fill="auto"/>
          </w:tcPr>
          <w:p w14:paraId="1311FAC1"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1870" w:type="pct"/>
            <w:tcBorders>
              <w:top w:val="single" w:sz="4" w:space="0" w:color="008089" w:themeColor="accent2"/>
              <w:left w:val="nil"/>
              <w:bottom w:val="single" w:sz="4" w:space="0" w:color="008089" w:themeColor="accent2"/>
              <w:right w:val="nil"/>
            </w:tcBorders>
            <w:shd w:val="clear" w:color="auto" w:fill="auto"/>
          </w:tcPr>
          <w:p w14:paraId="33CD8B84"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of the International Cricket Council Women’s T20 World Cup that: involves the senior Australian representative team; and is played in Australia or New Zealand.</w:t>
            </w:r>
          </w:p>
        </w:tc>
        <w:tc>
          <w:tcPr>
            <w:tcW w:w="667" w:type="pct"/>
            <w:tcBorders>
              <w:top w:val="single" w:sz="4" w:space="0" w:color="008089" w:themeColor="accent2"/>
              <w:left w:val="nil"/>
              <w:bottom w:val="single" w:sz="4" w:space="0" w:color="008089" w:themeColor="accent2"/>
              <w:right w:val="nil"/>
            </w:tcBorders>
            <w:shd w:val="clear" w:color="auto" w:fill="auto"/>
          </w:tcPr>
          <w:p w14:paraId="6F6E12C7"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W</w:t>
            </w:r>
          </w:p>
        </w:tc>
      </w:tr>
      <w:tr w:rsidR="008C6B47" w:rsidRPr="00BC40F9" w14:paraId="7AE76F0D" w14:textId="77777777" w:rsidTr="00425490">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0287D1C9" w14:textId="77777777" w:rsidR="008C6B47" w:rsidRPr="00B6343E" w:rsidRDefault="008C6B47" w:rsidP="00425490">
            <w:pPr>
              <w:spacing w:before="60" w:after="60"/>
              <w:rPr>
                <w:sz w:val="20"/>
                <w:szCs w:val="20"/>
              </w:rPr>
            </w:pPr>
          </w:p>
        </w:tc>
        <w:tc>
          <w:tcPr>
            <w:tcW w:w="1869" w:type="pct"/>
            <w:tcBorders>
              <w:left w:val="nil"/>
              <w:right w:val="nil"/>
            </w:tcBorders>
            <w:shd w:val="clear" w:color="auto" w:fill="auto"/>
          </w:tcPr>
          <w:p w14:paraId="2F87C198"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International Cricket Council T20 World Cup if the final is played in Australia or New Zealand.</w:t>
            </w:r>
          </w:p>
        </w:tc>
        <w:tc>
          <w:tcPr>
            <w:tcW w:w="1870" w:type="pct"/>
            <w:tcBorders>
              <w:top w:val="single" w:sz="4" w:space="0" w:color="008089" w:themeColor="accent2"/>
              <w:left w:val="nil"/>
              <w:bottom w:val="single" w:sz="4" w:space="0" w:color="008089" w:themeColor="accent2"/>
              <w:right w:val="nil"/>
            </w:tcBorders>
            <w:shd w:val="clear" w:color="auto" w:fill="auto"/>
          </w:tcPr>
          <w:p w14:paraId="061AB932"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International Cricket Council Men’s T20 World Cup if the final is played in Australia or New Zealand.</w:t>
            </w:r>
          </w:p>
        </w:tc>
        <w:tc>
          <w:tcPr>
            <w:tcW w:w="667" w:type="pct"/>
            <w:tcBorders>
              <w:top w:val="single" w:sz="4" w:space="0" w:color="008089" w:themeColor="accent2"/>
              <w:left w:val="nil"/>
              <w:bottom w:val="single" w:sz="4" w:space="0" w:color="008089" w:themeColor="accent2"/>
              <w:right w:val="nil"/>
            </w:tcBorders>
            <w:shd w:val="clear" w:color="auto" w:fill="auto"/>
          </w:tcPr>
          <w:p w14:paraId="4A3F5688"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w:t>
            </w:r>
          </w:p>
        </w:tc>
      </w:tr>
      <w:tr w:rsidR="008C6B47" w:rsidRPr="00BC40F9" w14:paraId="1AC88D76"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1B9C4926" w14:textId="77777777" w:rsidR="008C6B47" w:rsidRPr="00B6343E" w:rsidRDefault="008C6B47" w:rsidP="00425490">
            <w:pPr>
              <w:spacing w:before="60" w:after="60"/>
              <w:rPr>
                <w:sz w:val="20"/>
                <w:szCs w:val="20"/>
              </w:rPr>
            </w:pPr>
          </w:p>
        </w:tc>
        <w:tc>
          <w:tcPr>
            <w:tcW w:w="1869" w:type="pct"/>
            <w:tcBorders>
              <w:left w:val="nil"/>
              <w:right w:val="nil"/>
            </w:tcBorders>
            <w:shd w:val="clear" w:color="auto" w:fill="auto"/>
          </w:tcPr>
          <w:p w14:paraId="55AF015B"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1870" w:type="pct"/>
            <w:tcBorders>
              <w:top w:val="single" w:sz="4" w:space="0" w:color="008089" w:themeColor="accent2"/>
              <w:left w:val="nil"/>
              <w:bottom w:val="single" w:sz="4" w:space="0" w:color="008089" w:themeColor="accent2"/>
              <w:right w:val="nil"/>
            </w:tcBorders>
            <w:shd w:val="clear" w:color="auto" w:fill="auto"/>
          </w:tcPr>
          <w:p w14:paraId="35D3F5FF"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International Cricket Council Women’s T20 World Cup if the final is played in Australia or New Zealand.</w:t>
            </w:r>
          </w:p>
        </w:tc>
        <w:tc>
          <w:tcPr>
            <w:tcW w:w="667" w:type="pct"/>
            <w:tcBorders>
              <w:top w:val="single" w:sz="4" w:space="0" w:color="008089" w:themeColor="accent2"/>
              <w:left w:val="nil"/>
              <w:bottom w:val="single" w:sz="4" w:space="0" w:color="008089" w:themeColor="accent2"/>
              <w:right w:val="nil"/>
            </w:tcBorders>
            <w:shd w:val="clear" w:color="auto" w:fill="auto"/>
          </w:tcPr>
          <w:p w14:paraId="1F910DBB"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W</w:t>
            </w:r>
          </w:p>
        </w:tc>
      </w:tr>
      <w:tr w:rsidR="00FC7446" w:rsidRPr="00BC40F9" w14:paraId="6185556F" w14:textId="77777777" w:rsidTr="00FC7446">
        <w:tc>
          <w:tcPr>
            <w:cnfStyle w:val="001000000000" w:firstRow="0" w:lastRow="0" w:firstColumn="1" w:lastColumn="0" w:oddVBand="0" w:evenVBand="0" w:oddHBand="0" w:evenHBand="0" w:firstRowFirstColumn="0" w:firstRowLastColumn="0" w:lastRowFirstColumn="0" w:lastRowLastColumn="0"/>
            <w:tcW w:w="0" w:type="pct"/>
            <w:vMerge w:val="restart"/>
            <w:tcBorders>
              <w:top w:val="single" w:sz="4" w:space="0" w:color="008089" w:themeColor="accent2"/>
              <w:left w:val="nil"/>
              <w:right w:val="nil"/>
            </w:tcBorders>
            <w:shd w:val="clear" w:color="auto" w:fill="F2F2F2" w:themeFill="background1" w:themeFillShade="F2"/>
            <w:hideMark/>
          </w:tcPr>
          <w:p w14:paraId="1AE7A922" w14:textId="77777777" w:rsidR="008C6B47" w:rsidRPr="00B6343E" w:rsidRDefault="008C6B47" w:rsidP="00425490">
            <w:pPr>
              <w:spacing w:before="60" w:after="60"/>
              <w:rPr>
                <w:sz w:val="20"/>
                <w:szCs w:val="20"/>
              </w:rPr>
            </w:pPr>
            <w:r w:rsidRPr="00B6343E">
              <w:rPr>
                <w:sz w:val="20"/>
                <w:szCs w:val="20"/>
              </w:rPr>
              <w:t>Soccer</w:t>
            </w:r>
          </w:p>
        </w:tc>
        <w:tc>
          <w:tcPr>
            <w:tcW w:w="0" w:type="pct"/>
            <w:tcBorders>
              <w:top w:val="single" w:sz="4" w:space="0" w:color="008089" w:themeColor="accent2"/>
              <w:left w:val="nil"/>
              <w:right w:val="nil"/>
            </w:tcBorders>
            <w:shd w:val="clear" w:color="auto" w:fill="F2F2F2" w:themeFill="background1" w:themeFillShade="F2"/>
          </w:tcPr>
          <w:p w14:paraId="445038D8"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Fédération Internationale de Football Association (FIFA) World Cup tournament that involves the senior Australian representative team selected by Football Australia.</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54A198D9"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Fédération Internationale de Football Association (FIFA) Men’s World Cup tournament that involves the senior Australian representative team.</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5671A9A0"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w:t>
            </w:r>
          </w:p>
        </w:tc>
      </w:tr>
      <w:tr w:rsidR="008C6B47" w:rsidRPr="00BC40F9" w14:paraId="6234661E" w14:textId="77777777" w:rsidTr="00E40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tcPr>
          <w:p w14:paraId="532B7C42" w14:textId="77777777" w:rsidR="008C6B47" w:rsidRPr="00B6343E" w:rsidRDefault="008C6B47" w:rsidP="00425490">
            <w:pPr>
              <w:spacing w:before="60" w:after="60"/>
              <w:rPr>
                <w:sz w:val="20"/>
                <w:szCs w:val="20"/>
              </w:rPr>
            </w:pPr>
          </w:p>
        </w:tc>
        <w:tc>
          <w:tcPr>
            <w:tcW w:w="1869" w:type="pct"/>
            <w:tcBorders>
              <w:left w:val="nil"/>
              <w:right w:val="nil"/>
            </w:tcBorders>
          </w:tcPr>
          <w:p w14:paraId="464AD042"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1870" w:type="pct"/>
            <w:tcBorders>
              <w:top w:val="single" w:sz="4" w:space="0" w:color="008089" w:themeColor="accent2"/>
              <w:left w:val="nil"/>
              <w:bottom w:val="single" w:sz="4" w:space="0" w:color="008089" w:themeColor="accent2"/>
              <w:right w:val="nil"/>
            </w:tcBorders>
          </w:tcPr>
          <w:p w14:paraId="3F245D7A"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of the Fédération Internationale de Football Association (FIFA) Women’s World Cup tournament that involves the senior Australian representative team.</w:t>
            </w:r>
          </w:p>
        </w:tc>
        <w:tc>
          <w:tcPr>
            <w:tcW w:w="667" w:type="pct"/>
            <w:tcBorders>
              <w:top w:val="single" w:sz="4" w:space="0" w:color="008089" w:themeColor="accent2"/>
              <w:left w:val="nil"/>
              <w:bottom w:val="single" w:sz="4" w:space="0" w:color="008089" w:themeColor="accent2"/>
              <w:right w:val="nil"/>
            </w:tcBorders>
          </w:tcPr>
          <w:p w14:paraId="7122E191"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W</w:t>
            </w:r>
          </w:p>
        </w:tc>
      </w:tr>
      <w:tr w:rsidR="008C6B47" w:rsidRPr="00BC40F9" w14:paraId="727ECA16" w14:textId="77777777" w:rsidTr="00FC7446">
        <w:tc>
          <w:tcPr>
            <w:cnfStyle w:val="001000000000" w:firstRow="0" w:lastRow="0" w:firstColumn="1" w:lastColumn="0" w:oddVBand="0" w:evenVBand="0" w:oddHBand="0" w:evenHBand="0" w:firstRowFirstColumn="0" w:firstRowLastColumn="0" w:lastRowFirstColumn="0" w:lastRowLastColumn="0"/>
            <w:tcW w:w="0" w:type="pct"/>
            <w:vMerge/>
            <w:tcBorders>
              <w:left w:val="nil"/>
              <w:right w:val="nil"/>
            </w:tcBorders>
          </w:tcPr>
          <w:p w14:paraId="0F3E8337" w14:textId="77777777" w:rsidR="008C6B47" w:rsidRPr="00B6343E" w:rsidRDefault="008C6B47" w:rsidP="00425490">
            <w:pPr>
              <w:spacing w:before="60" w:after="60"/>
              <w:rPr>
                <w:sz w:val="20"/>
                <w:szCs w:val="20"/>
              </w:rPr>
            </w:pPr>
          </w:p>
        </w:tc>
        <w:tc>
          <w:tcPr>
            <w:tcW w:w="0" w:type="pct"/>
            <w:tcBorders>
              <w:left w:val="nil"/>
              <w:right w:val="nil"/>
            </w:tcBorders>
            <w:shd w:val="clear" w:color="auto" w:fill="F2F2F2" w:themeFill="background1" w:themeFillShade="F2"/>
          </w:tcPr>
          <w:p w14:paraId="6C3C8130"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Fédération Internationale de Football Association (FIFA) World Cup tournament.</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6834EEB8"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Fédération Internationale de Football Association (FIFA) Men’s World Cup tournament.</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51B6F26B"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w:t>
            </w:r>
          </w:p>
        </w:tc>
      </w:tr>
      <w:tr w:rsidR="008C6B47" w:rsidRPr="00BC40F9" w14:paraId="721A4C0C" w14:textId="77777777" w:rsidTr="00E40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tcPr>
          <w:p w14:paraId="051B9852" w14:textId="77777777" w:rsidR="008C6B47" w:rsidRPr="00B6343E" w:rsidRDefault="008C6B47" w:rsidP="00425490">
            <w:pPr>
              <w:spacing w:before="60" w:after="60"/>
              <w:rPr>
                <w:sz w:val="20"/>
                <w:szCs w:val="20"/>
              </w:rPr>
            </w:pPr>
          </w:p>
        </w:tc>
        <w:tc>
          <w:tcPr>
            <w:tcW w:w="1869" w:type="pct"/>
            <w:tcBorders>
              <w:left w:val="nil"/>
              <w:right w:val="nil"/>
            </w:tcBorders>
          </w:tcPr>
          <w:p w14:paraId="0EAF2BAD"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1870" w:type="pct"/>
            <w:tcBorders>
              <w:top w:val="single" w:sz="4" w:space="0" w:color="008089" w:themeColor="accent2"/>
              <w:left w:val="nil"/>
              <w:bottom w:val="single" w:sz="4" w:space="0" w:color="008089" w:themeColor="accent2"/>
              <w:right w:val="nil"/>
            </w:tcBorders>
          </w:tcPr>
          <w:p w14:paraId="712B53ED"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Fédération Internationale de Football Association (FIFA) Women’s World Cup tournament.</w:t>
            </w:r>
          </w:p>
        </w:tc>
        <w:tc>
          <w:tcPr>
            <w:tcW w:w="667" w:type="pct"/>
            <w:tcBorders>
              <w:top w:val="single" w:sz="4" w:space="0" w:color="008089" w:themeColor="accent2"/>
              <w:left w:val="nil"/>
              <w:bottom w:val="single" w:sz="4" w:space="0" w:color="008089" w:themeColor="accent2"/>
              <w:right w:val="nil"/>
            </w:tcBorders>
          </w:tcPr>
          <w:p w14:paraId="263FA143"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W</w:t>
            </w:r>
          </w:p>
        </w:tc>
      </w:tr>
      <w:tr w:rsidR="008C6B47" w:rsidRPr="00BC40F9" w14:paraId="480A6ADD" w14:textId="77777777" w:rsidTr="00FC7446">
        <w:tc>
          <w:tcPr>
            <w:cnfStyle w:val="001000000000" w:firstRow="0" w:lastRow="0" w:firstColumn="1" w:lastColumn="0" w:oddVBand="0" w:evenVBand="0" w:oddHBand="0" w:evenHBand="0" w:firstRowFirstColumn="0" w:firstRowLastColumn="0" w:lastRowFirstColumn="0" w:lastRowLastColumn="0"/>
            <w:tcW w:w="0" w:type="pct"/>
            <w:vMerge/>
            <w:tcBorders>
              <w:left w:val="nil"/>
              <w:right w:val="nil"/>
            </w:tcBorders>
          </w:tcPr>
          <w:p w14:paraId="75E457DA" w14:textId="77777777" w:rsidR="008C6B47" w:rsidRPr="00B6343E" w:rsidRDefault="008C6B47" w:rsidP="00425490">
            <w:pPr>
              <w:spacing w:before="60" w:after="60"/>
              <w:rPr>
                <w:sz w:val="20"/>
                <w:szCs w:val="20"/>
              </w:rPr>
            </w:pPr>
          </w:p>
        </w:tc>
        <w:tc>
          <w:tcPr>
            <w:tcW w:w="0" w:type="pct"/>
            <w:tcBorders>
              <w:left w:val="nil"/>
              <w:bottom w:val="single" w:sz="4" w:space="0" w:color="008089" w:themeColor="accent2"/>
              <w:right w:val="nil"/>
            </w:tcBorders>
            <w:shd w:val="clear" w:color="auto" w:fill="F2F2F2" w:themeFill="background1" w:themeFillShade="F2"/>
          </w:tcPr>
          <w:p w14:paraId="540B2AD3"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the Fédération Internationale de Football Association (FIFA) World Cup Qualification tournament that: involves the senior Australian representative team selected by Football Australia; and is played in Australia.</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4B76B865"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the Fédération Internationale de Football Association (FIFA) Men’s World Cup Qualification tournament that: involves the senior Australian representative team; and is played in Australia.</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248CC912" w14:textId="77777777"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w:t>
            </w:r>
          </w:p>
        </w:tc>
      </w:tr>
      <w:tr w:rsidR="008C6B47" w:rsidRPr="00BC40F9" w14:paraId="658371E5" w14:textId="77777777" w:rsidTr="00E40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bottom w:val="single" w:sz="4" w:space="0" w:color="008089" w:themeColor="accent2"/>
              <w:right w:val="nil"/>
            </w:tcBorders>
          </w:tcPr>
          <w:p w14:paraId="52B28A62" w14:textId="77777777" w:rsidR="008C6B47" w:rsidRPr="00B6343E" w:rsidRDefault="008C6B47" w:rsidP="00425490">
            <w:pPr>
              <w:spacing w:before="60" w:after="60"/>
              <w:rPr>
                <w:sz w:val="20"/>
                <w:szCs w:val="20"/>
              </w:rPr>
            </w:pPr>
          </w:p>
        </w:tc>
        <w:tc>
          <w:tcPr>
            <w:tcW w:w="1869" w:type="pct"/>
            <w:tcBorders>
              <w:left w:val="nil"/>
              <w:bottom w:val="single" w:sz="4" w:space="0" w:color="008089" w:themeColor="accent2"/>
              <w:right w:val="nil"/>
            </w:tcBorders>
          </w:tcPr>
          <w:p w14:paraId="2673B33C"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1870" w:type="pct"/>
            <w:tcBorders>
              <w:top w:val="single" w:sz="4" w:space="0" w:color="008089" w:themeColor="accent2"/>
              <w:left w:val="nil"/>
              <w:bottom w:val="single" w:sz="4" w:space="0" w:color="008089" w:themeColor="accent2"/>
              <w:right w:val="nil"/>
            </w:tcBorders>
          </w:tcPr>
          <w:p w14:paraId="3FAFD246" w14:textId="7B3C5203" w:rsidR="00A34CE1" w:rsidRPr="001538AF" w:rsidRDefault="008C6B47" w:rsidP="00A34CE1">
            <w:pPr>
              <w:spacing w:before="60" w:after="24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Fédération Internationale de Football Association (FIFA) Women’s World Cup Qualification tournament that: involves the senior Australian representative team; and is played in Australia.</w:t>
            </w:r>
          </w:p>
        </w:tc>
        <w:tc>
          <w:tcPr>
            <w:tcW w:w="667" w:type="pct"/>
            <w:tcBorders>
              <w:top w:val="single" w:sz="4" w:space="0" w:color="008089" w:themeColor="accent2"/>
              <w:left w:val="nil"/>
              <w:bottom w:val="single" w:sz="4" w:space="0" w:color="008089" w:themeColor="accent2"/>
              <w:right w:val="nil"/>
            </w:tcBorders>
          </w:tcPr>
          <w:p w14:paraId="57229A39"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W</w:t>
            </w:r>
          </w:p>
        </w:tc>
      </w:tr>
      <w:tr w:rsidR="00425490" w:rsidRPr="00BC40F9" w14:paraId="41041D3F" w14:textId="77777777" w:rsidTr="00425490">
        <w:tc>
          <w:tcPr>
            <w:cnfStyle w:val="001000000000" w:firstRow="0" w:lastRow="0" w:firstColumn="1" w:lastColumn="0" w:oddVBand="0" w:evenVBand="0" w:oddHBand="0" w:evenHBand="0" w:firstRowFirstColumn="0" w:firstRowLastColumn="0" w:lastRowFirstColumn="0" w:lastRowLastColumn="0"/>
            <w:tcW w:w="594" w:type="pct"/>
            <w:vMerge w:val="restart"/>
            <w:tcBorders>
              <w:top w:val="single" w:sz="4" w:space="0" w:color="008089" w:themeColor="accent2"/>
              <w:left w:val="nil"/>
              <w:right w:val="nil"/>
            </w:tcBorders>
            <w:shd w:val="clear" w:color="auto" w:fill="auto"/>
            <w:hideMark/>
          </w:tcPr>
          <w:p w14:paraId="7EB53B53" w14:textId="77777777" w:rsidR="00425490" w:rsidRPr="00B6343E" w:rsidRDefault="00425490" w:rsidP="00425490">
            <w:pPr>
              <w:spacing w:before="60" w:after="60"/>
              <w:rPr>
                <w:sz w:val="20"/>
                <w:szCs w:val="20"/>
              </w:rPr>
            </w:pPr>
            <w:r w:rsidRPr="00B6343E">
              <w:rPr>
                <w:sz w:val="20"/>
                <w:szCs w:val="20"/>
              </w:rPr>
              <w:lastRenderedPageBreak/>
              <w:t>Tennis</w:t>
            </w:r>
          </w:p>
        </w:tc>
        <w:tc>
          <w:tcPr>
            <w:tcW w:w="1869" w:type="pct"/>
            <w:tcBorders>
              <w:top w:val="single" w:sz="4" w:space="0" w:color="008089" w:themeColor="accent2"/>
              <w:left w:val="nil"/>
              <w:right w:val="nil"/>
            </w:tcBorders>
            <w:shd w:val="clear" w:color="auto" w:fill="auto"/>
          </w:tcPr>
          <w:p w14:paraId="09B1D6E4"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the Australian Open tennis tournament.</w:t>
            </w:r>
          </w:p>
        </w:tc>
        <w:tc>
          <w:tcPr>
            <w:tcW w:w="1870" w:type="pct"/>
            <w:tcBorders>
              <w:top w:val="single" w:sz="4" w:space="0" w:color="008089" w:themeColor="accent2"/>
              <w:left w:val="nil"/>
              <w:bottom w:val="single" w:sz="4" w:space="0" w:color="008089" w:themeColor="accent2"/>
              <w:right w:val="nil"/>
            </w:tcBorders>
            <w:shd w:val="clear" w:color="auto" w:fill="auto"/>
            <w:hideMark/>
          </w:tcPr>
          <w:p w14:paraId="068DA67F"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the Australian Open tennis tournament.</w:t>
            </w:r>
          </w:p>
        </w:tc>
        <w:tc>
          <w:tcPr>
            <w:tcW w:w="667" w:type="pct"/>
            <w:tcBorders>
              <w:top w:val="single" w:sz="4" w:space="0" w:color="008089" w:themeColor="accent2"/>
              <w:left w:val="nil"/>
              <w:bottom w:val="single" w:sz="4" w:space="0" w:color="008089" w:themeColor="accent2"/>
              <w:right w:val="nil"/>
            </w:tcBorders>
            <w:shd w:val="clear" w:color="auto" w:fill="auto"/>
          </w:tcPr>
          <w:p w14:paraId="03391C6C"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&amp; W, Mix</w:t>
            </w:r>
          </w:p>
        </w:tc>
      </w:tr>
      <w:tr w:rsidR="00425490" w:rsidRPr="00BC40F9" w14:paraId="10A4FD8B"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55E2D4B3" w14:textId="77777777" w:rsidR="00425490" w:rsidRPr="00B6343E" w:rsidRDefault="00425490" w:rsidP="00425490">
            <w:pPr>
              <w:spacing w:before="60" w:after="60"/>
              <w:rPr>
                <w:sz w:val="20"/>
                <w:szCs w:val="20"/>
              </w:rPr>
            </w:pPr>
          </w:p>
        </w:tc>
        <w:tc>
          <w:tcPr>
            <w:tcW w:w="1869" w:type="pct"/>
            <w:tcBorders>
              <w:left w:val="nil"/>
              <w:right w:val="nil"/>
            </w:tcBorders>
            <w:shd w:val="clear" w:color="auto" w:fill="auto"/>
          </w:tcPr>
          <w:p w14:paraId="7A06CD90"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each tie of the International Tennis Federation Davis Cup World Group tennis tournament that: involves an Australian representative team; and is played in Australia.</w:t>
            </w:r>
          </w:p>
        </w:tc>
        <w:tc>
          <w:tcPr>
            <w:tcW w:w="1870" w:type="pct"/>
            <w:tcBorders>
              <w:top w:val="single" w:sz="4" w:space="0" w:color="008089" w:themeColor="accent2"/>
              <w:left w:val="nil"/>
              <w:bottom w:val="single" w:sz="4" w:space="0" w:color="008089" w:themeColor="accent2"/>
              <w:right w:val="nil"/>
            </w:tcBorders>
            <w:shd w:val="clear" w:color="auto" w:fill="auto"/>
          </w:tcPr>
          <w:p w14:paraId="7208F4C9"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each tie of the International Tennis Federation Davis Cup World Group tennis tournament that: involves an Australian representative team; and is played in Australia.</w:t>
            </w:r>
          </w:p>
        </w:tc>
        <w:tc>
          <w:tcPr>
            <w:tcW w:w="667" w:type="pct"/>
            <w:tcBorders>
              <w:top w:val="single" w:sz="4" w:space="0" w:color="008089" w:themeColor="accent2"/>
              <w:left w:val="nil"/>
              <w:bottom w:val="single" w:sz="4" w:space="0" w:color="008089" w:themeColor="accent2"/>
              <w:right w:val="nil"/>
            </w:tcBorders>
            <w:shd w:val="clear" w:color="auto" w:fill="auto"/>
          </w:tcPr>
          <w:p w14:paraId="5CA3BD60"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w:t>
            </w:r>
          </w:p>
        </w:tc>
      </w:tr>
      <w:tr w:rsidR="00425490" w:rsidRPr="00BC40F9" w14:paraId="67201FBE" w14:textId="77777777" w:rsidTr="00425490">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249F8607" w14:textId="77777777" w:rsidR="00425490" w:rsidRPr="00B6343E" w:rsidRDefault="00425490" w:rsidP="00425490">
            <w:pPr>
              <w:spacing w:before="60" w:after="60"/>
              <w:rPr>
                <w:sz w:val="20"/>
                <w:szCs w:val="20"/>
              </w:rPr>
            </w:pPr>
          </w:p>
        </w:tc>
        <w:tc>
          <w:tcPr>
            <w:tcW w:w="1869" w:type="pct"/>
            <w:tcBorders>
              <w:left w:val="nil"/>
              <w:right w:val="nil"/>
            </w:tcBorders>
            <w:shd w:val="clear" w:color="auto" w:fill="auto"/>
          </w:tcPr>
          <w:p w14:paraId="16E58DCB"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International Tennis Federation Davis Cup World Group tennis tournament if the final involves an Australian representative team.</w:t>
            </w:r>
          </w:p>
        </w:tc>
        <w:tc>
          <w:tcPr>
            <w:tcW w:w="1870" w:type="pct"/>
            <w:tcBorders>
              <w:top w:val="single" w:sz="4" w:space="0" w:color="008089" w:themeColor="accent2"/>
              <w:left w:val="nil"/>
              <w:bottom w:val="single" w:sz="4" w:space="0" w:color="008089" w:themeColor="accent2"/>
              <w:right w:val="nil"/>
            </w:tcBorders>
            <w:shd w:val="clear" w:color="auto" w:fill="auto"/>
          </w:tcPr>
          <w:p w14:paraId="7F7D50A7"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International Tennis Federation Davis Cup World Group tennis tournament if the final involves an Australian representative team.</w:t>
            </w:r>
          </w:p>
        </w:tc>
        <w:tc>
          <w:tcPr>
            <w:tcW w:w="667" w:type="pct"/>
            <w:tcBorders>
              <w:top w:val="single" w:sz="4" w:space="0" w:color="008089" w:themeColor="accent2"/>
              <w:left w:val="nil"/>
              <w:bottom w:val="single" w:sz="4" w:space="0" w:color="008089" w:themeColor="accent2"/>
              <w:right w:val="nil"/>
            </w:tcBorders>
            <w:shd w:val="clear" w:color="auto" w:fill="auto"/>
          </w:tcPr>
          <w:p w14:paraId="058C0172"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w:t>
            </w:r>
          </w:p>
        </w:tc>
      </w:tr>
      <w:tr w:rsidR="00425490" w:rsidRPr="00BC40F9" w14:paraId="662ECA7E" w14:textId="77777777" w:rsidTr="00E40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val="restart"/>
            <w:tcBorders>
              <w:top w:val="single" w:sz="4" w:space="0" w:color="008089" w:themeColor="accent2"/>
              <w:left w:val="nil"/>
              <w:right w:val="nil"/>
            </w:tcBorders>
            <w:hideMark/>
          </w:tcPr>
          <w:p w14:paraId="566EB81B" w14:textId="77777777" w:rsidR="00425490" w:rsidRPr="00B6343E" w:rsidRDefault="00425490" w:rsidP="00425490">
            <w:pPr>
              <w:spacing w:before="60" w:after="60"/>
              <w:rPr>
                <w:sz w:val="20"/>
                <w:szCs w:val="20"/>
              </w:rPr>
            </w:pPr>
            <w:r w:rsidRPr="00B6343E">
              <w:rPr>
                <w:sz w:val="20"/>
                <w:szCs w:val="20"/>
              </w:rPr>
              <w:t>Netball</w:t>
            </w:r>
          </w:p>
        </w:tc>
        <w:tc>
          <w:tcPr>
            <w:tcW w:w="1869" w:type="pct"/>
            <w:tcBorders>
              <w:top w:val="single" w:sz="4" w:space="0" w:color="008089" w:themeColor="accent2"/>
              <w:left w:val="nil"/>
              <w:right w:val="nil"/>
            </w:tcBorders>
          </w:tcPr>
          <w:p w14:paraId="7099B5DA"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A semi-final of the Netball World Cup if the semi-final involves the senior Australian representative team selected by Netball Australia.</w:t>
            </w:r>
          </w:p>
        </w:tc>
        <w:tc>
          <w:tcPr>
            <w:tcW w:w="1870" w:type="pct"/>
            <w:tcBorders>
              <w:top w:val="single" w:sz="4" w:space="0" w:color="008089" w:themeColor="accent2"/>
              <w:left w:val="nil"/>
              <w:bottom w:val="single" w:sz="4" w:space="0" w:color="008089" w:themeColor="accent2"/>
              <w:right w:val="nil"/>
            </w:tcBorders>
            <w:hideMark/>
          </w:tcPr>
          <w:p w14:paraId="53E2686D"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A semi-final of the Netball World Cup if the semi-final involves the senior Australian representative team.</w:t>
            </w:r>
          </w:p>
        </w:tc>
        <w:tc>
          <w:tcPr>
            <w:tcW w:w="667" w:type="pct"/>
            <w:tcBorders>
              <w:top w:val="single" w:sz="4" w:space="0" w:color="008089" w:themeColor="accent2"/>
              <w:left w:val="nil"/>
              <w:bottom w:val="single" w:sz="4" w:space="0" w:color="008089" w:themeColor="accent2"/>
              <w:right w:val="nil"/>
            </w:tcBorders>
          </w:tcPr>
          <w:p w14:paraId="2FCCFDBB"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W</w:t>
            </w:r>
          </w:p>
        </w:tc>
      </w:tr>
      <w:tr w:rsidR="00425490" w:rsidRPr="00BC40F9" w14:paraId="0FE13F50" w14:textId="77777777" w:rsidTr="00FC7446">
        <w:tc>
          <w:tcPr>
            <w:cnfStyle w:val="001000000000" w:firstRow="0" w:lastRow="0" w:firstColumn="1" w:lastColumn="0" w:oddVBand="0" w:evenVBand="0" w:oddHBand="0" w:evenHBand="0" w:firstRowFirstColumn="0" w:firstRowLastColumn="0" w:lastRowFirstColumn="0" w:lastRowLastColumn="0"/>
            <w:tcW w:w="0" w:type="pct"/>
            <w:vMerge/>
            <w:tcBorders>
              <w:left w:val="nil"/>
              <w:bottom w:val="single" w:sz="4" w:space="0" w:color="008089" w:themeColor="accent2"/>
              <w:right w:val="nil"/>
            </w:tcBorders>
          </w:tcPr>
          <w:p w14:paraId="2C1B42A1" w14:textId="77777777" w:rsidR="00425490" w:rsidRPr="00B6343E" w:rsidRDefault="00425490" w:rsidP="00425490">
            <w:pPr>
              <w:spacing w:before="60" w:after="60"/>
              <w:rPr>
                <w:sz w:val="20"/>
                <w:szCs w:val="20"/>
              </w:rPr>
            </w:pPr>
          </w:p>
        </w:tc>
        <w:tc>
          <w:tcPr>
            <w:tcW w:w="0" w:type="pct"/>
            <w:tcBorders>
              <w:left w:val="nil"/>
              <w:bottom w:val="single" w:sz="4" w:space="0" w:color="008089" w:themeColor="accent2"/>
              <w:right w:val="nil"/>
            </w:tcBorders>
            <w:shd w:val="clear" w:color="auto" w:fill="F2F2F2" w:themeFill="background1" w:themeFillShade="F2"/>
          </w:tcPr>
          <w:p w14:paraId="2CD7E1D2"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Netball World Cup if the final involves the senior Australian representative team selected by Netball Australia.</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70FF0C21"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Netball World Cup if the final involves the senior Australian representative team.</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03813BD6"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W</w:t>
            </w:r>
          </w:p>
        </w:tc>
      </w:tr>
      <w:tr w:rsidR="00425490" w:rsidRPr="00BC40F9" w14:paraId="04611B01"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val="restart"/>
            <w:tcBorders>
              <w:top w:val="single" w:sz="4" w:space="0" w:color="008089" w:themeColor="accent2"/>
              <w:left w:val="nil"/>
              <w:right w:val="nil"/>
            </w:tcBorders>
            <w:shd w:val="clear" w:color="auto" w:fill="auto"/>
            <w:hideMark/>
          </w:tcPr>
          <w:p w14:paraId="4F4686E0" w14:textId="77777777" w:rsidR="00425490" w:rsidRPr="00B6343E" w:rsidRDefault="00425490" w:rsidP="00425490">
            <w:pPr>
              <w:keepNext/>
              <w:spacing w:before="60" w:after="60"/>
              <w:rPr>
                <w:sz w:val="20"/>
                <w:szCs w:val="20"/>
              </w:rPr>
            </w:pPr>
            <w:r w:rsidRPr="00B6343E">
              <w:rPr>
                <w:sz w:val="20"/>
                <w:szCs w:val="20"/>
              </w:rPr>
              <w:t>Motor Sports</w:t>
            </w:r>
          </w:p>
        </w:tc>
        <w:tc>
          <w:tcPr>
            <w:tcW w:w="1869" w:type="pct"/>
            <w:tcBorders>
              <w:top w:val="single" w:sz="4" w:space="0" w:color="008089" w:themeColor="accent2"/>
              <w:left w:val="nil"/>
              <w:right w:val="nil"/>
            </w:tcBorders>
            <w:shd w:val="clear" w:color="auto" w:fill="auto"/>
          </w:tcPr>
          <w:p w14:paraId="5FB11CA9"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 xml:space="preserve">Each race in the Fédération Internationale de </w:t>
            </w:r>
            <w:proofErr w:type="spellStart"/>
            <w:r w:rsidRPr="001538AF">
              <w:rPr>
                <w:color w:val="auto"/>
                <w:sz w:val="20"/>
                <w:szCs w:val="20"/>
              </w:rPr>
              <w:t>l’Automobile</w:t>
            </w:r>
            <w:proofErr w:type="spellEnd"/>
            <w:r w:rsidRPr="001538AF">
              <w:rPr>
                <w:color w:val="auto"/>
                <w:sz w:val="20"/>
                <w:szCs w:val="20"/>
              </w:rPr>
              <w:t xml:space="preserve"> Formula One World Championship (Grand Prix) held in Australia.</w:t>
            </w:r>
          </w:p>
        </w:tc>
        <w:tc>
          <w:tcPr>
            <w:tcW w:w="1870" w:type="pct"/>
            <w:tcBorders>
              <w:top w:val="single" w:sz="4" w:space="0" w:color="008089" w:themeColor="accent2"/>
              <w:left w:val="nil"/>
              <w:bottom w:val="single" w:sz="4" w:space="0" w:color="008089" w:themeColor="accent2"/>
              <w:right w:val="nil"/>
            </w:tcBorders>
            <w:shd w:val="clear" w:color="auto" w:fill="auto"/>
            <w:hideMark/>
          </w:tcPr>
          <w:p w14:paraId="28A55EB4"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 xml:space="preserve">Each race in the Fédération Internationale de </w:t>
            </w:r>
            <w:proofErr w:type="spellStart"/>
            <w:r w:rsidRPr="001538AF">
              <w:rPr>
                <w:color w:val="auto"/>
                <w:sz w:val="20"/>
                <w:szCs w:val="20"/>
              </w:rPr>
              <w:t>l’Automobile</w:t>
            </w:r>
            <w:proofErr w:type="spellEnd"/>
            <w:r w:rsidRPr="001538AF">
              <w:rPr>
                <w:color w:val="auto"/>
                <w:sz w:val="20"/>
                <w:szCs w:val="20"/>
              </w:rPr>
              <w:t xml:space="preserve"> Formula One World Championship (Grand Prix) held in Australia.</w:t>
            </w:r>
          </w:p>
        </w:tc>
        <w:tc>
          <w:tcPr>
            <w:tcW w:w="667" w:type="pct"/>
            <w:tcBorders>
              <w:top w:val="single" w:sz="4" w:space="0" w:color="008089" w:themeColor="accent2"/>
              <w:left w:val="nil"/>
              <w:bottom w:val="single" w:sz="4" w:space="0" w:color="008089" w:themeColor="accent2"/>
              <w:right w:val="nil"/>
            </w:tcBorders>
            <w:shd w:val="clear" w:color="auto" w:fill="auto"/>
          </w:tcPr>
          <w:p w14:paraId="6B2EFB07"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Mix</w:t>
            </w:r>
          </w:p>
        </w:tc>
      </w:tr>
      <w:tr w:rsidR="00425490" w:rsidRPr="00BC40F9" w14:paraId="64C40173" w14:textId="77777777" w:rsidTr="00425490">
        <w:tc>
          <w:tcPr>
            <w:cnfStyle w:val="001000000000" w:firstRow="0" w:lastRow="0" w:firstColumn="1" w:lastColumn="0" w:oddVBand="0" w:evenVBand="0" w:oddHBand="0" w:evenHBand="0" w:firstRowFirstColumn="0" w:firstRowLastColumn="0" w:lastRowFirstColumn="0" w:lastRowLastColumn="0"/>
            <w:tcW w:w="594" w:type="pct"/>
            <w:vMerge/>
            <w:tcBorders>
              <w:left w:val="nil"/>
              <w:right w:val="nil"/>
            </w:tcBorders>
            <w:shd w:val="clear" w:color="auto" w:fill="auto"/>
          </w:tcPr>
          <w:p w14:paraId="1C55B8BA" w14:textId="77777777" w:rsidR="00425490" w:rsidRPr="00B6343E" w:rsidRDefault="00425490" w:rsidP="00425490">
            <w:pPr>
              <w:keepNext/>
              <w:spacing w:before="60" w:after="60"/>
              <w:rPr>
                <w:sz w:val="20"/>
                <w:szCs w:val="20"/>
              </w:rPr>
            </w:pPr>
          </w:p>
        </w:tc>
        <w:tc>
          <w:tcPr>
            <w:tcW w:w="1869" w:type="pct"/>
            <w:tcBorders>
              <w:left w:val="nil"/>
              <w:right w:val="nil"/>
            </w:tcBorders>
            <w:shd w:val="clear" w:color="auto" w:fill="auto"/>
          </w:tcPr>
          <w:p w14:paraId="1F9C765D"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race in the Fédération Internationale de </w:t>
            </w:r>
            <w:proofErr w:type="spellStart"/>
            <w:r w:rsidRPr="001538AF">
              <w:rPr>
                <w:color w:val="auto"/>
                <w:sz w:val="20"/>
                <w:szCs w:val="20"/>
              </w:rPr>
              <w:t>Motocyclisme</w:t>
            </w:r>
            <w:proofErr w:type="spellEnd"/>
            <w:r w:rsidRPr="001538AF">
              <w:rPr>
                <w:color w:val="auto"/>
                <w:sz w:val="20"/>
                <w:szCs w:val="20"/>
              </w:rPr>
              <w:t xml:space="preserve"> MotoGP World Championship held in Australia.</w:t>
            </w:r>
          </w:p>
        </w:tc>
        <w:tc>
          <w:tcPr>
            <w:tcW w:w="1870" w:type="pct"/>
            <w:tcBorders>
              <w:top w:val="single" w:sz="4" w:space="0" w:color="008089" w:themeColor="accent2"/>
              <w:left w:val="nil"/>
              <w:bottom w:val="single" w:sz="4" w:space="0" w:color="008089" w:themeColor="accent2"/>
              <w:right w:val="nil"/>
            </w:tcBorders>
            <w:shd w:val="clear" w:color="auto" w:fill="auto"/>
          </w:tcPr>
          <w:p w14:paraId="50758981"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race in the Fédération Internationale de </w:t>
            </w:r>
            <w:proofErr w:type="spellStart"/>
            <w:r w:rsidRPr="001538AF">
              <w:rPr>
                <w:color w:val="auto"/>
                <w:sz w:val="20"/>
                <w:szCs w:val="20"/>
              </w:rPr>
              <w:t>Motocyclisme</w:t>
            </w:r>
            <w:proofErr w:type="spellEnd"/>
            <w:r w:rsidRPr="001538AF">
              <w:rPr>
                <w:color w:val="auto"/>
                <w:sz w:val="20"/>
                <w:szCs w:val="20"/>
              </w:rPr>
              <w:t xml:space="preserve"> MotoGP World Championship held in Australia.</w:t>
            </w:r>
          </w:p>
        </w:tc>
        <w:tc>
          <w:tcPr>
            <w:tcW w:w="667" w:type="pct"/>
            <w:tcBorders>
              <w:top w:val="single" w:sz="4" w:space="0" w:color="008089" w:themeColor="accent2"/>
              <w:left w:val="nil"/>
              <w:bottom w:val="single" w:sz="4" w:space="0" w:color="008089" w:themeColor="accent2"/>
              <w:right w:val="nil"/>
            </w:tcBorders>
            <w:shd w:val="clear" w:color="auto" w:fill="auto"/>
          </w:tcPr>
          <w:p w14:paraId="4828EAC9"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Mix</w:t>
            </w:r>
          </w:p>
        </w:tc>
      </w:tr>
      <w:tr w:rsidR="00425490" w:rsidRPr="00BC40F9" w14:paraId="53B3D972"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vMerge/>
            <w:tcBorders>
              <w:left w:val="nil"/>
              <w:bottom w:val="single" w:sz="4" w:space="0" w:color="008089" w:themeColor="accent2"/>
              <w:right w:val="nil"/>
            </w:tcBorders>
            <w:shd w:val="clear" w:color="auto" w:fill="auto"/>
          </w:tcPr>
          <w:p w14:paraId="4E789036" w14:textId="77777777" w:rsidR="00425490" w:rsidRPr="00B6343E" w:rsidRDefault="00425490" w:rsidP="00425490">
            <w:pPr>
              <w:keepNext/>
              <w:spacing w:before="60" w:after="60"/>
              <w:rPr>
                <w:sz w:val="20"/>
                <w:szCs w:val="20"/>
              </w:rPr>
            </w:pPr>
          </w:p>
        </w:tc>
        <w:tc>
          <w:tcPr>
            <w:tcW w:w="1869" w:type="pct"/>
            <w:tcBorders>
              <w:left w:val="nil"/>
              <w:bottom w:val="single" w:sz="4" w:space="0" w:color="008089" w:themeColor="accent2"/>
              <w:right w:val="nil"/>
            </w:tcBorders>
            <w:shd w:val="clear" w:color="auto" w:fill="auto"/>
          </w:tcPr>
          <w:p w14:paraId="024155FE"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Bathurst 1000 race in the Supercars Championship.</w:t>
            </w:r>
          </w:p>
        </w:tc>
        <w:tc>
          <w:tcPr>
            <w:tcW w:w="1870" w:type="pct"/>
            <w:tcBorders>
              <w:top w:val="single" w:sz="4" w:space="0" w:color="008089" w:themeColor="accent2"/>
              <w:left w:val="nil"/>
              <w:bottom w:val="single" w:sz="4" w:space="0" w:color="008089" w:themeColor="accent2"/>
              <w:right w:val="nil"/>
            </w:tcBorders>
            <w:shd w:val="clear" w:color="auto" w:fill="auto"/>
          </w:tcPr>
          <w:p w14:paraId="1F8C93BE"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Bathurst 1000 race in the Supercars Championship.</w:t>
            </w:r>
          </w:p>
        </w:tc>
        <w:tc>
          <w:tcPr>
            <w:tcW w:w="667" w:type="pct"/>
            <w:tcBorders>
              <w:top w:val="single" w:sz="4" w:space="0" w:color="008089" w:themeColor="accent2"/>
              <w:left w:val="nil"/>
              <w:bottom w:val="single" w:sz="4" w:space="0" w:color="008089" w:themeColor="accent2"/>
              <w:right w:val="nil"/>
            </w:tcBorders>
            <w:shd w:val="clear" w:color="auto" w:fill="auto"/>
          </w:tcPr>
          <w:p w14:paraId="6F0CA8C7"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Mix</w:t>
            </w:r>
          </w:p>
        </w:tc>
      </w:tr>
    </w:tbl>
    <w:bookmarkEnd w:id="271"/>
    <w:p w14:paraId="35A9CDB2" w14:textId="77777777" w:rsidR="00425490" w:rsidRPr="006241C8" w:rsidRDefault="00425490" w:rsidP="00425490">
      <w:pPr>
        <w:rPr>
          <w:rFonts w:cstheme="minorHAnsi"/>
          <w:color w:val="auto"/>
          <w:sz w:val="18"/>
          <w:szCs w:val="18"/>
          <w:shd w:val="clear" w:color="auto" w:fill="FFFFFF"/>
        </w:rPr>
      </w:pPr>
      <w:r w:rsidRPr="00E3649F">
        <w:rPr>
          <w:rFonts w:cstheme="minorHAnsi"/>
          <w:color w:val="auto"/>
          <w:sz w:val="18"/>
          <w:szCs w:val="18"/>
          <w:shd w:val="clear" w:color="auto" w:fill="FFFFFF"/>
        </w:rPr>
        <w:t xml:space="preserve">  </w:t>
      </w:r>
    </w:p>
    <w:tbl>
      <w:tblPr>
        <w:tblStyle w:val="DefaultTable1"/>
        <w:tblW w:w="0" w:type="auto"/>
        <w:tblLook w:val="04A0" w:firstRow="1" w:lastRow="0" w:firstColumn="1" w:lastColumn="0" w:noHBand="0" w:noVBand="1"/>
      </w:tblPr>
      <w:tblGrid>
        <w:gridCol w:w="1040"/>
        <w:gridCol w:w="1347"/>
      </w:tblGrid>
      <w:tr w:rsidR="00DD42BB" w:rsidRPr="00BB227D" w14:paraId="462ABF22" w14:textId="77777777" w:rsidTr="00DD4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gridSpan w:val="2"/>
          </w:tcPr>
          <w:p w14:paraId="4E44F2FD" w14:textId="77777777" w:rsidR="00DD42BB" w:rsidRPr="00BB227D" w:rsidRDefault="00DD42BB" w:rsidP="00DD42BB">
            <w:pPr>
              <w:spacing w:before="0" w:after="0"/>
              <w:rPr>
                <w:b w:val="0"/>
                <w:sz w:val="18"/>
                <w:szCs w:val="18"/>
              </w:rPr>
            </w:pPr>
            <w:r w:rsidRPr="00BB227D">
              <w:rPr>
                <w:sz w:val="18"/>
                <w:szCs w:val="18"/>
              </w:rPr>
              <w:t>Key</w:t>
            </w:r>
          </w:p>
        </w:tc>
      </w:tr>
      <w:tr w:rsidR="00DD42BB" w:rsidRPr="00BB227D" w14:paraId="3F294F78" w14:textId="77777777" w:rsidTr="006649CF">
        <w:tc>
          <w:tcPr>
            <w:cnfStyle w:val="001000000000" w:firstRow="0" w:lastRow="0" w:firstColumn="1" w:lastColumn="0" w:oddVBand="0" w:evenVBand="0" w:oddHBand="0" w:evenHBand="0" w:firstRowFirstColumn="0" w:firstRowLastColumn="0" w:lastRowFirstColumn="0" w:lastRowLastColumn="0"/>
            <w:tcW w:w="0" w:type="dxa"/>
            <w:shd w:val="clear" w:color="auto" w:fill="D7E5FA" w:themeFill="accent1" w:themeFillTint="1A"/>
          </w:tcPr>
          <w:p w14:paraId="70F3526A" w14:textId="77777777" w:rsidR="00DD42BB" w:rsidRPr="00BB227D" w:rsidRDefault="00DD42BB" w:rsidP="00DD42BB">
            <w:pPr>
              <w:spacing w:before="0" w:after="0"/>
              <w:rPr>
                <w:b w:val="0"/>
                <w:sz w:val="18"/>
                <w:szCs w:val="18"/>
              </w:rPr>
            </w:pPr>
            <w:r w:rsidRPr="00BB227D">
              <w:rPr>
                <w:sz w:val="18"/>
                <w:szCs w:val="18"/>
              </w:rPr>
              <w:t>Acronym</w:t>
            </w:r>
          </w:p>
        </w:tc>
        <w:tc>
          <w:tcPr>
            <w:tcW w:w="0" w:type="dxa"/>
            <w:shd w:val="clear" w:color="auto" w:fill="D7E5FA" w:themeFill="accent1" w:themeFillTint="1A"/>
          </w:tcPr>
          <w:p w14:paraId="41ADAF42" w14:textId="77777777" w:rsidR="00DD42BB" w:rsidRPr="00BB227D" w:rsidRDefault="00DD42BB" w:rsidP="00DD42BB">
            <w:pPr>
              <w:spacing w:before="0" w:after="0"/>
              <w:cnfStyle w:val="000000000000" w:firstRow="0" w:lastRow="0" w:firstColumn="0" w:lastColumn="0" w:oddVBand="0" w:evenVBand="0" w:oddHBand="0" w:evenHBand="0" w:firstRowFirstColumn="0" w:firstRowLastColumn="0" w:lastRowFirstColumn="0" w:lastRowLastColumn="0"/>
              <w:rPr>
                <w:b/>
                <w:sz w:val="18"/>
                <w:szCs w:val="18"/>
              </w:rPr>
            </w:pPr>
            <w:r w:rsidRPr="00BB227D">
              <w:rPr>
                <w:b/>
                <w:sz w:val="18"/>
                <w:szCs w:val="18"/>
              </w:rPr>
              <w:t>Meaning</w:t>
            </w:r>
          </w:p>
        </w:tc>
      </w:tr>
      <w:tr w:rsidR="00DD42BB" w:rsidRPr="00BB227D" w14:paraId="06047409" w14:textId="77777777" w:rsidTr="00DD42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dxa"/>
          </w:tcPr>
          <w:p w14:paraId="2EDA75ED" w14:textId="77777777" w:rsidR="00DD42BB" w:rsidRPr="00BB227D" w:rsidRDefault="00DD42BB" w:rsidP="00DD42BB">
            <w:pPr>
              <w:spacing w:before="0" w:after="0"/>
              <w:rPr>
                <w:sz w:val="18"/>
                <w:szCs w:val="18"/>
              </w:rPr>
            </w:pPr>
            <w:r w:rsidRPr="00BB227D">
              <w:rPr>
                <w:sz w:val="18"/>
                <w:szCs w:val="18"/>
              </w:rPr>
              <w:t>M</w:t>
            </w:r>
          </w:p>
        </w:tc>
        <w:tc>
          <w:tcPr>
            <w:tcW w:w="1347" w:type="dxa"/>
          </w:tcPr>
          <w:p w14:paraId="0DEADBF1" w14:textId="77777777" w:rsidR="00DD42BB" w:rsidRPr="00BB227D" w:rsidRDefault="00DD42BB" w:rsidP="00DD42BB">
            <w:pPr>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BB227D">
              <w:rPr>
                <w:sz w:val="18"/>
                <w:szCs w:val="18"/>
              </w:rPr>
              <w:t>Men’s</w:t>
            </w:r>
          </w:p>
        </w:tc>
      </w:tr>
      <w:tr w:rsidR="00DD42BB" w:rsidRPr="00BB227D" w14:paraId="49A539E0" w14:textId="77777777" w:rsidTr="00DD42BB">
        <w:tc>
          <w:tcPr>
            <w:cnfStyle w:val="001000000000" w:firstRow="0" w:lastRow="0" w:firstColumn="1" w:lastColumn="0" w:oddVBand="0" w:evenVBand="0" w:oddHBand="0" w:evenHBand="0" w:firstRowFirstColumn="0" w:firstRowLastColumn="0" w:lastRowFirstColumn="0" w:lastRowLastColumn="0"/>
            <w:tcW w:w="1040" w:type="dxa"/>
          </w:tcPr>
          <w:p w14:paraId="73E43BAF" w14:textId="77777777" w:rsidR="00DD42BB" w:rsidRPr="00BB227D" w:rsidRDefault="00DD42BB" w:rsidP="00DD42BB">
            <w:pPr>
              <w:spacing w:before="0" w:after="0"/>
              <w:rPr>
                <w:sz w:val="18"/>
                <w:szCs w:val="18"/>
              </w:rPr>
            </w:pPr>
            <w:r w:rsidRPr="00BB227D">
              <w:rPr>
                <w:sz w:val="18"/>
                <w:szCs w:val="18"/>
              </w:rPr>
              <w:t>W</w:t>
            </w:r>
          </w:p>
        </w:tc>
        <w:tc>
          <w:tcPr>
            <w:tcW w:w="1347" w:type="dxa"/>
          </w:tcPr>
          <w:p w14:paraId="15D28E2E" w14:textId="77777777" w:rsidR="00DD42BB" w:rsidRPr="00BB227D" w:rsidRDefault="00DD42BB" w:rsidP="00DD42B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B227D">
              <w:rPr>
                <w:sz w:val="18"/>
                <w:szCs w:val="18"/>
              </w:rPr>
              <w:t>Women’s</w:t>
            </w:r>
          </w:p>
        </w:tc>
      </w:tr>
      <w:tr w:rsidR="00DD42BB" w:rsidRPr="00BB227D" w14:paraId="268D822C" w14:textId="77777777" w:rsidTr="00DD42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dxa"/>
          </w:tcPr>
          <w:p w14:paraId="62AA24EF" w14:textId="77777777" w:rsidR="00DD42BB" w:rsidRPr="00BB227D" w:rsidRDefault="00DD42BB" w:rsidP="00DD42BB">
            <w:pPr>
              <w:spacing w:before="0" w:after="0"/>
              <w:rPr>
                <w:sz w:val="18"/>
                <w:szCs w:val="18"/>
              </w:rPr>
            </w:pPr>
            <w:r w:rsidRPr="00BB227D">
              <w:rPr>
                <w:sz w:val="18"/>
                <w:szCs w:val="18"/>
              </w:rPr>
              <w:t>Mix</w:t>
            </w:r>
          </w:p>
        </w:tc>
        <w:tc>
          <w:tcPr>
            <w:tcW w:w="1347" w:type="dxa"/>
          </w:tcPr>
          <w:p w14:paraId="3457C781" w14:textId="77777777" w:rsidR="00DD42BB" w:rsidRPr="00BB227D" w:rsidRDefault="00DD42BB" w:rsidP="00DD42BB">
            <w:pPr>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BB227D">
              <w:rPr>
                <w:sz w:val="18"/>
                <w:szCs w:val="18"/>
              </w:rPr>
              <w:t>Mixed/Open</w:t>
            </w:r>
          </w:p>
        </w:tc>
      </w:tr>
    </w:tbl>
    <w:p w14:paraId="1DC79173" w14:textId="77777777" w:rsidR="00425490" w:rsidRDefault="00425490">
      <w:pPr>
        <w:rPr>
          <w:rFonts w:cstheme="minorHAnsi"/>
          <w:color w:val="auto"/>
          <w:sz w:val="18"/>
          <w:szCs w:val="18"/>
          <w:shd w:val="clear" w:color="auto" w:fill="FFFFFF"/>
        </w:rPr>
      </w:pPr>
      <w:r>
        <w:rPr>
          <w:rFonts w:cstheme="minorHAnsi"/>
          <w:color w:val="auto"/>
          <w:sz w:val="18"/>
          <w:szCs w:val="18"/>
          <w:shd w:val="clear" w:color="auto" w:fill="FFFFFF"/>
        </w:rPr>
        <w:br w:type="page"/>
      </w:r>
    </w:p>
    <w:p w14:paraId="0C23BCDA" w14:textId="77777777" w:rsidR="00270507" w:rsidRDefault="00D80211" w:rsidP="00270507">
      <w:pPr>
        <w:pStyle w:val="Heading1"/>
        <w:suppressAutoHyphens/>
        <w:jc w:val="right"/>
      </w:pPr>
      <w:bookmarkStart w:id="272" w:name="_Toc141369816"/>
      <w:bookmarkStart w:id="273" w:name="_Toc143265607"/>
      <w:r>
        <w:lastRenderedPageBreak/>
        <w:t>A</w:t>
      </w:r>
      <w:r w:rsidR="00270507">
        <w:t>ttachment C</w:t>
      </w:r>
      <w:bookmarkEnd w:id="272"/>
      <w:bookmarkEnd w:id="273"/>
    </w:p>
    <w:p w14:paraId="5210A307" w14:textId="77777777" w:rsidR="00425490" w:rsidRPr="00B9038F" w:rsidRDefault="00425490" w:rsidP="006649CF">
      <w:pPr>
        <w:pStyle w:val="Heading1"/>
        <w:suppressAutoHyphens/>
      </w:pPr>
      <w:bookmarkStart w:id="274" w:name="_Toc141369817"/>
      <w:bookmarkStart w:id="275" w:name="_Toc143265608"/>
      <w:r w:rsidRPr="00031868">
        <w:rPr>
          <w:color w:val="6D7989" w:themeColor="accent4" w:themeShade="BF"/>
          <w:sz w:val="36"/>
          <w:szCs w:val="26"/>
        </w:rPr>
        <w:t>List</w:t>
      </w:r>
      <w:r w:rsidRPr="00B9038F">
        <w:rPr>
          <w:color w:val="6D7989" w:themeColor="accent4" w:themeShade="BF"/>
          <w:sz w:val="36"/>
          <w:szCs w:val="26"/>
        </w:rPr>
        <w:t xml:space="preserve"> 3: </w:t>
      </w:r>
      <w:r w:rsidR="0081686C" w:rsidRPr="00B9038F">
        <w:rPr>
          <w:color w:val="6D7989" w:themeColor="accent4" w:themeShade="BF"/>
          <w:sz w:val="36"/>
          <w:szCs w:val="26"/>
        </w:rPr>
        <w:t>the e</w:t>
      </w:r>
      <w:r w:rsidRPr="00B9038F">
        <w:rPr>
          <w:color w:val="6D7989" w:themeColor="accent4" w:themeShade="BF"/>
          <w:sz w:val="36"/>
          <w:szCs w:val="26"/>
        </w:rPr>
        <w:t>xpanded list</w:t>
      </w:r>
      <w:bookmarkEnd w:id="274"/>
      <w:bookmarkEnd w:id="275"/>
    </w:p>
    <w:tbl>
      <w:tblPr>
        <w:tblStyle w:val="DefaultTable11"/>
        <w:tblW w:w="5000" w:type="pct"/>
        <w:tblInd w:w="0" w:type="dxa"/>
        <w:tblLook w:val="04A0" w:firstRow="1" w:lastRow="0" w:firstColumn="1" w:lastColumn="0" w:noHBand="0" w:noVBand="1"/>
      </w:tblPr>
      <w:tblGrid>
        <w:gridCol w:w="1544"/>
        <w:gridCol w:w="5403"/>
        <w:gridCol w:w="6660"/>
        <w:gridCol w:w="1359"/>
      </w:tblGrid>
      <w:tr w:rsidR="00425490" w14:paraId="68499DC8" w14:textId="77777777" w:rsidTr="004254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6" w:type="pct"/>
            <w:tcBorders>
              <w:left w:val="nil"/>
              <w:right w:val="nil"/>
            </w:tcBorders>
            <w:hideMark/>
          </w:tcPr>
          <w:p w14:paraId="634B2758" w14:textId="77777777" w:rsidR="00425490" w:rsidRPr="007D561D" w:rsidRDefault="00425490" w:rsidP="00425490">
            <w:pPr>
              <w:rPr>
                <w:sz w:val="20"/>
                <w:szCs w:val="20"/>
              </w:rPr>
            </w:pPr>
            <w:r>
              <w:rPr>
                <w:sz w:val="20"/>
                <w:szCs w:val="20"/>
              </w:rPr>
              <w:t>Category</w:t>
            </w:r>
          </w:p>
        </w:tc>
        <w:tc>
          <w:tcPr>
            <w:tcW w:w="1805" w:type="pct"/>
            <w:tcBorders>
              <w:left w:val="nil"/>
              <w:right w:val="nil"/>
            </w:tcBorders>
          </w:tcPr>
          <w:p w14:paraId="55315912" w14:textId="77777777" w:rsidR="00425490" w:rsidRDefault="00425490" w:rsidP="0042549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Current List</w:t>
            </w:r>
          </w:p>
        </w:tc>
        <w:tc>
          <w:tcPr>
            <w:tcW w:w="2225" w:type="pct"/>
            <w:tcBorders>
              <w:left w:val="nil"/>
              <w:right w:val="nil"/>
            </w:tcBorders>
            <w:hideMark/>
          </w:tcPr>
          <w:p w14:paraId="6132FC47" w14:textId="77777777" w:rsidR="00425490" w:rsidRPr="007D561D" w:rsidRDefault="00425490" w:rsidP="00425490">
            <w:pPr>
              <w:cnfStyle w:val="100000000000" w:firstRow="1" w:lastRow="0" w:firstColumn="0" w:lastColumn="0" w:oddVBand="0" w:evenVBand="0" w:oddHBand="0" w:evenHBand="0" w:firstRowFirstColumn="0" w:firstRowLastColumn="0" w:lastRowFirstColumn="0" w:lastRowLastColumn="0"/>
              <w:rPr>
                <w:sz w:val="20"/>
                <w:szCs w:val="20"/>
              </w:rPr>
            </w:pPr>
            <w:r w:rsidRPr="007D561D">
              <w:rPr>
                <w:sz w:val="20"/>
                <w:szCs w:val="20"/>
              </w:rPr>
              <w:t>Event</w:t>
            </w:r>
          </w:p>
        </w:tc>
        <w:tc>
          <w:tcPr>
            <w:tcW w:w="454" w:type="pct"/>
            <w:tcBorders>
              <w:left w:val="nil"/>
              <w:right w:val="nil"/>
            </w:tcBorders>
          </w:tcPr>
          <w:p w14:paraId="7C05097B" w14:textId="77777777" w:rsidR="00425490" w:rsidRDefault="00425490" w:rsidP="0042549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Gender</w:t>
            </w:r>
          </w:p>
        </w:tc>
      </w:tr>
      <w:tr w:rsidR="00425490" w:rsidRPr="00BC40F9" w14:paraId="5FB1EC89" w14:textId="77777777" w:rsidTr="00425490">
        <w:tc>
          <w:tcPr>
            <w:cnfStyle w:val="001000000000" w:firstRow="0" w:lastRow="0" w:firstColumn="1" w:lastColumn="0" w:oddVBand="0" w:evenVBand="0" w:oddHBand="0" w:evenHBand="0" w:firstRowFirstColumn="0" w:firstRowLastColumn="0" w:lastRowFirstColumn="0" w:lastRowLastColumn="0"/>
            <w:tcW w:w="516" w:type="pct"/>
            <w:vMerge w:val="restart"/>
            <w:tcBorders>
              <w:top w:val="single" w:sz="4" w:space="0" w:color="008089" w:themeColor="accent2"/>
              <w:left w:val="nil"/>
              <w:right w:val="nil"/>
            </w:tcBorders>
            <w:shd w:val="clear" w:color="auto" w:fill="auto"/>
            <w:hideMark/>
          </w:tcPr>
          <w:p w14:paraId="6B36E349" w14:textId="77777777" w:rsidR="00425490" w:rsidRPr="007D561D" w:rsidRDefault="00425490" w:rsidP="00425490">
            <w:pPr>
              <w:spacing w:before="60" w:after="60"/>
              <w:rPr>
                <w:sz w:val="20"/>
                <w:szCs w:val="20"/>
              </w:rPr>
            </w:pPr>
            <w:r w:rsidRPr="007D561D">
              <w:rPr>
                <w:sz w:val="20"/>
                <w:szCs w:val="20"/>
              </w:rPr>
              <w:t>Olympic Games</w:t>
            </w:r>
          </w:p>
        </w:tc>
        <w:tc>
          <w:tcPr>
            <w:tcW w:w="1805" w:type="pct"/>
            <w:tcBorders>
              <w:top w:val="single" w:sz="4" w:space="0" w:color="008089" w:themeColor="accent2"/>
              <w:left w:val="nil"/>
              <w:right w:val="nil"/>
            </w:tcBorders>
            <w:shd w:val="clear" w:color="auto" w:fill="auto"/>
          </w:tcPr>
          <w:p w14:paraId="33BA5B5C" w14:textId="77777777" w:rsidR="00425490" w:rsidRPr="00AE1DC0"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shd w:val="clear" w:color="auto" w:fill="FFFFFF"/>
              </w:rPr>
            </w:pPr>
            <w:r w:rsidRPr="00E34095">
              <w:rPr>
                <w:color w:val="000000"/>
                <w:sz w:val="20"/>
                <w:szCs w:val="20"/>
                <w:shd w:val="clear" w:color="auto" w:fill="FFFFFF"/>
              </w:rPr>
              <w:t>Each event that is held as part of the Summer Olympic Games, including the Opening and Closing Ceremonies.</w:t>
            </w:r>
          </w:p>
        </w:tc>
        <w:tc>
          <w:tcPr>
            <w:tcW w:w="2225" w:type="pct"/>
            <w:tcBorders>
              <w:top w:val="single" w:sz="4" w:space="0" w:color="008089" w:themeColor="accent2"/>
              <w:left w:val="nil"/>
              <w:bottom w:val="single" w:sz="4" w:space="0" w:color="008089" w:themeColor="accent2"/>
              <w:right w:val="nil"/>
            </w:tcBorders>
            <w:shd w:val="clear" w:color="auto" w:fill="auto"/>
            <w:hideMark/>
          </w:tcPr>
          <w:p w14:paraId="0F4FAB5F"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noProof/>
                <w:color w:val="auto"/>
                <w:sz w:val="20"/>
                <w:szCs w:val="20"/>
              </w:rPr>
              <mc:AlternateContent>
                <mc:Choice Requires="wps">
                  <w:drawing>
                    <wp:anchor distT="0" distB="0" distL="114300" distR="114300" simplePos="0" relativeHeight="251658244" behindDoc="0" locked="0" layoutInCell="1" allowOverlap="1" wp14:anchorId="44A633FB" wp14:editId="37250FEE">
                      <wp:simplePos x="0" y="0"/>
                      <wp:positionH relativeFrom="column">
                        <wp:posOffset>1440033</wp:posOffset>
                      </wp:positionH>
                      <wp:positionV relativeFrom="paragraph">
                        <wp:posOffset>-186690</wp:posOffset>
                      </wp:positionV>
                      <wp:extent cx="1359535" cy="127000"/>
                      <wp:effectExtent l="0" t="19050" r="31115" b="44450"/>
                      <wp:wrapNone/>
                      <wp:docPr id="8" name="Arrow: Right 8"/>
                      <wp:cNvGraphicFramePr/>
                      <a:graphic xmlns:a="http://schemas.openxmlformats.org/drawingml/2006/main">
                        <a:graphicData uri="http://schemas.microsoft.com/office/word/2010/wordprocessingShape">
                          <wps:wsp>
                            <wps:cNvSpPr/>
                            <wps:spPr>
                              <a:xfrm>
                                <a:off x="0" y="0"/>
                                <a:ext cx="1359535" cy="12700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60832" id="Arrow: Right 8" o:spid="_x0000_s1026" type="#_x0000_t13" style="position:absolute;margin-left:113.4pt;margin-top:-14.7pt;width:107.05pt;height:1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" adj="20591" fillcolor="white [3212]" strokecolor="#040e1e [1604]" strokeweight="1pt"/>
                  </w:pict>
                </mc:Fallback>
              </mc:AlternateContent>
            </w:r>
            <w:r w:rsidRPr="001538AF">
              <w:rPr>
                <w:color w:val="auto"/>
                <w:sz w:val="20"/>
                <w:szCs w:val="20"/>
              </w:rPr>
              <w:t>Each event that is held as part of the Summer Olympic Games, including the Opening and Closing Ceremonies.</w:t>
            </w:r>
          </w:p>
        </w:tc>
        <w:tc>
          <w:tcPr>
            <w:tcW w:w="454" w:type="pct"/>
            <w:tcBorders>
              <w:top w:val="single" w:sz="4" w:space="0" w:color="008089" w:themeColor="accent2"/>
              <w:left w:val="nil"/>
              <w:bottom w:val="single" w:sz="4" w:space="0" w:color="008089" w:themeColor="accent2"/>
              <w:right w:val="nil"/>
            </w:tcBorders>
            <w:shd w:val="clear" w:color="auto" w:fill="auto"/>
          </w:tcPr>
          <w:p w14:paraId="7E6E11E8"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&amp; W</w:t>
            </w:r>
            <w:r w:rsidR="00C37063" w:rsidRPr="001538AF">
              <w:rPr>
                <w:color w:val="auto"/>
                <w:sz w:val="20"/>
                <w:szCs w:val="20"/>
              </w:rPr>
              <w:t>, Mix</w:t>
            </w:r>
          </w:p>
        </w:tc>
      </w:tr>
      <w:tr w:rsidR="00425490" w:rsidRPr="00BC40F9" w14:paraId="1CFB37D9"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47CC3C54" w14:textId="77777777" w:rsidR="00425490" w:rsidRPr="007D561D" w:rsidRDefault="00425490" w:rsidP="00425490">
            <w:pPr>
              <w:spacing w:before="60" w:after="60"/>
              <w:rPr>
                <w:sz w:val="20"/>
                <w:szCs w:val="20"/>
              </w:rPr>
            </w:pPr>
          </w:p>
        </w:tc>
        <w:tc>
          <w:tcPr>
            <w:tcW w:w="1805" w:type="pct"/>
            <w:tcBorders>
              <w:left w:val="nil"/>
              <w:right w:val="nil"/>
            </w:tcBorders>
            <w:shd w:val="clear" w:color="auto" w:fill="auto"/>
          </w:tcPr>
          <w:p w14:paraId="01334653" w14:textId="77777777" w:rsidR="00425490" w:rsidRPr="00AE1DC0"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000000"/>
                <w:sz w:val="20"/>
                <w:szCs w:val="20"/>
                <w:shd w:val="clear" w:color="auto" w:fill="FFFFFF"/>
              </w:rPr>
            </w:pPr>
          </w:p>
        </w:tc>
        <w:tc>
          <w:tcPr>
            <w:tcW w:w="2225" w:type="pct"/>
            <w:tcBorders>
              <w:top w:val="single" w:sz="4" w:space="0" w:color="008089" w:themeColor="accent2"/>
              <w:left w:val="nil"/>
              <w:bottom w:val="single" w:sz="4" w:space="0" w:color="008089" w:themeColor="accent2"/>
              <w:right w:val="nil"/>
            </w:tcBorders>
            <w:shd w:val="clear" w:color="auto" w:fill="auto"/>
          </w:tcPr>
          <w:p w14:paraId="271D8F88"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FE2F5C">
              <w:rPr>
                <w:color w:val="auto"/>
                <w:sz w:val="20"/>
                <w:szCs w:val="20"/>
              </w:rPr>
              <w:t>Each event that is held as part of the Summer Paralympic Games, including the Opening and Closing Ceremonies.</w:t>
            </w:r>
          </w:p>
        </w:tc>
        <w:tc>
          <w:tcPr>
            <w:tcW w:w="454" w:type="pct"/>
            <w:tcBorders>
              <w:top w:val="single" w:sz="4" w:space="0" w:color="008089" w:themeColor="accent2"/>
              <w:left w:val="nil"/>
              <w:bottom w:val="single" w:sz="4" w:space="0" w:color="008089" w:themeColor="accent2"/>
              <w:right w:val="nil"/>
            </w:tcBorders>
            <w:shd w:val="clear" w:color="auto" w:fill="auto"/>
          </w:tcPr>
          <w:p w14:paraId="341822C9" w14:textId="77777777" w:rsidR="00425490" w:rsidRPr="003D3097"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FE2F5C">
              <w:rPr>
                <w:color w:val="auto"/>
                <w:sz w:val="20"/>
                <w:szCs w:val="20"/>
              </w:rPr>
              <w:t>M &amp; W</w:t>
            </w:r>
            <w:r w:rsidR="00C37063">
              <w:rPr>
                <w:color w:val="auto"/>
                <w:sz w:val="20"/>
                <w:szCs w:val="20"/>
              </w:rPr>
              <w:t>, Mix</w:t>
            </w:r>
          </w:p>
        </w:tc>
      </w:tr>
      <w:tr w:rsidR="00425490" w14:paraId="21D481B0" w14:textId="77777777" w:rsidTr="00425490">
        <w:trPr>
          <w:trHeight w:val="5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6C9A5237" w14:textId="77777777" w:rsidR="00425490" w:rsidRPr="007D561D" w:rsidRDefault="00425490" w:rsidP="00425490">
            <w:pPr>
              <w:spacing w:before="60" w:after="60"/>
              <w:rPr>
                <w:sz w:val="20"/>
                <w:szCs w:val="20"/>
              </w:rPr>
            </w:pPr>
          </w:p>
        </w:tc>
        <w:tc>
          <w:tcPr>
            <w:tcW w:w="1805" w:type="pct"/>
            <w:tcBorders>
              <w:left w:val="nil"/>
              <w:right w:val="nil"/>
            </w:tcBorders>
            <w:shd w:val="clear" w:color="auto" w:fill="auto"/>
          </w:tcPr>
          <w:p w14:paraId="7750EA05" w14:textId="77777777" w:rsidR="00425490" w:rsidRPr="007D561D"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0070C0"/>
                <w:sz w:val="20"/>
                <w:szCs w:val="20"/>
              </w:rPr>
            </w:pPr>
            <w:r w:rsidRPr="00E34095">
              <w:rPr>
                <w:color w:val="000000"/>
                <w:sz w:val="20"/>
                <w:szCs w:val="20"/>
                <w:shd w:val="clear" w:color="auto" w:fill="FFFFFF"/>
              </w:rPr>
              <w:t>Each event that is held as part of the Winter Olympic Games, including the Opening and Closing Ceremonies.</w:t>
            </w:r>
          </w:p>
        </w:tc>
        <w:tc>
          <w:tcPr>
            <w:tcW w:w="2225" w:type="pct"/>
            <w:tcBorders>
              <w:top w:val="single" w:sz="4" w:space="0" w:color="008089" w:themeColor="accent2"/>
              <w:left w:val="nil"/>
              <w:bottom w:val="single" w:sz="4" w:space="0" w:color="008089" w:themeColor="accent2"/>
              <w:right w:val="nil"/>
            </w:tcBorders>
            <w:shd w:val="clear" w:color="auto" w:fill="auto"/>
          </w:tcPr>
          <w:p w14:paraId="762EC8E9"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event that is held as part of the Winter Olympic Games, including the Opening and Closing Ceremonies.</w:t>
            </w:r>
          </w:p>
        </w:tc>
        <w:tc>
          <w:tcPr>
            <w:tcW w:w="454" w:type="pct"/>
            <w:tcBorders>
              <w:top w:val="single" w:sz="4" w:space="0" w:color="008089" w:themeColor="accent2"/>
              <w:left w:val="nil"/>
              <w:bottom w:val="single" w:sz="4" w:space="0" w:color="008089" w:themeColor="accent2"/>
              <w:right w:val="nil"/>
            </w:tcBorders>
            <w:shd w:val="clear" w:color="auto" w:fill="auto"/>
          </w:tcPr>
          <w:p w14:paraId="7BDE7FA9" w14:textId="77777777" w:rsidR="00425490" w:rsidRPr="003D3097"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&amp; W</w:t>
            </w:r>
            <w:r w:rsidR="00C37063" w:rsidRPr="001538AF">
              <w:rPr>
                <w:color w:val="auto"/>
                <w:sz w:val="20"/>
                <w:szCs w:val="20"/>
              </w:rPr>
              <w:t>, Mix</w:t>
            </w:r>
          </w:p>
        </w:tc>
      </w:tr>
      <w:tr w:rsidR="00425490" w:rsidRPr="00BC40F9" w14:paraId="697355D2" w14:textId="77777777" w:rsidTr="00E40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tcBorders>
              <w:top w:val="single" w:sz="4" w:space="0" w:color="008089" w:themeColor="accent2"/>
              <w:left w:val="nil"/>
              <w:bottom w:val="single" w:sz="4" w:space="0" w:color="008089" w:themeColor="accent2"/>
              <w:right w:val="nil"/>
            </w:tcBorders>
            <w:hideMark/>
          </w:tcPr>
          <w:p w14:paraId="70800A30" w14:textId="77777777" w:rsidR="00425490" w:rsidRPr="007D561D" w:rsidRDefault="00425490" w:rsidP="00425490">
            <w:pPr>
              <w:spacing w:before="60" w:after="60"/>
              <w:rPr>
                <w:sz w:val="20"/>
                <w:szCs w:val="20"/>
              </w:rPr>
            </w:pPr>
            <w:r w:rsidRPr="00B6343E">
              <w:rPr>
                <w:sz w:val="20"/>
                <w:szCs w:val="20"/>
              </w:rPr>
              <w:t>Commonwealth Games</w:t>
            </w:r>
          </w:p>
        </w:tc>
        <w:tc>
          <w:tcPr>
            <w:tcW w:w="1805" w:type="pct"/>
            <w:tcBorders>
              <w:top w:val="single" w:sz="4" w:space="0" w:color="008089" w:themeColor="accent2"/>
              <w:left w:val="nil"/>
              <w:bottom w:val="single" w:sz="4" w:space="0" w:color="008089" w:themeColor="accent2"/>
              <w:right w:val="nil"/>
            </w:tcBorders>
          </w:tcPr>
          <w:p w14:paraId="7B13B7B0" w14:textId="77777777" w:rsidR="00425490" w:rsidRPr="00E409E4"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409E4">
              <w:rPr>
                <w:rFonts w:cstheme="minorHAnsi"/>
                <w:color w:val="auto"/>
                <w:sz w:val="20"/>
                <w:szCs w:val="20"/>
              </w:rPr>
              <w:t>Each event held as part of the Commonwealth Games, including the Opening Ceremony and the Closing Ceremony.</w:t>
            </w:r>
          </w:p>
        </w:tc>
        <w:tc>
          <w:tcPr>
            <w:tcW w:w="2225" w:type="pct"/>
            <w:tcBorders>
              <w:top w:val="single" w:sz="4" w:space="0" w:color="008089" w:themeColor="accent2"/>
              <w:left w:val="nil"/>
              <w:bottom w:val="single" w:sz="4" w:space="0" w:color="008089" w:themeColor="accent2"/>
              <w:right w:val="nil"/>
            </w:tcBorders>
            <w:hideMark/>
          </w:tcPr>
          <w:p w14:paraId="3E7ADCA4"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event held as part of the Commonwealth Games, including the Opening Ceremony and the Closing Ceremony.</w:t>
            </w:r>
          </w:p>
        </w:tc>
        <w:tc>
          <w:tcPr>
            <w:tcW w:w="454" w:type="pct"/>
            <w:tcBorders>
              <w:top w:val="single" w:sz="4" w:space="0" w:color="008089" w:themeColor="accent2"/>
              <w:left w:val="nil"/>
              <w:bottom w:val="single" w:sz="4" w:space="0" w:color="008089" w:themeColor="accent2"/>
              <w:right w:val="nil"/>
            </w:tcBorders>
          </w:tcPr>
          <w:p w14:paraId="0A6F433E" w14:textId="77777777" w:rsidR="00425490" w:rsidRPr="003D3097"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M &amp; W</w:t>
            </w:r>
            <w:r w:rsidR="001C1B8A" w:rsidRPr="001538AF">
              <w:rPr>
                <w:color w:val="auto"/>
                <w:sz w:val="20"/>
                <w:szCs w:val="20"/>
              </w:rPr>
              <w:t>, Mix</w:t>
            </w:r>
          </w:p>
        </w:tc>
      </w:tr>
      <w:tr w:rsidR="00425490" w:rsidRPr="00BC40F9" w14:paraId="11F565D9" w14:textId="77777777" w:rsidTr="00425490">
        <w:tc>
          <w:tcPr>
            <w:cnfStyle w:val="001000000000" w:firstRow="0" w:lastRow="0" w:firstColumn="1" w:lastColumn="0" w:oddVBand="0" w:evenVBand="0" w:oddHBand="0" w:evenHBand="0" w:firstRowFirstColumn="0" w:firstRowLastColumn="0" w:lastRowFirstColumn="0" w:lastRowLastColumn="0"/>
            <w:tcW w:w="516" w:type="pct"/>
            <w:tcBorders>
              <w:top w:val="single" w:sz="4" w:space="0" w:color="008089" w:themeColor="accent2"/>
              <w:left w:val="nil"/>
              <w:bottom w:val="single" w:sz="4" w:space="0" w:color="008089" w:themeColor="accent2"/>
              <w:right w:val="nil"/>
            </w:tcBorders>
            <w:shd w:val="clear" w:color="auto" w:fill="auto"/>
            <w:hideMark/>
          </w:tcPr>
          <w:p w14:paraId="08B05141" w14:textId="77777777" w:rsidR="00425490" w:rsidRPr="007D561D" w:rsidRDefault="00425490" w:rsidP="00425490">
            <w:pPr>
              <w:spacing w:before="60" w:after="60"/>
              <w:rPr>
                <w:sz w:val="20"/>
                <w:szCs w:val="20"/>
              </w:rPr>
            </w:pPr>
            <w:r w:rsidRPr="00B6343E">
              <w:rPr>
                <w:sz w:val="20"/>
                <w:szCs w:val="20"/>
              </w:rPr>
              <w:t>Horse racing</w:t>
            </w:r>
          </w:p>
        </w:tc>
        <w:tc>
          <w:tcPr>
            <w:tcW w:w="1805" w:type="pct"/>
            <w:tcBorders>
              <w:top w:val="single" w:sz="4" w:space="0" w:color="008089" w:themeColor="accent2"/>
              <w:left w:val="nil"/>
              <w:bottom w:val="single" w:sz="4" w:space="0" w:color="008089" w:themeColor="accent2"/>
              <w:right w:val="nil"/>
            </w:tcBorders>
            <w:shd w:val="clear" w:color="auto" w:fill="auto"/>
          </w:tcPr>
          <w:p w14:paraId="6F29D6AB" w14:textId="77777777" w:rsidR="00425490" w:rsidRPr="00AE1DC0"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shd w:val="clear" w:color="auto" w:fill="FFFFFF"/>
              </w:rPr>
            </w:pPr>
            <w:r w:rsidRPr="00E34095">
              <w:rPr>
                <w:color w:val="000000"/>
                <w:sz w:val="20"/>
                <w:szCs w:val="20"/>
                <w:shd w:val="clear" w:color="auto" w:fill="FFFFFF"/>
              </w:rPr>
              <w:t>Each running of the Melbourne Cup organised by the Victoria Racing Club.</w:t>
            </w:r>
          </w:p>
        </w:tc>
        <w:tc>
          <w:tcPr>
            <w:tcW w:w="2225" w:type="pct"/>
            <w:tcBorders>
              <w:top w:val="single" w:sz="4" w:space="0" w:color="008089" w:themeColor="accent2"/>
              <w:left w:val="nil"/>
              <w:bottom w:val="single" w:sz="4" w:space="0" w:color="008089" w:themeColor="accent2"/>
              <w:right w:val="nil"/>
            </w:tcBorders>
            <w:shd w:val="clear" w:color="auto" w:fill="auto"/>
            <w:hideMark/>
          </w:tcPr>
          <w:p w14:paraId="331D56D5"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running of the Melbourne Cup organised by the Victoria Racing Club.</w:t>
            </w:r>
          </w:p>
        </w:tc>
        <w:tc>
          <w:tcPr>
            <w:tcW w:w="454" w:type="pct"/>
            <w:tcBorders>
              <w:top w:val="single" w:sz="4" w:space="0" w:color="008089" w:themeColor="accent2"/>
              <w:left w:val="nil"/>
              <w:bottom w:val="single" w:sz="4" w:space="0" w:color="008089" w:themeColor="accent2"/>
              <w:right w:val="nil"/>
            </w:tcBorders>
            <w:shd w:val="clear" w:color="auto" w:fill="auto"/>
          </w:tcPr>
          <w:p w14:paraId="0798F4D6" w14:textId="77777777" w:rsidR="00425490" w:rsidRPr="003D3097"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M &amp; W</w:t>
            </w:r>
            <w:r w:rsidR="001C1B8A" w:rsidRPr="001538AF">
              <w:rPr>
                <w:color w:val="auto"/>
                <w:sz w:val="20"/>
                <w:szCs w:val="20"/>
              </w:rPr>
              <w:t>, Mix</w:t>
            </w:r>
          </w:p>
        </w:tc>
      </w:tr>
      <w:tr w:rsidR="008C6B47" w:rsidRPr="00BC40F9" w14:paraId="38E9BB0F" w14:textId="77777777" w:rsidTr="00794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val="restart"/>
            <w:tcBorders>
              <w:top w:val="single" w:sz="4" w:space="0" w:color="008089" w:themeColor="accent2"/>
              <w:left w:val="nil"/>
              <w:right w:val="nil"/>
            </w:tcBorders>
            <w:hideMark/>
          </w:tcPr>
          <w:p w14:paraId="0E5100D7" w14:textId="77777777" w:rsidR="008C6B47" w:rsidRPr="007D561D" w:rsidRDefault="008C6B47" w:rsidP="00425490">
            <w:pPr>
              <w:spacing w:before="60" w:after="60"/>
              <w:rPr>
                <w:sz w:val="20"/>
                <w:szCs w:val="20"/>
              </w:rPr>
            </w:pPr>
            <w:r w:rsidRPr="00B6343E">
              <w:rPr>
                <w:sz w:val="20"/>
                <w:szCs w:val="20"/>
              </w:rPr>
              <w:t>AFL</w:t>
            </w:r>
          </w:p>
        </w:tc>
        <w:tc>
          <w:tcPr>
            <w:tcW w:w="1805" w:type="pct"/>
            <w:tcBorders>
              <w:top w:val="single" w:sz="4" w:space="0" w:color="008089" w:themeColor="accent2"/>
              <w:left w:val="nil"/>
              <w:bottom w:val="single" w:sz="4" w:space="0" w:color="008089" w:themeColor="accent2"/>
              <w:right w:val="nil"/>
            </w:tcBorders>
          </w:tcPr>
          <w:p w14:paraId="5499E4C3" w14:textId="77777777" w:rsidR="008C6B47" w:rsidRPr="009C3510"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409E4">
              <w:rPr>
                <w:rFonts w:cstheme="minorHAnsi"/>
                <w:color w:val="auto"/>
                <w:sz w:val="20"/>
                <w:szCs w:val="20"/>
              </w:rPr>
              <w:t>Each match in the Australian Football League Premiership competition, including the Finals Series.</w:t>
            </w:r>
          </w:p>
        </w:tc>
        <w:tc>
          <w:tcPr>
            <w:tcW w:w="2225" w:type="pct"/>
            <w:tcBorders>
              <w:top w:val="single" w:sz="4" w:space="0" w:color="008089" w:themeColor="accent2"/>
              <w:left w:val="nil"/>
              <w:bottom w:val="single" w:sz="4" w:space="0" w:color="008089" w:themeColor="accent2"/>
              <w:right w:val="nil"/>
            </w:tcBorders>
            <w:hideMark/>
          </w:tcPr>
          <w:p w14:paraId="2EE9F092" w14:textId="77777777" w:rsidR="008C6B47" w:rsidRPr="001538AF"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Australian Football League Premiership competition, including the Finals Series.</w:t>
            </w:r>
          </w:p>
        </w:tc>
        <w:tc>
          <w:tcPr>
            <w:tcW w:w="454" w:type="pct"/>
            <w:tcBorders>
              <w:top w:val="single" w:sz="4" w:space="0" w:color="008089" w:themeColor="accent2"/>
              <w:left w:val="nil"/>
              <w:bottom w:val="single" w:sz="4" w:space="0" w:color="008089" w:themeColor="accent2"/>
              <w:right w:val="nil"/>
            </w:tcBorders>
          </w:tcPr>
          <w:p w14:paraId="5FBEE1CF" w14:textId="77777777" w:rsidR="008C6B47" w:rsidRPr="003D3097" w:rsidRDefault="008C6B47"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E409E4">
              <w:rPr>
                <w:rFonts w:cstheme="minorHAnsi"/>
                <w:color w:val="auto"/>
                <w:sz w:val="20"/>
                <w:szCs w:val="20"/>
              </w:rPr>
              <w:t>M</w:t>
            </w:r>
          </w:p>
        </w:tc>
      </w:tr>
      <w:tr w:rsidR="008C6B47" w:rsidRPr="00BC40F9" w14:paraId="38AE3F4B" w14:textId="77777777" w:rsidTr="00794B76">
        <w:tc>
          <w:tcPr>
            <w:cnfStyle w:val="001000000000" w:firstRow="0" w:lastRow="0" w:firstColumn="1" w:lastColumn="0" w:oddVBand="0" w:evenVBand="0" w:oddHBand="0" w:evenHBand="0" w:firstRowFirstColumn="0" w:firstRowLastColumn="0" w:lastRowFirstColumn="0" w:lastRowLastColumn="0"/>
            <w:tcW w:w="516" w:type="pct"/>
            <w:vMerge/>
            <w:tcBorders>
              <w:left w:val="nil"/>
              <w:bottom w:val="single" w:sz="4" w:space="0" w:color="008089" w:themeColor="accent2"/>
              <w:right w:val="nil"/>
            </w:tcBorders>
            <w:shd w:val="clear" w:color="auto" w:fill="F2F2F2" w:themeFill="background1" w:themeFillShade="F2"/>
          </w:tcPr>
          <w:p w14:paraId="79BA07C3" w14:textId="77777777" w:rsidR="008C6B47" w:rsidRPr="007D561D" w:rsidRDefault="008C6B47" w:rsidP="00425490">
            <w:pPr>
              <w:spacing w:before="60" w:after="60"/>
              <w:rPr>
                <w:sz w:val="20"/>
                <w:szCs w:val="20"/>
              </w:rPr>
            </w:pPr>
          </w:p>
        </w:tc>
        <w:tc>
          <w:tcPr>
            <w:tcW w:w="1805"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70C8B175" w14:textId="77777777" w:rsidR="008C6B47" w:rsidRPr="00E409E4"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tcW w:w="2225"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5E4CCBD0" w14:textId="187FB6A4" w:rsidR="008C6B47" w:rsidRPr="001538AF"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match in the Australian Football League </w:t>
            </w:r>
            <w:r>
              <w:rPr>
                <w:rFonts w:cstheme="minorHAnsi"/>
                <w:sz w:val="20"/>
                <w:szCs w:val="20"/>
              </w:rPr>
              <w:t xml:space="preserve">Women’s </w:t>
            </w:r>
            <w:r w:rsidRPr="001538AF">
              <w:rPr>
                <w:color w:val="auto"/>
                <w:sz w:val="20"/>
                <w:szCs w:val="20"/>
              </w:rPr>
              <w:t>Premiership competition, including the Finals Series.</w:t>
            </w:r>
          </w:p>
        </w:tc>
        <w:tc>
          <w:tcPr>
            <w:tcW w:w="454"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4333E392" w14:textId="77777777" w:rsidR="008C6B47" w:rsidRPr="003D3097" w:rsidRDefault="008C6B47"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E409E4">
              <w:rPr>
                <w:rFonts w:cstheme="minorHAnsi"/>
                <w:color w:val="auto"/>
                <w:sz w:val="20"/>
                <w:szCs w:val="20"/>
              </w:rPr>
              <w:t>W</w:t>
            </w:r>
          </w:p>
        </w:tc>
      </w:tr>
      <w:tr w:rsidR="00425490" w:rsidRPr="00BC40F9" w14:paraId="6AB026B5"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val="restart"/>
            <w:tcBorders>
              <w:top w:val="single" w:sz="4" w:space="0" w:color="008089" w:themeColor="accent2"/>
              <w:left w:val="nil"/>
              <w:right w:val="nil"/>
            </w:tcBorders>
            <w:shd w:val="clear" w:color="auto" w:fill="auto"/>
            <w:hideMark/>
          </w:tcPr>
          <w:p w14:paraId="0FBEDF44" w14:textId="77777777" w:rsidR="00425490" w:rsidRPr="007D561D" w:rsidRDefault="00425490" w:rsidP="00425490">
            <w:pPr>
              <w:spacing w:before="60" w:after="60"/>
              <w:rPr>
                <w:sz w:val="20"/>
                <w:szCs w:val="20"/>
              </w:rPr>
            </w:pPr>
            <w:r w:rsidRPr="007D561D">
              <w:rPr>
                <w:sz w:val="20"/>
                <w:szCs w:val="20"/>
              </w:rPr>
              <w:t>Rugby League</w:t>
            </w:r>
          </w:p>
        </w:tc>
        <w:tc>
          <w:tcPr>
            <w:tcW w:w="1805" w:type="pct"/>
            <w:tcBorders>
              <w:top w:val="single" w:sz="4" w:space="0" w:color="008089" w:themeColor="accent2"/>
              <w:left w:val="nil"/>
              <w:right w:val="nil"/>
            </w:tcBorders>
            <w:shd w:val="clear" w:color="auto" w:fill="auto"/>
          </w:tcPr>
          <w:p w14:paraId="2887DDF7"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National Rugby League Premiership competition, including the Finals Series.</w:t>
            </w:r>
          </w:p>
        </w:tc>
        <w:tc>
          <w:tcPr>
            <w:tcW w:w="2225" w:type="pct"/>
            <w:tcBorders>
              <w:top w:val="single" w:sz="4" w:space="0" w:color="008089" w:themeColor="accent2"/>
              <w:left w:val="nil"/>
              <w:bottom w:val="single" w:sz="4" w:space="0" w:color="008089" w:themeColor="accent2"/>
              <w:right w:val="nil"/>
            </w:tcBorders>
            <w:shd w:val="clear" w:color="auto" w:fill="auto"/>
            <w:hideMark/>
          </w:tcPr>
          <w:p w14:paraId="7F5B1149" w14:textId="6C8F217C"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National Rugby League Premiership competition, including the Finals Series.</w:t>
            </w:r>
          </w:p>
        </w:tc>
        <w:tc>
          <w:tcPr>
            <w:tcW w:w="454" w:type="pct"/>
            <w:tcBorders>
              <w:top w:val="single" w:sz="4" w:space="0" w:color="008089" w:themeColor="accent2"/>
              <w:left w:val="nil"/>
              <w:bottom w:val="single" w:sz="4" w:space="0" w:color="008089" w:themeColor="accent2"/>
              <w:right w:val="nil"/>
            </w:tcBorders>
            <w:shd w:val="clear" w:color="auto" w:fill="auto"/>
          </w:tcPr>
          <w:p w14:paraId="63B32570" w14:textId="77777777" w:rsidR="00425490" w:rsidRPr="003D3097"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C825F6">
              <w:rPr>
                <w:sz w:val="20"/>
                <w:szCs w:val="20"/>
              </w:rPr>
              <w:t>M</w:t>
            </w:r>
          </w:p>
        </w:tc>
      </w:tr>
      <w:tr w:rsidR="00425490" w:rsidRPr="00BC40F9" w14:paraId="672C8D54" w14:textId="77777777" w:rsidTr="00425490">
        <w:tc>
          <w:tcPr>
            <w:cnfStyle w:val="001000000000" w:firstRow="0" w:lastRow="0" w:firstColumn="1" w:lastColumn="0" w:oddVBand="0" w:evenVBand="0" w:oddHBand="0" w:evenHBand="0" w:firstRowFirstColumn="0" w:firstRowLastColumn="0" w:lastRowFirstColumn="0" w:lastRowLastColumn="0"/>
            <w:tcW w:w="516" w:type="pct"/>
            <w:vMerge/>
            <w:tcBorders>
              <w:top w:val="single" w:sz="4" w:space="0" w:color="008089" w:themeColor="accent2"/>
              <w:left w:val="nil"/>
              <w:right w:val="nil"/>
            </w:tcBorders>
            <w:shd w:val="clear" w:color="auto" w:fill="auto"/>
          </w:tcPr>
          <w:p w14:paraId="02C9D29D" w14:textId="77777777" w:rsidR="00425490" w:rsidRPr="007D561D" w:rsidRDefault="00425490" w:rsidP="00425490">
            <w:pPr>
              <w:spacing w:before="60" w:after="60"/>
              <w:rPr>
                <w:sz w:val="20"/>
                <w:szCs w:val="20"/>
              </w:rPr>
            </w:pPr>
          </w:p>
        </w:tc>
        <w:tc>
          <w:tcPr>
            <w:tcW w:w="1805" w:type="pct"/>
            <w:tcBorders>
              <w:top w:val="single" w:sz="4" w:space="0" w:color="008089" w:themeColor="accent2"/>
              <w:left w:val="nil"/>
              <w:right w:val="nil"/>
            </w:tcBorders>
            <w:shd w:val="clear" w:color="auto" w:fill="auto"/>
          </w:tcPr>
          <w:p w14:paraId="13A170E2"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225" w:type="pct"/>
            <w:tcBorders>
              <w:top w:val="single" w:sz="4" w:space="0" w:color="008089" w:themeColor="accent2"/>
              <w:left w:val="nil"/>
              <w:bottom w:val="single" w:sz="4" w:space="0" w:color="008089" w:themeColor="accent2"/>
              <w:right w:val="nil"/>
            </w:tcBorders>
            <w:shd w:val="clear" w:color="auto" w:fill="auto"/>
          </w:tcPr>
          <w:p w14:paraId="33744926" w14:textId="2CCA4EA8"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match in the National Rugby League Women’s </w:t>
            </w:r>
            <w:r w:rsidR="00D34874">
              <w:rPr>
                <w:rFonts w:cstheme="minorHAnsi"/>
                <w:sz w:val="20"/>
                <w:szCs w:val="20"/>
              </w:rPr>
              <w:t xml:space="preserve">Premiership </w:t>
            </w:r>
            <w:r w:rsidRPr="001538AF">
              <w:rPr>
                <w:color w:val="auto"/>
                <w:sz w:val="20"/>
                <w:szCs w:val="20"/>
              </w:rPr>
              <w:t>competition, including the Finals Series.</w:t>
            </w:r>
          </w:p>
        </w:tc>
        <w:tc>
          <w:tcPr>
            <w:tcW w:w="454" w:type="pct"/>
            <w:tcBorders>
              <w:top w:val="single" w:sz="4" w:space="0" w:color="008089" w:themeColor="accent2"/>
              <w:left w:val="nil"/>
              <w:bottom w:val="single" w:sz="4" w:space="0" w:color="008089" w:themeColor="accent2"/>
              <w:right w:val="nil"/>
            </w:tcBorders>
            <w:shd w:val="clear" w:color="auto" w:fill="auto"/>
          </w:tcPr>
          <w:p w14:paraId="0F270662" w14:textId="77777777" w:rsidR="00425490" w:rsidRPr="003D3097"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C825F6">
              <w:rPr>
                <w:color w:val="auto"/>
                <w:sz w:val="20"/>
                <w:szCs w:val="20"/>
                <w:shd w:val="clear" w:color="auto" w:fill="FFFFFF"/>
              </w:rPr>
              <w:t>W</w:t>
            </w:r>
          </w:p>
        </w:tc>
      </w:tr>
      <w:tr w:rsidR="00425490" w:rsidRPr="00BC40F9" w14:paraId="27C7E333"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3336C468" w14:textId="77777777" w:rsidR="00425490" w:rsidRPr="007D561D" w:rsidRDefault="00425490" w:rsidP="00425490">
            <w:pPr>
              <w:spacing w:before="60" w:after="60"/>
              <w:rPr>
                <w:sz w:val="20"/>
                <w:szCs w:val="20"/>
              </w:rPr>
            </w:pPr>
          </w:p>
        </w:tc>
        <w:tc>
          <w:tcPr>
            <w:tcW w:w="1805" w:type="pct"/>
            <w:tcBorders>
              <w:left w:val="nil"/>
              <w:right w:val="nil"/>
            </w:tcBorders>
            <w:shd w:val="clear" w:color="auto" w:fill="auto"/>
          </w:tcPr>
          <w:p w14:paraId="57198B0B"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National Rugby League State of Origin Series.</w:t>
            </w:r>
          </w:p>
        </w:tc>
        <w:tc>
          <w:tcPr>
            <w:tcW w:w="2225" w:type="pct"/>
            <w:tcBorders>
              <w:top w:val="single" w:sz="4" w:space="0" w:color="008089" w:themeColor="accent2"/>
              <w:left w:val="nil"/>
              <w:bottom w:val="single" w:sz="4" w:space="0" w:color="008089" w:themeColor="accent2"/>
              <w:right w:val="nil"/>
            </w:tcBorders>
            <w:shd w:val="clear" w:color="auto" w:fill="auto"/>
          </w:tcPr>
          <w:p w14:paraId="09F806DB"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National Rugby League State of Origin Series.</w:t>
            </w:r>
          </w:p>
        </w:tc>
        <w:tc>
          <w:tcPr>
            <w:tcW w:w="454" w:type="pct"/>
            <w:tcBorders>
              <w:top w:val="single" w:sz="4" w:space="0" w:color="008089" w:themeColor="accent2"/>
              <w:left w:val="nil"/>
              <w:bottom w:val="single" w:sz="4" w:space="0" w:color="008089" w:themeColor="accent2"/>
              <w:right w:val="nil"/>
            </w:tcBorders>
            <w:shd w:val="clear" w:color="auto" w:fill="auto"/>
          </w:tcPr>
          <w:p w14:paraId="0B2BBB94" w14:textId="77777777" w:rsidR="00425490" w:rsidRPr="003D3097"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C825F6">
              <w:rPr>
                <w:color w:val="000000"/>
                <w:sz w:val="20"/>
                <w:szCs w:val="20"/>
                <w:shd w:val="clear" w:color="auto" w:fill="FFFFFF"/>
              </w:rPr>
              <w:t>M</w:t>
            </w:r>
          </w:p>
        </w:tc>
      </w:tr>
      <w:tr w:rsidR="00425490" w:rsidRPr="00BC40F9" w14:paraId="437965BC" w14:textId="77777777" w:rsidTr="00425490">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3A63EB7A" w14:textId="77777777" w:rsidR="00425490" w:rsidRPr="007D561D" w:rsidRDefault="00425490" w:rsidP="00425490">
            <w:pPr>
              <w:spacing w:before="60" w:after="60"/>
              <w:rPr>
                <w:sz w:val="20"/>
                <w:szCs w:val="20"/>
              </w:rPr>
            </w:pPr>
          </w:p>
        </w:tc>
        <w:tc>
          <w:tcPr>
            <w:tcW w:w="1805" w:type="pct"/>
            <w:tcBorders>
              <w:left w:val="nil"/>
              <w:right w:val="nil"/>
            </w:tcBorders>
            <w:shd w:val="clear" w:color="auto" w:fill="auto"/>
          </w:tcPr>
          <w:p w14:paraId="264D79E5"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225" w:type="pct"/>
            <w:tcBorders>
              <w:top w:val="single" w:sz="4" w:space="0" w:color="008089" w:themeColor="accent2"/>
              <w:left w:val="nil"/>
              <w:bottom w:val="single" w:sz="4" w:space="0" w:color="008089" w:themeColor="accent2"/>
              <w:right w:val="nil"/>
            </w:tcBorders>
            <w:shd w:val="clear" w:color="auto" w:fill="auto"/>
          </w:tcPr>
          <w:p w14:paraId="054A001D"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the National Rugby League Women’s State of Origin Series</w:t>
            </w:r>
          </w:p>
        </w:tc>
        <w:tc>
          <w:tcPr>
            <w:tcW w:w="454" w:type="pct"/>
            <w:tcBorders>
              <w:top w:val="single" w:sz="4" w:space="0" w:color="008089" w:themeColor="accent2"/>
              <w:left w:val="nil"/>
              <w:bottom w:val="single" w:sz="4" w:space="0" w:color="008089" w:themeColor="accent2"/>
              <w:right w:val="nil"/>
            </w:tcBorders>
            <w:shd w:val="clear" w:color="auto" w:fill="auto"/>
          </w:tcPr>
          <w:p w14:paraId="02F31BAD" w14:textId="77777777" w:rsidR="00425490" w:rsidRPr="003D3097"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C825F6">
              <w:rPr>
                <w:color w:val="000000"/>
                <w:sz w:val="20"/>
                <w:szCs w:val="20"/>
                <w:shd w:val="clear" w:color="auto" w:fill="FFFFFF"/>
              </w:rPr>
              <w:t>W</w:t>
            </w:r>
          </w:p>
        </w:tc>
      </w:tr>
      <w:tr w:rsidR="00425490" w:rsidRPr="00BC40F9" w14:paraId="0155CA11"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2340A562" w14:textId="77777777" w:rsidR="00425490" w:rsidRPr="007D561D" w:rsidRDefault="00425490" w:rsidP="00425490">
            <w:pPr>
              <w:spacing w:before="60" w:after="60"/>
              <w:rPr>
                <w:sz w:val="20"/>
                <w:szCs w:val="20"/>
              </w:rPr>
            </w:pPr>
          </w:p>
        </w:tc>
        <w:tc>
          <w:tcPr>
            <w:tcW w:w="1805" w:type="pct"/>
            <w:tcBorders>
              <w:left w:val="nil"/>
              <w:right w:val="nil"/>
            </w:tcBorders>
            <w:shd w:val="clear" w:color="auto" w:fill="auto"/>
          </w:tcPr>
          <w:p w14:paraId="0215610B"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international rugby league test match that: involves the senior Australian representative team; and is played in Australia or New Zealand.</w:t>
            </w:r>
          </w:p>
        </w:tc>
        <w:tc>
          <w:tcPr>
            <w:tcW w:w="2225" w:type="pct"/>
            <w:tcBorders>
              <w:top w:val="single" w:sz="4" w:space="0" w:color="008089" w:themeColor="accent2"/>
              <w:left w:val="nil"/>
              <w:bottom w:val="single" w:sz="4" w:space="0" w:color="008089" w:themeColor="accent2"/>
              <w:right w:val="nil"/>
            </w:tcBorders>
            <w:shd w:val="clear" w:color="auto" w:fill="auto"/>
          </w:tcPr>
          <w:p w14:paraId="09389E91"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international rugby league test match that: involves the senior Australian representative team; and is played in Australia or New Zealand.</w:t>
            </w:r>
          </w:p>
        </w:tc>
        <w:tc>
          <w:tcPr>
            <w:tcW w:w="454" w:type="pct"/>
            <w:tcBorders>
              <w:top w:val="single" w:sz="4" w:space="0" w:color="008089" w:themeColor="accent2"/>
              <w:left w:val="nil"/>
              <w:bottom w:val="single" w:sz="4" w:space="0" w:color="008089" w:themeColor="accent2"/>
              <w:right w:val="nil"/>
            </w:tcBorders>
            <w:shd w:val="clear" w:color="auto" w:fill="auto"/>
          </w:tcPr>
          <w:p w14:paraId="5C27E3AA" w14:textId="77777777" w:rsidR="00425490" w:rsidRPr="003D3097"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3D3097">
              <w:rPr>
                <w:color w:val="auto"/>
                <w:sz w:val="20"/>
                <w:szCs w:val="20"/>
              </w:rPr>
              <w:t>M &amp; W</w:t>
            </w:r>
          </w:p>
        </w:tc>
      </w:tr>
      <w:tr w:rsidR="00425490" w:rsidRPr="00BC40F9" w14:paraId="494F3C86" w14:textId="77777777" w:rsidTr="00425490">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5335A625" w14:textId="77777777" w:rsidR="00425490" w:rsidRPr="007D561D" w:rsidRDefault="00425490" w:rsidP="00425490">
            <w:pPr>
              <w:spacing w:before="60" w:after="60"/>
              <w:rPr>
                <w:sz w:val="20"/>
                <w:szCs w:val="20"/>
              </w:rPr>
            </w:pPr>
          </w:p>
        </w:tc>
        <w:tc>
          <w:tcPr>
            <w:tcW w:w="1805" w:type="pct"/>
            <w:tcBorders>
              <w:left w:val="nil"/>
              <w:right w:val="nil"/>
            </w:tcBorders>
            <w:shd w:val="clear" w:color="auto" w:fill="auto"/>
          </w:tcPr>
          <w:p w14:paraId="4C33CD95"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Rugby League World Cup that: involves the senior Australian representative team; and is played in Australia, New Zealand or Papua New Guinea</w:t>
            </w:r>
          </w:p>
        </w:tc>
        <w:tc>
          <w:tcPr>
            <w:tcW w:w="2225" w:type="pct"/>
            <w:tcBorders>
              <w:top w:val="single" w:sz="4" w:space="0" w:color="008089" w:themeColor="accent2"/>
              <w:left w:val="nil"/>
              <w:bottom w:val="single" w:sz="4" w:space="0" w:color="008089" w:themeColor="accent2"/>
              <w:right w:val="nil"/>
            </w:tcBorders>
            <w:shd w:val="clear" w:color="auto" w:fill="auto"/>
          </w:tcPr>
          <w:p w14:paraId="7A62A0E5"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Rugby League World Cup that: involves the senior Australian representative team; and is played in Australia, New Zealand or Papua New Guinea.</w:t>
            </w:r>
          </w:p>
        </w:tc>
        <w:tc>
          <w:tcPr>
            <w:tcW w:w="454" w:type="pct"/>
            <w:tcBorders>
              <w:top w:val="single" w:sz="4" w:space="0" w:color="008089" w:themeColor="accent2"/>
              <w:left w:val="nil"/>
              <w:bottom w:val="single" w:sz="4" w:space="0" w:color="008089" w:themeColor="accent2"/>
              <w:right w:val="nil"/>
            </w:tcBorders>
            <w:shd w:val="clear" w:color="auto" w:fill="auto"/>
          </w:tcPr>
          <w:p w14:paraId="34C3743E" w14:textId="77777777" w:rsidR="00425490" w:rsidRPr="003D3097"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3D3097">
              <w:rPr>
                <w:color w:val="auto"/>
                <w:sz w:val="20"/>
                <w:szCs w:val="20"/>
              </w:rPr>
              <w:t>M &amp; W</w:t>
            </w:r>
          </w:p>
        </w:tc>
      </w:tr>
      <w:tr w:rsidR="00425490" w:rsidRPr="00BC40F9" w14:paraId="00455DC8" w14:textId="77777777" w:rsidTr="00E40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val="restart"/>
            <w:tcBorders>
              <w:top w:val="single" w:sz="4" w:space="0" w:color="008089" w:themeColor="accent2"/>
              <w:left w:val="nil"/>
              <w:right w:val="nil"/>
            </w:tcBorders>
            <w:hideMark/>
          </w:tcPr>
          <w:p w14:paraId="7FD1BDE3" w14:textId="77777777" w:rsidR="00425490" w:rsidRPr="007D561D" w:rsidRDefault="00425490" w:rsidP="00425490">
            <w:pPr>
              <w:spacing w:before="60" w:after="60"/>
              <w:rPr>
                <w:sz w:val="20"/>
                <w:szCs w:val="20"/>
              </w:rPr>
            </w:pPr>
            <w:r w:rsidRPr="007D561D">
              <w:rPr>
                <w:sz w:val="20"/>
                <w:szCs w:val="20"/>
              </w:rPr>
              <w:t>Rugby Union</w:t>
            </w:r>
          </w:p>
        </w:tc>
        <w:tc>
          <w:tcPr>
            <w:tcW w:w="1805" w:type="pct"/>
            <w:tcBorders>
              <w:top w:val="single" w:sz="4" w:space="0" w:color="008089" w:themeColor="accent2"/>
              <w:left w:val="nil"/>
              <w:right w:val="nil"/>
            </w:tcBorders>
          </w:tcPr>
          <w:p w14:paraId="2C6EAC2C"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international test match that: involves the senior Australian representative team selected by Rugby Australia; and is played in Australia or New Zealand.</w:t>
            </w:r>
          </w:p>
        </w:tc>
        <w:tc>
          <w:tcPr>
            <w:tcW w:w="2225" w:type="pct"/>
            <w:tcBorders>
              <w:top w:val="single" w:sz="4" w:space="0" w:color="008089" w:themeColor="accent2"/>
              <w:left w:val="nil"/>
              <w:bottom w:val="single" w:sz="4" w:space="0" w:color="008089" w:themeColor="accent2"/>
              <w:right w:val="nil"/>
            </w:tcBorders>
            <w:hideMark/>
          </w:tcPr>
          <w:p w14:paraId="2CCFCD75" w14:textId="092F3DF5"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international test match that: involves the senior Australian representative team; and is played in Australia or New Zealand.</w:t>
            </w:r>
          </w:p>
        </w:tc>
        <w:tc>
          <w:tcPr>
            <w:tcW w:w="454" w:type="pct"/>
            <w:tcBorders>
              <w:top w:val="single" w:sz="4" w:space="0" w:color="008089" w:themeColor="accent2"/>
              <w:left w:val="nil"/>
              <w:bottom w:val="single" w:sz="4" w:space="0" w:color="008089" w:themeColor="accent2"/>
              <w:right w:val="nil"/>
            </w:tcBorders>
          </w:tcPr>
          <w:p w14:paraId="3B09C132" w14:textId="77777777" w:rsidR="00425490" w:rsidRPr="003D3097"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3D3097">
              <w:rPr>
                <w:color w:val="auto"/>
                <w:sz w:val="20"/>
                <w:szCs w:val="20"/>
              </w:rPr>
              <w:t>M &amp; W</w:t>
            </w:r>
          </w:p>
        </w:tc>
      </w:tr>
      <w:tr w:rsidR="00425490" w:rsidRPr="00BC40F9" w14:paraId="5E262959" w14:textId="77777777" w:rsidTr="00E409E4">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F2F2F2" w:themeFill="background1" w:themeFillShade="F2"/>
          </w:tcPr>
          <w:p w14:paraId="002B6121" w14:textId="77777777" w:rsidR="00425490" w:rsidRPr="007D561D" w:rsidRDefault="00425490" w:rsidP="00425490">
            <w:pPr>
              <w:spacing w:before="60" w:after="60"/>
              <w:rPr>
                <w:sz w:val="20"/>
                <w:szCs w:val="20"/>
              </w:rPr>
            </w:pPr>
          </w:p>
        </w:tc>
        <w:tc>
          <w:tcPr>
            <w:tcW w:w="1805" w:type="pct"/>
            <w:tcBorders>
              <w:left w:val="nil"/>
              <w:right w:val="nil"/>
            </w:tcBorders>
            <w:shd w:val="clear" w:color="auto" w:fill="F2F2F2" w:themeFill="background1" w:themeFillShade="F2"/>
          </w:tcPr>
          <w:p w14:paraId="1B39ED8F"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Rugby World Cup tournament that involves the senior Australian representative team selected by Rugby Australia.</w:t>
            </w:r>
          </w:p>
        </w:tc>
        <w:tc>
          <w:tcPr>
            <w:tcW w:w="2225"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185B3C24" w14:textId="74688D55"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Rugby World Cup tournament that involves the senior Australian representative team.</w:t>
            </w:r>
          </w:p>
        </w:tc>
        <w:tc>
          <w:tcPr>
            <w:tcW w:w="454"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7F1EDD8B" w14:textId="77777777" w:rsidR="00425490" w:rsidRPr="003D3097"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3D3097">
              <w:rPr>
                <w:color w:val="auto"/>
                <w:sz w:val="20"/>
                <w:szCs w:val="20"/>
              </w:rPr>
              <w:t>M &amp; W</w:t>
            </w:r>
          </w:p>
        </w:tc>
      </w:tr>
      <w:tr w:rsidR="00425490" w14:paraId="2B2DCEBA" w14:textId="77777777" w:rsidTr="00E40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tcPr>
          <w:p w14:paraId="790D29B3" w14:textId="77777777" w:rsidR="00425490" w:rsidRPr="007D561D" w:rsidRDefault="00425490" w:rsidP="00425490">
            <w:pPr>
              <w:spacing w:before="60" w:after="60"/>
              <w:rPr>
                <w:sz w:val="20"/>
                <w:szCs w:val="20"/>
              </w:rPr>
            </w:pPr>
          </w:p>
        </w:tc>
        <w:tc>
          <w:tcPr>
            <w:tcW w:w="1805" w:type="pct"/>
            <w:tcBorders>
              <w:left w:val="nil"/>
              <w:right w:val="nil"/>
            </w:tcBorders>
          </w:tcPr>
          <w:p w14:paraId="0905A739"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Rugby World Cup tournament.</w:t>
            </w:r>
          </w:p>
        </w:tc>
        <w:tc>
          <w:tcPr>
            <w:tcW w:w="2225" w:type="pct"/>
            <w:tcBorders>
              <w:top w:val="single" w:sz="4" w:space="0" w:color="008089" w:themeColor="accent2"/>
              <w:left w:val="nil"/>
              <w:bottom w:val="single" w:sz="4" w:space="0" w:color="008089" w:themeColor="accent2"/>
              <w:right w:val="nil"/>
            </w:tcBorders>
          </w:tcPr>
          <w:p w14:paraId="38ECFE77" w14:textId="6A02F1F5"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Rugby World Cup tournament.</w:t>
            </w:r>
          </w:p>
        </w:tc>
        <w:tc>
          <w:tcPr>
            <w:tcW w:w="454" w:type="pct"/>
            <w:tcBorders>
              <w:top w:val="single" w:sz="4" w:space="0" w:color="008089" w:themeColor="accent2"/>
              <w:left w:val="nil"/>
              <w:bottom w:val="single" w:sz="4" w:space="0" w:color="008089" w:themeColor="accent2"/>
              <w:right w:val="nil"/>
            </w:tcBorders>
          </w:tcPr>
          <w:p w14:paraId="76EADD04" w14:textId="77777777" w:rsidR="00425490" w:rsidRPr="003D3097"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3D3097">
              <w:rPr>
                <w:color w:val="auto"/>
                <w:sz w:val="20"/>
                <w:szCs w:val="20"/>
              </w:rPr>
              <w:t>M &amp; W</w:t>
            </w:r>
          </w:p>
        </w:tc>
      </w:tr>
      <w:tr w:rsidR="00425490" w:rsidRPr="004A6039" w14:paraId="0BDC5CAA" w14:textId="77777777" w:rsidTr="00E409E4">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F2F2F2" w:themeFill="background1" w:themeFillShade="F2"/>
          </w:tcPr>
          <w:p w14:paraId="17607B2E" w14:textId="77777777" w:rsidR="00425490" w:rsidRPr="007D561D" w:rsidRDefault="00425490" w:rsidP="00425490">
            <w:pPr>
              <w:spacing w:before="60" w:after="60"/>
              <w:rPr>
                <w:sz w:val="20"/>
                <w:szCs w:val="20"/>
              </w:rPr>
            </w:pPr>
          </w:p>
        </w:tc>
        <w:tc>
          <w:tcPr>
            <w:tcW w:w="1805" w:type="pct"/>
            <w:tcBorders>
              <w:left w:val="nil"/>
              <w:right w:val="nil"/>
            </w:tcBorders>
            <w:shd w:val="clear" w:color="auto" w:fill="F2F2F2" w:themeFill="background1" w:themeFillShade="F2"/>
          </w:tcPr>
          <w:p w14:paraId="6B6263BB" w14:textId="77777777"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225"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3898FCD6" w14:textId="0E093C6B" w:rsidR="00425490" w:rsidRPr="001538AF"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the Super Rugby Pacific final series if it involves at least one Australian team.</w:t>
            </w:r>
          </w:p>
        </w:tc>
        <w:tc>
          <w:tcPr>
            <w:tcW w:w="454"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602879FA" w14:textId="77777777" w:rsidR="00425490" w:rsidRPr="003D3097" w:rsidRDefault="00425490"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3D3097">
              <w:rPr>
                <w:color w:val="auto"/>
                <w:sz w:val="20"/>
                <w:szCs w:val="20"/>
              </w:rPr>
              <w:t>M</w:t>
            </w:r>
          </w:p>
        </w:tc>
      </w:tr>
      <w:tr w:rsidR="00425490" w:rsidRPr="004A6039" w14:paraId="2FF0CAE4" w14:textId="77777777" w:rsidTr="00E40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tcPr>
          <w:p w14:paraId="1FDBAE5E" w14:textId="77777777" w:rsidR="00425490" w:rsidRPr="007D561D" w:rsidRDefault="00425490" w:rsidP="00425490">
            <w:pPr>
              <w:spacing w:before="60" w:after="60"/>
              <w:rPr>
                <w:sz w:val="20"/>
                <w:szCs w:val="20"/>
              </w:rPr>
            </w:pPr>
          </w:p>
        </w:tc>
        <w:tc>
          <w:tcPr>
            <w:tcW w:w="1805" w:type="pct"/>
            <w:tcBorders>
              <w:left w:val="nil"/>
              <w:right w:val="nil"/>
            </w:tcBorders>
          </w:tcPr>
          <w:p w14:paraId="49BD0000"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2225" w:type="pct"/>
            <w:tcBorders>
              <w:top w:val="single" w:sz="4" w:space="0" w:color="008089" w:themeColor="accent2"/>
              <w:left w:val="nil"/>
              <w:bottom w:val="single" w:sz="4" w:space="0" w:color="008089" w:themeColor="accent2"/>
              <w:right w:val="nil"/>
            </w:tcBorders>
          </w:tcPr>
          <w:p w14:paraId="72B5CE26" w14:textId="77777777" w:rsidR="00425490" w:rsidRPr="001538AF"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bookmarkStart w:id="276" w:name="_Hlk141885787"/>
            <w:r w:rsidRPr="001538AF">
              <w:rPr>
                <w:color w:val="auto"/>
                <w:sz w:val="20"/>
                <w:szCs w:val="20"/>
              </w:rPr>
              <w:t>Each match in the Super W finals series if it involves at least one Australian team.</w:t>
            </w:r>
            <w:bookmarkEnd w:id="276"/>
          </w:p>
        </w:tc>
        <w:tc>
          <w:tcPr>
            <w:tcW w:w="454" w:type="pct"/>
            <w:tcBorders>
              <w:top w:val="single" w:sz="4" w:space="0" w:color="008089" w:themeColor="accent2"/>
              <w:left w:val="nil"/>
              <w:bottom w:val="single" w:sz="4" w:space="0" w:color="008089" w:themeColor="accent2"/>
              <w:right w:val="nil"/>
            </w:tcBorders>
          </w:tcPr>
          <w:p w14:paraId="43B272F4" w14:textId="77777777" w:rsidR="00425490" w:rsidRPr="003D3097" w:rsidRDefault="00425490"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3D3097">
              <w:rPr>
                <w:color w:val="auto"/>
                <w:sz w:val="20"/>
                <w:szCs w:val="20"/>
              </w:rPr>
              <w:t>W</w:t>
            </w:r>
          </w:p>
        </w:tc>
      </w:tr>
      <w:tr w:rsidR="00BB022E" w:rsidRPr="00BC40F9" w14:paraId="0ED38ADB" w14:textId="77777777" w:rsidTr="00425490">
        <w:tc>
          <w:tcPr>
            <w:cnfStyle w:val="001000000000" w:firstRow="0" w:lastRow="0" w:firstColumn="1" w:lastColumn="0" w:oddVBand="0" w:evenVBand="0" w:oddHBand="0" w:evenHBand="0" w:firstRowFirstColumn="0" w:firstRowLastColumn="0" w:lastRowFirstColumn="0" w:lastRowLastColumn="0"/>
            <w:tcW w:w="516" w:type="pct"/>
            <w:vMerge w:val="restart"/>
            <w:tcBorders>
              <w:top w:val="single" w:sz="4" w:space="0" w:color="008089" w:themeColor="accent2"/>
              <w:left w:val="nil"/>
              <w:right w:val="nil"/>
            </w:tcBorders>
            <w:shd w:val="clear" w:color="auto" w:fill="auto"/>
            <w:hideMark/>
          </w:tcPr>
          <w:p w14:paraId="43A454E9" w14:textId="77777777" w:rsidR="00BB022E" w:rsidRPr="007D561D" w:rsidRDefault="00BB022E" w:rsidP="00425490">
            <w:pPr>
              <w:spacing w:before="60" w:after="60"/>
              <w:rPr>
                <w:sz w:val="20"/>
                <w:szCs w:val="20"/>
              </w:rPr>
            </w:pPr>
            <w:r w:rsidRPr="007D561D">
              <w:rPr>
                <w:sz w:val="20"/>
                <w:szCs w:val="20"/>
              </w:rPr>
              <w:t>Cricket</w:t>
            </w:r>
          </w:p>
        </w:tc>
        <w:tc>
          <w:tcPr>
            <w:tcW w:w="1805" w:type="pct"/>
            <w:tcBorders>
              <w:top w:val="single" w:sz="4" w:space="0" w:color="008089" w:themeColor="accent2"/>
              <w:left w:val="nil"/>
              <w:right w:val="nil"/>
            </w:tcBorders>
            <w:shd w:val="clear" w:color="auto" w:fill="auto"/>
          </w:tcPr>
          <w:p w14:paraId="125A3E72" w14:textId="77777777" w:rsidR="00BB022E" w:rsidRPr="001538AF" w:rsidRDefault="00BB022E"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test match that: involves the senior Australian representative team selected by Cricket Australia; and is played in Australia.</w:t>
            </w:r>
          </w:p>
        </w:tc>
        <w:tc>
          <w:tcPr>
            <w:tcW w:w="2225" w:type="pct"/>
            <w:tcBorders>
              <w:top w:val="single" w:sz="4" w:space="0" w:color="008089" w:themeColor="accent2"/>
              <w:left w:val="nil"/>
              <w:bottom w:val="single" w:sz="4" w:space="0" w:color="008089" w:themeColor="accent2"/>
              <w:right w:val="nil"/>
            </w:tcBorders>
            <w:shd w:val="clear" w:color="auto" w:fill="auto"/>
            <w:hideMark/>
          </w:tcPr>
          <w:p w14:paraId="2B1A600D" w14:textId="77777777" w:rsidR="00BB022E" w:rsidRPr="001538AF" w:rsidRDefault="00BB022E"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test match that: involves the senior Australian representative team; and is played in Australia.</w:t>
            </w:r>
          </w:p>
        </w:tc>
        <w:tc>
          <w:tcPr>
            <w:tcW w:w="454" w:type="pct"/>
            <w:tcBorders>
              <w:top w:val="single" w:sz="4" w:space="0" w:color="008089" w:themeColor="accent2"/>
              <w:left w:val="nil"/>
              <w:bottom w:val="single" w:sz="4" w:space="0" w:color="008089" w:themeColor="accent2"/>
              <w:right w:val="nil"/>
            </w:tcBorders>
            <w:shd w:val="clear" w:color="auto" w:fill="auto"/>
          </w:tcPr>
          <w:p w14:paraId="2DE394E3" w14:textId="77777777" w:rsidR="00BB022E" w:rsidRPr="003D3097" w:rsidRDefault="00BB022E" w:rsidP="00425490">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3D3097">
              <w:rPr>
                <w:color w:val="auto"/>
                <w:sz w:val="20"/>
                <w:szCs w:val="20"/>
              </w:rPr>
              <w:t>M &amp; W</w:t>
            </w:r>
          </w:p>
        </w:tc>
      </w:tr>
      <w:tr w:rsidR="00BB022E" w:rsidRPr="00BC40F9" w14:paraId="1C76C881"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6482A47C" w14:textId="77777777" w:rsidR="00BB022E" w:rsidRPr="007D561D" w:rsidRDefault="00BB022E" w:rsidP="00425490">
            <w:pPr>
              <w:spacing w:before="60" w:after="60"/>
              <w:rPr>
                <w:sz w:val="20"/>
                <w:szCs w:val="20"/>
              </w:rPr>
            </w:pPr>
          </w:p>
        </w:tc>
        <w:tc>
          <w:tcPr>
            <w:tcW w:w="1805" w:type="pct"/>
            <w:tcBorders>
              <w:left w:val="nil"/>
              <w:right w:val="nil"/>
            </w:tcBorders>
            <w:shd w:val="clear" w:color="auto" w:fill="auto"/>
          </w:tcPr>
          <w:p w14:paraId="02ED1A58" w14:textId="77777777" w:rsidR="00BB022E" w:rsidRPr="001538AF" w:rsidRDefault="00BB022E"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test match that involves both: the senior Australian representative team selected by Cricket Australia; and the senior English representative team; and is played in the United Kingdom.</w:t>
            </w:r>
          </w:p>
        </w:tc>
        <w:tc>
          <w:tcPr>
            <w:tcW w:w="2225" w:type="pct"/>
            <w:tcBorders>
              <w:top w:val="single" w:sz="4" w:space="0" w:color="008089" w:themeColor="accent2"/>
              <w:left w:val="nil"/>
              <w:bottom w:val="single" w:sz="4" w:space="0" w:color="008089" w:themeColor="accent2"/>
              <w:right w:val="nil"/>
            </w:tcBorders>
            <w:shd w:val="clear" w:color="auto" w:fill="auto"/>
          </w:tcPr>
          <w:p w14:paraId="5D1847A8" w14:textId="4F1B06C8" w:rsidR="00BB022E" w:rsidRPr="001538AF" w:rsidRDefault="00BB022E"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 xml:space="preserve">Each match of an </w:t>
            </w:r>
            <w:r w:rsidR="0086313F">
              <w:rPr>
                <w:color w:val="auto"/>
                <w:sz w:val="20"/>
                <w:szCs w:val="20"/>
              </w:rPr>
              <w:t>‘</w:t>
            </w:r>
            <w:r w:rsidRPr="001538AF">
              <w:rPr>
                <w:color w:val="auto"/>
                <w:sz w:val="20"/>
                <w:szCs w:val="20"/>
              </w:rPr>
              <w:t>Ashes</w:t>
            </w:r>
            <w:r w:rsidR="0086313F">
              <w:rPr>
                <w:color w:val="auto"/>
                <w:sz w:val="20"/>
                <w:szCs w:val="20"/>
              </w:rPr>
              <w:t>’</w:t>
            </w:r>
            <w:r w:rsidRPr="001538AF">
              <w:rPr>
                <w:color w:val="auto"/>
                <w:sz w:val="20"/>
                <w:szCs w:val="20"/>
              </w:rPr>
              <w:t xml:space="preserve"> series that involves the senior Australian representative team and the senior English representative team; and is played in the United Kingdom or in Australia.</w:t>
            </w:r>
          </w:p>
        </w:tc>
        <w:tc>
          <w:tcPr>
            <w:tcW w:w="454" w:type="pct"/>
            <w:tcBorders>
              <w:top w:val="single" w:sz="4" w:space="0" w:color="008089" w:themeColor="accent2"/>
              <w:left w:val="nil"/>
              <w:bottom w:val="single" w:sz="4" w:space="0" w:color="008089" w:themeColor="accent2"/>
              <w:right w:val="nil"/>
            </w:tcBorders>
            <w:shd w:val="clear" w:color="auto" w:fill="auto"/>
          </w:tcPr>
          <w:p w14:paraId="0781DFE3" w14:textId="77777777" w:rsidR="00BB022E" w:rsidRPr="003D3097" w:rsidRDefault="00BB022E" w:rsidP="00425490">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3D3097">
              <w:rPr>
                <w:color w:val="auto"/>
                <w:sz w:val="20"/>
                <w:szCs w:val="20"/>
              </w:rPr>
              <w:t>M &amp; W</w:t>
            </w:r>
          </w:p>
        </w:tc>
      </w:tr>
      <w:tr w:rsidR="00BB022E" w:rsidRPr="00BC40F9" w14:paraId="354648E6" w14:textId="77777777" w:rsidTr="00425490">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0A765FA2" w14:textId="77777777" w:rsidR="00BB022E" w:rsidRPr="007D561D" w:rsidRDefault="00BB022E" w:rsidP="00BD6329">
            <w:pPr>
              <w:spacing w:before="60" w:after="60"/>
              <w:rPr>
                <w:sz w:val="20"/>
                <w:szCs w:val="20"/>
              </w:rPr>
            </w:pPr>
          </w:p>
        </w:tc>
        <w:tc>
          <w:tcPr>
            <w:tcW w:w="1805" w:type="pct"/>
            <w:tcBorders>
              <w:left w:val="nil"/>
              <w:right w:val="nil"/>
            </w:tcBorders>
            <w:shd w:val="clear" w:color="auto" w:fill="auto"/>
          </w:tcPr>
          <w:p w14:paraId="7A3F7575" w14:textId="77777777" w:rsidR="00BB022E" w:rsidRPr="001538AF"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w:t>
            </w:r>
            <w:proofErr w:type="gramStart"/>
            <w:r w:rsidRPr="001538AF">
              <w:rPr>
                <w:color w:val="auto"/>
                <w:sz w:val="20"/>
                <w:szCs w:val="20"/>
              </w:rPr>
              <w:t>one day</w:t>
            </w:r>
            <w:proofErr w:type="gramEnd"/>
            <w:r w:rsidRPr="001538AF">
              <w:rPr>
                <w:color w:val="auto"/>
                <w:sz w:val="20"/>
                <w:szCs w:val="20"/>
              </w:rPr>
              <w:t xml:space="preserve"> cricket match that: involves the senior Australian representative team selected by Cricket Australia; and is played in Australia.</w:t>
            </w:r>
          </w:p>
        </w:tc>
        <w:tc>
          <w:tcPr>
            <w:tcW w:w="2225" w:type="pct"/>
            <w:tcBorders>
              <w:top w:val="single" w:sz="4" w:space="0" w:color="008089" w:themeColor="accent2"/>
              <w:left w:val="nil"/>
              <w:bottom w:val="single" w:sz="4" w:space="0" w:color="008089" w:themeColor="accent2"/>
              <w:right w:val="nil"/>
            </w:tcBorders>
            <w:shd w:val="clear" w:color="auto" w:fill="auto"/>
          </w:tcPr>
          <w:p w14:paraId="6F89FEC4" w14:textId="77777777" w:rsidR="00BB022E" w:rsidRPr="001538AF"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w:t>
            </w:r>
            <w:proofErr w:type="gramStart"/>
            <w:r w:rsidRPr="001538AF">
              <w:rPr>
                <w:color w:val="auto"/>
                <w:sz w:val="20"/>
                <w:szCs w:val="20"/>
              </w:rPr>
              <w:t>one day</w:t>
            </w:r>
            <w:proofErr w:type="gramEnd"/>
            <w:r w:rsidRPr="001538AF">
              <w:rPr>
                <w:color w:val="auto"/>
                <w:sz w:val="20"/>
                <w:szCs w:val="20"/>
              </w:rPr>
              <w:t xml:space="preserve"> cricket match that: involves the senior Australian representative team; and is played in Australia.</w:t>
            </w:r>
          </w:p>
        </w:tc>
        <w:tc>
          <w:tcPr>
            <w:tcW w:w="454" w:type="pct"/>
            <w:tcBorders>
              <w:top w:val="single" w:sz="4" w:space="0" w:color="008089" w:themeColor="accent2"/>
              <w:left w:val="nil"/>
              <w:bottom w:val="single" w:sz="4" w:space="0" w:color="008089" w:themeColor="accent2"/>
              <w:right w:val="nil"/>
            </w:tcBorders>
            <w:shd w:val="clear" w:color="auto" w:fill="auto"/>
          </w:tcPr>
          <w:p w14:paraId="1BFF8963" w14:textId="77777777" w:rsidR="00BB022E" w:rsidRPr="003D3097"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3D3097">
              <w:rPr>
                <w:color w:val="auto"/>
                <w:sz w:val="20"/>
                <w:szCs w:val="20"/>
              </w:rPr>
              <w:t>M &amp; W</w:t>
            </w:r>
          </w:p>
        </w:tc>
      </w:tr>
      <w:tr w:rsidR="00BB022E" w:rsidRPr="00BC40F9" w14:paraId="6551F848"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6467604A" w14:textId="77777777" w:rsidR="00BB022E" w:rsidRPr="007D561D" w:rsidRDefault="00BB022E" w:rsidP="00BD6329">
            <w:pPr>
              <w:spacing w:before="60" w:after="60"/>
              <w:rPr>
                <w:sz w:val="20"/>
                <w:szCs w:val="20"/>
              </w:rPr>
            </w:pPr>
          </w:p>
        </w:tc>
        <w:tc>
          <w:tcPr>
            <w:tcW w:w="1805" w:type="pct"/>
            <w:tcBorders>
              <w:left w:val="nil"/>
              <w:right w:val="nil"/>
            </w:tcBorders>
            <w:shd w:val="clear" w:color="auto" w:fill="auto"/>
          </w:tcPr>
          <w:p w14:paraId="6CE5F4AF" w14:textId="77777777" w:rsidR="00BB022E" w:rsidRPr="001538AF"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Twenty20 (T20) cricket match that: involves the senior Australian representative team selected by Cricket Australia; and is played in Australia.</w:t>
            </w:r>
          </w:p>
        </w:tc>
        <w:tc>
          <w:tcPr>
            <w:tcW w:w="2225" w:type="pct"/>
            <w:tcBorders>
              <w:top w:val="single" w:sz="4" w:space="0" w:color="008089" w:themeColor="accent2"/>
              <w:left w:val="nil"/>
              <w:bottom w:val="single" w:sz="4" w:space="0" w:color="008089" w:themeColor="accent2"/>
              <w:right w:val="nil"/>
            </w:tcBorders>
            <w:shd w:val="clear" w:color="auto" w:fill="auto"/>
          </w:tcPr>
          <w:p w14:paraId="4CE8DCCD" w14:textId="77777777" w:rsidR="00BB022E" w:rsidRPr="001538AF"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Twenty20 (T20) cricket match that: involves the senior representative team; and is played in Australia.</w:t>
            </w:r>
          </w:p>
        </w:tc>
        <w:tc>
          <w:tcPr>
            <w:tcW w:w="454" w:type="pct"/>
            <w:tcBorders>
              <w:top w:val="single" w:sz="4" w:space="0" w:color="008089" w:themeColor="accent2"/>
              <w:left w:val="nil"/>
              <w:bottom w:val="single" w:sz="4" w:space="0" w:color="008089" w:themeColor="accent2"/>
              <w:right w:val="nil"/>
            </w:tcBorders>
            <w:shd w:val="clear" w:color="auto" w:fill="auto"/>
          </w:tcPr>
          <w:p w14:paraId="1C6B8ECC" w14:textId="77777777" w:rsidR="00BB022E" w:rsidRPr="003D3097"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3D3097">
              <w:rPr>
                <w:color w:val="auto"/>
                <w:sz w:val="20"/>
                <w:szCs w:val="20"/>
              </w:rPr>
              <w:t>M &amp; W</w:t>
            </w:r>
          </w:p>
        </w:tc>
      </w:tr>
      <w:tr w:rsidR="00BB022E" w:rsidRPr="00BC40F9" w14:paraId="6E588009" w14:textId="77777777" w:rsidTr="00425490">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14AEC9A3" w14:textId="77777777" w:rsidR="00BB022E" w:rsidRPr="007D561D" w:rsidRDefault="00BB022E" w:rsidP="00BD6329">
            <w:pPr>
              <w:spacing w:before="60" w:after="60"/>
              <w:rPr>
                <w:sz w:val="20"/>
                <w:szCs w:val="20"/>
              </w:rPr>
            </w:pPr>
          </w:p>
        </w:tc>
        <w:tc>
          <w:tcPr>
            <w:tcW w:w="1805" w:type="pct"/>
            <w:tcBorders>
              <w:left w:val="nil"/>
              <w:right w:val="nil"/>
            </w:tcBorders>
            <w:shd w:val="clear" w:color="auto" w:fill="auto"/>
          </w:tcPr>
          <w:p w14:paraId="107A1FC6" w14:textId="77777777" w:rsidR="00BB022E" w:rsidRPr="001538AF"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International Cricket Council Cricket World Cup that: involves the senior Australian representative team selected by Cricket Australia; and is played in Australia or New Zealand.</w:t>
            </w:r>
          </w:p>
        </w:tc>
        <w:tc>
          <w:tcPr>
            <w:tcW w:w="2225" w:type="pct"/>
            <w:tcBorders>
              <w:top w:val="single" w:sz="4" w:space="0" w:color="008089" w:themeColor="accent2"/>
              <w:left w:val="nil"/>
              <w:bottom w:val="single" w:sz="4" w:space="0" w:color="008089" w:themeColor="accent2"/>
              <w:right w:val="nil"/>
            </w:tcBorders>
            <w:shd w:val="clear" w:color="auto" w:fill="auto"/>
          </w:tcPr>
          <w:p w14:paraId="3821B331" w14:textId="77777777" w:rsidR="00BB022E" w:rsidRPr="001538AF"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International Cricket Council Men’s Cricket World Cup that: involves the senior Australian representative team; and is played in Australia or New Zealand.</w:t>
            </w:r>
          </w:p>
        </w:tc>
        <w:tc>
          <w:tcPr>
            <w:tcW w:w="454" w:type="pct"/>
            <w:tcBorders>
              <w:top w:val="single" w:sz="4" w:space="0" w:color="008089" w:themeColor="accent2"/>
              <w:left w:val="nil"/>
              <w:bottom w:val="single" w:sz="4" w:space="0" w:color="008089" w:themeColor="accent2"/>
              <w:right w:val="nil"/>
            </w:tcBorders>
            <w:shd w:val="clear" w:color="auto" w:fill="auto"/>
          </w:tcPr>
          <w:p w14:paraId="7FE4247B" w14:textId="77777777" w:rsidR="00BB022E" w:rsidRPr="003D3097"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M</w:t>
            </w:r>
          </w:p>
        </w:tc>
      </w:tr>
      <w:tr w:rsidR="00BB022E" w:rsidRPr="00BC40F9" w14:paraId="69750E48"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5434D520" w14:textId="77777777" w:rsidR="00BB022E" w:rsidRPr="007D561D" w:rsidRDefault="00BB022E" w:rsidP="00BD6329">
            <w:pPr>
              <w:spacing w:before="60" w:after="60"/>
              <w:rPr>
                <w:sz w:val="20"/>
                <w:szCs w:val="20"/>
              </w:rPr>
            </w:pPr>
          </w:p>
        </w:tc>
        <w:tc>
          <w:tcPr>
            <w:tcW w:w="1805" w:type="pct"/>
            <w:tcBorders>
              <w:left w:val="nil"/>
              <w:right w:val="nil"/>
            </w:tcBorders>
            <w:shd w:val="clear" w:color="auto" w:fill="auto"/>
          </w:tcPr>
          <w:p w14:paraId="09E11035" w14:textId="77777777" w:rsidR="00BB022E" w:rsidRPr="001538AF"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2225" w:type="pct"/>
            <w:tcBorders>
              <w:top w:val="single" w:sz="4" w:space="0" w:color="008089" w:themeColor="accent2"/>
              <w:left w:val="nil"/>
              <w:bottom w:val="single" w:sz="4" w:space="0" w:color="008089" w:themeColor="accent2"/>
              <w:right w:val="nil"/>
            </w:tcBorders>
            <w:shd w:val="clear" w:color="auto" w:fill="auto"/>
          </w:tcPr>
          <w:p w14:paraId="1A378418" w14:textId="77777777" w:rsidR="00BB022E" w:rsidRPr="001538AF"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of the International Cricket Council Women’s Cricket World Cup that: involves the senior Australian representative team; and is played in Australia or New Zealand.</w:t>
            </w:r>
          </w:p>
        </w:tc>
        <w:tc>
          <w:tcPr>
            <w:tcW w:w="454" w:type="pct"/>
            <w:tcBorders>
              <w:top w:val="single" w:sz="4" w:space="0" w:color="008089" w:themeColor="accent2"/>
              <w:left w:val="nil"/>
              <w:bottom w:val="single" w:sz="4" w:space="0" w:color="008089" w:themeColor="accent2"/>
              <w:right w:val="nil"/>
            </w:tcBorders>
            <w:shd w:val="clear" w:color="auto" w:fill="auto"/>
          </w:tcPr>
          <w:p w14:paraId="5ED34118" w14:textId="77777777" w:rsidR="00BB022E" w:rsidRPr="003D3097"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Pr>
                <w:color w:val="auto"/>
                <w:sz w:val="20"/>
                <w:szCs w:val="20"/>
              </w:rPr>
              <w:t>W</w:t>
            </w:r>
          </w:p>
        </w:tc>
      </w:tr>
      <w:tr w:rsidR="00BB022E" w:rsidRPr="00BC40F9" w14:paraId="098FEEFC" w14:textId="77777777" w:rsidTr="00425490">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4AB1D4D2" w14:textId="77777777" w:rsidR="00BB022E" w:rsidRPr="007D561D" w:rsidRDefault="00BB022E" w:rsidP="00BD6329">
            <w:pPr>
              <w:spacing w:before="60" w:after="60"/>
              <w:rPr>
                <w:sz w:val="20"/>
                <w:szCs w:val="20"/>
              </w:rPr>
            </w:pPr>
          </w:p>
        </w:tc>
        <w:tc>
          <w:tcPr>
            <w:tcW w:w="1805" w:type="pct"/>
            <w:tcBorders>
              <w:left w:val="nil"/>
              <w:right w:val="nil"/>
            </w:tcBorders>
            <w:shd w:val="clear" w:color="auto" w:fill="auto"/>
          </w:tcPr>
          <w:p w14:paraId="233E4F03" w14:textId="77777777" w:rsidR="00BB022E" w:rsidRPr="001538AF"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International Cricket Council Cricket World Cup if the final is played in Australia or New Zealand.</w:t>
            </w:r>
          </w:p>
        </w:tc>
        <w:tc>
          <w:tcPr>
            <w:tcW w:w="2225" w:type="pct"/>
            <w:tcBorders>
              <w:top w:val="single" w:sz="4" w:space="0" w:color="008089" w:themeColor="accent2"/>
              <w:left w:val="nil"/>
              <w:bottom w:val="single" w:sz="4" w:space="0" w:color="008089" w:themeColor="accent2"/>
              <w:right w:val="nil"/>
            </w:tcBorders>
            <w:shd w:val="clear" w:color="auto" w:fill="auto"/>
          </w:tcPr>
          <w:p w14:paraId="2869EDF3" w14:textId="77777777" w:rsidR="00BB022E" w:rsidRPr="001538AF"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International Cricket Council Men’s Cricket World Cup if the final is played in Australia or New Zealand.</w:t>
            </w:r>
          </w:p>
        </w:tc>
        <w:tc>
          <w:tcPr>
            <w:tcW w:w="454" w:type="pct"/>
            <w:tcBorders>
              <w:top w:val="single" w:sz="4" w:space="0" w:color="008089" w:themeColor="accent2"/>
              <w:left w:val="nil"/>
              <w:bottom w:val="single" w:sz="4" w:space="0" w:color="008089" w:themeColor="accent2"/>
              <w:right w:val="nil"/>
            </w:tcBorders>
            <w:shd w:val="clear" w:color="auto" w:fill="auto"/>
          </w:tcPr>
          <w:p w14:paraId="02DA3E2D" w14:textId="77777777" w:rsidR="00BB022E" w:rsidRPr="003D3097"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3D3097">
              <w:rPr>
                <w:color w:val="auto"/>
                <w:sz w:val="20"/>
                <w:szCs w:val="20"/>
              </w:rPr>
              <w:t>M</w:t>
            </w:r>
          </w:p>
        </w:tc>
      </w:tr>
      <w:tr w:rsidR="00BB022E" w:rsidRPr="00BC40F9" w14:paraId="6E3790AE"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71CFFA96" w14:textId="77777777" w:rsidR="00BB022E" w:rsidRPr="007D561D" w:rsidRDefault="00BB022E" w:rsidP="00BD6329">
            <w:pPr>
              <w:spacing w:before="60" w:after="60"/>
              <w:rPr>
                <w:sz w:val="20"/>
                <w:szCs w:val="20"/>
              </w:rPr>
            </w:pPr>
          </w:p>
        </w:tc>
        <w:tc>
          <w:tcPr>
            <w:tcW w:w="1805" w:type="pct"/>
            <w:tcBorders>
              <w:left w:val="nil"/>
              <w:right w:val="nil"/>
            </w:tcBorders>
            <w:shd w:val="clear" w:color="auto" w:fill="auto"/>
          </w:tcPr>
          <w:p w14:paraId="52CD3070" w14:textId="77777777" w:rsidR="00BB022E" w:rsidRPr="001538AF"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2225" w:type="pct"/>
            <w:tcBorders>
              <w:top w:val="single" w:sz="4" w:space="0" w:color="008089" w:themeColor="accent2"/>
              <w:left w:val="nil"/>
              <w:bottom w:val="single" w:sz="4" w:space="0" w:color="008089" w:themeColor="accent2"/>
              <w:right w:val="nil"/>
            </w:tcBorders>
            <w:shd w:val="clear" w:color="auto" w:fill="auto"/>
          </w:tcPr>
          <w:p w14:paraId="24C80F3B" w14:textId="77777777" w:rsidR="00BB022E" w:rsidRPr="001538AF"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International Cricket Council Women’s Cricket World Cup if the final is played in Australia or New Zealand.</w:t>
            </w:r>
          </w:p>
        </w:tc>
        <w:tc>
          <w:tcPr>
            <w:tcW w:w="454" w:type="pct"/>
            <w:tcBorders>
              <w:top w:val="single" w:sz="4" w:space="0" w:color="008089" w:themeColor="accent2"/>
              <w:left w:val="nil"/>
              <w:bottom w:val="single" w:sz="4" w:space="0" w:color="008089" w:themeColor="accent2"/>
              <w:right w:val="nil"/>
            </w:tcBorders>
            <w:shd w:val="clear" w:color="auto" w:fill="auto"/>
          </w:tcPr>
          <w:p w14:paraId="29FD1C68" w14:textId="77777777" w:rsidR="00BB022E" w:rsidRPr="003D3097"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Pr>
                <w:color w:val="auto"/>
                <w:sz w:val="20"/>
                <w:szCs w:val="20"/>
              </w:rPr>
              <w:t>W</w:t>
            </w:r>
          </w:p>
        </w:tc>
      </w:tr>
      <w:tr w:rsidR="00BB022E" w:rsidRPr="00BC40F9" w14:paraId="17DFA2DE" w14:textId="77777777" w:rsidTr="00425490">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64B64750" w14:textId="77777777" w:rsidR="00BB022E" w:rsidRPr="007D561D" w:rsidRDefault="00BB022E" w:rsidP="00BD6329">
            <w:pPr>
              <w:spacing w:before="60" w:after="60"/>
              <w:rPr>
                <w:sz w:val="20"/>
                <w:szCs w:val="20"/>
              </w:rPr>
            </w:pPr>
          </w:p>
        </w:tc>
        <w:tc>
          <w:tcPr>
            <w:tcW w:w="1805" w:type="pct"/>
            <w:tcBorders>
              <w:left w:val="nil"/>
              <w:right w:val="nil"/>
            </w:tcBorders>
            <w:shd w:val="clear" w:color="auto" w:fill="auto"/>
          </w:tcPr>
          <w:p w14:paraId="3FDABBAD" w14:textId="77777777" w:rsidR="00BB022E" w:rsidRPr="001538AF"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International Cricket Council T20 World Cup that: involves the senior Australian representative team selected by Cricket Australia; and is played in Australia or New Zealand.</w:t>
            </w:r>
          </w:p>
        </w:tc>
        <w:tc>
          <w:tcPr>
            <w:tcW w:w="2225" w:type="pct"/>
            <w:tcBorders>
              <w:top w:val="single" w:sz="4" w:space="0" w:color="008089" w:themeColor="accent2"/>
              <w:left w:val="nil"/>
              <w:bottom w:val="single" w:sz="4" w:space="0" w:color="008089" w:themeColor="accent2"/>
              <w:right w:val="nil"/>
            </w:tcBorders>
            <w:shd w:val="clear" w:color="auto" w:fill="auto"/>
          </w:tcPr>
          <w:p w14:paraId="455EC01A" w14:textId="77777777" w:rsidR="00BB022E" w:rsidRPr="001538AF"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International Cricket Council Men’s T20 World Cup that: involves the senior Australian representative team; and is played in Australia or New Zealand.</w:t>
            </w:r>
          </w:p>
        </w:tc>
        <w:tc>
          <w:tcPr>
            <w:tcW w:w="454" w:type="pct"/>
            <w:tcBorders>
              <w:top w:val="single" w:sz="4" w:space="0" w:color="008089" w:themeColor="accent2"/>
              <w:left w:val="nil"/>
              <w:bottom w:val="single" w:sz="4" w:space="0" w:color="008089" w:themeColor="accent2"/>
              <w:right w:val="nil"/>
            </w:tcBorders>
            <w:shd w:val="clear" w:color="auto" w:fill="auto"/>
          </w:tcPr>
          <w:p w14:paraId="5EFC80A2" w14:textId="77777777" w:rsidR="00BB022E" w:rsidRPr="003D3097"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3D3097">
              <w:rPr>
                <w:color w:val="auto"/>
                <w:sz w:val="20"/>
                <w:szCs w:val="20"/>
              </w:rPr>
              <w:t>M</w:t>
            </w:r>
          </w:p>
        </w:tc>
      </w:tr>
      <w:tr w:rsidR="00BB022E" w:rsidRPr="00BC40F9" w14:paraId="6AD61CEF"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7977D438" w14:textId="77777777" w:rsidR="00BB022E" w:rsidRPr="007D561D" w:rsidRDefault="00BB022E" w:rsidP="00BD6329">
            <w:pPr>
              <w:spacing w:before="60" w:after="60"/>
              <w:rPr>
                <w:sz w:val="20"/>
                <w:szCs w:val="20"/>
              </w:rPr>
            </w:pPr>
          </w:p>
        </w:tc>
        <w:tc>
          <w:tcPr>
            <w:tcW w:w="1805" w:type="pct"/>
            <w:tcBorders>
              <w:left w:val="nil"/>
              <w:right w:val="nil"/>
            </w:tcBorders>
            <w:shd w:val="clear" w:color="auto" w:fill="auto"/>
          </w:tcPr>
          <w:p w14:paraId="051563AE" w14:textId="77777777" w:rsidR="00BB022E" w:rsidRPr="001538AF"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2225" w:type="pct"/>
            <w:tcBorders>
              <w:top w:val="single" w:sz="4" w:space="0" w:color="008089" w:themeColor="accent2"/>
              <w:left w:val="nil"/>
              <w:bottom w:val="single" w:sz="4" w:space="0" w:color="008089" w:themeColor="accent2"/>
              <w:right w:val="nil"/>
            </w:tcBorders>
            <w:shd w:val="clear" w:color="auto" w:fill="auto"/>
          </w:tcPr>
          <w:p w14:paraId="209DBD17" w14:textId="77777777" w:rsidR="00BB022E" w:rsidRPr="001538AF"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of the International Cricket Council Women’s T20 World Cup that: involves the senior Australian representative team; and is played in Australia or New Zealand.</w:t>
            </w:r>
          </w:p>
        </w:tc>
        <w:tc>
          <w:tcPr>
            <w:tcW w:w="454" w:type="pct"/>
            <w:tcBorders>
              <w:top w:val="single" w:sz="4" w:space="0" w:color="008089" w:themeColor="accent2"/>
              <w:left w:val="nil"/>
              <w:bottom w:val="single" w:sz="4" w:space="0" w:color="008089" w:themeColor="accent2"/>
              <w:right w:val="nil"/>
            </w:tcBorders>
            <w:shd w:val="clear" w:color="auto" w:fill="auto"/>
          </w:tcPr>
          <w:p w14:paraId="5E6BDBA4" w14:textId="77777777" w:rsidR="00BB022E" w:rsidRPr="003D3097"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Pr>
                <w:color w:val="auto"/>
                <w:sz w:val="20"/>
                <w:szCs w:val="20"/>
              </w:rPr>
              <w:t>W</w:t>
            </w:r>
          </w:p>
        </w:tc>
      </w:tr>
      <w:tr w:rsidR="00BB022E" w:rsidRPr="00BC40F9" w14:paraId="63ECA575" w14:textId="77777777" w:rsidTr="00425490">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3320EE6B" w14:textId="77777777" w:rsidR="00BB022E" w:rsidRPr="007D561D" w:rsidRDefault="00BB022E" w:rsidP="00BD6329">
            <w:pPr>
              <w:spacing w:before="60" w:after="60"/>
              <w:rPr>
                <w:sz w:val="20"/>
                <w:szCs w:val="20"/>
              </w:rPr>
            </w:pPr>
          </w:p>
        </w:tc>
        <w:tc>
          <w:tcPr>
            <w:tcW w:w="1805" w:type="pct"/>
            <w:tcBorders>
              <w:left w:val="nil"/>
              <w:right w:val="nil"/>
            </w:tcBorders>
            <w:shd w:val="clear" w:color="auto" w:fill="auto"/>
          </w:tcPr>
          <w:p w14:paraId="11674070" w14:textId="77777777" w:rsidR="00BB022E" w:rsidRPr="001538AF"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International Cricket Council T20 World Cup if the final is played in Australia or New Zealand.</w:t>
            </w:r>
          </w:p>
        </w:tc>
        <w:tc>
          <w:tcPr>
            <w:tcW w:w="2225" w:type="pct"/>
            <w:tcBorders>
              <w:top w:val="single" w:sz="4" w:space="0" w:color="008089" w:themeColor="accent2"/>
              <w:left w:val="nil"/>
              <w:bottom w:val="single" w:sz="4" w:space="0" w:color="008089" w:themeColor="accent2"/>
              <w:right w:val="nil"/>
            </w:tcBorders>
            <w:shd w:val="clear" w:color="auto" w:fill="auto"/>
          </w:tcPr>
          <w:p w14:paraId="411FB9B1" w14:textId="77777777" w:rsidR="00BB022E" w:rsidRPr="001538AF"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International Cricket Council Men’s T20 World Cup if the final is played in Australia or New Zealand.</w:t>
            </w:r>
          </w:p>
        </w:tc>
        <w:tc>
          <w:tcPr>
            <w:tcW w:w="454" w:type="pct"/>
            <w:tcBorders>
              <w:top w:val="single" w:sz="4" w:space="0" w:color="008089" w:themeColor="accent2"/>
              <w:left w:val="nil"/>
              <w:bottom w:val="single" w:sz="4" w:space="0" w:color="008089" w:themeColor="accent2"/>
              <w:right w:val="nil"/>
            </w:tcBorders>
            <w:shd w:val="clear" w:color="auto" w:fill="auto"/>
          </w:tcPr>
          <w:p w14:paraId="79238D32" w14:textId="77777777" w:rsidR="00BB022E" w:rsidRPr="003D3097" w:rsidRDefault="00BB022E"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3D3097">
              <w:rPr>
                <w:color w:val="auto"/>
                <w:sz w:val="20"/>
                <w:szCs w:val="20"/>
              </w:rPr>
              <w:t>M</w:t>
            </w:r>
          </w:p>
        </w:tc>
      </w:tr>
      <w:tr w:rsidR="00BB022E" w:rsidRPr="00BC40F9" w14:paraId="1E964864"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089461BC" w14:textId="77777777" w:rsidR="00BB022E" w:rsidRPr="007D561D" w:rsidRDefault="00BB022E" w:rsidP="00BD6329">
            <w:pPr>
              <w:spacing w:before="60" w:after="60"/>
              <w:rPr>
                <w:sz w:val="20"/>
                <w:szCs w:val="20"/>
              </w:rPr>
            </w:pPr>
          </w:p>
        </w:tc>
        <w:tc>
          <w:tcPr>
            <w:tcW w:w="1805" w:type="pct"/>
            <w:tcBorders>
              <w:left w:val="nil"/>
              <w:right w:val="nil"/>
            </w:tcBorders>
            <w:shd w:val="clear" w:color="auto" w:fill="auto"/>
          </w:tcPr>
          <w:p w14:paraId="3F760FCF" w14:textId="77777777" w:rsidR="00BB022E" w:rsidRPr="001538AF"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2225" w:type="pct"/>
            <w:tcBorders>
              <w:top w:val="single" w:sz="4" w:space="0" w:color="008089" w:themeColor="accent2"/>
              <w:left w:val="nil"/>
              <w:bottom w:val="single" w:sz="4" w:space="0" w:color="008089" w:themeColor="accent2"/>
              <w:right w:val="nil"/>
            </w:tcBorders>
            <w:shd w:val="clear" w:color="auto" w:fill="auto"/>
          </w:tcPr>
          <w:p w14:paraId="2F495FFA" w14:textId="77777777" w:rsidR="00BB022E" w:rsidRPr="001538AF"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International Cricket Council Women’s T20 World Cup if the final is played in Australia or New Zealand.</w:t>
            </w:r>
          </w:p>
        </w:tc>
        <w:tc>
          <w:tcPr>
            <w:tcW w:w="454" w:type="pct"/>
            <w:tcBorders>
              <w:top w:val="single" w:sz="4" w:space="0" w:color="008089" w:themeColor="accent2"/>
              <w:left w:val="nil"/>
              <w:bottom w:val="single" w:sz="4" w:space="0" w:color="008089" w:themeColor="accent2"/>
              <w:right w:val="nil"/>
            </w:tcBorders>
            <w:shd w:val="clear" w:color="auto" w:fill="auto"/>
          </w:tcPr>
          <w:p w14:paraId="2CF3C340" w14:textId="77777777" w:rsidR="00BB022E" w:rsidRPr="003D3097" w:rsidRDefault="00BB022E"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Pr>
                <w:color w:val="auto"/>
                <w:sz w:val="20"/>
                <w:szCs w:val="20"/>
              </w:rPr>
              <w:t>W</w:t>
            </w:r>
          </w:p>
        </w:tc>
      </w:tr>
      <w:tr w:rsidR="00FC7446" w:rsidRPr="00CD4847" w14:paraId="03A8A1ED" w14:textId="77777777" w:rsidTr="00FC7446">
        <w:tc>
          <w:tcPr>
            <w:cnfStyle w:val="001000000000" w:firstRow="0" w:lastRow="0" w:firstColumn="1" w:lastColumn="0" w:oddVBand="0" w:evenVBand="0" w:oddHBand="0" w:evenHBand="0" w:firstRowFirstColumn="0" w:firstRowLastColumn="0" w:lastRowFirstColumn="0" w:lastRowLastColumn="0"/>
            <w:tcW w:w="0" w:type="pct"/>
            <w:vMerge w:val="restart"/>
            <w:tcBorders>
              <w:top w:val="single" w:sz="4" w:space="0" w:color="008089" w:themeColor="accent2"/>
              <w:left w:val="nil"/>
              <w:right w:val="nil"/>
            </w:tcBorders>
            <w:shd w:val="clear" w:color="auto" w:fill="F2F2F2" w:themeFill="background1" w:themeFillShade="F2"/>
            <w:hideMark/>
          </w:tcPr>
          <w:p w14:paraId="0663EB84" w14:textId="77777777" w:rsidR="00BD6329" w:rsidRPr="007D561D" w:rsidRDefault="00BD6329" w:rsidP="00BD6329">
            <w:pPr>
              <w:spacing w:before="60" w:after="60"/>
              <w:rPr>
                <w:sz w:val="20"/>
                <w:szCs w:val="20"/>
              </w:rPr>
            </w:pPr>
            <w:r w:rsidRPr="007D561D">
              <w:rPr>
                <w:sz w:val="20"/>
                <w:szCs w:val="20"/>
              </w:rPr>
              <w:t>Soccer</w:t>
            </w:r>
          </w:p>
        </w:tc>
        <w:tc>
          <w:tcPr>
            <w:tcW w:w="0" w:type="pct"/>
            <w:tcBorders>
              <w:top w:val="single" w:sz="4" w:space="0" w:color="008089" w:themeColor="accent2"/>
              <w:left w:val="nil"/>
              <w:right w:val="nil"/>
            </w:tcBorders>
            <w:shd w:val="clear" w:color="auto" w:fill="F2F2F2" w:themeFill="background1" w:themeFillShade="F2"/>
          </w:tcPr>
          <w:p w14:paraId="424EC97F" w14:textId="77777777"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Fédération Internationale de Football Association (FIFA) World Cup tournament that involves the senior Australian representative team selected by Football Australia.</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6394DCDC" w14:textId="77777777"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of the Fédération Internationale de Football Association (FIFA) Men’s World Cup tournament.</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60E9C7F3" w14:textId="77777777" w:rsidR="00BD6329" w:rsidRPr="003D3097"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3D3097">
              <w:rPr>
                <w:color w:val="auto"/>
                <w:sz w:val="20"/>
                <w:szCs w:val="20"/>
              </w:rPr>
              <w:t>M</w:t>
            </w:r>
          </w:p>
        </w:tc>
      </w:tr>
      <w:tr w:rsidR="00BD6329" w:rsidRPr="00CD4847" w14:paraId="6A2A154B" w14:textId="77777777" w:rsidTr="00E40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top w:val="single" w:sz="4" w:space="0" w:color="008089" w:themeColor="accent2"/>
              <w:left w:val="nil"/>
              <w:right w:val="nil"/>
            </w:tcBorders>
          </w:tcPr>
          <w:p w14:paraId="7758C31B" w14:textId="77777777" w:rsidR="00BD6329" w:rsidRPr="007D561D" w:rsidRDefault="00BD6329" w:rsidP="00BD6329">
            <w:pPr>
              <w:spacing w:before="60" w:after="60"/>
              <w:rPr>
                <w:sz w:val="20"/>
                <w:szCs w:val="20"/>
              </w:rPr>
            </w:pPr>
          </w:p>
        </w:tc>
        <w:tc>
          <w:tcPr>
            <w:tcW w:w="1805" w:type="pct"/>
            <w:tcBorders>
              <w:top w:val="single" w:sz="4" w:space="0" w:color="008089" w:themeColor="accent2"/>
              <w:left w:val="nil"/>
              <w:right w:val="nil"/>
            </w:tcBorders>
          </w:tcPr>
          <w:p w14:paraId="2341E3FD"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2225" w:type="pct"/>
            <w:tcBorders>
              <w:top w:val="single" w:sz="4" w:space="0" w:color="008089" w:themeColor="accent2"/>
              <w:left w:val="nil"/>
              <w:bottom w:val="single" w:sz="4" w:space="0" w:color="008089" w:themeColor="accent2"/>
              <w:right w:val="nil"/>
            </w:tcBorders>
          </w:tcPr>
          <w:p w14:paraId="31D41A15"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of the Fédération Internationale de Football Association (FIFA) Women’s World Cup.</w:t>
            </w:r>
          </w:p>
        </w:tc>
        <w:tc>
          <w:tcPr>
            <w:tcW w:w="454" w:type="pct"/>
            <w:tcBorders>
              <w:top w:val="single" w:sz="4" w:space="0" w:color="008089" w:themeColor="accent2"/>
              <w:left w:val="nil"/>
              <w:bottom w:val="single" w:sz="4" w:space="0" w:color="008089" w:themeColor="accent2"/>
              <w:right w:val="nil"/>
            </w:tcBorders>
          </w:tcPr>
          <w:p w14:paraId="30F961CF" w14:textId="77777777" w:rsidR="00BD6329" w:rsidRPr="003D3097"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Pr>
                <w:color w:val="auto"/>
                <w:sz w:val="20"/>
                <w:szCs w:val="20"/>
              </w:rPr>
              <w:t>W</w:t>
            </w:r>
          </w:p>
        </w:tc>
      </w:tr>
      <w:tr w:rsidR="00BD6329" w:rsidRPr="00BC40F9" w14:paraId="260E2693" w14:textId="77777777" w:rsidTr="00FC7446">
        <w:tc>
          <w:tcPr>
            <w:cnfStyle w:val="001000000000" w:firstRow="0" w:lastRow="0" w:firstColumn="1" w:lastColumn="0" w:oddVBand="0" w:evenVBand="0" w:oddHBand="0" w:evenHBand="0" w:firstRowFirstColumn="0" w:firstRowLastColumn="0" w:lastRowFirstColumn="0" w:lastRowLastColumn="0"/>
            <w:tcW w:w="0" w:type="pct"/>
            <w:vMerge/>
            <w:tcBorders>
              <w:left w:val="nil"/>
              <w:right w:val="nil"/>
            </w:tcBorders>
            <w:shd w:val="clear" w:color="auto" w:fill="F2F2F2" w:themeFill="background1" w:themeFillShade="F2"/>
          </w:tcPr>
          <w:p w14:paraId="6B7FC8F1" w14:textId="77777777" w:rsidR="00BD6329" w:rsidRPr="007D561D" w:rsidRDefault="00BD6329" w:rsidP="00BD6329">
            <w:pPr>
              <w:spacing w:before="60" w:after="60"/>
              <w:rPr>
                <w:sz w:val="20"/>
                <w:szCs w:val="20"/>
              </w:rPr>
            </w:pPr>
          </w:p>
        </w:tc>
        <w:tc>
          <w:tcPr>
            <w:tcW w:w="0" w:type="pct"/>
            <w:tcBorders>
              <w:left w:val="nil"/>
              <w:right w:val="nil"/>
            </w:tcBorders>
            <w:shd w:val="clear" w:color="auto" w:fill="F2F2F2" w:themeFill="background1" w:themeFillShade="F2"/>
          </w:tcPr>
          <w:p w14:paraId="204CB891" w14:textId="77777777"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The final of the Fédération Internationale de Football Association (FIFA) World Cup tournament.</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3A51659F" w14:textId="77777777"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5FB46185" w14:textId="77777777" w:rsidR="00BD6329" w:rsidRPr="003D3097"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D6329" w:rsidRPr="00BC40F9" w14:paraId="2F78AB4F" w14:textId="77777777" w:rsidTr="00E40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tcPr>
          <w:p w14:paraId="07EAA787" w14:textId="77777777" w:rsidR="00BD6329" w:rsidRPr="007D561D" w:rsidRDefault="00BD6329" w:rsidP="00BD6329">
            <w:pPr>
              <w:spacing w:before="60" w:after="60"/>
              <w:rPr>
                <w:sz w:val="20"/>
                <w:szCs w:val="20"/>
              </w:rPr>
            </w:pPr>
          </w:p>
        </w:tc>
        <w:tc>
          <w:tcPr>
            <w:tcW w:w="1805" w:type="pct"/>
            <w:tcBorders>
              <w:left w:val="nil"/>
              <w:right w:val="nil"/>
            </w:tcBorders>
          </w:tcPr>
          <w:p w14:paraId="50299C84"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Fédération Internationale de Football Association (FIFA) World Cup Qualification tournament that: involves the senior Australian representative team selected by Football Australia; and is played in Australia.</w:t>
            </w:r>
          </w:p>
        </w:tc>
        <w:tc>
          <w:tcPr>
            <w:tcW w:w="2225" w:type="pct"/>
            <w:tcBorders>
              <w:top w:val="single" w:sz="4" w:space="0" w:color="008089" w:themeColor="accent2"/>
              <w:left w:val="nil"/>
              <w:bottom w:val="single" w:sz="4" w:space="0" w:color="008089" w:themeColor="accent2"/>
              <w:right w:val="nil"/>
            </w:tcBorders>
          </w:tcPr>
          <w:p w14:paraId="67664FD0"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Fédération Internationale de Football Association (FIFA) Men’s World Cup Qualification tournament that: involves the senior Australian representative team; and is played in Australia.</w:t>
            </w:r>
          </w:p>
        </w:tc>
        <w:tc>
          <w:tcPr>
            <w:tcW w:w="454" w:type="pct"/>
            <w:tcBorders>
              <w:top w:val="single" w:sz="4" w:space="0" w:color="008089" w:themeColor="accent2"/>
              <w:left w:val="nil"/>
              <w:bottom w:val="single" w:sz="4" w:space="0" w:color="008089" w:themeColor="accent2"/>
              <w:right w:val="nil"/>
            </w:tcBorders>
          </w:tcPr>
          <w:p w14:paraId="5B10D2ED" w14:textId="77777777" w:rsidR="00BD6329" w:rsidRPr="003D3097"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3D3097">
              <w:rPr>
                <w:color w:val="auto"/>
                <w:sz w:val="20"/>
                <w:szCs w:val="20"/>
              </w:rPr>
              <w:t>M</w:t>
            </w:r>
          </w:p>
        </w:tc>
      </w:tr>
      <w:tr w:rsidR="00BD6329" w:rsidRPr="00BC40F9" w14:paraId="3A7D70FC" w14:textId="77777777" w:rsidTr="00FC7446">
        <w:tc>
          <w:tcPr>
            <w:cnfStyle w:val="001000000000" w:firstRow="0" w:lastRow="0" w:firstColumn="1" w:lastColumn="0" w:oddVBand="0" w:evenVBand="0" w:oddHBand="0" w:evenHBand="0" w:firstRowFirstColumn="0" w:firstRowLastColumn="0" w:lastRowFirstColumn="0" w:lastRowLastColumn="0"/>
            <w:tcW w:w="0" w:type="pct"/>
            <w:vMerge/>
            <w:tcBorders>
              <w:left w:val="nil"/>
              <w:right w:val="nil"/>
            </w:tcBorders>
            <w:shd w:val="clear" w:color="auto" w:fill="F2F2F2" w:themeFill="background1" w:themeFillShade="F2"/>
          </w:tcPr>
          <w:p w14:paraId="4350CE0A" w14:textId="77777777" w:rsidR="00BD6329" w:rsidRPr="007D561D" w:rsidRDefault="00BD6329" w:rsidP="00BD6329">
            <w:pPr>
              <w:spacing w:before="60" w:after="60"/>
              <w:rPr>
                <w:sz w:val="20"/>
                <w:szCs w:val="20"/>
              </w:rPr>
            </w:pPr>
          </w:p>
        </w:tc>
        <w:tc>
          <w:tcPr>
            <w:tcW w:w="0" w:type="pct"/>
            <w:tcBorders>
              <w:left w:val="nil"/>
              <w:right w:val="nil"/>
            </w:tcBorders>
            <w:shd w:val="clear" w:color="auto" w:fill="F2F2F2" w:themeFill="background1" w:themeFillShade="F2"/>
          </w:tcPr>
          <w:p w14:paraId="0DFD3565" w14:textId="77777777"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45F61C69" w14:textId="77777777"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the Fédération Internationale de Football Association (FIFA) Women’s World Cup Qualification tournament that: involves the senior Australian representative team; and is played in Australia.</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0DACD53E" w14:textId="77777777" w:rsidR="00BD6329" w:rsidRPr="003D3097"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W</w:t>
            </w:r>
          </w:p>
        </w:tc>
      </w:tr>
      <w:tr w:rsidR="00BD6329" w:rsidRPr="001538AF" w14:paraId="75560B70"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val="restart"/>
            <w:tcBorders>
              <w:left w:val="nil"/>
              <w:right w:val="nil"/>
            </w:tcBorders>
            <w:shd w:val="clear" w:color="auto" w:fill="auto"/>
          </w:tcPr>
          <w:p w14:paraId="796435A1" w14:textId="77777777" w:rsidR="00BD6329" w:rsidRPr="001538AF" w:rsidRDefault="00BD6329" w:rsidP="00BD6329">
            <w:pPr>
              <w:spacing w:before="60" w:after="60"/>
              <w:rPr>
                <w:color w:val="auto"/>
                <w:sz w:val="20"/>
                <w:szCs w:val="20"/>
              </w:rPr>
            </w:pPr>
            <w:r w:rsidRPr="001538AF">
              <w:rPr>
                <w:color w:val="auto"/>
                <w:sz w:val="20"/>
                <w:szCs w:val="20"/>
              </w:rPr>
              <w:t>Tennis</w:t>
            </w:r>
          </w:p>
        </w:tc>
        <w:tc>
          <w:tcPr>
            <w:tcW w:w="1805" w:type="pct"/>
            <w:tcBorders>
              <w:left w:val="nil"/>
              <w:right w:val="nil"/>
            </w:tcBorders>
            <w:shd w:val="clear" w:color="auto" w:fill="auto"/>
          </w:tcPr>
          <w:p w14:paraId="146A69A3"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Australian Open tennis tournament.</w:t>
            </w:r>
          </w:p>
        </w:tc>
        <w:tc>
          <w:tcPr>
            <w:tcW w:w="2225" w:type="pct"/>
            <w:tcBorders>
              <w:top w:val="single" w:sz="4" w:space="0" w:color="008089" w:themeColor="accent2"/>
              <w:left w:val="nil"/>
              <w:bottom w:val="single" w:sz="4" w:space="0" w:color="008089" w:themeColor="accent2"/>
              <w:right w:val="nil"/>
            </w:tcBorders>
            <w:shd w:val="clear" w:color="auto" w:fill="auto"/>
          </w:tcPr>
          <w:p w14:paraId="51634757"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match in the Australian Open tennis tournament.</w:t>
            </w:r>
          </w:p>
        </w:tc>
        <w:tc>
          <w:tcPr>
            <w:tcW w:w="454" w:type="pct"/>
            <w:tcBorders>
              <w:top w:val="single" w:sz="4" w:space="0" w:color="008089" w:themeColor="accent2"/>
              <w:left w:val="nil"/>
              <w:bottom w:val="single" w:sz="4" w:space="0" w:color="008089" w:themeColor="accent2"/>
              <w:right w:val="nil"/>
            </w:tcBorders>
            <w:shd w:val="clear" w:color="auto" w:fill="auto"/>
          </w:tcPr>
          <w:p w14:paraId="68B4A620" w14:textId="77777777" w:rsidR="00BD6329" w:rsidRPr="003D3097"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3D3097">
              <w:rPr>
                <w:color w:val="auto"/>
                <w:sz w:val="20"/>
                <w:szCs w:val="20"/>
              </w:rPr>
              <w:t>M &amp; W</w:t>
            </w:r>
            <w:r>
              <w:rPr>
                <w:color w:val="auto"/>
                <w:sz w:val="20"/>
                <w:szCs w:val="20"/>
              </w:rPr>
              <w:t xml:space="preserve">, Mix </w:t>
            </w:r>
          </w:p>
        </w:tc>
      </w:tr>
      <w:tr w:rsidR="00BD6329" w:rsidRPr="001538AF" w14:paraId="56BFCCDA" w14:textId="77777777" w:rsidTr="00425490">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0101C486" w14:textId="77777777" w:rsidR="00BD6329" w:rsidRPr="001538AF" w:rsidRDefault="00BD6329" w:rsidP="00BD6329">
            <w:pPr>
              <w:spacing w:before="60" w:after="60"/>
              <w:rPr>
                <w:color w:val="auto"/>
                <w:sz w:val="20"/>
                <w:szCs w:val="20"/>
              </w:rPr>
            </w:pPr>
          </w:p>
        </w:tc>
        <w:tc>
          <w:tcPr>
            <w:tcW w:w="1805" w:type="pct"/>
            <w:tcBorders>
              <w:left w:val="nil"/>
              <w:right w:val="nil"/>
            </w:tcBorders>
            <w:shd w:val="clear" w:color="auto" w:fill="auto"/>
          </w:tcPr>
          <w:p w14:paraId="3BDCED78" w14:textId="77777777"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each tie of the International Tennis Federation Davis Cup World Group tennis tournament that: involves an Australian representative team; and is played in Australia.</w:t>
            </w:r>
          </w:p>
        </w:tc>
        <w:tc>
          <w:tcPr>
            <w:tcW w:w="2225" w:type="pct"/>
            <w:tcBorders>
              <w:top w:val="single" w:sz="4" w:space="0" w:color="008089" w:themeColor="accent2"/>
              <w:left w:val="nil"/>
              <w:bottom w:val="single" w:sz="4" w:space="0" w:color="008089" w:themeColor="accent2"/>
              <w:right w:val="nil"/>
            </w:tcBorders>
            <w:shd w:val="clear" w:color="auto" w:fill="auto"/>
          </w:tcPr>
          <w:p w14:paraId="258EF58E" w14:textId="5FCD4ACE"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each tie of the International Tennis Federation Davis Cup World Group tennis tournament that involves an Australian representative team.</w:t>
            </w:r>
          </w:p>
        </w:tc>
        <w:tc>
          <w:tcPr>
            <w:tcW w:w="454" w:type="pct"/>
            <w:tcBorders>
              <w:top w:val="single" w:sz="4" w:space="0" w:color="008089" w:themeColor="accent2"/>
              <w:left w:val="nil"/>
              <w:bottom w:val="single" w:sz="4" w:space="0" w:color="008089" w:themeColor="accent2"/>
              <w:right w:val="nil"/>
            </w:tcBorders>
            <w:shd w:val="clear" w:color="auto" w:fill="auto"/>
          </w:tcPr>
          <w:p w14:paraId="786F092C" w14:textId="77777777" w:rsidR="00BD6329" w:rsidRPr="003D3097"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3D3097">
              <w:rPr>
                <w:color w:val="auto"/>
                <w:sz w:val="20"/>
                <w:szCs w:val="20"/>
              </w:rPr>
              <w:t>M</w:t>
            </w:r>
          </w:p>
        </w:tc>
      </w:tr>
      <w:tr w:rsidR="00BD6329" w:rsidRPr="001538AF" w14:paraId="7996D834"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1722A861" w14:textId="77777777" w:rsidR="00BD6329" w:rsidRPr="001538AF" w:rsidRDefault="00BD6329" w:rsidP="00BD6329">
            <w:pPr>
              <w:spacing w:before="60" w:after="60"/>
              <w:rPr>
                <w:color w:val="auto"/>
                <w:sz w:val="20"/>
                <w:szCs w:val="20"/>
              </w:rPr>
            </w:pPr>
          </w:p>
        </w:tc>
        <w:tc>
          <w:tcPr>
            <w:tcW w:w="1805" w:type="pct"/>
            <w:tcBorders>
              <w:left w:val="nil"/>
              <w:right w:val="nil"/>
            </w:tcBorders>
            <w:shd w:val="clear" w:color="auto" w:fill="auto"/>
          </w:tcPr>
          <w:p w14:paraId="27A25B45"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International Tennis Federation Davis Cup World Group tennis tournament if the final involves an Australian representative team.</w:t>
            </w:r>
          </w:p>
        </w:tc>
        <w:tc>
          <w:tcPr>
            <w:tcW w:w="2225" w:type="pct"/>
            <w:tcBorders>
              <w:top w:val="single" w:sz="4" w:space="0" w:color="008089" w:themeColor="accent2"/>
              <w:left w:val="nil"/>
              <w:bottom w:val="single" w:sz="4" w:space="0" w:color="008089" w:themeColor="accent2"/>
              <w:right w:val="nil"/>
            </w:tcBorders>
            <w:shd w:val="clear" w:color="auto" w:fill="auto"/>
          </w:tcPr>
          <w:p w14:paraId="1A942B3A"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International Tennis Federation Davis Cup World Group tennis tournament if the final involves an Australian representative team.</w:t>
            </w:r>
          </w:p>
        </w:tc>
        <w:tc>
          <w:tcPr>
            <w:tcW w:w="454" w:type="pct"/>
            <w:tcBorders>
              <w:top w:val="single" w:sz="4" w:space="0" w:color="008089" w:themeColor="accent2"/>
              <w:left w:val="nil"/>
              <w:bottom w:val="single" w:sz="4" w:space="0" w:color="008089" w:themeColor="accent2"/>
              <w:right w:val="nil"/>
            </w:tcBorders>
            <w:shd w:val="clear" w:color="auto" w:fill="auto"/>
          </w:tcPr>
          <w:p w14:paraId="414B1CA6" w14:textId="77777777" w:rsidR="00BD6329" w:rsidRPr="003D3097"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3D3097">
              <w:rPr>
                <w:color w:val="auto"/>
                <w:sz w:val="20"/>
                <w:szCs w:val="20"/>
              </w:rPr>
              <w:t>M</w:t>
            </w:r>
          </w:p>
        </w:tc>
      </w:tr>
      <w:tr w:rsidR="00BD6329" w:rsidRPr="001538AF" w14:paraId="76EB94A8" w14:textId="77777777" w:rsidTr="00425490">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shd w:val="clear" w:color="auto" w:fill="auto"/>
          </w:tcPr>
          <w:p w14:paraId="2AF1432B" w14:textId="77777777" w:rsidR="00BD6329" w:rsidRPr="001538AF" w:rsidRDefault="00BD6329" w:rsidP="00BD6329">
            <w:pPr>
              <w:spacing w:before="60" w:after="60"/>
              <w:rPr>
                <w:color w:val="auto"/>
                <w:sz w:val="20"/>
                <w:szCs w:val="20"/>
              </w:rPr>
            </w:pPr>
          </w:p>
        </w:tc>
        <w:tc>
          <w:tcPr>
            <w:tcW w:w="1805" w:type="pct"/>
            <w:tcBorders>
              <w:left w:val="nil"/>
              <w:bottom w:val="single" w:sz="4" w:space="0" w:color="008089" w:themeColor="accent2"/>
              <w:right w:val="nil"/>
            </w:tcBorders>
            <w:shd w:val="clear" w:color="auto" w:fill="auto"/>
          </w:tcPr>
          <w:p w14:paraId="04AAA144" w14:textId="77777777"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225" w:type="pct"/>
            <w:tcBorders>
              <w:top w:val="single" w:sz="4" w:space="0" w:color="008089" w:themeColor="accent2"/>
              <w:left w:val="nil"/>
              <w:bottom w:val="single" w:sz="4" w:space="0" w:color="008089" w:themeColor="accent2"/>
              <w:right w:val="nil"/>
            </w:tcBorders>
            <w:shd w:val="clear" w:color="auto" w:fill="auto"/>
          </w:tcPr>
          <w:p w14:paraId="20F95C9C" w14:textId="61BBAEE7"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Each match in each tie of the International Tennis Federation Billie Jean Cup tennis tournament that involves an Australian representative team.</w:t>
            </w:r>
          </w:p>
        </w:tc>
        <w:tc>
          <w:tcPr>
            <w:tcW w:w="454" w:type="pct"/>
            <w:tcBorders>
              <w:top w:val="single" w:sz="4" w:space="0" w:color="008089" w:themeColor="accent2"/>
              <w:left w:val="nil"/>
              <w:bottom w:val="single" w:sz="4" w:space="0" w:color="008089" w:themeColor="accent2"/>
              <w:right w:val="nil"/>
            </w:tcBorders>
            <w:shd w:val="clear" w:color="auto" w:fill="auto"/>
          </w:tcPr>
          <w:p w14:paraId="19629B46" w14:textId="77777777" w:rsidR="00BD6329" w:rsidRPr="003D3097"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3D3097">
              <w:rPr>
                <w:color w:val="auto"/>
                <w:sz w:val="20"/>
                <w:szCs w:val="20"/>
              </w:rPr>
              <w:t>W</w:t>
            </w:r>
          </w:p>
        </w:tc>
      </w:tr>
      <w:tr w:rsidR="00BD6329" w:rsidRPr="001538AF" w14:paraId="18F27414"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bottom w:val="single" w:sz="4" w:space="0" w:color="008089" w:themeColor="accent2"/>
              <w:right w:val="nil"/>
            </w:tcBorders>
            <w:shd w:val="clear" w:color="auto" w:fill="auto"/>
          </w:tcPr>
          <w:p w14:paraId="46B2F521" w14:textId="77777777" w:rsidR="00BD6329" w:rsidRPr="001538AF" w:rsidRDefault="00BD6329" w:rsidP="00BD6329">
            <w:pPr>
              <w:spacing w:before="60" w:after="60"/>
              <w:rPr>
                <w:color w:val="auto"/>
                <w:sz w:val="20"/>
                <w:szCs w:val="20"/>
              </w:rPr>
            </w:pPr>
          </w:p>
        </w:tc>
        <w:tc>
          <w:tcPr>
            <w:tcW w:w="1805" w:type="pct"/>
            <w:tcBorders>
              <w:left w:val="nil"/>
              <w:bottom w:val="single" w:sz="4" w:space="0" w:color="008089" w:themeColor="accent2"/>
              <w:right w:val="nil"/>
            </w:tcBorders>
            <w:shd w:val="clear" w:color="auto" w:fill="auto"/>
          </w:tcPr>
          <w:p w14:paraId="5A72D5D1"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2225" w:type="pct"/>
            <w:tcBorders>
              <w:top w:val="single" w:sz="4" w:space="0" w:color="008089" w:themeColor="accent2"/>
              <w:left w:val="nil"/>
              <w:bottom w:val="single" w:sz="4" w:space="0" w:color="008089" w:themeColor="accent2"/>
              <w:right w:val="nil"/>
            </w:tcBorders>
            <w:shd w:val="clear" w:color="auto" w:fill="auto"/>
          </w:tcPr>
          <w:p w14:paraId="0281A32C" w14:textId="77777777" w:rsidR="00BD6329" w:rsidRPr="002F791D"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International Tennis Federation Billie Jean Cup tennis tournament if the final involves an Australian representative team.</w:t>
            </w:r>
          </w:p>
        </w:tc>
        <w:tc>
          <w:tcPr>
            <w:tcW w:w="454" w:type="pct"/>
            <w:tcBorders>
              <w:top w:val="single" w:sz="4" w:space="0" w:color="008089" w:themeColor="accent2"/>
              <w:left w:val="nil"/>
              <w:bottom w:val="single" w:sz="4" w:space="0" w:color="008089" w:themeColor="accent2"/>
              <w:right w:val="nil"/>
            </w:tcBorders>
            <w:shd w:val="clear" w:color="auto" w:fill="auto"/>
          </w:tcPr>
          <w:p w14:paraId="425D8635" w14:textId="77777777" w:rsidR="00BD6329" w:rsidRPr="003D3097"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3D3097">
              <w:rPr>
                <w:color w:val="auto"/>
                <w:sz w:val="20"/>
                <w:szCs w:val="20"/>
              </w:rPr>
              <w:t>W</w:t>
            </w:r>
          </w:p>
        </w:tc>
      </w:tr>
      <w:tr w:rsidR="00FC7446" w:rsidRPr="001538AF" w14:paraId="6D3273C5" w14:textId="77777777" w:rsidTr="00FC7446">
        <w:tc>
          <w:tcPr>
            <w:cnfStyle w:val="001000000000" w:firstRow="0" w:lastRow="0" w:firstColumn="1" w:lastColumn="0" w:oddVBand="0" w:evenVBand="0" w:oddHBand="0" w:evenHBand="0" w:firstRowFirstColumn="0" w:firstRowLastColumn="0" w:lastRowFirstColumn="0" w:lastRowLastColumn="0"/>
            <w:tcW w:w="0" w:type="pct"/>
            <w:vMerge w:val="restart"/>
            <w:tcBorders>
              <w:top w:val="single" w:sz="4" w:space="0" w:color="008089" w:themeColor="accent2"/>
              <w:left w:val="nil"/>
              <w:right w:val="nil"/>
            </w:tcBorders>
            <w:shd w:val="clear" w:color="auto" w:fill="F2F2F2" w:themeFill="background1" w:themeFillShade="F2"/>
            <w:hideMark/>
          </w:tcPr>
          <w:p w14:paraId="285BDF0F" w14:textId="77777777" w:rsidR="00BD6329" w:rsidRPr="001538AF" w:rsidRDefault="00BD6329" w:rsidP="00BD6329">
            <w:pPr>
              <w:spacing w:before="60" w:after="60"/>
              <w:rPr>
                <w:color w:val="auto"/>
                <w:sz w:val="20"/>
                <w:szCs w:val="20"/>
              </w:rPr>
            </w:pPr>
            <w:r w:rsidRPr="001538AF">
              <w:rPr>
                <w:color w:val="auto"/>
                <w:sz w:val="20"/>
                <w:szCs w:val="20"/>
              </w:rPr>
              <w:t>Netball</w:t>
            </w:r>
          </w:p>
        </w:tc>
        <w:tc>
          <w:tcPr>
            <w:tcW w:w="0" w:type="pct"/>
            <w:tcBorders>
              <w:top w:val="single" w:sz="4" w:space="0" w:color="008089" w:themeColor="accent2"/>
              <w:left w:val="nil"/>
              <w:right w:val="nil"/>
            </w:tcBorders>
            <w:shd w:val="clear" w:color="auto" w:fill="F2F2F2" w:themeFill="background1" w:themeFillShade="F2"/>
          </w:tcPr>
          <w:p w14:paraId="67891A57" w14:textId="77777777"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A semi-final of the Netball World Cup if the semi-final involves the senior Australian representative team selected by Netball Australia.</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11C457EC" w14:textId="77777777"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A semi-final of the Netball World Cup if the semi-final involves the senior Australian representative team.</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346DA3D2" w14:textId="77777777" w:rsidR="00BD6329" w:rsidRPr="003D3097"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3D3097">
              <w:rPr>
                <w:color w:val="auto"/>
                <w:sz w:val="20"/>
                <w:szCs w:val="20"/>
              </w:rPr>
              <w:t>W</w:t>
            </w:r>
          </w:p>
        </w:tc>
      </w:tr>
      <w:tr w:rsidR="00BD6329" w:rsidRPr="001538AF" w14:paraId="10BAF86D" w14:textId="77777777" w:rsidTr="00E40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Borders>
              <w:left w:val="nil"/>
              <w:right w:val="nil"/>
            </w:tcBorders>
          </w:tcPr>
          <w:p w14:paraId="43904D85" w14:textId="77777777" w:rsidR="00BD6329" w:rsidRPr="001538AF" w:rsidRDefault="00BD6329" w:rsidP="00BD6329">
            <w:pPr>
              <w:spacing w:before="60" w:after="60"/>
              <w:rPr>
                <w:color w:val="auto"/>
                <w:sz w:val="20"/>
                <w:szCs w:val="20"/>
              </w:rPr>
            </w:pPr>
          </w:p>
        </w:tc>
        <w:tc>
          <w:tcPr>
            <w:tcW w:w="1805" w:type="pct"/>
            <w:tcBorders>
              <w:left w:val="nil"/>
              <w:right w:val="nil"/>
            </w:tcBorders>
          </w:tcPr>
          <w:p w14:paraId="11FAB206"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Netball World Cup if the final involves the senior Australian representative team selected by Netball Australia.</w:t>
            </w:r>
          </w:p>
        </w:tc>
        <w:tc>
          <w:tcPr>
            <w:tcW w:w="2225" w:type="pct"/>
            <w:tcBorders>
              <w:top w:val="single" w:sz="4" w:space="0" w:color="008089" w:themeColor="accent2"/>
              <w:left w:val="nil"/>
              <w:bottom w:val="single" w:sz="4" w:space="0" w:color="008089" w:themeColor="accent2"/>
              <w:right w:val="nil"/>
            </w:tcBorders>
          </w:tcPr>
          <w:p w14:paraId="598C4753"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The final of the Netball World Cup if the final involves the senior Australian representative team.</w:t>
            </w:r>
          </w:p>
        </w:tc>
        <w:tc>
          <w:tcPr>
            <w:tcW w:w="454" w:type="pct"/>
            <w:tcBorders>
              <w:top w:val="single" w:sz="4" w:space="0" w:color="008089" w:themeColor="accent2"/>
              <w:left w:val="nil"/>
              <w:bottom w:val="single" w:sz="4" w:space="0" w:color="008089" w:themeColor="accent2"/>
              <w:right w:val="nil"/>
            </w:tcBorders>
          </w:tcPr>
          <w:p w14:paraId="75992F5D" w14:textId="77777777" w:rsidR="00BD6329" w:rsidRPr="003D3097"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3D3097">
              <w:rPr>
                <w:color w:val="auto"/>
                <w:sz w:val="20"/>
                <w:szCs w:val="20"/>
              </w:rPr>
              <w:t>W</w:t>
            </w:r>
          </w:p>
        </w:tc>
      </w:tr>
      <w:tr w:rsidR="00BD6329" w:rsidRPr="001538AF" w14:paraId="7F240DCE" w14:textId="77777777" w:rsidTr="00FC7446">
        <w:tc>
          <w:tcPr>
            <w:cnfStyle w:val="001000000000" w:firstRow="0" w:lastRow="0" w:firstColumn="1" w:lastColumn="0" w:oddVBand="0" w:evenVBand="0" w:oddHBand="0" w:evenHBand="0" w:firstRowFirstColumn="0" w:firstRowLastColumn="0" w:lastRowFirstColumn="0" w:lastRowLastColumn="0"/>
            <w:tcW w:w="0" w:type="pct"/>
            <w:vMerge/>
            <w:tcBorders>
              <w:left w:val="nil"/>
              <w:right w:val="nil"/>
            </w:tcBorders>
            <w:shd w:val="clear" w:color="auto" w:fill="F2F2F2" w:themeFill="background1" w:themeFillShade="F2"/>
          </w:tcPr>
          <w:p w14:paraId="6FD927F7" w14:textId="77777777" w:rsidR="00BD6329" w:rsidRPr="001538AF" w:rsidRDefault="00BD6329" w:rsidP="00BD6329">
            <w:pPr>
              <w:spacing w:before="60" w:after="60"/>
              <w:rPr>
                <w:color w:val="auto"/>
                <w:sz w:val="20"/>
                <w:szCs w:val="20"/>
              </w:rPr>
            </w:pPr>
          </w:p>
        </w:tc>
        <w:tc>
          <w:tcPr>
            <w:tcW w:w="0" w:type="pct"/>
            <w:tcBorders>
              <w:left w:val="nil"/>
              <w:right w:val="nil"/>
            </w:tcBorders>
            <w:shd w:val="clear" w:color="auto" w:fill="F2F2F2" w:themeFill="background1" w:themeFillShade="F2"/>
          </w:tcPr>
          <w:p w14:paraId="78DF1BAC" w14:textId="77777777"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223599E3" w14:textId="1EBDC154"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2F791D">
              <w:rPr>
                <w:color w:val="auto"/>
                <w:sz w:val="20"/>
                <w:szCs w:val="20"/>
              </w:rPr>
              <w:t xml:space="preserve">Each </w:t>
            </w:r>
            <w:r w:rsidR="00FF5471">
              <w:rPr>
                <w:color w:val="auto"/>
                <w:sz w:val="20"/>
                <w:szCs w:val="20"/>
              </w:rPr>
              <w:t xml:space="preserve">international </w:t>
            </w:r>
            <w:r w:rsidR="00B259F6">
              <w:rPr>
                <w:color w:val="auto"/>
                <w:sz w:val="20"/>
                <w:szCs w:val="20"/>
              </w:rPr>
              <w:t xml:space="preserve">Netball </w:t>
            </w:r>
            <w:r w:rsidRPr="002F791D">
              <w:rPr>
                <w:color w:val="auto"/>
                <w:sz w:val="20"/>
                <w:szCs w:val="20"/>
              </w:rPr>
              <w:t xml:space="preserve">match </w:t>
            </w:r>
            <w:r w:rsidR="00FF5471">
              <w:rPr>
                <w:color w:val="auto"/>
                <w:sz w:val="20"/>
                <w:szCs w:val="20"/>
              </w:rPr>
              <w:t xml:space="preserve">that involves the senior Australian representative team </w:t>
            </w:r>
            <w:r>
              <w:rPr>
                <w:rFonts w:cstheme="minorHAnsi"/>
                <w:sz w:val="20"/>
                <w:szCs w:val="20"/>
              </w:rPr>
              <w:t xml:space="preserve">that is played </w:t>
            </w:r>
            <w:r w:rsidRPr="002F791D">
              <w:rPr>
                <w:color w:val="auto"/>
                <w:sz w:val="20"/>
                <w:szCs w:val="20"/>
              </w:rPr>
              <w:t>in Australia.</w:t>
            </w:r>
          </w:p>
        </w:tc>
        <w:tc>
          <w:tcPr>
            <w:tcW w:w="0" w:type="pct"/>
            <w:tcBorders>
              <w:top w:val="single" w:sz="4" w:space="0" w:color="008089" w:themeColor="accent2"/>
              <w:left w:val="nil"/>
              <w:bottom w:val="single" w:sz="4" w:space="0" w:color="008089" w:themeColor="accent2"/>
              <w:right w:val="nil"/>
            </w:tcBorders>
            <w:shd w:val="clear" w:color="auto" w:fill="F2F2F2" w:themeFill="background1" w:themeFillShade="F2"/>
          </w:tcPr>
          <w:p w14:paraId="7D5D4B70" w14:textId="77777777" w:rsidR="00BD6329" w:rsidRPr="003D3097"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3D3097">
              <w:rPr>
                <w:color w:val="auto"/>
                <w:sz w:val="20"/>
                <w:szCs w:val="20"/>
              </w:rPr>
              <w:t>W</w:t>
            </w:r>
          </w:p>
        </w:tc>
      </w:tr>
      <w:tr w:rsidR="00BD6329" w:rsidRPr="001538AF" w14:paraId="309757A2"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val="restart"/>
            <w:shd w:val="clear" w:color="auto" w:fill="auto"/>
            <w:hideMark/>
          </w:tcPr>
          <w:p w14:paraId="25329D6F" w14:textId="77777777" w:rsidR="00BD6329" w:rsidRPr="001538AF" w:rsidRDefault="00BD6329" w:rsidP="00BD6329">
            <w:pPr>
              <w:spacing w:before="60" w:after="60"/>
              <w:rPr>
                <w:color w:val="auto"/>
                <w:sz w:val="20"/>
                <w:szCs w:val="20"/>
              </w:rPr>
            </w:pPr>
            <w:r w:rsidRPr="001538AF">
              <w:rPr>
                <w:color w:val="auto"/>
                <w:sz w:val="20"/>
                <w:szCs w:val="20"/>
              </w:rPr>
              <w:t>Motor Sports</w:t>
            </w:r>
          </w:p>
        </w:tc>
        <w:tc>
          <w:tcPr>
            <w:tcW w:w="1805" w:type="pct"/>
            <w:shd w:val="clear" w:color="auto" w:fill="auto"/>
          </w:tcPr>
          <w:p w14:paraId="21CE8012"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 xml:space="preserve">Each race in the Fédération Internationale de </w:t>
            </w:r>
            <w:proofErr w:type="spellStart"/>
            <w:r w:rsidRPr="001538AF">
              <w:rPr>
                <w:color w:val="auto"/>
                <w:sz w:val="20"/>
                <w:szCs w:val="20"/>
              </w:rPr>
              <w:t>l’Automobile</w:t>
            </w:r>
            <w:proofErr w:type="spellEnd"/>
            <w:r w:rsidRPr="001538AF">
              <w:rPr>
                <w:color w:val="auto"/>
                <w:sz w:val="20"/>
                <w:szCs w:val="20"/>
              </w:rPr>
              <w:t xml:space="preserve"> Formula One World Championship (Grand Prix) held in Australia.</w:t>
            </w:r>
          </w:p>
        </w:tc>
        <w:tc>
          <w:tcPr>
            <w:tcW w:w="2225" w:type="pct"/>
            <w:shd w:val="clear" w:color="auto" w:fill="auto"/>
            <w:hideMark/>
          </w:tcPr>
          <w:p w14:paraId="0A13F6BA"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 xml:space="preserve">Each race in the Fédération Internationale de </w:t>
            </w:r>
            <w:proofErr w:type="spellStart"/>
            <w:r w:rsidRPr="001538AF">
              <w:rPr>
                <w:color w:val="auto"/>
                <w:sz w:val="20"/>
                <w:szCs w:val="20"/>
              </w:rPr>
              <w:t>l’Automobile</w:t>
            </w:r>
            <w:proofErr w:type="spellEnd"/>
            <w:r w:rsidRPr="001538AF">
              <w:rPr>
                <w:color w:val="auto"/>
                <w:sz w:val="20"/>
                <w:szCs w:val="20"/>
              </w:rPr>
              <w:t xml:space="preserve"> Formula One World Championship (Grand Prix) held in Australia.</w:t>
            </w:r>
          </w:p>
        </w:tc>
        <w:tc>
          <w:tcPr>
            <w:tcW w:w="454" w:type="pct"/>
            <w:shd w:val="clear" w:color="auto" w:fill="auto"/>
          </w:tcPr>
          <w:p w14:paraId="3AECFC49" w14:textId="77777777" w:rsidR="00BD6329" w:rsidRPr="003D3097"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3D3097">
              <w:rPr>
                <w:color w:val="auto"/>
                <w:sz w:val="20"/>
                <w:szCs w:val="20"/>
              </w:rPr>
              <w:t>M</w:t>
            </w:r>
            <w:r>
              <w:rPr>
                <w:color w:val="auto"/>
                <w:sz w:val="20"/>
                <w:szCs w:val="20"/>
              </w:rPr>
              <w:t>ix</w:t>
            </w:r>
          </w:p>
        </w:tc>
      </w:tr>
      <w:tr w:rsidR="00BD6329" w:rsidRPr="001538AF" w14:paraId="5A34E996" w14:textId="77777777" w:rsidTr="00425490">
        <w:tc>
          <w:tcPr>
            <w:cnfStyle w:val="001000000000" w:firstRow="0" w:lastRow="0" w:firstColumn="1" w:lastColumn="0" w:oddVBand="0" w:evenVBand="0" w:oddHBand="0" w:evenHBand="0" w:firstRowFirstColumn="0" w:firstRowLastColumn="0" w:lastRowFirstColumn="0" w:lastRowLastColumn="0"/>
            <w:tcW w:w="516" w:type="pct"/>
            <w:vMerge/>
            <w:shd w:val="clear" w:color="auto" w:fill="auto"/>
          </w:tcPr>
          <w:p w14:paraId="3909B6E5" w14:textId="77777777" w:rsidR="00BD6329" w:rsidRPr="001538AF" w:rsidRDefault="00BD6329" w:rsidP="00BD6329">
            <w:pPr>
              <w:spacing w:before="60" w:after="60"/>
              <w:rPr>
                <w:color w:val="auto"/>
                <w:sz w:val="20"/>
                <w:szCs w:val="20"/>
              </w:rPr>
            </w:pPr>
          </w:p>
        </w:tc>
        <w:tc>
          <w:tcPr>
            <w:tcW w:w="1805" w:type="pct"/>
            <w:shd w:val="clear" w:color="auto" w:fill="auto"/>
          </w:tcPr>
          <w:p w14:paraId="44BA4F40" w14:textId="77777777"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race in the Fédération Internationale de </w:t>
            </w:r>
            <w:proofErr w:type="spellStart"/>
            <w:r w:rsidRPr="001538AF">
              <w:rPr>
                <w:color w:val="auto"/>
                <w:sz w:val="20"/>
                <w:szCs w:val="20"/>
              </w:rPr>
              <w:t>Motocyclisme</w:t>
            </w:r>
            <w:proofErr w:type="spellEnd"/>
            <w:r w:rsidRPr="001538AF">
              <w:rPr>
                <w:color w:val="auto"/>
                <w:sz w:val="20"/>
                <w:szCs w:val="20"/>
              </w:rPr>
              <w:t xml:space="preserve"> MotoGP World Championship held in Australia.</w:t>
            </w:r>
          </w:p>
        </w:tc>
        <w:tc>
          <w:tcPr>
            <w:tcW w:w="2225" w:type="pct"/>
            <w:shd w:val="clear" w:color="auto" w:fill="auto"/>
          </w:tcPr>
          <w:p w14:paraId="3A7F1ED8" w14:textId="77777777" w:rsidR="00BD6329" w:rsidRPr="001538AF"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1538AF">
              <w:rPr>
                <w:color w:val="auto"/>
                <w:sz w:val="20"/>
                <w:szCs w:val="20"/>
              </w:rPr>
              <w:t xml:space="preserve">Each race in the Fédération Internationale de </w:t>
            </w:r>
            <w:proofErr w:type="spellStart"/>
            <w:r w:rsidRPr="001538AF">
              <w:rPr>
                <w:color w:val="auto"/>
                <w:sz w:val="20"/>
                <w:szCs w:val="20"/>
              </w:rPr>
              <w:t>Motocyclisme</w:t>
            </w:r>
            <w:proofErr w:type="spellEnd"/>
            <w:r w:rsidRPr="001538AF">
              <w:rPr>
                <w:color w:val="auto"/>
                <w:sz w:val="20"/>
                <w:szCs w:val="20"/>
              </w:rPr>
              <w:t xml:space="preserve"> MotoGP World Championship held in Australia.</w:t>
            </w:r>
          </w:p>
        </w:tc>
        <w:tc>
          <w:tcPr>
            <w:tcW w:w="454" w:type="pct"/>
            <w:shd w:val="clear" w:color="auto" w:fill="auto"/>
          </w:tcPr>
          <w:p w14:paraId="39CF2115" w14:textId="77777777" w:rsidR="00BD6329" w:rsidRPr="003D3097" w:rsidRDefault="00BD6329" w:rsidP="00BD6329">
            <w:pPr>
              <w:spacing w:before="60" w:after="60"/>
              <w:cnfStyle w:val="000000000000" w:firstRow="0" w:lastRow="0" w:firstColumn="0" w:lastColumn="0" w:oddVBand="0" w:evenVBand="0" w:oddHBand="0" w:evenHBand="0" w:firstRowFirstColumn="0" w:firstRowLastColumn="0" w:lastRowFirstColumn="0" w:lastRowLastColumn="0"/>
              <w:rPr>
                <w:color w:val="auto"/>
                <w:sz w:val="20"/>
                <w:szCs w:val="20"/>
              </w:rPr>
            </w:pPr>
            <w:r w:rsidRPr="003D3097">
              <w:rPr>
                <w:color w:val="auto"/>
                <w:sz w:val="20"/>
                <w:szCs w:val="20"/>
              </w:rPr>
              <w:t>M</w:t>
            </w:r>
            <w:r>
              <w:rPr>
                <w:color w:val="auto"/>
                <w:sz w:val="20"/>
                <w:szCs w:val="20"/>
              </w:rPr>
              <w:t>ix</w:t>
            </w:r>
          </w:p>
        </w:tc>
      </w:tr>
      <w:tr w:rsidR="00BD6329" w:rsidRPr="001538AF" w14:paraId="16B7F3C1" w14:textId="77777777" w:rsidTr="0042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shd w:val="clear" w:color="auto" w:fill="auto"/>
          </w:tcPr>
          <w:p w14:paraId="3AF1F9DB" w14:textId="77777777" w:rsidR="00BD6329" w:rsidRPr="001538AF" w:rsidRDefault="00BD6329" w:rsidP="00BD6329">
            <w:pPr>
              <w:spacing w:before="60" w:after="60"/>
              <w:rPr>
                <w:color w:val="auto"/>
                <w:sz w:val="20"/>
                <w:szCs w:val="20"/>
              </w:rPr>
            </w:pPr>
          </w:p>
        </w:tc>
        <w:tc>
          <w:tcPr>
            <w:tcW w:w="1805" w:type="pct"/>
            <w:shd w:val="clear" w:color="auto" w:fill="auto"/>
          </w:tcPr>
          <w:p w14:paraId="700B22A5"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Bathurst 1000 race in the Supercars Championship.</w:t>
            </w:r>
          </w:p>
        </w:tc>
        <w:tc>
          <w:tcPr>
            <w:tcW w:w="2225" w:type="pct"/>
            <w:shd w:val="clear" w:color="auto" w:fill="auto"/>
          </w:tcPr>
          <w:p w14:paraId="763CF6D8" w14:textId="77777777" w:rsidR="00BD6329" w:rsidRPr="001538AF"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1538AF">
              <w:rPr>
                <w:color w:val="auto"/>
                <w:sz w:val="20"/>
                <w:szCs w:val="20"/>
              </w:rPr>
              <w:t>Each Bathurst 1000 race in the Supercars Championship.</w:t>
            </w:r>
          </w:p>
        </w:tc>
        <w:tc>
          <w:tcPr>
            <w:tcW w:w="454" w:type="pct"/>
            <w:shd w:val="clear" w:color="auto" w:fill="auto"/>
          </w:tcPr>
          <w:p w14:paraId="1BD6B3AF" w14:textId="77777777" w:rsidR="00BD6329" w:rsidRPr="003D3097" w:rsidRDefault="00BD6329" w:rsidP="00BD6329">
            <w:pPr>
              <w:spacing w:before="60" w:after="60"/>
              <w:cnfStyle w:val="000000010000" w:firstRow="0" w:lastRow="0" w:firstColumn="0" w:lastColumn="0" w:oddVBand="0" w:evenVBand="0" w:oddHBand="0" w:evenHBand="1" w:firstRowFirstColumn="0" w:firstRowLastColumn="0" w:lastRowFirstColumn="0" w:lastRowLastColumn="0"/>
              <w:rPr>
                <w:color w:val="auto"/>
                <w:sz w:val="20"/>
                <w:szCs w:val="20"/>
              </w:rPr>
            </w:pPr>
            <w:r w:rsidRPr="003D3097">
              <w:rPr>
                <w:color w:val="auto"/>
                <w:sz w:val="20"/>
                <w:szCs w:val="20"/>
              </w:rPr>
              <w:t>M</w:t>
            </w:r>
            <w:r>
              <w:rPr>
                <w:color w:val="auto"/>
                <w:sz w:val="20"/>
                <w:szCs w:val="20"/>
              </w:rPr>
              <w:t>ix</w:t>
            </w:r>
          </w:p>
        </w:tc>
      </w:tr>
      <w:bookmarkEnd w:id="264"/>
    </w:tbl>
    <w:p w14:paraId="2A0EE8EA" w14:textId="77777777" w:rsidR="00E27AB0" w:rsidRPr="001538AF" w:rsidRDefault="00E27AB0" w:rsidP="001538AF">
      <w:pPr>
        <w:spacing w:before="60" w:after="60"/>
        <w:rPr>
          <w:color w:val="auto"/>
          <w:sz w:val="20"/>
          <w:szCs w:val="20"/>
        </w:rPr>
      </w:pPr>
    </w:p>
    <w:tbl>
      <w:tblPr>
        <w:tblStyle w:val="DefaultTable1"/>
        <w:tblW w:w="0" w:type="auto"/>
        <w:tblLook w:val="04A0" w:firstRow="1" w:lastRow="0" w:firstColumn="1" w:lastColumn="0" w:noHBand="0" w:noVBand="1"/>
      </w:tblPr>
      <w:tblGrid>
        <w:gridCol w:w="890"/>
        <w:gridCol w:w="1141"/>
      </w:tblGrid>
      <w:tr w:rsidR="00574ECA" w:rsidRPr="00574ECA" w14:paraId="33F4E70B" w14:textId="77777777" w:rsidTr="006649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tcPr>
          <w:bookmarkEnd w:id="2"/>
          <w:bookmarkEnd w:id="266"/>
          <w:p w14:paraId="190A1C85" w14:textId="77777777" w:rsidR="00574ECA" w:rsidRPr="006649CF" w:rsidRDefault="00574ECA" w:rsidP="006649CF">
            <w:pPr>
              <w:spacing w:before="0" w:after="0"/>
              <w:rPr>
                <w:b w:val="0"/>
                <w:sz w:val="18"/>
                <w:szCs w:val="18"/>
              </w:rPr>
            </w:pPr>
            <w:r w:rsidRPr="006649CF">
              <w:rPr>
                <w:sz w:val="18"/>
                <w:szCs w:val="18"/>
              </w:rPr>
              <w:lastRenderedPageBreak/>
              <w:t>Key</w:t>
            </w:r>
          </w:p>
        </w:tc>
      </w:tr>
      <w:tr w:rsidR="00574ECA" w:rsidRPr="00574ECA" w14:paraId="14826CE6" w14:textId="77777777" w:rsidTr="006649CF">
        <w:tc>
          <w:tcPr>
            <w:cnfStyle w:val="001000000000" w:firstRow="0" w:lastRow="0" w:firstColumn="1" w:lastColumn="0" w:oddVBand="0" w:evenVBand="0" w:oddHBand="0" w:evenHBand="0" w:firstRowFirstColumn="0" w:firstRowLastColumn="0" w:lastRowFirstColumn="0" w:lastRowLastColumn="0"/>
            <w:tcW w:w="0" w:type="dxa"/>
            <w:shd w:val="clear" w:color="auto" w:fill="D7E5FA" w:themeFill="accent1" w:themeFillTint="1A"/>
          </w:tcPr>
          <w:p w14:paraId="55506AD6" w14:textId="77777777" w:rsidR="00574ECA" w:rsidRPr="006649CF" w:rsidRDefault="00574ECA" w:rsidP="006649CF">
            <w:pPr>
              <w:spacing w:before="0" w:after="0"/>
              <w:rPr>
                <w:b w:val="0"/>
                <w:sz w:val="18"/>
                <w:szCs w:val="18"/>
              </w:rPr>
            </w:pPr>
            <w:r w:rsidRPr="006649CF">
              <w:rPr>
                <w:sz w:val="18"/>
                <w:szCs w:val="18"/>
              </w:rPr>
              <w:t>Acronym</w:t>
            </w:r>
          </w:p>
        </w:tc>
        <w:tc>
          <w:tcPr>
            <w:tcW w:w="0" w:type="dxa"/>
            <w:shd w:val="clear" w:color="auto" w:fill="D7E5FA" w:themeFill="accent1" w:themeFillTint="1A"/>
          </w:tcPr>
          <w:p w14:paraId="091F656B" w14:textId="77777777" w:rsidR="00574ECA" w:rsidRPr="006649CF" w:rsidRDefault="00574ECA" w:rsidP="006649CF">
            <w:pPr>
              <w:spacing w:before="0" w:after="0"/>
              <w:cnfStyle w:val="000000000000" w:firstRow="0" w:lastRow="0" w:firstColumn="0" w:lastColumn="0" w:oddVBand="0" w:evenVBand="0" w:oddHBand="0" w:evenHBand="0" w:firstRowFirstColumn="0" w:firstRowLastColumn="0" w:lastRowFirstColumn="0" w:lastRowLastColumn="0"/>
              <w:rPr>
                <w:b/>
                <w:sz w:val="18"/>
                <w:szCs w:val="18"/>
              </w:rPr>
            </w:pPr>
            <w:r w:rsidRPr="006649CF">
              <w:rPr>
                <w:b/>
                <w:sz w:val="18"/>
                <w:szCs w:val="18"/>
              </w:rPr>
              <w:t>Meaning</w:t>
            </w:r>
          </w:p>
        </w:tc>
      </w:tr>
      <w:tr w:rsidR="00574ECA" w:rsidRPr="00574ECA" w14:paraId="5AB8051F" w14:textId="77777777" w:rsidTr="006649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A9881C7" w14:textId="77777777" w:rsidR="00574ECA" w:rsidRPr="006649CF" w:rsidRDefault="00574ECA" w:rsidP="006649CF">
            <w:pPr>
              <w:spacing w:before="0" w:after="0"/>
              <w:rPr>
                <w:sz w:val="18"/>
                <w:szCs w:val="18"/>
              </w:rPr>
            </w:pPr>
            <w:r w:rsidRPr="006649CF">
              <w:rPr>
                <w:sz w:val="18"/>
                <w:szCs w:val="18"/>
              </w:rPr>
              <w:t>M</w:t>
            </w:r>
          </w:p>
        </w:tc>
        <w:tc>
          <w:tcPr>
            <w:tcW w:w="0" w:type="dxa"/>
          </w:tcPr>
          <w:p w14:paraId="77B7A168" w14:textId="77777777" w:rsidR="00574ECA" w:rsidRPr="006649CF" w:rsidRDefault="00574ECA" w:rsidP="006649CF">
            <w:pPr>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6649CF">
              <w:rPr>
                <w:sz w:val="18"/>
                <w:szCs w:val="18"/>
              </w:rPr>
              <w:t>Men’s</w:t>
            </w:r>
          </w:p>
        </w:tc>
      </w:tr>
      <w:tr w:rsidR="00574ECA" w:rsidRPr="00574ECA" w14:paraId="5AB558CA" w14:textId="77777777" w:rsidTr="006649CF">
        <w:tc>
          <w:tcPr>
            <w:cnfStyle w:val="001000000000" w:firstRow="0" w:lastRow="0" w:firstColumn="1" w:lastColumn="0" w:oddVBand="0" w:evenVBand="0" w:oddHBand="0" w:evenHBand="0" w:firstRowFirstColumn="0" w:firstRowLastColumn="0" w:lastRowFirstColumn="0" w:lastRowLastColumn="0"/>
            <w:tcW w:w="0" w:type="dxa"/>
          </w:tcPr>
          <w:p w14:paraId="60A9574B" w14:textId="77777777" w:rsidR="00574ECA" w:rsidRPr="006649CF" w:rsidRDefault="00574ECA" w:rsidP="006649CF">
            <w:pPr>
              <w:spacing w:before="0" w:after="0"/>
              <w:rPr>
                <w:sz w:val="18"/>
                <w:szCs w:val="18"/>
              </w:rPr>
            </w:pPr>
            <w:r w:rsidRPr="006649CF">
              <w:rPr>
                <w:sz w:val="18"/>
                <w:szCs w:val="18"/>
              </w:rPr>
              <w:t>W</w:t>
            </w:r>
          </w:p>
        </w:tc>
        <w:tc>
          <w:tcPr>
            <w:tcW w:w="0" w:type="dxa"/>
          </w:tcPr>
          <w:p w14:paraId="5B86BAB3" w14:textId="77777777" w:rsidR="00574ECA" w:rsidRPr="006649CF" w:rsidRDefault="00574ECA" w:rsidP="006649C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649CF">
              <w:rPr>
                <w:sz w:val="18"/>
                <w:szCs w:val="18"/>
              </w:rPr>
              <w:t>Women’s</w:t>
            </w:r>
          </w:p>
        </w:tc>
      </w:tr>
      <w:tr w:rsidR="00574ECA" w:rsidRPr="00574ECA" w14:paraId="62F34C2B" w14:textId="77777777" w:rsidTr="006649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A1C2F92" w14:textId="77777777" w:rsidR="00574ECA" w:rsidRPr="006649CF" w:rsidRDefault="00574ECA" w:rsidP="006649CF">
            <w:pPr>
              <w:spacing w:before="0" w:after="0"/>
              <w:rPr>
                <w:sz w:val="18"/>
                <w:szCs w:val="18"/>
              </w:rPr>
            </w:pPr>
            <w:r w:rsidRPr="006649CF">
              <w:rPr>
                <w:sz w:val="18"/>
                <w:szCs w:val="18"/>
              </w:rPr>
              <w:t>Mix</w:t>
            </w:r>
          </w:p>
        </w:tc>
        <w:tc>
          <w:tcPr>
            <w:tcW w:w="0" w:type="dxa"/>
          </w:tcPr>
          <w:p w14:paraId="2659ED5A" w14:textId="77777777" w:rsidR="00574ECA" w:rsidRPr="006649CF" w:rsidRDefault="00574ECA" w:rsidP="006649CF">
            <w:pPr>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6649CF">
              <w:rPr>
                <w:sz w:val="18"/>
                <w:szCs w:val="18"/>
              </w:rPr>
              <w:t>Mixed/Open</w:t>
            </w:r>
          </w:p>
        </w:tc>
      </w:tr>
      <w:bookmarkEnd w:id="265"/>
    </w:tbl>
    <w:p w14:paraId="2ABDE97C" w14:textId="77777777" w:rsidR="00E27AB0" w:rsidRDefault="00E27AB0" w:rsidP="006F057D">
      <w:pPr>
        <w:tabs>
          <w:tab w:val="left" w:pos="6465"/>
        </w:tabs>
      </w:pPr>
    </w:p>
    <w:sectPr w:rsidR="00E27AB0" w:rsidSect="005441EF">
      <w:headerReference w:type="even" r:id="rId31"/>
      <w:headerReference w:type="default" r:id="rId32"/>
      <w:headerReference w:type="first" r:id="rId33"/>
      <w:pgSz w:w="16838" w:h="11906" w:orient="landscape" w:code="9"/>
      <w:pgMar w:top="1021" w:right="851" w:bottom="1021" w:left="1021" w:header="34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D4A17" w14:textId="77777777" w:rsidR="00682B65" w:rsidRDefault="00682B65" w:rsidP="008456D5">
      <w:pPr>
        <w:spacing w:before="0" w:after="0"/>
      </w:pPr>
      <w:r>
        <w:separator/>
      </w:r>
    </w:p>
  </w:endnote>
  <w:endnote w:type="continuationSeparator" w:id="0">
    <w:p w14:paraId="2A94D01D" w14:textId="77777777" w:rsidR="00682B65" w:rsidRDefault="00682B65" w:rsidP="008456D5">
      <w:pPr>
        <w:spacing w:before="0" w:after="0"/>
      </w:pPr>
      <w:r>
        <w:continuationSeparator/>
      </w:r>
    </w:p>
  </w:endnote>
  <w:endnote w:type="continuationNotice" w:id="1">
    <w:p w14:paraId="7736D0B0" w14:textId="77777777" w:rsidR="00682B65" w:rsidRDefault="00682B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6D74" w14:textId="77777777" w:rsidR="00682B65" w:rsidRDefault="00682B65" w:rsidP="00E50D64">
    <w:pPr>
      <w:pStyle w:val="Footer"/>
      <w:spacing w:before="720"/>
      <w:jc w:val="right"/>
    </w:pPr>
    <w:r>
      <w:rPr>
        <w:noProof/>
        <w:lang w:eastAsia="en-AU"/>
      </w:rPr>
      <mc:AlternateContent>
        <mc:Choice Requires="wps">
          <w:drawing>
            <wp:anchor distT="0" distB="0" distL="114300" distR="114300" simplePos="0" relativeHeight="251658245" behindDoc="1" locked="1" layoutInCell="1" allowOverlap="1" wp14:anchorId="7D979600" wp14:editId="3B627A6A">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27421BD" w14:textId="77777777" w:rsidR="00682B65" w:rsidRPr="007A05BE" w:rsidRDefault="00682B65"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79600" id="_x0000_t202" coordsize="21600,21600" o:spt="202" path="m,l,21600r21600,l21600,xe">
              <v:stroke joinstyle="miter"/>
              <v:path gradientshapeok="t" o:connecttype="rect"/>
            </v:shapetype>
            <v:shape id="Text Box 16" o:spid="_x0000_s1027" type="#_x0000_t202" style="position:absolute;left:0;text-align:left;margin-left:0;margin-top:0;width:79.3pt;height:42.45pt;z-index:-25165823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227421BD" w14:textId="77777777" w:rsidR="00682B65" w:rsidRPr="007A05BE" w:rsidRDefault="00682B65"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4" behindDoc="1" locked="1" layoutInCell="1" allowOverlap="1" wp14:anchorId="4BFF0B33" wp14:editId="125D8370">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385AB05F" w14:textId="63370D67" w:rsidR="00682B65" w:rsidRDefault="00682B65" w:rsidP="00E50D64">
                              <w:pPr>
                                <w:pStyle w:val="Footer"/>
                              </w:pPr>
                              <w:r>
                                <w:t>Anti-siphoning review: proposals paper</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F0B33" id="Text Box 18" o:spid="_x0000_s1028" type="#_x0000_t202" style="position:absolute;left:0;text-align:left;margin-left:0;margin-top:0;width:340.15pt;height:42.45pt;z-index:-2516582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385AB05F" w14:textId="63370D67" w:rsidR="00682B65" w:rsidRDefault="00682B65" w:rsidP="00E50D64">
                        <w:pPr>
                          <w:pStyle w:val="Footer"/>
                        </w:pPr>
                        <w:r>
                          <w:t>Anti-siphoning review: proposals paper</w:t>
                        </w:r>
                      </w:p>
                    </w:sdtContent>
                  </w:sdt>
                </w:txbxContent>
              </v:textbox>
              <w10:wrap anchorx="page" anchory="page"/>
              <w10:anchorlock/>
            </v:shape>
          </w:pict>
        </mc:Fallback>
      </mc:AlternateContent>
    </w:r>
    <w:r>
      <w:rPr>
        <w:noProof/>
        <w:lang w:eastAsia="en-AU"/>
      </w:rPr>
      <w:drawing>
        <wp:anchor distT="0" distB="0" distL="114300" distR="114300" simplePos="0" relativeHeight="251658243" behindDoc="1" locked="1" layoutInCell="1" allowOverlap="1" wp14:anchorId="28882659" wp14:editId="0A33E2D3">
          <wp:simplePos x="0" y="0"/>
          <wp:positionH relativeFrom="page">
            <wp:align>right</wp:align>
          </wp:positionH>
          <wp:positionV relativeFrom="page">
            <wp:align>bottom</wp:align>
          </wp:positionV>
          <wp:extent cx="10692000" cy="183240"/>
          <wp:effectExtent l="0" t="0" r="0" b="762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EE0D5" w14:textId="77777777" w:rsidR="00682B65" w:rsidRDefault="00682B65" w:rsidP="00546218">
    <w:pPr>
      <w:pStyle w:val="Footer"/>
      <w:spacing w:before="720"/>
    </w:pPr>
    <w:r>
      <w:rPr>
        <w:noProof/>
        <w:lang w:eastAsia="en-AU"/>
      </w:rPr>
      <mc:AlternateContent>
        <mc:Choice Requires="wps">
          <w:drawing>
            <wp:anchor distT="0" distB="0" distL="114300" distR="114300" simplePos="0" relativeHeight="251658242" behindDoc="1" locked="1" layoutInCell="1" allowOverlap="1" wp14:anchorId="03917EDD" wp14:editId="7FBC9F53">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7BA55FD" w14:textId="77777777" w:rsidR="00682B65" w:rsidRPr="007A05BE" w:rsidRDefault="00682B65"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17EDD" id="_x0000_t202" coordsize="21600,21600" o:spt="202" path="m,l,21600r21600,l21600,xe">
              <v:stroke joinstyle="miter"/>
              <v:path gradientshapeok="t" o:connecttype="rect"/>
            </v:shapetype>
            <v:shape id="Text Box 4" o:spid="_x0000_s1029" type="#_x0000_t202" style="position:absolute;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27BA55FD" w14:textId="77777777" w:rsidR="00682B65" w:rsidRPr="007A05BE" w:rsidRDefault="00682B65"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02393874" wp14:editId="68377302">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02F3D3D9" w14:textId="54F8059D" w:rsidR="00682B65" w:rsidRDefault="00682B65" w:rsidP="007A05BE">
                              <w:pPr>
                                <w:pStyle w:val="Footer"/>
                                <w:jc w:val="right"/>
                              </w:pPr>
                              <w:r>
                                <w:t>Anti-siphoning review: proposals paper</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93874" id="Text Box 3" o:spid="_x0000_s1030" type="#_x0000_t202" style="position:absolute;margin-left:288.95pt;margin-top:0;width:340.15pt;height:42.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Content>
                      <w:p w14:paraId="02F3D3D9" w14:textId="54F8059D" w:rsidR="00682B65" w:rsidRDefault="00682B65" w:rsidP="007A05BE">
                        <w:pPr>
                          <w:pStyle w:val="Footer"/>
                          <w:jc w:val="right"/>
                        </w:pPr>
                        <w:r>
                          <w:t>Anti-siphoning review: proposals paper</w:t>
                        </w:r>
                      </w:p>
                    </w:sdtContent>
                  </w:sdt>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32440EC3" wp14:editId="77F7230E">
          <wp:simplePos x="0" y="0"/>
          <wp:positionH relativeFrom="page">
            <wp:align>right</wp:align>
          </wp:positionH>
          <wp:positionV relativeFrom="page">
            <wp:align>bottom</wp:align>
          </wp:positionV>
          <wp:extent cx="10692000" cy="183240"/>
          <wp:effectExtent l="0" t="0" r="0" b="762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68AC8" w14:textId="77777777" w:rsidR="00682B65" w:rsidRDefault="00682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2CEE9" w14:textId="77777777" w:rsidR="00682B65" w:rsidRPr="005912BE" w:rsidRDefault="00682B65" w:rsidP="005912BE">
      <w:pPr>
        <w:spacing w:before="300"/>
        <w:rPr>
          <w:color w:val="008089" w:themeColor="accent2"/>
        </w:rPr>
      </w:pPr>
      <w:r w:rsidRPr="004063DE">
        <w:rPr>
          <w:color w:val="004044" w:themeColor="accent2" w:themeShade="80"/>
        </w:rPr>
        <w:t>----------</w:t>
      </w:r>
    </w:p>
  </w:footnote>
  <w:footnote w:type="continuationSeparator" w:id="0">
    <w:p w14:paraId="0ADF26F3" w14:textId="77777777" w:rsidR="00682B65" w:rsidRDefault="00682B65" w:rsidP="008456D5">
      <w:pPr>
        <w:spacing w:before="0" w:after="0"/>
      </w:pPr>
      <w:r>
        <w:continuationSeparator/>
      </w:r>
    </w:p>
  </w:footnote>
  <w:footnote w:type="continuationNotice" w:id="1">
    <w:p w14:paraId="6772A9B7" w14:textId="77777777" w:rsidR="00682B65" w:rsidRDefault="00682B65">
      <w:pPr>
        <w:spacing w:before="0" w:after="0"/>
      </w:pPr>
    </w:p>
  </w:footnote>
  <w:footnote w:id="2">
    <w:p w14:paraId="40E71793" w14:textId="5F6BC7B9" w:rsidR="00682B65" w:rsidRPr="00746BB2" w:rsidRDefault="00682B65" w:rsidP="005E126F">
      <w:pPr>
        <w:pStyle w:val="FootnoteText"/>
        <w:rPr>
          <w:sz w:val="16"/>
          <w:szCs w:val="16"/>
        </w:rPr>
      </w:pPr>
      <w:r w:rsidRPr="00746BB2">
        <w:rPr>
          <w:rStyle w:val="FootnoteReference"/>
          <w:sz w:val="16"/>
          <w:szCs w:val="16"/>
        </w:rPr>
        <w:footnoteRef/>
      </w:r>
      <w:r w:rsidRPr="00746BB2">
        <w:rPr>
          <w:sz w:val="16"/>
          <w:szCs w:val="16"/>
        </w:rPr>
        <w:t xml:space="preserve"> </w:t>
      </w:r>
      <w:hyperlink r:id="rId1" w:history="1">
        <w:r w:rsidRPr="00FC7446">
          <w:rPr>
            <w:rStyle w:val="Hyperlink"/>
            <w:i/>
            <w:sz w:val="16"/>
            <w:szCs w:val="16"/>
          </w:rPr>
          <w:t>Broadcasting Services (Events) Notice 2023</w:t>
        </w:r>
      </w:hyperlink>
      <w:r w:rsidRPr="00FC7446">
        <w:rPr>
          <w:i/>
          <w:sz w:val="16"/>
          <w:szCs w:val="16"/>
        </w:rPr>
        <w:t>.</w:t>
      </w:r>
    </w:p>
  </w:footnote>
  <w:footnote w:id="3">
    <w:p w14:paraId="7C803FE9" w14:textId="44D9F772" w:rsidR="00682B65" w:rsidRPr="00746BB2" w:rsidRDefault="00682B65" w:rsidP="00505ACB">
      <w:pPr>
        <w:pStyle w:val="FootnoteText"/>
        <w:ind w:left="91" w:hanging="91"/>
        <w:rPr>
          <w:sz w:val="16"/>
          <w:szCs w:val="16"/>
        </w:rPr>
      </w:pPr>
      <w:r w:rsidRPr="00746BB2">
        <w:rPr>
          <w:rStyle w:val="FootnoteReference"/>
          <w:sz w:val="16"/>
          <w:szCs w:val="16"/>
        </w:rPr>
        <w:footnoteRef/>
      </w:r>
      <w:r w:rsidRPr="00746BB2">
        <w:rPr>
          <w:sz w:val="16"/>
          <w:szCs w:val="16"/>
        </w:rPr>
        <w:t xml:space="preserve"> </w:t>
      </w:r>
      <w:r w:rsidRPr="00746BB2">
        <w:rPr>
          <w:color w:val="auto"/>
          <w:sz w:val="16"/>
          <w:szCs w:val="16"/>
          <w:lang w:val="en-US"/>
        </w:rPr>
        <w:t xml:space="preserve">Department of Infrastructure, Transport, Regional Development, Communications and the Arts (2022), </w:t>
      </w:r>
      <w:hyperlink r:id="rId2" w:history="1">
        <w:r w:rsidRPr="00746BB2">
          <w:rPr>
            <w:rStyle w:val="Hyperlink"/>
            <w:sz w:val="16"/>
            <w:szCs w:val="16"/>
            <w:lang w:val="en-US"/>
          </w:rPr>
          <w:t>Review of the anti-siphoning scheme: Consultation paper</w:t>
        </w:r>
      </w:hyperlink>
      <w:r w:rsidRPr="00746BB2">
        <w:rPr>
          <w:sz w:val="16"/>
          <w:szCs w:val="16"/>
        </w:rPr>
        <w:t>.</w:t>
      </w:r>
    </w:p>
  </w:footnote>
  <w:footnote w:id="4">
    <w:p w14:paraId="7E24A2AB" w14:textId="49676890" w:rsidR="00682B65" w:rsidRDefault="00682B65">
      <w:pPr>
        <w:pStyle w:val="FootnoteText"/>
      </w:pPr>
      <w:r w:rsidRPr="00147450">
        <w:rPr>
          <w:rStyle w:val="FootnoteReference"/>
          <w:sz w:val="16"/>
          <w:szCs w:val="16"/>
        </w:rPr>
        <w:footnoteRef/>
      </w:r>
      <w:r w:rsidRPr="00147450">
        <w:rPr>
          <w:sz w:val="16"/>
          <w:szCs w:val="16"/>
        </w:rPr>
        <w:t xml:space="preserve"> The </w:t>
      </w:r>
      <w:r w:rsidRPr="00746BB2">
        <w:rPr>
          <w:color w:val="auto"/>
          <w:sz w:val="16"/>
          <w:szCs w:val="16"/>
          <w:lang w:val="en-US"/>
        </w:rPr>
        <w:t>majority of submissions to the 2022 consultation paper did not raise the possibility of non-sporting events being added to the list.</w:t>
      </w:r>
    </w:p>
  </w:footnote>
  <w:footnote w:id="5">
    <w:p w14:paraId="68B51F04" w14:textId="23E1735A" w:rsidR="00682B65" w:rsidRPr="00D57448" w:rsidRDefault="00682B65">
      <w:pPr>
        <w:pStyle w:val="FootnoteText"/>
        <w:rPr>
          <w:sz w:val="16"/>
          <w:szCs w:val="16"/>
        </w:rPr>
      </w:pPr>
      <w:r w:rsidRPr="00455C23">
        <w:rPr>
          <w:rStyle w:val="FootnoteReference"/>
          <w:sz w:val="16"/>
          <w:szCs w:val="16"/>
        </w:rPr>
        <w:footnoteRef/>
      </w:r>
      <w:r w:rsidRPr="00455C23">
        <w:rPr>
          <w:sz w:val="16"/>
          <w:szCs w:val="16"/>
        </w:rPr>
        <w:t xml:space="preserve"> </w:t>
      </w:r>
      <w:r w:rsidRPr="002B1D55">
        <w:rPr>
          <w:sz w:val="16"/>
          <w:szCs w:val="16"/>
        </w:rPr>
        <w:t>26 weeks prior to its commencement.</w:t>
      </w:r>
    </w:p>
  </w:footnote>
  <w:footnote w:id="6">
    <w:p w14:paraId="1D8A14A0" w14:textId="07F73A91" w:rsidR="00682B65" w:rsidRDefault="00682B65">
      <w:pPr>
        <w:pStyle w:val="FootnoteText"/>
      </w:pPr>
      <w:r w:rsidRPr="00455C23">
        <w:rPr>
          <w:rStyle w:val="FootnoteReference"/>
          <w:sz w:val="16"/>
          <w:szCs w:val="16"/>
        </w:rPr>
        <w:footnoteRef/>
      </w:r>
      <w:r w:rsidRPr="00455C23">
        <w:rPr>
          <w:sz w:val="16"/>
          <w:szCs w:val="16"/>
        </w:rPr>
        <w:t xml:space="preserve"> Ibid.</w:t>
      </w:r>
    </w:p>
  </w:footnote>
  <w:footnote w:id="7">
    <w:p w14:paraId="06B9E446" w14:textId="78F6B830" w:rsidR="00682B65" w:rsidRPr="001C5DBA" w:rsidRDefault="00682B65" w:rsidP="004C138C">
      <w:pPr>
        <w:pStyle w:val="FootnoteText"/>
        <w:rPr>
          <w:sz w:val="16"/>
          <w:szCs w:val="16"/>
        </w:rPr>
      </w:pPr>
      <w:r w:rsidRPr="00657D06">
        <w:rPr>
          <w:rStyle w:val="FootnoteReference"/>
          <w:i/>
          <w:sz w:val="16"/>
          <w:szCs w:val="16"/>
        </w:rPr>
        <w:footnoteRef/>
      </w:r>
      <w:r w:rsidRPr="004A44F5">
        <w:rPr>
          <w:i/>
          <w:sz w:val="16"/>
          <w:szCs w:val="16"/>
        </w:rPr>
        <w:t xml:space="preserve"> </w:t>
      </w:r>
      <w:hyperlink r:id="rId3" w:history="1">
        <w:r w:rsidRPr="00AD61D0">
          <w:rPr>
            <w:rStyle w:val="Hyperlink"/>
            <w:i/>
            <w:sz w:val="16"/>
            <w:szCs w:val="16"/>
          </w:rPr>
          <w:t>Broadcasting Services (Events) Notice 2023</w:t>
        </w:r>
      </w:hyperlink>
      <w:r>
        <w:rPr>
          <w:sz w:val="16"/>
          <w:szCs w:val="16"/>
        </w:rPr>
        <w:t>.</w:t>
      </w:r>
    </w:p>
  </w:footnote>
  <w:footnote w:id="8">
    <w:p w14:paraId="0B3CACB7" w14:textId="548E3221" w:rsidR="00682B65" w:rsidRDefault="00682B65" w:rsidP="00714371">
      <w:pPr>
        <w:pStyle w:val="FootnoteText"/>
        <w:ind w:left="102" w:hanging="102"/>
      </w:pPr>
      <w:r>
        <w:rPr>
          <w:rStyle w:val="FootnoteReference"/>
        </w:rPr>
        <w:footnoteRef/>
      </w:r>
      <w:r>
        <w:t xml:space="preserve"> </w:t>
      </w:r>
      <w:r w:rsidRPr="00657D06">
        <w:rPr>
          <w:sz w:val="16"/>
          <w:szCs w:val="16"/>
        </w:rPr>
        <w:t>This</w:t>
      </w:r>
      <w:r>
        <w:rPr>
          <w:sz w:val="16"/>
          <w:szCs w:val="16"/>
        </w:rPr>
        <w:t xml:space="preserve"> estimate of the number of events on the list is indicative only. </w:t>
      </w:r>
      <w:r w:rsidRPr="00657D06">
        <w:rPr>
          <w:sz w:val="16"/>
          <w:szCs w:val="16"/>
        </w:rPr>
        <w:t>It is</w:t>
      </w:r>
      <w:r>
        <w:rPr>
          <w:sz w:val="16"/>
          <w:szCs w:val="16"/>
        </w:rPr>
        <w:t xml:space="preserve"> not </w:t>
      </w:r>
      <w:r w:rsidRPr="00657D06">
        <w:rPr>
          <w:sz w:val="16"/>
          <w:szCs w:val="16"/>
        </w:rPr>
        <w:t xml:space="preserve">possible to provide a precise total of events on the list as the format and timing of many competitions changes over time and a number of competitions only take place periodically. </w:t>
      </w:r>
      <w:r>
        <w:rPr>
          <w:sz w:val="16"/>
          <w:szCs w:val="16"/>
        </w:rPr>
        <w:t xml:space="preserve">This figure represents an estimate of the </w:t>
      </w:r>
      <w:r w:rsidRPr="00657D06">
        <w:rPr>
          <w:sz w:val="16"/>
          <w:szCs w:val="16"/>
        </w:rPr>
        <w:t xml:space="preserve">number of events </w:t>
      </w:r>
      <w:r>
        <w:rPr>
          <w:sz w:val="16"/>
          <w:szCs w:val="16"/>
        </w:rPr>
        <w:t xml:space="preserve">on the list </w:t>
      </w:r>
      <w:r w:rsidRPr="00657D06">
        <w:rPr>
          <w:sz w:val="16"/>
          <w:szCs w:val="16"/>
        </w:rPr>
        <w:t xml:space="preserve">in a hypothetical </w:t>
      </w:r>
      <w:r>
        <w:rPr>
          <w:sz w:val="16"/>
          <w:szCs w:val="16"/>
        </w:rPr>
        <w:t xml:space="preserve">calendar </w:t>
      </w:r>
      <w:r w:rsidRPr="00657D06">
        <w:rPr>
          <w:sz w:val="16"/>
          <w:szCs w:val="16"/>
        </w:rPr>
        <w:t xml:space="preserve">year. </w:t>
      </w:r>
      <w:r>
        <w:rPr>
          <w:sz w:val="16"/>
          <w:szCs w:val="16"/>
        </w:rPr>
        <w:t xml:space="preserve">For the purposes of this paper, </w:t>
      </w:r>
      <w:r>
        <w:rPr>
          <w:rFonts w:cstheme="minorHAnsi"/>
          <w:sz w:val="16"/>
          <w:szCs w:val="16"/>
        </w:rPr>
        <w:t>i</w:t>
      </w:r>
      <w:r w:rsidRPr="00D457D3">
        <w:rPr>
          <w:rFonts w:cstheme="minorHAnsi"/>
          <w:sz w:val="16"/>
          <w:szCs w:val="16"/>
        </w:rPr>
        <w:t xml:space="preserve">t </w:t>
      </w:r>
      <w:r>
        <w:rPr>
          <w:rFonts w:cstheme="minorHAnsi"/>
          <w:sz w:val="16"/>
          <w:szCs w:val="16"/>
        </w:rPr>
        <w:t xml:space="preserve">is </w:t>
      </w:r>
      <w:r w:rsidRPr="00D457D3">
        <w:rPr>
          <w:rFonts w:cstheme="minorHAnsi"/>
          <w:sz w:val="16"/>
          <w:szCs w:val="16"/>
        </w:rPr>
        <w:t>assume</w:t>
      </w:r>
      <w:r>
        <w:rPr>
          <w:rFonts w:cstheme="minorHAnsi"/>
          <w:sz w:val="16"/>
          <w:szCs w:val="16"/>
        </w:rPr>
        <w:t xml:space="preserve">d that </w:t>
      </w:r>
      <w:r w:rsidRPr="00D457D3">
        <w:rPr>
          <w:rFonts w:cstheme="minorHAnsi"/>
          <w:sz w:val="16"/>
          <w:szCs w:val="16"/>
        </w:rPr>
        <w:t xml:space="preserve">all quadrennial, biennial and annual events take place in the </w:t>
      </w:r>
      <w:r>
        <w:rPr>
          <w:sz w:val="16"/>
          <w:szCs w:val="16"/>
        </w:rPr>
        <w:t>one</w:t>
      </w:r>
      <w:r w:rsidRPr="00D457D3">
        <w:rPr>
          <w:rFonts w:cstheme="minorHAnsi"/>
          <w:sz w:val="16"/>
          <w:szCs w:val="16"/>
        </w:rPr>
        <w:t xml:space="preserve"> year. It does not represent the likely number of events in any given year.</w:t>
      </w:r>
    </w:p>
  </w:footnote>
  <w:footnote w:id="9">
    <w:p w14:paraId="5B546105" w14:textId="468A6E14" w:rsidR="00682B65" w:rsidRPr="00657D06" w:rsidRDefault="00682B65" w:rsidP="00FC7446">
      <w:pPr>
        <w:spacing w:before="0" w:after="0"/>
        <w:ind w:left="96" w:hanging="96"/>
        <w:rPr>
          <w:i/>
          <w:sz w:val="16"/>
          <w:szCs w:val="16"/>
        </w:rPr>
      </w:pPr>
      <w:r w:rsidRPr="00657D06">
        <w:rPr>
          <w:rStyle w:val="FootnoteReference"/>
          <w:i/>
          <w:sz w:val="16"/>
          <w:szCs w:val="16"/>
        </w:rPr>
        <w:footnoteRef/>
      </w:r>
      <w:r w:rsidRPr="00D457D3">
        <w:rPr>
          <w:rFonts w:cstheme="minorHAnsi"/>
          <w:sz w:val="16"/>
          <w:szCs w:val="16"/>
        </w:rPr>
        <w:t xml:space="preserve"> </w:t>
      </w:r>
      <w:r w:rsidRPr="000A687B">
        <w:rPr>
          <w:sz w:val="16"/>
          <w:szCs w:val="16"/>
        </w:rPr>
        <w:t>Estimates in this row are indicative only and adopt the caveats and assumptions as the above estimate of the number events on the current list</w:t>
      </w:r>
      <w:r>
        <w:rPr>
          <w:sz w:val="16"/>
          <w:szCs w:val="16"/>
        </w:rPr>
        <w:t xml:space="preserve">. </w:t>
      </w:r>
    </w:p>
  </w:footnote>
  <w:footnote w:id="10">
    <w:p w14:paraId="4F1AE93D" w14:textId="2C04F93B" w:rsidR="00682B65" w:rsidRPr="00D457D3" w:rsidRDefault="00682B65" w:rsidP="00D754B4">
      <w:pPr>
        <w:pStyle w:val="FootnoteText"/>
        <w:ind w:left="91" w:hanging="91"/>
        <w:rPr>
          <w:rFonts w:cstheme="minorHAnsi"/>
          <w:sz w:val="16"/>
          <w:szCs w:val="16"/>
        </w:rPr>
      </w:pPr>
      <w:r w:rsidRPr="00D457D3">
        <w:rPr>
          <w:rStyle w:val="FootnoteReference"/>
          <w:rFonts w:cstheme="minorHAnsi"/>
          <w:sz w:val="16"/>
          <w:szCs w:val="16"/>
        </w:rPr>
        <w:footnoteRef/>
      </w:r>
      <w:r w:rsidRPr="00D457D3">
        <w:rPr>
          <w:rFonts w:cstheme="minorHAnsi"/>
          <w:sz w:val="16"/>
          <w:szCs w:val="16"/>
        </w:rPr>
        <w:t xml:space="preserve"> </w:t>
      </w:r>
      <w:r>
        <w:rPr>
          <w:color w:val="auto"/>
          <w:sz w:val="16"/>
          <w:szCs w:val="16"/>
          <w:lang w:val="en-US"/>
        </w:rPr>
        <w:t xml:space="preserve">Department of Infrastructure, Transport, Regional Development, Communications and the Arts (2022), </w:t>
      </w:r>
      <w:hyperlink r:id="rId4" w:history="1">
        <w:r>
          <w:rPr>
            <w:rStyle w:val="Hyperlink"/>
            <w:sz w:val="16"/>
            <w:szCs w:val="16"/>
            <w:lang w:val="en-US"/>
          </w:rPr>
          <w:t>Review of the anti-siphoning scheme: Consultation paper</w:t>
        </w:r>
      </w:hyperlink>
      <w:r w:rsidRPr="009E37B3">
        <w:rPr>
          <w:sz w:val="16"/>
          <w:szCs w:val="16"/>
        </w:rPr>
        <w:t>.</w:t>
      </w:r>
    </w:p>
  </w:footnote>
  <w:footnote w:id="11">
    <w:p w14:paraId="56729CA1" w14:textId="55DA2692" w:rsidR="00682B65" w:rsidRPr="00D457D3" w:rsidRDefault="00682B65" w:rsidP="002679BD">
      <w:pPr>
        <w:pStyle w:val="FootnoteText"/>
        <w:rPr>
          <w:rFonts w:cstheme="minorHAnsi"/>
          <w:sz w:val="16"/>
          <w:szCs w:val="16"/>
        </w:rPr>
      </w:pPr>
      <w:r w:rsidRPr="00D457D3">
        <w:rPr>
          <w:rStyle w:val="FootnoteReference"/>
          <w:rFonts w:cstheme="minorHAnsi"/>
          <w:sz w:val="16"/>
          <w:szCs w:val="16"/>
        </w:rPr>
        <w:footnoteRef/>
      </w:r>
      <w:r w:rsidRPr="00D457D3">
        <w:rPr>
          <w:rFonts w:cstheme="minorHAnsi"/>
          <w:sz w:val="16"/>
          <w:szCs w:val="16"/>
        </w:rPr>
        <w:t xml:space="preserve"> </w:t>
      </w:r>
      <w:hyperlink r:id="rId5" w:history="1">
        <w:r w:rsidRPr="00AD61D0">
          <w:rPr>
            <w:rStyle w:val="Hyperlink"/>
            <w:i/>
            <w:sz w:val="16"/>
            <w:szCs w:val="16"/>
          </w:rPr>
          <w:t>Broadcasting Services (Events) Notice 2023</w:t>
        </w:r>
      </w:hyperlink>
      <w:r>
        <w:rPr>
          <w:sz w:val="16"/>
          <w:szCs w:val="16"/>
        </w:rPr>
        <w:t>.</w:t>
      </w:r>
    </w:p>
  </w:footnote>
  <w:footnote w:id="12">
    <w:p w14:paraId="24D7D179" w14:textId="2D069C96" w:rsidR="00682B65" w:rsidRPr="00D457D3" w:rsidRDefault="00682B65" w:rsidP="00D57448">
      <w:pPr>
        <w:pStyle w:val="FootnoteText"/>
        <w:ind w:left="91" w:hanging="91"/>
        <w:rPr>
          <w:rFonts w:cstheme="minorHAnsi"/>
          <w:sz w:val="16"/>
          <w:szCs w:val="16"/>
        </w:rPr>
      </w:pPr>
      <w:r w:rsidRPr="00D457D3">
        <w:rPr>
          <w:rStyle w:val="FootnoteReference"/>
          <w:rFonts w:cstheme="minorHAnsi"/>
          <w:sz w:val="16"/>
          <w:szCs w:val="16"/>
        </w:rPr>
        <w:footnoteRef/>
      </w:r>
      <w:r w:rsidRPr="00D457D3">
        <w:rPr>
          <w:rFonts w:cstheme="minorHAnsi"/>
          <w:sz w:val="16"/>
          <w:szCs w:val="16"/>
        </w:rPr>
        <w:t xml:space="preserve"> </w:t>
      </w:r>
      <w:r>
        <w:rPr>
          <w:color w:val="auto"/>
          <w:sz w:val="16"/>
          <w:szCs w:val="16"/>
          <w:lang w:val="en-US"/>
        </w:rPr>
        <w:t xml:space="preserve">Department of Infrastructure, Transport, Regional Development, Communications and the Arts (2022), </w:t>
      </w:r>
      <w:hyperlink r:id="rId6" w:history="1">
        <w:r>
          <w:rPr>
            <w:rStyle w:val="Hyperlink"/>
            <w:sz w:val="16"/>
            <w:szCs w:val="16"/>
            <w:lang w:val="en-US"/>
          </w:rPr>
          <w:t>Review of the anti-siphoning scheme: Consultation paper</w:t>
        </w:r>
      </w:hyperlink>
      <w:r w:rsidRPr="009E37B3">
        <w:rPr>
          <w:sz w:val="16"/>
          <w:szCs w:val="16"/>
        </w:rPr>
        <w:t>.</w:t>
      </w:r>
      <w:r>
        <w:rPr>
          <w:sz w:val="16"/>
          <w:szCs w:val="16"/>
        </w:rPr>
        <w:t xml:space="preserve"> See </w:t>
      </w:r>
      <w:r w:rsidRPr="0000337D">
        <w:rPr>
          <w:sz w:val="16"/>
          <w:szCs w:val="16"/>
        </w:rPr>
        <w:t>Chapter 2 (The anti-siphoning scheme) and Chapter 3 (Trends in sports coverage and consumption)</w:t>
      </w:r>
      <w:r>
        <w:rPr>
          <w:sz w:val="16"/>
          <w:szCs w:val="16"/>
        </w:rPr>
        <w:t>.</w:t>
      </w:r>
    </w:p>
  </w:footnote>
  <w:footnote w:id="13">
    <w:p w14:paraId="05EFB3AB" w14:textId="71B1EF65" w:rsidR="00682B65" w:rsidRPr="00D457D3" w:rsidRDefault="00682B65" w:rsidP="002679BD">
      <w:pPr>
        <w:pStyle w:val="FootnoteText"/>
        <w:rPr>
          <w:rFonts w:cstheme="minorHAnsi"/>
          <w:sz w:val="16"/>
          <w:szCs w:val="16"/>
        </w:rPr>
      </w:pPr>
      <w:r w:rsidRPr="00D457D3">
        <w:rPr>
          <w:rStyle w:val="FootnoteReference"/>
          <w:rFonts w:cstheme="minorHAnsi"/>
          <w:sz w:val="16"/>
          <w:szCs w:val="16"/>
        </w:rPr>
        <w:footnoteRef/>
      </w:r>
      <w:r w:rsidRPr="00D457D3">
        <w:rPr>
          <w:rFonts w:cstheme="minorHAnsi"/>
          <w:sz w:val="16"/>
          <w:szCs w:val="16"/>
        </w:rPr>
        <w:t xml:space="preserve"> </w:t>
      </w:r>
      <w:hyperlink r:id="rId7" w:history="1">
        <w:r w:rsidRPr="00716551">
          <w:rPr>
            <w:rStyle w:val="Hyperlink"/>
            <w:rFonts w:cstheme="minorHAnsi"/>
            <w:i/>
            <w:sz w:val="16"/>
            <w:szCs w:val="16"/>
          </w:rPr>
          <w:t>Broadcasting Services Act 1992</w:t>
        </w:r>
      </w:hyperlink>
      <w:r w:rsidRPr="00D457D3">
        <w:rPr>
          <w:rFonts w:cstheme="minorHAnsi"/>
          <w:sz w:val="16"/>
          <w:szCs w:val="16"/>
        </w:rPr>
        <w:t xml:space="preserve">, </w:t>
      </w:r>
      <w:r>
        <w:rPr>
          <w:rFonts w:cstheme="minorHAnsi"/>
          <w:sz w:val="16"/>
          <w:szCs w:val="16"/>
        </w:rPr>
        <w:t>s</w:t>
      </w:r>
      <w:r w:rsidRPr="00D457D3">
        <w:rPr>
          <w:rFonts w:cstheme="minorHAnsi"/>
          <w:sz w:val="16"/>
          <w:szCs w:val="16"/>
        </w:rPr>
        <w:t>ubsection 115(1</w:t>
      </w:r>
      <w:r>
        <w:rPr>
          <w:rFonts w:cstheme="minorHAnsi"/>
          <w:sz w:val="16"/>
          <w:szCs w:val="16"/>
        </w:rPr>
        <w:t>).</w:t>
      </w:r>
    </w:p>
  </w:footnote>
  <w:footnote w:id="14">
    <w:p w14:paraId="57CC5F2B" w14:textId="6E653258" w:rsidR="00682B65" w:rsidRPr="00D457D3" w:rsidRDefault="00682B65" w:rsidP="002679BD">
      <w:pPr>
        <w:pStyle w:val="FootnoteText"/>
        <w:rPr>
          <w:rFonts w:cstheme="minorHAnsi"/>
          <w:sz w:val="16"/>
          <w:szCs w:val="16"/>
        </w:rPr>
      </w:pPr>
      <w:r w:rsidRPr="00D457D3">
        <w:rPr>
          <w:rStyle w:val="FootnoteReference"/>
          <w:rFonts w:cstheme="minorHAnsi"/>
          <w:sz w:val="16"/>
          <w:szCs w:val="16"/>
        </w:rPr>
        <w:footnoteRef/>
      </w:r>
      <w:r w:rsidRPr="00D457D3">
        <w:rPr>
          <w:rFonts w:cstheme="minorHAnsi"/>
          <w:sz w:val="16"/>
          <w:szCs w:val="16"/>
        </w:rPr>
        <w:t xml:space="preserve"> </w:t>
      </w:r>
      <w:hyperlink r:id="rId8" w:history="1">
        <w:r w:rsidRPr="00716551">
          <w:rPr>
            <w:rStyle w:val="Hyperlink"/>
            <w:rFonts w:cstheme="minorHAnsi"/>
            <w:i/>
            <w:sz w:val="16"/>
            <w:szCs w:val="16"/>
          </w:rPr>
          <w:t>Broadcasting Services Act 1992</w:t>
        </w:r>
      </w:hyperlink>
      <w:r w:rsidRPr="00D457D3">
        <w:rPr>
          <w:rFonts w:cstheme="minorHAnsi"/>
          <w:sz w:val="16"/>
          <w:szCs w:val="16"/>
        </w:rPr>
        <w:t xml:space="preserve">, </w:t>
      </w:r>
      <w:r>
        <w:rPr>
          <w:rFonts w:cstheme="minorHAnsi"/>
          <w:sz w:val="16"/>
          <w:szCs w:val="16"/>
        </w:rPr>
        <w:t>s</w:t>
      </w:r>
      <w:r w:rsidRPr="00D457D3">
        <w:rPr>
          <w:rFonts w:cstheme="minorHAnsi"/>
          <w:sz w:val="16"/>
          <w:szCs w:val="16"/>
        </w:rPr>
        <w:t>ubsection 115(1AA)</w:t>
      </w:r>
      <w:r>
        <w:rPr>
          <w:rFonts w:cstheme="minorHAnsi"/>
          <w:sz w:val="16"/>
          <w:szCs w:val="16"/>
        </w:rPr>
        <w:t>.</w:t>
      </w:r>
    </w:p>
  </w:footnote>
  <w:footnote w:id="15">
    <w:p w14:paraId="566BC95D" w14:textId="13171553" w:rsidR="00682B65" w:rsidRPr="009833FE" w:rsidRDefault="00682B65">
      <w:pPr>
        <w:pStyle w:val="FootnoteText"/>
      </w:pPr>
      <w:r>
        <w:rPr>
          <w:rStyle w:val="FootnoteReference"/>
        </w:rPr>
        <w:footnoteRef/>
      </w:r>
      <w:r>
        <w:t xml:space="preserve"> </w:t>
      </w:r>
      <w:hyperlink r:id="rId9" w:history="1">
        <w:r w:rsidRPr="00716551">
          <w:rPr>
            <w:rStyle w:val="Hyperlink"/>
            <w:rFonts w:cstheme="minorHAnsi"/>
            <w:i/>
            <w:sz w:val="16"/>
            <w:szCs w:val="16"/>
          </w:rPr>
          <w:t>Broadcasting Services Act 1992</w:t>
        </w:r>
      </w:hyperlink>
      <w:r>
        <w:rPr>
          <w:rStyle w:val="Hyperlink"/>
          <w:rFonts w:cstheme="minorHAnsi"/>
          <w:sz w:val="16"/>
          <w:szCs w:val="16"/>
        </w:rPr>
        <w:t>,</w:t>
      </w:r>
      <w:r w:rsidRPr="004C2390">
        <w:rPr>
          <w:rFonts w:cstheme="minorHAnsi"/>
          <w:sz w:val="16"/>
          <w:szCs w:val="16"/>
        </w:rPr>
        <w:t xml:space="preserve"> </w:t>
      </w:r>
      <w:r>
        <w:rPr>
          <w:rFonts w:cstheme="minorHAnsi"/>
          <w:sz w:val="16"/>
          <w:szCs w:val="16"/>
        </w:rPr>
        <w:t>s</w:t>
      </w:r>
      <w:r w:rsidRPr="00D457D3">
        <w:rPr>
          <w:rFonts w:cstheme="minorHAnsi"/>
          <w:sz w:val="16"/>
          <w:szCs w:val="16"/>
        </w:rPr>
        <w:t>ubsection</w:t>
      </w:r>
      <w:r>
        <w:rPr>
          <w:rFonts w:cstheme="minorHAnsi"/>
          <w:sz w:val="16"/>
          <w:szCs w:val="16"/>
        </w:rPr>
        <w:t>s</w:t>
      </w:r>
      <w:r w:rsidRPr="00D457D3">
        <w:rPr>
          <w:rFonts w:cstheme="minorHAnsi"/>
          <w:sz w:val="16"/>
          <w:szCs w:val="16"/>
        </w:rPr>
        <w:t xml:space="preserve"> 115(1AA)</w:t>
      </w:r>
      <w:r w:rsidRPr="00B34DE2">
        <w:rPr>
          <w:rFonts w:cstheme="minorHAnsi"/>
          <w:sz w:val="16"/>
          <w:szCs w:val="16"/>
        </w:rPr>
        <w:t xml:space="preserve"> </w:t>
      </w:r>
      <w:r>
        <w:rPr>
          <w:rFonts w:cstheme="minorHAnsi"/>
          <w:sz w:val="16"/>
          <w:szCs w:val="16"/>
        </w:rPr>
        <w:t>and 115(1AB).</w:t>
      </w:r>
    </w:p>
  </w:footnote>
  <w:footnote w:id="16">
    <w:p w14:paraId="0018DF56" w14:textId="7799D76F" w:rsidR="00682B65" w:rsidRPr="00D457D3" w:rsidRDefault="00682B65" w:rsidP="002679BD">
      <w:pPr>
        <w:pStyle w:val="FootnoteText"/>
        <w:rPr>
          <w:rFonts w:cstheme="minorHAnsi"/>
          <w:sz w:val="16"/>
          <w:szCs w:val="16"/>
        </w:rPr>
      </w:pPr>
      <w:r w:rsidRPr="00D457D3">
        <w:rPr>
          <w:rStyle w:val="FootnoteReference"/>
          <w:rFonts w:cstheme="minorHAnsi"/>
          <w:sz w:val="16"/>
          <w:szCs w:val="16"/>
        </w:rPr>
        <w:footnoteRef/>
      </w:r>
      <w:r w:rsidRPr="00D457D3">
        <w:rPr>
          <w:rFonts w:cstheme="minorHAnsi"/>
          <w:sz w:val="16"/>
          <w:szCs w:val="16"/>
        </w:rPr>
        <w:t xml:space="preserve"> </w:t>
      </w:r>
      <w:hyperlink r:id="rId10" w:history="1">
        <w:r w:rsidRPr="00716551">
          <w:rPr>
            <w:rStyle w:val="Hyperlink"/>
            <w:rFonts w:cstheme="minorHAnsi"/>
            <w:i/>
            <w:sz w:val="16"/>
            <w:szCs w:val="16"/>
          </w:rPr>
          <w:t>Broadcasting Services Act 1992</w:t>
        </w:r>
      </w:hyperlink>
      <w:r w:rsidRPr="00D457D3">
        <w:rPr>
          <w:rFonts w:cstheme="minorHAnsi"/>
          <w:sz w:val="16"/>
          <w:szCs w:val="16"/>
        </w:rPr>
        <w:t>,</w:t>
      </w:r>
      <w:r>
        <w:rPr>
          <w:rFonts w:cstheme="minorHAnsi"/>
          <w:sz w:val="16"/>
          <w:szCs w:val="16"/>
        </w:rPr>
        <w:t xml:space="preserve"> s</w:t>
      </w:r>
      <w:r w:rsidRPr="00D457D3">
        <w:rPr>
          <w:rFonts w:cstheme="minorHAnsi"/>
          <w:sz w:val="16"/>
          <w:szCs w:val="16"/>
        </w:rPr>
        <w:t>ubsection 115(2)</w:t>
      </w:r>
      <w:r>
        <w:rPr>
          <w:rFonts w:cstheme="minorHAnsi"/>
          <w:sz w:val="16"/>
          <w:szCs w:val="16"/>
        </w:rPr>
        <w:t>.</w:t>
      </w:r>
    </w:p>
  </w:footnote>
  <w:footnote w:id="17">
    <w:p w14:paraId="553CA4F5" w14:textId="63EAA5B3" w:rsidR="00682B65" w:rsidRPr="001C5DBA" w:rsidRDefault="00682B65" w:rsidP="002679BD">
      <w:pPr>
        <w:pStyle w:val="FootnoteText"/>
        <w:rPr>
          <w:sz w:val="16"/>
          <w:szCs w:val="16"/>
        </w:rPr>
      </w:pPr>
      <w:r w:rsidRPr="001C5DBA">
        <w:rPr>
          <w:rStyle w:val="FootnoteReference"/>
          <w:sz w:val="16"/>
          <w:szCs w:val="16"/>
        </w:rPr>
        <w:footnoteRef/>
      </w:r>
      <w:r w:rsidRPr="001C5DBA">
        <w:rPr>
          <w:sz w:val="16"/>
          <w:szCs w:val="16"/>
        </w:rPr>
        <w:t xml:space="preserve"> </w:t>
      </w:r>
      <w:hyperlink r:id="rId11" w:history="1">
        <w:r w:rsidRPr="00AD61D0">
          <w:rPr>
            <w:rStyle w:val="Hyperlink"/>
            <w:i/>
            <w:sz w:val="16"/>
            <w:szCs w:val="16"/>
          </w:rPr>
          <w:t>Broadcasting Services (Events) Notice 2023</w:t>
        </w:r>
      </w:hyperlink>
      <w:r>
        <w:rPr>
          <w:sz w:val="16"/>
          <w:szCs w:val="16"/>
        </w:rPr>
        <w:t>.</w:t>
      </w:r>
    </w:p>
  </w:footnote>
  <w:footnote w:id="18">
    <w:p w14:paraId="1291261F" w14:textId="3BE39EEA" w:rsidR="00682B65" w:rsidRPr="007A7B34" w:rsidRDefault="00682B65" w:rsidP="002679BD">
      <w:pPr>
        <w:pStyle w:val="FootnoteText"/>
        <w:rPr>
          <w:sz w:val="16"/>
          <w:szCs w:val="16"/>
        </w:rPr>
      </w:pPr>
      <w:r w:rsidRPr="007A7B34">
        <w:rPr>
          <w:rStyle w:val="FootnoteReference"/>
          <w:sz w:val="16"/>
          <w:szCs w:val="16"/>
        </w:rPr>
        <w:footnoteRef/>
      </w:r>
      <w:r w:rsidRPr="007A7B34">
        <w:rPr>
          <w:sz w:val="16"/>
          <w:szCs w:val="16"/>
        </w:rPr>
        <w:t xml:space="preserve"> </w:t>
      </w:r>
      <w:hyperlink r:id="rId12" w:history="1">
        <w:r w:rsidRPr="00620E92">
          <w:rPr>
            <w:rStyle w:val="Hyperlink"/>
            <w:i/>
            <w:sz w:val="16"/>
            <w:szCs w:val="16"/>
          </w:rPr>
          <w:t>Broadcasting Services Act 1992</w:t>
        </w:r>
      </w:hyperlink>
      <w:r>
        <w:rPr>
          <w:rFonts w:cstheme="minorHAnsi"/>
          <w:sz w:val="16"/>
          <w:szCs w:val="16"/>
        </w:rPr>
        <w:t xml:space="preserve">, </w:t>
      </w:r>
      <w:r w:rsidRPr="00B32FFF">
        <w:rPr>
          <w:rFonts w:cstheme="minorHAnsi"/>
          <w:sz w:val="16"/>
          <w:szCs w:val="16"/>
        </w:rPr>
        <w:t>Part 10A</w:t>
      </w:r>
      <w:r w:rsidRPr="00B34DE2">
        <w:rPr>
          <w:sz w:val="16"/>
          <w:szCs w:val="16"/>
        </w:rPr>
        <w:t>—Anti</w:t>
      </w:r>
      <w:r w:rsidRPr="00B34DE2">
        <w:rPr>
          <w:rFonts w:ascii="Cambria Math" w:hAnsi="Cambria Math" w:cs="Cambria Math"/>
          <w:sz w:val="16"/>
          <w:szCs w:val="16"/>
        </w:rPr>
        <w:t>‑</w:t>
      </w:r>
      <w:r w:rsidRPr="00B34DE2">
        <w:rPr>
          <w:sz w:val="16"/>
          <w:szCs w:val="16"/>
        </w:rPr>
        <w:t>hoarding rules</w:t>
      </w:r>
    </w:p>
  </w:footnote>
  <w:footnote w:id="19">
    <w:p w14:paraId="65702F94" w14:textId="26545D83" w:rsidR="00682B65" w:rsidRPr="007A7B34" w:rsidRDefault="00682B65" w:rsidP="004406DE">
      <w:pPr>
        <w:pStyle w:val="FootnoteText"/>
        <w:ind w:left="153" w:hanging="153"/>
        <w:rPr>
          <w:sz w:val="16"/>
          <w:szCs w:val="16"/>
        </w:rPr>
      </w:pPr>
      <w:r w:rsidRPr="007A7B34">
        <w:rPr>
          <w:rStyle w:val="FootnoteReference"/>
          <w:sz w:val="16"/>
          <w:szCs w:val="16"/>
        </w:rPr>
        <w:footnoteRef/>
      </w:r>
      <w:r w:rsidRPr="007A7B34">
        <w:rPr>
          <w:sz w:val="16"/>
          <w:szCs w:val="16"/>
        </w:rPr>
        <w:t xml:space="preserve"> </w:t>
      </w:r>
      <w:hyperlink r:id="rId13" w:history="1">
        <w:r w:rsidRPr="00620E92">
          <w:rPr>
            <w:rStyle w:val="Hyperlink"/>
            <w:i/>
            <w:sz w:val="16"/>
            <w:szCs w:val="16"/>
          </w:rPr>
          <w:t>Broadcasting Services Act 1992</w:t>
        </w:r>
      </w:hyperlink>
      <w:r w:rsidRPr="007A7B34">
        <w:rPr>
          <w:sz w:val="16"/>
          <w:szCs w:val="16"/>
        </w:rPr>
        <w:t>, Part 10, Division 3—Action in relation to breaches by licensees</w:t>
      </w:r>
      <w:r>
        <w:rPr>
          <w:sz w:val="16"/>
          <w:szCs w:val="16"/>
        </w:rPr>
        <w:t>,</w:t>
      </w:r>
      <w:r w:rsidRPr="007A7B34">
        <w:rPr>
          <w:sz w:val="16"/>
          <w:szCs w:val="16"/>
        </w:rPr>
        <w:t xml:space="preserve"> and Part 11—Complaints to the ACMA</w:t>
      </w:r>
    </w:p>
  </w:footnote>
  <w:footnote w:id="20">
    <w:p w14:paraId="1BDE2313" w14:textId="1EB6618D" w:rsidR="00682B65" w:rsidRPr="007A7B34" w:rsidRDefault="00682B65" w:rsidP="0063701B">
      <w:pPr>
        <w:pStyle w:val="FootnoteText"/>
        <w:ind w:left="153" w:hanging="153"/>
        <w:rPr>
          <w:sz w:val="16"/>
          <w:szCs w:val="16"/>
        </w:rPr>
      </w:pPr>
      <w:r w:rsidRPr="007A7B34">
        <w:rPr>
          <w:rStyle w:val="FootnoteReference"/>
          <w:sz w:val="16"/>
          <w:szCs w:val="16"/>
        </w:rPr>
        <w:footnoteRef/>
      </w:r>
      <w:r w:rsidRPr="007A7B34">
        <w:rPr>
          <w:sz w:val="16"/>
          <w:szCs w:val="16"/>
        </w:rPr>
        <w:t xml:space="preserve"> </w:t>
      </w:r>
      <w:bookmarkStart w:id="115" w:name="_Hlk142921460"/>
      <w:r w:rsidRPr="0063701B">
        <w:rPr>
          <w:sz w:val="16"/>
          <w:szCs w:val="16"/>
        </w:rPr>
        <w:t xml:space="preserve">For example, in </w:t>
      </w:r>
      <w:r w:rsidRPr="00046780">
        <w:rPr>
          <w:i/>
          <w:sz w:val="16"/>
          <w:szCs w:val="16"/>
        </w:rPr>
        <w:t>Foxtel Cable Television Pty Ltd v Nine Network Australia Pty Ltd &amp; Australian Broadcasting Authority</w:t>
      </w:r>
      <w:r w:rsidRPr="0063701B">
        <w:rPr>
          <w:sz w:val="16"/>
          <w:szCs w:val="16"/>
        </w:rPr>
        <w:t xml:space="preserve"> [1997] FCA 185 (26 March 1997)</w:t>
      </w:r>
      <w:r>
        <w:rPr>
          <w:sz w:val="16"/>
          <w:szCs w:val="16"/>
        </w:rPr>
        <w:t xml:space="preserve"> </w:t>
      </w:r>
      <w:r w:rsidRPr="0063701B">
        <w:rPr>
          <w:sz w:val="16"/>
          <w:szCs w:val="16"/>
        </w:rPr>
        <w:t xml:space="preserve">the court concluded that the effect of a contractual condition to delay the free-to-air broadcast of listed cricket matches by 7 days meant that the free-to-air broadcaster never acquired the right to televise any of the matches during the period they were on the list of declared events. The court found that it could not be said that a </w:t>
      </w:r>
      <w:r>
        <w:rPr>
          <w:sz w:val="16"/>
          <w:szCs w:val="16"/>
        </w:rPr>
        <w:t>’</w:t>
      </w:r>
      <w:r w:rsidRPr="0063701B">
        <w:rPr>
          <w:sz w:val="16"/>
          <w:szCs w:val="16"/>
        </w:rPr>
        <w:t>national broadcaster or television broadcasting licensee has the “right to televise the event” unless that broadcaster or licensee can televise it as it happens, or as soon thereafter as is technically feasible.</w:t>
      </w:r>
      <w:r>
        <w:rPr>
          <w:sz w:val="16"/>
          <w:szCs w:val="16"/>
        </w:rPr>
        <w:t>’</w:t>
      </w:r>
      <w:r w:rsidRPr="0063701B">
        <w:rPr>
          <w:sz w:val="16"/>
          <w:szCs w:val="16"/>
        </w:rPr>
        <w:t xml:space="preserve"> Similarly, it concluded that a right limited to broadcasting one-hour of highlights could not be said to be a right to televise the event, as </w:t>
      </w:r>
      <w:r>
        <w:rPr>
          <w:sz w:val="16"/>
          <w:szCs w:val="16"/>
        </w:rPr>
        <w:t>’</w:t>
      </w:r>
      <w:r w:rsidRPr="0063701B">
        <w:rPr>
          <w:sz w:val="16"/>
          <w:szCs w:val="16"/>
        </w:rPr>
        <w:t>the summary of a work is not the work itself</w:t>
      </w:r>
      <w:bookmarkEnd w:id="115"/>
      <w:r>
        <w:rPr>
          <w:sz w:val="16"/>
          <w:szCs w:val="16"/>
        </w:rPr>
        <w:t>’</w:t>
      </w:r>
      <w:r w:rsidRPr="0063701B">
        <w:rPr>
          <w:sz w:val="16"/>
          <w:szCs w:val="16"/>
        </w:rPr>
        <w:t>.</w:t>
      </w:r>
    </w:p>
  </w:footnote>
  <w:footnote w:id="21">
    <w:p w14:paraId="33F44F5E" w14:textId="0D9430A7" w:rsidR="00682B65" w:rsidRPr="00D457D3" w:rsidRDefault="00682B65" w:rsidP="00D457D3">
      <w:pPr>
        <w:pStyle w:val="FootnoteText"/>
        <w:ind w:left="142" w:hanging="142"/>
        <w:rPr>
          <w:rFonts w:cstheme="minorHAnsi"/>
          <w:sz w:val="16"/>
          <w:szCs w:val="16"/>
        </w:rPr>
      </w:pPr>
      <w:r w:rsidRPr="007A7B34">
        <w:rPr>
          <w:rStyle w:val="FootnoteReference"/>
          <w:sz w:val="16"/>
          <w:szCs w:val="16"/>
        </w:rPr>
        <w:footnoteRef/>
      </w:r>
      <w:r w:rsidRPr="007A7B34">
        <w:rPr>
          <w:sz w:val="16"/>
          <w:szCs w:val="16"/>
        </w:rPr>
        <w:t xml:space="preserve"> </w:t>
      </w:r>
      <w:bookmarkStart w:id="117" w:name="_Hlk141789239"/>
      <w:r>
        <w:rPr>
          <w:color w:val="auto"/>
          <w:sz w:val="16"/>
          <w:szCs w:val="16"/>
          <w:lang w:val="en-US"/>
        </w:rPr>
        <w:t xml:space="preserve">Department of Infrastructure, Transport, Regional Development, Communications and the Arts (2022), </w:t>
      </w:r>
      <w:hyperlink r:id="rId14" w:history="1">
        <w:r>
          <w:rPr>
            <w:rStyle w:val="Hyperlink"/>
            <w:sz w:val="16"/>
            <w:szCs w:val="16"/>
            <w:lang w:val="en-US"/>
          </w:rPr>
          <w:t>Review of the anti-siphoning scheme: Consultation paper</w:t>
        </w:r>
      </w:hyperlink>
      <w:r w:rsidRPr="009E37B3">
        <w:rPr>
          <w:sz w:val="16"/>
          <w:szCs w:val="16"/>
        </w:rPr>
        <w:t>.</w:t>
      </w:r>
      <w:bookmarkEnd w:id="117"/>
    </w:p>
  </w:footnote>
  <w:footnote w:id="22">
    <w:p w14:paraId="5B3C30BD" w14:textId="091B23C7" w:rsidR="00682B65" w:rsidRPr="00D457D3" w:rsidRDefault="00682B65" w:rsidP="00570D6C">
      <w:pPr>
        <w:pStyle w:val="FootnoteText"/>
        <w:ind w:left="147" w:hanging="147"/>
        <w:rPr>
          <w:rFonts w:cstheme="minorHAnsi"/>
          <w:sz w:val="16"/>
          <w:szCs w:val="16"/>
        </w:rPr>
      </w:pPr>
      <w:r>
        <w:rPr>
          <w:rStyle w:val="FootnoteReference"/>
          <w:rFonts w:cstheme="minorHAnsi"/>
          <w:sz w:val="16"/>
          <w:szCs w:val="16"/>
        </w:rPr>
        <w:footnoteRef/>
      </w:r>
      <w:r>
        <w:rPr>
          <w:rFonts w:cstheme="minorHAnsi"/>
          <w:sz w:val="16"/>
          <w:szCs w:val="16"/>
        </w:rPr>
        <w:t xml:space="preserve"> </w:t>
      </w:r>
      <w:r>
        <w:rPr>
          <w:color w:val="auto"/>
          <w:sz w:val="16"/>
          <w:szCs w:val="16"/>
          <w:lang w:val="en-US"/>
        </w:rPr>
        <w:t xml:space="preserve">Department of Infrastructure, Transport, Regional Development, Communications and the Arts (2022), </w:t>
      </w:r>
      <w:hyperlink r:id="rId15" w:history="1">
        <w:r>
          <w:rPr>
            <w:rStyle w:val="Hyperlink"/>
            <w:sz w:val="16"/>
            <w:szCs w:val="16"/>
            <w:lang w:val="en-US"/>
          </w:rPr>
          <w:t>Review of the anti-siphoning scheme: Consultation paper</w:t>
        </w:r>
      </w:hyperlink>
      <w:r>
        <w:rPr>
          <w:sz w:val="16"/>
          <w:szCs w:val="16"/>
        </w:rPr>
        <w:t>.</w:t>
      </w:r>
    </w:p>
  </w:footnote>
  <w:footnote w:id="23">
    <w:p w14:paraId="2AD2CAB1" w14:textId="71384A1A" w:rsidR="00682B65" w:rsidRPr="00D457D3" w:rsidRDefault="00682B65" w:rsidP="002679BD">
      <w:pPr>
        <w:pStyle w:val="FootnoteText"/>
        <w:rPr>
          <w:rFonts w:cstheme="minorHAnsi"/>
          <w:sz w:val="16"/>
          <w:szCs w:val="16"/>
        </w:rPr>
      </w:pPr>
      <w:r w:rsidRPr="00D457D3">
        <w:rPr>
          <w:rStyle w:val="FootnoteReference"/>
          <w:rFonts w:cstheme="minorHAnsi"/>
          <w:sz w:val="16"/>
          <w:szCs w:val="16"/>
        </w:rPr>
        <w:footnoteRef/>
      </w:r>
      <w:r w:rsidRPr="00D457D3">
        <w:rPr>
          <w:rFonts w:cstheme="minorHAnsi"/>
          <w:sz w:val="16"/>
          <w:szCs w:val="16"/>
        </w:rPr>
        <w:t xml:space="preserve"> </w:t>
      </w:r>
      <w:hyperlink r:id="rId16" w:history="1">
        <w:r w:rsidRPr="00455C23">
          <w:rPr>
            <w:rStyle w:val="Hyperlink"/>
            <w:i/>
            <w:sz w:val="16"/>
            <w:szCs w:val="16"/>
          </w:rPr>
          <w:t>Broadcasting Services (Events) Notice 2023</w:t>
        </w:r>
      </w:hyperlink>
      <w:r w:rsidRPr="00AD61D0">
        <w:rPr>
          <w:i/>
          <w:sz w:val="16"/>
          <w:szCs w:val="16"/>
        </w:rPr>
        <w:t>.</w:t>
      </w:r>
    </w:p>
  </w:footnote>
  <w:footnote w:id="24">
    <w:p w14:paraId="2B01F2EE" w14:textId="177FCC39" w:rsidR="00682B65" w:rsidRPr="00422881" w:rsidRDefault="00682B65">
      <w:pPr>
        <w:pStyle w:val="FootnoteText"/>
        <w:rPr>
          <w:sz w:val="16"/>
          <w:szCs w:val="16"/>
          <w:lang w:val="en-US"/>
        </w:rPr>
      </w:pPr>
      <w:r w:rsidRPr="00422881">
        <w:rPr>
          <w:rStyle w:val="FootnoteReference"/>
          <w:sz w:val="16"/>
          <w:szCs w:val="16"/>
        </w:rPr>
        <w:footnoteRef/>
      </w:r>
      <w:r w:rsidRPr="00422881">
        <w:rPr>
          <w:sz w:val="16"/>
          <w:szCs w:val="16"/>
        </w:rPr>
        <w:t xml:space="preserve"> </w:t>
      </w:r>
      <w:r w:rsidRPr="00422881">
        <w:rPr>
          <w:sz w:val="16"/>
          <w:szCs w:val="16"/>
          <w:lang w:val="en-US"/>
        </w:rPr>
        <w:t xml:space="preserve">Explanatory Memorandum to </w:t>
      </w:r>
      <w:hyperlink r:id="rId17" w:history="1">
        <w:r w:rsidRPr="00FC7446">
          <w:rPr>
            <w:rStyle w:val="Hyperlink"/>
            <w:i/>
            <w:sz w:val="16"/>
            <w:szCs w:val="16"/>
            <w:lang w:val="en-US"/>
          </w:rPr>
          <w:t>Broadcasting Services Bill 1992</w:t>
        </w:r>
      </w:hyperlink>
      <w:r w:rsidRPr="00422881">
        <w:rPr>
          <w:sz w:val="16"/>
          <w:szCs w:val="16"/>
          <w:lang w:val="en-US"/>
        </w:rPr>
        <w:t>, p</w:t>
      </w:r>
      <w:r>
        <w:rPr>
          <w:sz w:val="16"/>
          <w:szCs w:val="16"/>
          <w:lang w:val="en-US"/>
        </w:rPr>
        <w:t xml:space="preserve"> </w:t>
      </w:r>
      <w:r w:rsidRPr="00422881">
        <w:rPr>
          <w:sz w:val="16"/>
          <w:szCs w:val="16"/>
          <w:lang w:val="en-US"/>
        </w:rPr>
        <w:t>67</w:t>
      </w:r>
      <w:r>
        <w:rPr>
          <w:sz w:val="16"/>
          <w:szCs w:val="16"/>
          <w:lang w:val="en-US"/>
        </w:rPr>
        <w:t>.</w:t>
      </w:r>
    </w:p>
  </w:footnote>
  <w:footnote w:id="25">
    <w:p w14:paraId="04D162D7" w14:textId="1CCA5517" w:rsidR="00682B65" w:rsidRPr="00422881" w:rsidRDefault="00682B65" w:rsidP="00620E92">
      <w:pPr>
        <w:pStyle w:val="FootnoteText"/>
        <w:ind w:left="153" w:hanging="153"/>
        <w:rPr>
          <w:sz w:val="16"/>
          <w:szCs w:val="16"/>
        </w:rPr>
      </w:pPr>
      <w:r w:rsidRPr="00422881">
        <w:rPr>
          <w:rStyle w:val="FootnoteReference"/>
          <w:sz w:val="16"/>
          <w:szCs w:val="16"/>
        </w:rPr>
        <w:footnoteRef/>
      </w:r>
      <w:r w:rsidRPr="00422881">
        <w:rPr>
          <w:sz w:val="16"/>
          <w:szCs w:val="16"/>
        </w:rPr>
        <w:t xml:space="preserve"> </w:t>
      </w:r>
      <w:r w:rsidRPr="00620E92">
        <w:rPr>
          <w:color w:val="auto"/>
          <w:sz w:val="16"/>
          <w:szCs w:val="16"/>
        </w:rPr>
        <w:t xml:space="preserve">United Kingdom Department for </w:t>
      </w:r>
      <w:r>
        <w:rPr>
          <w:color w:val="auto"/>
          <w:sz w:val="16"/>
          <w:szCs w:val="16"/>
        </w:rPr>
        <w:t xml:space="preserve">Digital, </w:t>
      </w:r>
      <w:r w:rsidRPr="00620E92">
        <w:rPr>
          <w:color w:val="auto"/>
          <w:sz w:val="16"/>
          <w:szCs w:val="16"/>
        </w:rPr>
        <w:t>Culture</w:t>
      </w:r>
      <w:r>
        <w:rPr>
          <w:color w:val="auto"/>
          <w:sz w:val="16"/>
          <w:szCs w:val="16"/>
        </w:rPr>
        <w:t xml:space="preserve">, </w:t>
      </w:r>
      <w:r w:rsidRPr="00620E92">
        <w:rPr>
          <w:color w:val="auto"/>
          <w:sz w:val="16"/>
          <w:szCs w:val="16"/>
        </w:rPr>
        <w:t>Media &amp; Sport</w:t>
      </w:r>
      <w:r>
        <w:rPr>
          <w:color w:val="auto"/>
          <w:sz w:val="16"/>
          <w:szCs w:val="16"/>
        </w:rPr>
        <w:t xml:space="preserve"> (2022),</w:t>
      </w:r>
      <w:r>
        <w:t xml:space="preserve"> </w:t>
      </w:r>
      <w:hyperlink r:id="rId18" w:history="1">
        <w:r>
          <w:rPr>
            <w:rStyle w:val="Hyperlink"/>
            <w:sz w:val="16"/>
            <w:szCs w:val="16"/>
          </w:rPr>
          <w:t>Guidance - Listed Events: Digital Rights Review</w:t>
        </w:r>
      </w:hyperlink>
      <w:r w:rsidRPr="00620E92">
        <w:rPr>
          <w:sz w:val="16"/>
          <w:szCs w:val="16"/>
        </w:rPr>
        <w:t>.</w:t>
      </w:r>
      <w:r>
        <w:rPr>
          <w:sz w:val="16"/>
          <w:szCs w:val="16"/>
        </w:rPr>
        <w:t xml:space="preserve"> </w:t>
      </w:r>
    </w:p>
  </w:footnote>
  <w:footnote w:id="26">
    <w:p w14:paraId="6FC9856E" w14:textId="192F178B" w:rsidR="00682B65" w:rsidRPr="00422881" w:rsidRDefault="00682B65" w:rsidP="00570D6C">
      <w:pPr>
        <w:pStyle w:val="FootnoteText"/>
        <w:ind w:left="153" w:hanging="153"/>
        <w:rPr>
          <w:sz w:val="16"/>
          <w:szCs w:val="16"/>
          <w:lang w:val="en-US"/>
        </w:rPr>
      </w:pPr>
      <w:r w:rsidRPr="00422881">
        <w:rPr>
          <w:rStyle w:val="FootnoteReference"/>
          <w:sz w:val="16"/>
          <w:szCs w:val="16"/>
        </w:rPr>
        <w:footnoteRef/>
      </w:r>
      <w:r w:rsidRPr="00422881">
        <w:rPr>
          <w:sz w:val="16"/>
          <w:szCs w:val="16"/>
        </w:rPr>
        <w:t xml:space="preserve"> Free TV Australia</w:t>
      </w:r>
      <w:r>
        <w:rPr>
          <w:sz w:val="16"/>
          <w:szCs w:val="16"/>
        </w:rPr>
        <w:t xml:space="preserve"> (2022)</w:t>
      </w:r>
      <w:r w:rsidRPr="00570D6C">
        <w:rPr>
          <w:sz w:val="16"/>
          <w:szCs w:val="16"/>
        </w:rPr>
        <w:t xml:space="preserve">, </w:t>
      </w:r>
      <w:hyperlink r:id="rId19" w:history="1">
        <w:r w:rsidRPr="00422881">
          <w:rPr>
            <w:rStyle w:val="Hyperlink"/>
            <w:sz w:val="16"/>
            <w:szCs w:val="16"/>
          </w:rPr>
          <w:t>Response to the anti-siphoning scheme consultation paper</w:t>
        </w:r>
      </w:hyperlink>
      <w:r w:rsidRPr="00455C23">
        <w:rPr>
          <w:rStyle w:val="Hyperlink"/>
          <w:color w:val="auto"/>
          <w:sz w:val="16"/>
          <w:szCs w:val="16"/>
          <w:u w:val="none"/>
        </w:rPr>
        <w:t>, p 7</w:t>
      </w:r>
      <w:r>
        <w:rPr>
          <w:sz w:val="16"/>
          <w:szCs w:val="16"/>
        </w:rPr>
        <w:t>.</w:t>
      </w:r>
      <w:r w:rsidRPr="00570D6C">
        <w:rPr>
          <w:sz w:val="16"/>
          <w:szCs w:val="16"/>
        </w:rPr>
        <w:t xml:space="preserve"> </w:t>
      </w:r>
    </w:p>
  </w:footnote>
  <w:footnote w:id="27">
    <w:p w14:paraId="2110B710" w14:textId="3EA6EE36" w:rsidR="00682B65" w:rsidRPr="00D457D3" w:rsidRDefault="00682B65" w:rsidP="00570D6C">
      <w:pPr>
        <w:pStyle w:val="FootnoteText"/>
        <w:ind w:left="153" w:hanging="153"/>
        <w:rPr>
          <w:rFonts w:cstheme="minorHAnsi"/>
          <w:sz w:val="16"/>
          <w:szCs w:val="16"/>
          <w:lang w:val="en-US"/>
        </w:rPr>
      </w:pPr>
      <w:r w:rsidRPr="00422881">
        <w:rPr>
          <w:rStyle w:val="FootnoteReference"/>
          <w:sz w:val="16"/>
          <w:szCs w:val="16"/>
        </w:rPr>
        <w:footnoteRef/>
      </w:r>
      <w:r w:rsidRPr="00422881">
        <w:rPr>
          <w:sz w:val="16"/>
          <w:szCs w:val="16"/>
        </w:rPr>
        <w:t xml:space="preserve"> Foxtel Group</w:t>
      </w:r>
      <w:r>
        <w:rPr>
          <w:sz w:val="16"/>
          <w:szCs w:val="16"/>
        </w:rPr>
        <w:t xml:space="preserve"> (2022)</w:t>
      </w:r>
      <w:r w:rsidRPr="00422881">
        <w:rPr>
          <w:sz w:val="16"/>
          <w:szCs w:val="16"/>
        </w:rPr>
        <w:t xml:space="preserve">, </w:t>
      </w:r>
      <w:hyperlink r:id="rId20" w:history="1">
        <w:r w:rsidRPr="00422881">
          <w:rPr>
            <w:rStyle w:val="Hyperlink"/>
            <w:sz w:val="16"/>
            <w:szCs w:val="16"/>
          </w:rPr>
          <w:t>Submission in response to the review of the anti-siphoning scheme – Consultation paper</w:t>
        </w:r>
      </w:hyperlink>
      <w:r>
        <w:rPr>
          <w:sz w:val="16"/>
          <w:szCs w:val="16"/>
        </w:rPr>
        <w:t xml:space="preserve">, </w:t>
      </w:r>
      <w:r w:rsidRPr="00422881">
        <w:rPr>
          <w:sz w:val="16"/>
          <w:szCs w:val="16"/>
        </w:rPr>
        <w:t>p</w:t>
      </w:r>
      <w:r>
        <w:rPr>
          <w:sz w:val="16"/>
          <w:szCs w:val="16"/>
        </w:rPr>
        <w:t xml:space="preserve"> </w:t>
      </w:r>
      <w:r w:rsidRPr="00422881">
        <w:rPr>
          <w:sz w:val="16"/>
          <w:szCs w:val="16"/>
        </w:rPr>
        <w:t>15</w:t>
      </w:r>
      <w:r>
        <w:rPr>
          <w:sz w:val="16"/>
          <w:szCs w:val="16"/>
        </w:rPr>
        <w:t>.</w:t>
      </w:r>
    </w:p>
  </w:footnote>
  <w:footnote w:id="28">
    <w:p w14:paraId="194B9C15" w14:textId="250D68BB" w:rsidR="00682B65" w:rsidRPr="009A15D3" w:rsidRDefault="00682B65" w:rsidP="00FE56D8">
      <w:pPr>
        <w:pStyle w:val="FootnoteText"/>
        <w:ind w:left="153" w:hanging="153"/>
        <w:rPr>
          <w:sz w:val="16"/>
          <w:szCs w:val="16"/>
          <w:lang w:val="en-US"/>
        </w:rPr>
      </w:pPr>
      <w:r w:rsidRPr="009A15D3">
        <w:rPr>
          <w:rStyle w:val="FootnoteReference"/>
          <w:sz w:val="16"/>
          <w:szCs w:val="16"/>
        </w:rPr>
        <w:footnoteRef/>
      </w:r>
      <w:r w:rsidRPr="009A15D3">
        <w:rPr>
          <w:sz w:val="16"/>
          <w:szCs w:val="16"/>
        </w:rPr>
        <w:t xml:space="preserve"> Optus</w:t>
      </w:r>
      <w:r>
        <w:rPr>
          <w:sz w:val="16"/>
          <w:szCs w:val="16"/>
        </w:rPr>
        <w:t xml:space="preserve"> (2022), </w:t>
      </w:r>
      <w:hyperlink r:id="rId21" w:history="1">
        <w:r w:rsidRPr="009A15D3">
          <w:rPr>
            <w:rStyle w:val="Hyperlink"/>
            <w:sz w:val="16"/>
            <w:szCs w:val="16"/>
          </w:rPr>
          <w:t>Submission in response to DITRDCA Consultation Paper: Review of the anti-siphoning scheme</w:t>
        </w:r>
      </w:hyperlink>
      <w:r>
        <w:rPr>
          <w:sz w:val="16"/>
          <w:szCs w:val="16"/>
        </w:rPr>
        <w:t xml:space="preserve">, </w:t>
      </w:r>
      <w:r w:rsidRPr="009A15D3">
        <w:rPr>
          <w:sz w:val="16"/>
          <w:szCs w:val="16"/>
        </w:rPr>
        <w:t>p</w:t>
      </w:r>
      <w:r>
        <w:rPr>
          <w:sz w:val="16"/>
          <w:szCs w:val="16"/>
        </w:rPr>
        <w:t xml:space="preserve"> </w:t>
      </w:r>
      <w:r w:rsidRPr="009A15D3">
        <w:rPr>
          <w:sz w:val="16"/>
          <w:szCs w:val="16"/>
        </w:rPr>
        <w:t>4</w:t>
      </w:r>
      <w:r>
        <w:rPr>
          <w:sz w:val="16"/>
          <w:szCs w:val="16"/>
        </w:rPr>
        <w:t>.</w:t>
      </w:r>
    </w:p>
  </w:footnote>
  <w:footnote w:id="29">
    <w:p w14:paraId="04AF9F1C" w14:textId="0E77A2FB" w:rsidR="00682B65" w:rsidRPr="009A15D3" w:rsidRDefault="00682B65" w:rsidP="004406DE">
      <w:pPr>
        <w:pStyle w:val="FootnoteText"/>
        <w:ind w:left="153" w:hanging="153"/>
        <w:rPr>
          <w:sz w:val="16"/>
          <w:szCs w:val="16"/>
        </w:rPr>
      </w:pPr>
      <w:r w:rsidRPr="009A15D3">
        <w:rPr>
          <w:rStyle w:val="FootnoteReference"/>
          <w:sz w:val="16"/>
          <w:szCs w:val="16"/>
        </w:rPr>
        <w:footnoteRef/>
      </w:r>
      <w:r w:rsidRPr="009A15D3">
        <w:rPr>
          <w:sz w:val="16"/>
          <w:szCs w:val="16"/>
        </w:rPr>
        <w:t xml:space="preserve"> </w:t>
      </w:r>
      <w:r>
        <w:rPr>
          <w:color w:val="auto"/>
          <w:sz w:val="16"/>
          <w:szCs w:val="16"/>
          <w:lang w:val="en-US"/>
        </w:rPr>
        <w:t xml:space="preserve">Department of Infrastructure, Transport, Regional Development, Communications and the Arts (2022), </w:t>
      </w:r>
      <w:hyperlink r:id="rId22" w:history="1">
        <w:r>
          <w:rPr>
            <w:rStyle w:val="Hyperlink"/>
            <w:sz w:val="16"/>
            <w:szCs w:val="16"/>
            <w:lang w:val="en-US"/>
          </w:rPr>
          <w:t>Review of the anti-siphoning scheme: Consultation paper</w:t>
        </w:r>
      </w:hyperlink>
      <w:r w:rsidRPr="009A15D3">
        <w:rPr>
          <w:sz w:val="16"/>
          <w:szCs w:val="16"/>
        </w:rPr>
        <w:t>, p</w:t>
      </w:r>
      <w:r>
        <w:rPr>
          <w:sz w:val="16"/>
          <w:szCs w:val="16"/>
        </w:rPr>
        <w:t xml:space="preserve"> </w:t>
      </w:r>
      <w:r w:rsidRPr="009A15D3">
        <w:rPr>
          <w:sz w:val="16"/>
          <w:szCs w:val="16"/>
        </w:rPr>
        <w:t>27</w:t>
      </w:r>
      <w:r>
        <w:rPr>
          <w:sz w:val="16"/>
          <w:szCs w:val="16"/>
        </w:rPr>
        <w:t>.</w:t>
      </w:r>
    </w:p>
  </w:footnote>
  <w:footnote w:id="30">
    <w:p w14:paraId="6077A19A" w14:textId="1EB430E1" w:rsidR="00682B65" w:rsidRPr="00FE56D8" w:rsidRDefault="00682B65" w:rsidP="00FE56D8">
      <w:pPr>
        <w:pStyle w:val="FootnoteText"/>
        <w:rPr>
          <w:sz w:val="16"/>
          <w:szCs w:val="16"/>
        </w:rPr>
      </w:pPr>
      <w:r w:rsidRPr="009A15D3">
        <w:rPr>
          <w:rStyle w:val="FootnoteReference"/>
          <w:sz w:val="16"/>
          <w:szCs w:val="16"/>
        </w:rPr>
        <w:footnoteRef/>
      </w:r>
      <w:r w:rsidRPr="009A15D3">
        <w:rPr>
          <w:sz w:val="16"/>
          <w:szCs w:val="16"/>
        </w:rPr>
        <w:t xml:space="preserve"> Free TV </w:t>
      </w:r>
      <w:r>
        <w:rPr>
          <w:sz w:val="16"/>
          <w:szCs w:val="16"/>
        </w:rPr>
        <w:t xml:space="preserve">Australia </w:t>
      </w:r>
      <w:r w:rsidRPr="009A15D3">
        <w:rPr>
          <w:sz w:val="16"/>
          <w:szCs w:val="16"/>
        </w:rPr>
        <w:t xml:space="preserve">(2022), </w:t>
      </w:r>
      <w:hyperlink r:id="rId23" w:history="1">
        <w:r w:rsidRPr="009B7D91">
          <w:rPr>
            <w:rStyle w:val="Hyperlink"/>
            <w:sz w:val="16"/>
            <w:szCs w:val="16"/>
          </w:rPr>
          <w:t>Free TV Australia, 2022 Federal Election Policy Manifesto</w:t>
        </w:r>
      </w:hyperlink>
      <w:r>
        <w:rPr>
          <w:sz w:val="16"/>
          <w:szCs w:val="16"/>
        </w:rPr>
        <w:t>,</w:t>
      </w:r>
      <w:r w:rsidRPr="00FE56D8">
        <w:rPr>
          <w:sz w:val="16"/>
          <w:szCs w:val="16"/>
        </w:rPr>
        <w:t xml:space="preserve"> </w:t>
      </w:r>
      <w:r w:rsidRPr="009A15D3">
        <w:rPr>
          <w:sz w:val="16"/>
          <w:szCs w:val="16"/>
        </w:rPr>
        <w:t>p</w:t>
      </w:r>
      <w:r>
        <w:rPr>
          <w:sz w:val="16"/>
          <w:szCs w:val="16"/>
        </w:rPr>
        <w:t xml:space="preserve"> </w:t>
      </w:r>
      <w:r w:rsidRPr="009A15D3">
        <w:rPr>
          <w:sz w:val="16"/>
          <w:szCs w:val="16"/>
        </w:rPr>
        <w:t>3</w:t>
      </w:r>
      <w:r>
        <w:rPr>
          <w:sz w:val="16"/>
          <w:szCs w:val="16"/>
        </w:rPr>
        <w:t>.</w:t>
      </w:r>
    </w:p>
  </w:footnote>
  <w:footnote w:id="31">
    <w:p w14:paraId="687F8622" w14:textId="01C3FC56" w:rsidR="00682B65" w:rsidRPr="009A15D3" w:rsidRDefault="00682B65" w:rsidP="00FE56D8">
      <w:pPr>
        <w:pStyle w:val="FootnoteText"/>
        <w:ind w:left="153" w:hanging="153"/>
        <w:rPr>
          <w:sz w:val="16"/>
          <w:szCs w:val="16"/>
          <w:lang w:val="en-US"/>
        </w:rPr>
      </w:pPr>
      <w:r w:rsidRPr="009A15D3">
        <w:rPr>
          <w:rStyle w:val="FootnoteReference"/>
          <w:sz w:val="16"/>
          <w:szCs w:val="16"/>
        </w:rPr>
        <w:footnoteRef/>
      </w:r>
      <w:r w:rsidRPr="009A15D3">
        <w:rPr>
          <w:sz w:val="16"/>
          <w:szCs w:val="16"/>
        </w:rPr>
        <w:t xml:space="preserve"> </w:t>
      </w:r>
      <w:r w:rsidRPr="009A15D3">
        <w:rPr>
          <w:sz w:val="16"/>
          <w:szCs w:val="16"/>
          <w:lang w:val="en-US"/>
        </w:rPr>
        <w:t>Social Research Centre (202</w:t>
      </w:r>
      <w:r>
        <w:rPr>
          <w:sz w:val="16"/>
          <w:szCs w:val="16"/>
          <w:lang w:val="en-US"/>
        </w:rPr>
        <w:t>3</w:t>
      </w:r>
      <w:r w:rsidRPr="009A15D3">
        <w:rPr>
          <w:sz w:val="16"/>
          <w:szCs w:val="16"/>
          <w:lang w:val="en-US"/>
        </w:rPr>
        <w:t xml:space="preserve">), </w:t>
      </w:r>
      <w:hyperlink r:id="rId24" w:history="1">
        <w:r w:rsidRPr="009B7D91">
          <w:rPr>
            <w:rStyle w:val="Hyperlink"/>
            <w:sz w:val="16"/>
            <w:szCs w:val="16"/>
            <w:lang w:val="en-US"/>
          </w:rPr>
          <w:t xml:space="preserve">2022 Television Consumer Survey – </w:t>
        </w:r>
        <w:r>
          <w:rPr>
            <w:rStyle w:val="Hyperlink"/>
            <w:sz w:val="16"/>
            <w:szCs w:val="16"/>
            <w:lang w:val="en-US"/>
          </w:rPr>
          <w:t>Final</w:t>
        </w:r>
        <w:r w:rsidRPr="009B7D91">
          <w:rPr>
            <w:rStyle w:val="Hyperlink"/>
            <w:sz w:val="16"/>
            <w:szCs w:val="16"/>
            <w:lang w:val="en-US"/>
          </w:rPr>
          <w:t xml:space="preserve"> Report</w:t>
        </w:r>
      </w:hyperlink>
      <w:r w:rsidRPr="009A15D3">
        <w:rPr>
          <w:sz w:val="16"/>
          <w:szCs w:val="16"/>
        </w:rPr>
        <w:t xml:space="preserve">, </w:t>
      </w:r>
      <w:r>
        <w:rPr>
          <w:sz w:val="16"/>
          <w:szCs w:val="16"/>
        </w:rPr>
        <w:t>prepared</w:t>
      </w:r>
      <w:r w:rsidRPr="009A15D3">
        <w:rPr>
          <w:sz w:val="16"/>
          <w:szCs w:val="16"/>
        </w:rPr>
        <w:t xml:space="preserve"> </w:t>
      </w:r>
      <w:r>
        <w:rPr>
          <w:sz w:val="16"/>
          <w:szCs w:val="16"/>
        </w:rPr>
        <w:t>for</w:t>
      </w:r>
      <w:r w:rsidRPr="009A15D3">
        <w:rPr>
          <w:sz w:val="16"/>
          <w:szCs w:val="16"/>
        </w:rPr>
        <w:t xml:space="preserve"> the Australian Government Department of Infrastructure, Transport, Regional Development, Communications and the Arts</w:t>
      </w:r>
      <w:r>
        <w:rPr>
          <w:sz w:val="16"/>
          <w:szCs w:val="16"/>
          <w:lang w:val="en-US"/>
        </w:rPr>
        <w:t xml:space="preserve">, </w:t>
      </w:r>
      <w:r w:rsidRPr="00FE56D8">
        <w:rPr>
          <w:sz w:val="16"/>
          <w:szCs w:val="16"/>
          <w:lang w:val="en-US"/>
        </w:rPr>
        <w:t>p</w:t>
      </w:r>
      <w:r>
        <w:rPr>
          <w:sz w:val="16"/>
          <w:szCs w:val="16"/>
          <w:lang w:val="en-US"/>
        </w:rPr>
        <w:t xml:space="preserve"> </w:t>
      </w:r>
      <w:r w:rsidRPr="00FE56D8">
        <w:rPr>
          <w:sz w:val="16"/>
          <w:szCs w:val="16"/>
          <w:lang w:val="en-US"/>
        </w:rPr>
        <w:t>18</w:t>
      </w:r>
      <w:r>
        <w:rPr>
          <w:sz w:val="16"/>
          <w:szCs w:val="16"/>
          <w:lang w:val="en-US"/>
        </w:rPr>
        <w:t>.</w:t>
      </w:r>
    </w:p>
  </w:footnote>
  <w:footnote w:id="32">
    <w:p w14:paraId="7F49A37C" w14:textId="5A3FED9F" w:rsidR="00682B65" w:rsidRPr="009A15D3" w:rsidRDefault="00682B65">
      <w:pPr>
        <w:pStyle w:val="FootnoteText"/>
        <w:rPr>
          <w:sz w:val="16"/>
          <w:szCs w:val="16"/>
          <w:lang w:val="en-US"/>
        </w:rPr>
      </w:pPr>
      <w:r w:rsidRPr="009A15D3">
        <w:rPr>
          <w:rStyle w:val="FootnoteReference"/>
          <w:sz w:val="16"/>
          <w:szCs w:val="16"/>
        </w:rPr>
        <w:footnoteRef/>
      </w:r>
      <w:r w:rsidRPr="009A15D3">
        <w:rPr>
          <w:sz w:val="16"/>
          <w:szCs w:val="16"/>
        </w:rPr>
        <w:t xml:space="preserve"> </w:t>
      </w:r>
      <w:r w:rsidRPr="009A15D3">
        <w:rPr>
          <w:sz w:val="16"/>
          <w:szCs w:val="16"/>
          <w:lang w:val="en-US"/>
        </w:rPr>
        <w:t>Ibid</w:t>
      </w:r>
      <w:r>
        <w:rPr>
          <w:sz w:val="16"/>
          <w:szCs w:val="16"/>
          <w:lang w:val="en-US"/>
        </w:rPr>
        <w:t>.</w:t>
      </w:r>
    </w:p>
  </w:footnote>
  <w:footnote w:id="33">
    <w:p w14:paraId="4711C3C8" w14:textId="56B4257D" w:rsidR="00682B65" w:rsidRPr="009A15D3" w:rsidRDefault="00682B65" w:rsidP="004616C1">
      <w:pPr>
        <w:pStyle w:val="FootnoteText"/>
        <w:ind w:left="153" w:hanging="153"/>
        <w:rPr>
          <w:sz w:val="16"/>
          <w:szCs w:val="16"/>
          <w:lang w:val="en-US"/>
        </w:rPr>
      </w:pPr>
      <w:r w:rsidRPr="009A15D3">
        <w:rPr>
          <w:rStyle w:val="FootnoteReference"/>
          <w:sz w:val="16"/>
          <w:szCs w:val="16"/>
        </w:rPr>
        <w:footnoteRef/>
      </w:r>
      <w:r w:rsidRPr="009A15D3">
        <w:rPr>
          <w:sz w:val="16"/>
          <w:szCs w:val="16"/>
        </w:rPr>
        <w:t xml:space="preserve"> </w:t>
      </w:r>
      <w:r w:rsidRPr="009A15D3">
        <w:rPr>
          <w:sz w:val="16"/>
          <w:szCs w:val="16"/>
          <w:lang w:val="en-US"/>
        </w:rPr>
        <w:t>Australian Professional Leagues</w:t>
      </w:r>
      <w:r>
        <w:rPr>
          <w:sz w:val="16"/>
          <w:szCs w:val="16"/>
          <w:lang w:val="en-US"/>
        </w:rPr>
        <w:t xml:space="preserve"> (2022)</w:t>
      </w:r>
      <w:r w:rsidRPr="009A15D3">
        <w:rPr>
          <w:sz w:val="16"/>
          <w:szCs w:val="16"/>
          <w:lang w:val="en-US"/>
        </w:rPr>
        <w:t>,</w:t>
      </w:r>
      <w:r>
        <w:rPr>
          <w:sz w:val="16"/>
          <w:szCs w:val="16"/>
          <w:lang w:val="en-US"/>
        </w:rPr>
        <w:t xml:space="preserve"> </w:t>
      </w:r>
      <w:hyperlink r:id="rId25" w:history="1">
        <w:r w:rsidRPr="009A15D3">
          <w:rPr>
            <w:rStyle w:val="Hyperlink"/>
            <w:sz w:val="16"/>
            <w:szCs w:val="16"/>
            <w:lang w:val="en-US"/>
          </w:rPr>
          <w:t>Review of the anti-siphoning scheme</w:t>
        </w:r>
      </w:hyperlink>
      <w:r w:rsidRPr="009A15D3">
        <w:rPr>
          <w:sz w:val="16"/>
          <w:szCs w:val="16"/>
          <w:lang w:val="en-US"/>
        </w:rPr>
        <w:t>, p</w:t>
      </w:r>
      <w:r>
        <w:rPr>
          <w:sz w:val="16"/>
          <w:szCs w:val="16"/>
          <w:lang w:val="en-US"/>
        </w:rPr>
        <w:t xml:space="preserve"> </w:t>
      </w:r>
      <w:r w:rsidRPr="009A15D3">
        <w:rPr>
          <w:sz w:val="16"/>
          <w:szCs w:val="16"/>
          <w:lang w:val="en-US"/>
        </w:rPr>
        <w:t>2</w:t>
      </w:r>
      <w:r>
        <w:rPr>
          <w:sz w:val="16"/>
          <w:szCs w:val="16"/>
          <w:lang w:val="en-US"/>
        </w:rPr>
        <w:t>.</w:t>
      </w:r>
    </w:p>
  </w:footnote>
  <w:footnote w:id="34">
    <w:p w14:paraId="0F90B3B0" w14:textId="580F19BB" w:rsidR="00682B65" w:rsidRPr="00D457D3" w:rsidRDefault="00682B65" w:rsidP="004616C1">
      <w:pPr>
        <w:pStyle w:val="FootnoteText"/>
        <w:ind w:left="153" w:hanging="153"/>
        <w:rPr>
          <w:rFonts w:cstheme="minorHAnsi"/>
          <w:sz w:val="16"/>
          <w:szCs w:val="16"/>
          <w:lang w:val="en-US"/>
        </w:rPr>
      </w:pPr>
      <w:r w:rsidRPr="009A15D3">
        <w:rPr>
          <w:rStyle w:val="FootnoteReference"/>
          <w:sz w:val="16"/>
          <w:szCs w:val="16"/>
        </w:rPr>
        <w:footnoteRef/>
      </w:r>
      <w:r w:rsidRPr="009A15D3">
        <w:rPr>
          <w:sz w:val="16"/>
          <w:szCs w:val="16"/>
        </w:rPr>
        <w:t xml:space="preserve"> </w:t>
      </w:r>
      <w:r w:rsidRPr="009A15D3">
        <w:rPr>
          <w:sz w:val="16"/>
          <w:szCs w:val="16"/>
          <w:lang w:val="en-US"/>
        </w:rPr>
        <w:t xml:space="preserve">Tiffen R, Rowe D, Hutchins B (2022), </w:t>
      </w:r>
      <w:hyperlink r:id="rId26" w:history="1">
        <w:r w:rsidRPr="009A15D3">
          <w:rPr>
            <w:rStyle w:val="Hyperlink"/>
            <w:sz w:val="16"/>
            <w:szCs w:val="16"/>
            <w:lang w:val="en-US"/>
          </w:rPr>
          <w:t>Submission to anti-siphoning inquiry</w:t>
        </w:r>
      </w:hyperlink>
      <w:r w:rsidRPr="009A15D3">
        <w:rPr>
          <w:sz w:val="16"/>
          <w:szCs w:val="16"/>
          <w:lang w:val="en-US"/>
        </w:rPr>
        <w:t>, p</w:t>
      </w:r>
      <w:r>
        <w:rPr>
          <w:sz w:val="16"/>
          <w:szCs w:val="16"/>
          <w:lang w:val="en-US"/>
        </w:rPr>
        <w:t xml:space="preserve"> </w:t>
      </w:r>
      <w:r w:rsidRPr="009A15D3">
        <w:rPr>
          <w:sz w:val="16"/>
          <w:szCs w:val="16"/>
          <w:lang w:val="en-US"/>
        </w:rPr>
        <w:t>1</w:t>
      </w:r>
      <w:r>
        <w:rPr>
          <w:sz w:val="16"/>
          <w:szCs w:val="16"/>
          <w:lang w:val="en-US"/>
        </w:rPr>
        <w:t>.</w:t>
      </w:r>
    </w:p>
  </w:footnote>
  <w:footnote w:id="35">
    <w:p w14:paraId="3D4A2D39" w14:textId="565B0C4D" w:rsidR="00682B65" w:rsidRDefault="00682B65">
      <w:pPr>
        <w:pStyle w:val="FootnoteText"/>
      </w:pPr>
      <w:r>
        <w:rPr>
          <w:rStyle w:val="FootnoteReference"/>
        </w:rPr>
        <w:footnoteRef/>
      </w:r>
      <w:r>
        <w:t xml:space="preserve"> </w:t>
      </w:r>
      <w:r w:rsidRPr="004936AA">
        <w:rPr>
          <w:color w:val="auto"/>
          <w:sz w:val="16"/>
          <w:szCs w:val="16"/>
          <w:lang w:val="en-US"/>
        </w:rPr>
        <w:t>Parliament of Australia (31 May 1994</w:t>
      </w:r>
      <w:r>
        <w:rPr>
          <w:color w:val="auto"/>
          <w:sz w:val="16"/>
          <w:szCs w:val="16"/>
          <w:lang w:val="en-US"/>
        </w:rPr>
        <w:t>)</w:t>
      </w:r>
      <w:r w:rsidRPr="004936AA">
        <w:rPr>
          <w:color w:val="auto"/>
          <w:sz w:val="16"/>
          <w:szCs w:val="16"/>
          <w:lang w:val="en-US"/>
        </w:rPr>
        <w:t xml:space="preserve">, </w:t>
      </w:r>
      <w:hyperlink r:id="rId27" w:history="1">
        <w:r w:rsidRPr="0019131E">
          <w:rPr>
            <w:rStyle w:val="Hyperlink"/>
            <w:sz w:val="16"/>
            <w:szCs w:val="16"/>
            <w:lang w:val="en-US"/>
          </w:rPr>
          <w:t>Major sporting events to remain on free to air television</w:t>
        </w:r>
      </w:hyperlink>
      <w:r>
        <w:rPr>
          <w:color w:val="auto"/>
          <w:sz w:val="16"/>
          <w:szCs w:val="16"/>
          <w:lang w:val="en-US"/>
        </w:rPr>
        <w:t>.</w:t>
      </w:r>
    </w:p>
  </w:footnote>
  <w:footnote w:id="36">
    <w:p w14:paraId="61B5A5B8" w14:textId="347BCF7C" w:rsidR="00682B65" w:rsidRPr="004E289E" w:rsidRDefault="00682B65" w:rsidP="003D0520">
      <w:pPr>
        <w:pStyle w:val="FootnoteText"/>
        <w:ind w:left="147" w:hanging="147"/>
        <w:rPr>
          <w:sz w:val="16"/>
          <w:szCs w:val="16"/>
        </w:rPr>
      </w:pPr>
      <w:r w:rsidRPr="004E289E">
        <w:rPr>
          <w:rStyle w:val="FootnoteReference"/>
          <w:sz w:val="16"/>
          <w:szCs w:val="16"/>
        </w:rPr>
        <w:footnoteRef/>
      </w:r>
      <w:r w:rsidRPr="004E289E">
        <w:rPr>
          <w:sz w:val="16"/>
          <w:szCs w:val="16"/>
        </w:rPr>
        <w:t xml:space="preserve"> </w:t>
      </w:r>
      <w:r>
        <w:rPr>
          <w:color w:val="auto"/>
          <w:sz w:val="16"/>
          <w:szCs w:val="16"/>
          <w:lang w:val="en-US"/>
        </w:rPr>
        <w:t xml:space="preserve">Department of Infrastructure, Transport, Regional Development, Communications and the Arts (2022), </w:t>
      </w:r>
      <w:hyperlink r:id="rId28" w:history="1">
        <w:r>
          <w:rPr>
            <w:rStyle w:val="Hyperlink"/>
            <w:sz w:val="16"/>
            <w:szCs w:val="16"/>
            <w:lang w:val="en-US"/>
          </w:rPr>
          <w:t>Review of the anti-siphoning scheme: Consultation paper</w:t>
        </w:r>
      </w:hyperlink>
      <w:r>
        <w:rPr>
          <w:sz w:val="16"/>
          <w:szCs w:val="16"/>
          <w:lang w:val="en-US"/>
        </w:rPr>
        <w:t xml:space="preserve">, </w:t>
      </w:r>
      <w:r w:rsidRPr="003B033F">
        <w:rPr>
          <w:sz w:val="16"/>
          <w:szCs w:val="16"/>
          <w:lang w:val="en-US"/>
        </w:rPr>
        <w:t>p</w:t>
      </w:r>
      <w:r>
        <w:rPr>
          <w:sz w:val="16"/>
          <w:szCs w:val="16"/>
          <w:lang w:val="en-US"/>
        </w:rPr>
        <w:t xml:space="preserve"> </w:t>
      </w:r>
      <w:r w:rsidRPr="003B033F">
        <w:rPr>
          <w:sz w:val="16"/>
          <w:szCs w:val="16"/>
          <w:lang w:val="en-US"/>
        </w:rPr>
        <w:t>22.</w:t>
      </w:r>
    </w:p>
  </w:footnote>
  <w:footnote w:id="37">
    <w:p w14:paraId="10A35EA9" w14:textId="0CD3917B" w:rsidR="00682B65" w:rsidRPr="00AF2E66" w:rsidRDefault="00682B65">
      <w:pPr>
        <w:pStyle w:val="FootnoteText"/>
        <w:rPr>
          <w:sz w:val="16"/>
          <w:szCs w:val="16"/>
        </w:rPr>
      </w:pPr>
      <w:r w:rsidRPr="00AF2E66">
        <w:rPr>
          <w:rStyle w:val="FootnoteReference"/>
          <w:sz w:val="16"/>
          <w:szCs w:val="16"/>
        </w:rPr>
        <w:footnoteRef/>
      </w:r>
      <w:r w:rsidRPr="00AF2E66">
        <w:rPr>
          <w:sz w:val="16"/>
          <w:szCs w:val="16"/>
        </w:rPr>
        <w:t xml:space="preserve"> </w:t>
      </w:r>
      <w:r>
        <w:rPr>
          <w:sz w:val="16"/>
          <w:szCs w:val="16"/>
        </w:rPr>
        <w:t xml:space="preserve">YouTube, </w:t>
      </w:r>
      <w:hyperlink r:id="rId29" w:history="1">
        <w:r>
          <w:rPr>
            <w:rStyle w:val="Hyperlink"/>
            <w:sz w:val="16"/>
            <w:szCs w:val="16"/>
          </w:rPr>
          <w:t>AFL</w:t>
        </w:r>
      </w:hyperlink>
      <w:r>
        <w:rPr>
          <w:sz w:val="16"/>
          <w:szCs w:val="16"/>
        </w:rPr>
        <w:t xml:space="preserve"> (</w:t>
      </w:r>
      <w:r w:rsidRPr="00BC227E">
        <w:rPr>
          <w:sz w:val="16"/>
          <w:szCs w:val="16"/>
        </w:rPr>
        <w:t>official channel)</w:t>
      </w:r>
      <w:r>
        <w:rPr>
          <w:color w:val="auto"/>
        </w:rPr>
        <w:t>.</w:t>
      </w:r>
    </w:p>
  </w:footnote>
  <w:footnote w:id="38">
    <w:p w14:paraId="66733290" w14:textId="27FB1336" w:rsidR="00682B65" w:rsidRPr="00AF2E66" w:rsidRDefault="00682B65">
      <w:pPr>
        <w:pStyle w:val="FootnoteText"/>
        <w:rPr>
          <w:sz w:val="16"/>
          <w:szCs w:val="16"/>
        </w:rPr>
      </w:pPr>
      <w:r w:rsidRPr="00AF2E66">
        <w:rPr>
          <w:rStyle w:val="FootnoteReference"/>
          <w:sz w:val="16"/>
          <w:szCs w:val="16"/>
        </w:rPr>
        <w:footnoteRef/>
      </w:r>
      <w:r w:rsidRPr="00AF2E66">
        <w:rPr>
          <w:sz w:val="16"/>
          <w:szCs w:val="16"/>
        </w:rPr>
        <w:t xml:space="preserve"> </w:t>
      </w:r>
      <w:r w:rsidRPr="0019131E">
        <w:rPr>
          <w:sz w:val="16"/>
          <w:szCs w:val="16"/>
        </w:rPr>
        <w:t>YouTube</w:t>
      </w:r>
      <w:r>
        <w:rPr>
          <w:sz w:val="16"/>
          <w:szCs w:val="16"/>
        </w:rPr>
        <w:t>,</w:t>
      </w:r>
      <w:r w:rsidRPr="0019131E">
        <w:rPr>
          <w:sz w:val="16"/>
          <w:szCs w:val="16"/>
        </w:rPr>
        <w:t xml:space="preserve"> </w:t>
      </w:r>
      <w:hyperlink r:id="rId30" w:history="1">
        <w:r>
          <w:rPr>
            <w:rStyle w:val="Hyperlink"/>
            <w:sz w:val="16"/>
            <w:szCs w:val="16"/>
          </w:rPr>
          <w:t>NRL - National Rugby League</w:t>
        </w:r>
      </w:hyperlink>
      <w:r>
        <w:rPr>
          <w:sz w:val="16"/>
          <w:szCs w:val="16"/>
        </w:rPr>
        <w:t xml:space="preserve"> (</w:t>
      </w:r>
      <w:r w:rsidRPr="00BC227E">
        <w:rPr>
          <w:sz w:val="16"/>
          <w:szCs w:val="16"/>
        </w:rPr>
        <w:t>official channel)</w:t>
      </w:r>
      <w:r>
        <w:rPr>
          <w:color w:val="auto"/>
        </w:rPr>
        <w:t>.</w:t>
      </w:r>
    </w:p>
  </w:footnote>
  <w:footnote w:id="39">
    <w:p w14:paraId="121788C4" w14:textId="661CD814" w:rsidR="00682B65" w:rsidRPr="00455C23" w:rsidRDefault="00682B65">
      <w:pPr>
        <w:pStyle w:val="FootnoteText"/>
        <w:rPr>
          <w:sz w:val="16"/>
          <w:szCs w:val="16"/>
        </w:rPr>
      </w:pPr>
      <w:r w:rsidRPr="00455C23">
        <w:rPr>
          <w:rStyle w:val="FootnoteReference"/>
          <w:sz w:val="16"/>
          <w:szCs w:val="16"/>
        </w:rPr>
        <w:footnoteRef/>
      </w:r>
      <w:r w:rsidRPr="00455C23">
        <w:rPr>
          <w:sz w:val="16"/>
          <w:szCs w:val="16"/>
        </w:rPr>
        <w:t xml:space="preserve"> YouTube, </w:t>
      </w:r>
      <w:hyperlink r:id="rId31" w:history="1">
        <w:r w:rsidRPr="00455C23">
          <w:rPr>
            <w:rStyle w:val="Hyperlink"/>
            <w:sz w:val="16"/>
            <w:szCs w:val="16"/>
          </w:rPr>
          <w:t>Olympics</w:t>
        </w:r>
      </w:hyperlink>
      <w:r w:rsidRPr="00455C23">
        <w:rPr>
          <w:sz w:val="16"/>
          <w:szCs w:val="16"/>
        </w:rPr>
        <w:t xml:space="preserve"> (official channel)</w:t>
      </w:r>
      <w:r w:rsidRPr="00455C23">
        <w:rPr>
          <w:color w:val="auto"/>
          <w:sz w:val="16"/>
          <w:szCs w:val="16"/>
        </w:rPr>
        <w:t>.</w:t>
      </w:r>
    </w:p>
  </w:footnote>
  <w:footnote w:id="40">
    <w:p w14:paraId="67CC53D2" w14:textId="7B9A72D2" w:rsidR="00682B65" w:rsidRPr="00455C23" w:rsidRDefault="00682B65" w:rsidP="00455C23">
      <w:pPr>
        <w:pStyle w:val="FootnoteText"/>
        <w:ind w:left="0" w:firstLine="0"/>
      </w:pPr>
      <w:r w:rsidRPr="00455C23">
        <w:rPr>
          <w:rStyle w:val="FootnoteReference"/>
          <w:sz w:val="16"/>
          <w:szCs w:val="16"/>
        </w:rPr>
        <w:footnoteRef/>
      </w:r>
      <w:r w:rsidRPr="00455C23">
        <w:rPr>
          <w:sz w:val="16"/>
          <w:szCs w:val="16"/>
        </w:rPr>
        <w:t xml:space="preserve"> YouTube, </w:t>
      </w:r>
      <w:hyperlink r:id="rId32" w:history="1">
        <w:r w:rsidRPr="00455C23">
          <w:rPr>
            <w:rStyle w:val="Hyperlink"/>
            <w:sz w:val="16"/>
            <w:szCs w:val="16"/>
          </w:rPr>
          <w:t>The New Home of NFL Sunday Ticket | Save $50 now (youtube.com)</w:t>
        </w:r>
      </w:hyperlink>
    </w:p>
  </w:footnote>
  <w:footnote w:id="41">
    <w:p w14:paraId="0E3B3A4D" w14:textId="7CCAF397" w:rsidR="00682B65" w:rsidRPr="00455C23" w:rsidRDefault="00682B65">
      <w:pPr>
        <w:pStyle w:val="FootnoteText"/>
      </w:pPr>
      <w:r w:rsidRPr="00455C23">
        <w:rPr>
          <w:rStyle w:val="FootnoteReference"/>
        </w:rPr>
        <w:footnoteRef/>
      </w:r>
      <w:r w:rsidRPr="00455C23">
        <w:t xml:space="preserve"> </w:t>
      </w:r>
      <w:r w:rsidRPr="00455C23">
        <w:rPr>
          <w:sz w:val="16"/>
          <w:szCs w:val="16"/>
        </w:rPr>
        <w:t>Explicit costs include subscription fees or pay-per-view charges, charged by the content service provider or an intermediary, to access the coverage of the event.</w:t>
      </w:r>
    </w:p>
  </w:footnote>
  <w:footnote w:id="42">
    <w:p w14:paraId="60ABDAA7" w14:textId="6F33D048" w:rsidR="00682B65" w:rsidRPr="00AF2E66" w:rsidRDefault="00682B65" w:rsidP="005A786B">
      <w:pPr>
        <w:pStyle w:val="FootnoteText"/>
        <w:ind w:left="153" w:hanging="153"/>
        <w:rPr>
          <w:sz w:val="16"/>
          <w:szCs w:val="16"/>
          <w:lang w:val="en-US"/>
        </w:rPr>
      </w:pPr>
      <w:r w:rsidRPr="00455C23">
        <w:rPr>
          <w:rStyle w:val="FootnoteReference"/>
          <w:sz w:val="16"/>
          <w:szCs w:val="16"/>
        </w:rPr>
        <w:footnoteRef/>
      </w:r>
      <w:r w:rsidRPr="00455C23">
        <w:rPr>
          <w:sz w:val="16"/>
          <w:szCs w:val="16"/>
        </w:rPr>
        <w:t xml:space="preserve"> Kantar (1 May 2023), </w:t>
      </w:r>
      <w:hyperlink r:id="rId33" w:history="1">
        <w:r w:rsidRPr="00455C23">
          <w:rPr>
            <w:rStyle w:val="Hyperlink"/>
            <w:sz w:val="16"/>
            <w:szCs w:val="16"/>
          </w:rPr>
          <w:t>Australian streaming market stabilises despite 1.1 million cancellations</w:t>
        </w:r>
      </w:hyperlink>
      <w:r w:rsidRPr="00422881">
        <w:rPr>
          <w:sz w:val="16"/>
          <w:szCs w:val="16"/>
        </w:rPr>
        <w:t>.</w:t>
      </w:r>
      <w:r>
        <w:rPr>
          <w:sz w:val="16"/>
          <w:szCs w:val="16"/>
        </w:rPr>
        <w:t xml:space="preserve"> </w:t>
      </w:r>
    </w:p>
  </w:footnote>
  <w:footnote w:id="43">
    <w:p w14:paraId="3BF02371" w14:textId="31CA4CDF" w:rsidR="00682B65" w:rsidRDefault="00682B65">
      <w:pPr>
        <w:pStyle w:val="FootnoteText"/>
      </w:pPr>
      <w:r>
        <w:rPr>
          <w:rStyle w:val="FootnoteReference"/>
        </w:rPr>
        <w:footnoteRef/>
      </w:r>
      <w:r>
        <w:rPr>
          <w:sz w:val="16"/>
          <w:szCs w:val="16"/>
        </w:rPr>
        <w:t xml:space="preserve"> </w:t>
      </w:r>
      <w:r w:rsidRPr="00787DB9">
        <w:rPr>
          <w:sz w:val="16"/>
          <w:szCs w:val="16"/>
        </w:rPr>
        <w:t>Telsyte</w:t>
      </w:r>
      <w:r>
        <w:rPr>
          <w:sz w:val="16"/>
          <w:szCs w:val="16"/>
        </w:rPr>
        <w:t xml:space="preserve"> (17 August 2020)</w:t>
      </w:r>
      <w:r w:rsidRPr="00787DB9">
        <w:rPr>
          <w:sz w:val="16"/>
          <w:szCs w:val="16"/>
        </w:rPr>
        <w:t xml:space="preserve">, </w:t>
      </w:r>
      <w:hyperlink r:id="rId34" w:history="1">
        <w:r w:rsidRPr="00787DB9">
          <w:rPr>
            <w:rStyle w:val="Hyperlink"/>
            <w:sz w:val="16"/>
            <w:szCs w:val="16"/>
          </w:rPr>
          <w:t>Subscription home entertainment soars in Australia</w:t>
        </w:r>
      </w:hyperlink>
      <w:r>
        <w:rPr>
          <w:sz w:val="16"/>
          <w:szCs w:val="16"/>
        </w:rPr>
        <w:t>.</w:t>
      </w:r>
    </w:p>
  </w:footnote>
  <w:footnote w:id="44">
    <w:p w14:paraId="068C79AD" w14:textId="38F3E473" w:rsidR="00682B65" w:rsidRPr="00AF2E66" w:rsidRDefault="00682B65" w:rsidP="00716551">
      <w:pPr>
        <w:pStyle w:val="FootnoteText"/>
        <w:ind w:left="153" w:hanging="153"/>
        <w:rPr>
          <w:sz w:val="16"/>
          <w:szCs w:val="16"/>
          <w:lang w:val="en-US"/>
        </w:rPr>
      </w:pPr>
      <w:r w:rsidRPr="00AF2E66">
        <w:rPr>
          <w:rStyle w:val="FootnoteReference"/>
          <w:sz w:val="16"/>
          <w:szCs w:val="16"/>
        </w:rPr>
        <w:footnoteRef/>
      </w:r>
      <w:r w:rsidRPr="00AF2E66">
        <w:rPr>
          <w:sz w:val="16"/>
          <w:szCs w:val="16"/>
        </w:rPr>
        <w:t xml:space="preserve"> </w:t>
      </w:r>
      <w:r w:rsidRPr="00422881">
        <w:rPr>
          <w:sz w:val="16"/>
          <w:szCs w:val="16"/>
          <w:lang w:val="en-US"/>
        </w:rPr>
        <w:t>Telsyte (</w:t>
      </w:r>
      <w:r>
        <w:rPr>
          <w:sz w:val="16"/>
          <w:szCs w:val="16"/>
          <w:lang w:val="en-US"/>
        </w:rPr>
        <w:t>29 August</w:t>
      </w:r>
      <w:r>
        <w:rPr>
          <w:sz w:val="16"/>
          <w:szCs w:val="16"/>
        </w:rPr>
        <w:t xml:space="preserve"> 2022</w:t>
      </w:r>
      <w:r w:rsidRPr="00364598">
        <w:rPr>
          <w:sz w:val="16"/>
          <w:szCs w:val="16"/>
        </w:rPr>
        <w:t xml:space="preserve">), </w:t>
      </w:r>
      <w:hyperlink r:id="rId35" w:history="1">
        <w:r>
          <w:rPr>
            <w:rStyle w:val="Hyperlink"/>
            <w:sz w:val="16"/>
            <w:szCs w:val="16"/>
          </w:rPr>
          <w:t>Subscription entertainment defies rising cost of living pressures</w:t>
        </w:r>
      </w:hyperlink>
      <w:r w:rsidRPr="00364598">
        <w:rPr>
          <w:rStyle w:val="Hyperlink"/>
          <w:color w:val="auto"/>
          <w:sz w:val="16"/>
          <w:szCs w:val="16"/>
          <w:u w:val="none"/>
        </w:rPr>
        <w:t>.</w:t>
      </w:r>
    </w:p>
  </w:footnote>
  <w:footnote w:id="45">
    <w:p w14:paraId="56248A3C" w14:textId="7F8FD6A8" w:rsidR="00682B65" w:rsidRPr="00CC398D" w:rsidRDefault="00682B65" w:rsidP="005D47DA">
      <w:pPr>
        <w:pStyle w:val="FootnoteText"/>
        <w:ind w:left="142" w:hanging="142"/>
        <w:rPr>
          <w:sz w:val="16"/>
          <w:szCs w:val="16"/>
        </w:rPr>
      </w:pPr>
      <w:r w:rsidRPr="00CC398D">
        <w:rPr>
          <w:rStyle w:val="FootnoteReference"/>
          <w:sz w:val="16"/>
          <w:szCs w:val="16"/>
        </w:rPr>
        <w:footnoteRef/>
      </w:r>
      <w:r w:rsidRPr="00CC398D">
        <w:rPr>
          <w:sz w:val="16"/>
          <w:szCs w:val="16"/>
        </w:rPr>
        <w:t xml:space="preserve"> Australian Communications and Media Authority (2023), </w:t>
      </w:r>
      <w:hyperlink r:id="rId36" w:history="1">
        <w:r w:rsidRPr="00CC398D">
          <w:rPr>
            <w:rStyle w:val="Hyperlink"/>
            <w:sz w:val="16"/>
            <w:szCs w:val="16"/>
          </w:rPr>
          <w:t>Communications and media in Australia: Trends and developments in viewing and listening 2021–22</w:t>
        </w:r>
      </w:hyperlink>
      <w:r w:rsidRPr="00CC398D">
        <w:rPr>
          <w:sz w:val="16"/>
          <w:szCs w:val="16"/>
        </w:rPr>
        <w:t>, p 9.</w:t>
      </w:r>
      <w:r>
        <w:rPr>
          <w:sz w:val="16"/>
          <w:szCs w:val="16"/>
        </w:rPr>
        <w:t xml:space="preserve"> </w:t>
      </w:r>
      <w:r w:rsidRPr="005A2250">
        <w:rPr>
          <w:sz w:val="16"/>
          <w:szCs w:val="16"/>
        </w:rPr>
        <w:t xml:space="preserve">The </w:t>
      </w:r>
      <w:r>
        <w:rPr>
          <w:sz w:val="16"/>
          <w:szCs w:val="16"/>
        </w:rPr>
        <w:t>five</w:t>
      </w:r>
      <w:r w:rsidRPr="005A2250">
        <w:rPr>
          <w:sz w:val="16"/>
          <w:szCs w:val="16"/>
        </w:rPr>
        <w:t xml:space="preserve"> SVOD services which reported data </w:t>
      </w:r>
      <w:r>
        <w:rPr>
          <w:sz w:val="16"/>
          <w:szCs w:val="16"/>
        </w:rPr>
        <w:t>(</w:t>
      </w:r>
      <w:r w:rsidRPr="005A2250">
        <w:rPr>
          <w:sz w:val="16"/>
          <w:szCs w:val="16"/>
        </w:rPr>
        <w:t>Netflix, Stan, Amazon Prime Video, Paramount+ and Disney+</w:t>
      </w:r>
      <w:r>
        <w:rPr>
          <w:sz w:val="16"/>
          <w:szCs w:val="16"/>
        </w:rPr>
        <w:t xml:space="preserve">), </w:t>
      </w:r>
      <w:r w:rsidRPr="005A2250">
        <w:rPr>
          <w:sz w:val="16"/>
          <w:szCs w:val="16"/>
        </w:rPr>
        <w:t>included</w:t>
      </w:r>
      <w:r>
        <w:rPr>
          <w:sz w:val="16"/>
          <w:szCs w:val="16"/>
        </w:rPr>
        <w:t>.</w:t>
      </w:r>
      <w:r w:rsidRPr="005A2250">
        <w:rPr>
          <w:sz w:val="16"/>
          <w:szCs w:val="16"/>
        </w:rPr>
        <w:t xml:space="preserve"> Services such as Kayo and Optus sport did not report data and are not included.</w:t>
      </w:r>
    </w:p>
  </w:footnote>
  <w:footnote w:id="46">
    <w:p w14:paraId="52D7F5F7" w14:textId="4C2AE4CA" w:rsidR="00682B65" w:rsidRPr="00716551" w:rsidRDefault="00682B65" w:rsidP="00716551">
      <w:pPr>
        <w:pStyle w:val="FootnoteText"/>
        <w:ind w:left="153" w:hanging="153"/>
        <w:rPr>
          <w:sz w:val="16"/>
          <w:szCs w:val="16"/>
          <w:lang w:val="en-US"/>
        </w:rPr>
      </w:pPr>
      <w:r w:rsidRPr="00716551">
        <w:rPr>
          <w:rStyle w:val="FootnoteReference"/>
          <w:sz w:val="16"/>
          <w:szCs w:val="16"/>
        </w:rPr>
        <w:footnoteRef/>
      </w:r>
      <w:r w:rsidRPr="00716551">
        <w:rPr>
          <w:sz w:val="16"/>
          <w:szCs w:val="16"/>
        </w:rPr>
        <w:t xml:space="preserve"> </w:t>
      </w:r>
      <w:r w:rsidRPr="00422881">
        <w:rPr>
          <w:rStyle w:val="Hyperlink"/>
          <w:color w:val="auto"/>
          <w:sz w:val="16"/>
          <w:szCs w:val="16"/>
          <w:u w:val="none"/>
        </w:rPr>
        <w:t xml:space="preserve">Deloitte (2022), </w:t>
      </w:r>
      <w:hyperlink r:id="rId37" w:history="1">
        <w:r w:rsidRPr="00422881">
          <w:rPr>
            <w:rStyle w:val="Hyperlink"/>
            <w:sz w:val="16"/>
            <w:szCs w:val="16"/>
          </w:rPr>
          <w:t>Media Consumer Survey 2022</w:t>
        </w:r>
      </w:hyperlink>
      <w:r w:rsidRPr="00422881">
        <w:rPr>
          <w:rStyle w:val="Hyperlink"/>
          <w:color w:val="auto"/>
          <w:sz w:val="16"/>
          <w:szCs w:val="16"/>
          <w:u w:val="none"/>
        </w:rPr>
        <w:t>, p35</w:t>
      </w:r>
      <w:r>
        <w:rPr>
          <w:rStyle w:val="Hyperlink"/>
          <w:color w:val="auto"/>
          <w:sz w:val="16"/>
          <w:szCs w:val="16"/>
          <w:u w:val="none"/>
        </w:rPr>
        <w:t>.</w:t>
      </w:r>
    </w:p>
  </w:footnote>
  <w:footnote w:id="47">
    <w:p w14:paraId="4203DA39" w14:textId="2497F9AB" w:rsidR="00682B65" w:rsidRPr="00AF2E66" w:rsidRDefault="00682B65" w:rsidP="00716551">
      <w:pPr>
        <w:pStyle w:val="FootnoteText"/>
        <w:ind w:left="153" w:hanging="153"/>
        <w:rPr>
          <w:sz w:val="16"/>
          <w:szCs w:val="16"/>
        </w:rPr>
      </w:pPr>
      <w:r w:rsidRPr="00716551">
        <w:rPr>
          <w:rStyle w:val="FootnoteReference"/>
          <w:sz w:val="16"/>
          <w:szCs w:val="16"/>
        </w:rPr>
        <w:footnoteRef/>
      </w:r>
      <w:r w:rsidRPr="00716551">
        <w:rPr>
          <w:sz w:val="16"/>
          <w:szCs w:val="16"/>
        </w:rPr>
        <w:t xml:space="preserve"> </w:t>
      </w:r>
      <w:r w:rsidRPr="00422881">
        <w:rPr>
          <w:sz w:val="16"/>
          <w:szCs w:val="16"/>
        </w:rPr>
        <w:t xml:space="preserve">Foxtel Group (2023), </w:t>
      </w:r>
      <w:hyperlink r:id="rId38" w:history="1">
        <w:r>
          <w:rPr>
            <w:rStyle w:val="Hyperlink"/>
            <w:sz w:val="16"/>
            <w:szCs w:val="16"/>
          </w:rPr>
          <w:t>Foxtel Group Fiscal 2023 Fourth Quarter and Full Year Earnings</w:t>
        </w:r>
      </w:hyperlink>
      <w:r>
        <w:rPr>
          <w:rStyle w:val="Hyperlink"/>
          <w:sz w:val="16"/>
          <w:szCs w:val="16"/>
        </w:rPr>
        <w:t>.</w:t>
      </w:r>
    </w:p>
  </w:footnote>
  <w:footnote w:id="48">
    <w:p w14:paraId="28D7A037" w14:textId="7551D841" w:rsidR="00682B65" w:rsidRPr="00AF2E66" w:rsidRDefault="00682B65" w:rsidP="00D457D3">
      <w:pPr>
        <w:pStyle w:val="FootnoteText"/>
        <w:ind w:left="142" w:hanging="142"/>
        <w:rPr>
          <w:sz w:val="16"/>
          <w:szCs w:val="16"/>
          <w:lang w:val="en-US"/>
        </w:rPr>
      </w:pPr>
      <w:r w:rsidRPr="00AF2E66">
        <w:rPr>
          <w:rStyle w:val="FootnoteReference"/>
          <w:sz w:val="16"/>
          <w:szCs w:val="16"/>
        </w:rPr>
        <w:footnoteRef/>
      </w:r>
      <w:r w:rsidRPr="00AF2E66">
        <w:rPr>
          <w:sz w:val="16"/>
          <w:szCs w:val="16"/>
        </w:rPr>
        <w:t xml:space="preserve"> </w:t>
      </w:r>
      <w:r w:rsidRPr="00422881">
        <w:rPr>
          <w:sz w:val="16"/>
          <w:szCs w:val="16"/>
        </w:rPr>
        <w:t>Sing</w:t>
      </w:r>
      <w:r>
        <w:rPr>
          <w:sz w:val="16"/>
          <w:szCs w:val="16"/>
        </w:rPr>
        <w:t>t</w:t>
      </w:r>
      <w:r w:rsidRPr="00422881">
        <w:rPr>
          <w:sz w:val="16"/>
          <w:szCs w:val="16"/>
        </w:rPr>
        <w:t xml:space="preserve">el (2023), </w:t>
      </w:r>
      <w:hyperlink r:id="rId39" w:history="1">
        <w:r>
          <w:rPr>
            <w:rStyle w:val="Hyperlink"/>
            <w:sz w:val="16"/>
            <w:szCs w:val="16"/>
          </w:rPr>
          <w:t>Singapore Telecommunications Limited and Subsidiary Companies: Management Discussion and Analysis of Financial Condition, Results of Operations and Cash Flows for the second half and financial year ended 31 March 2023</w:t>
        </w:r>
      </w:hyperlink>
      <w:r w:rsidRPr="00422881">
        <w:rPr>
          <w:sz w:val="16"/>
          <w:szCs w:val="16"/>
        </w:rPr>
        <w:t>, p43</w:t>
      </w:r>
      <w:r>
        <w:rPr>
          <w:sz w:val="16"/>
          <w:szCs w:val="16"/>
        </w:rPr>
        <w:t>.</w:t>
      </w:r>
    </w:p>
  </w:footnote>
  <w:footnote w:id="49">
    <w:p w14:paraId="732A19D8" w14:textId="5FE22C39" w:rsidR="00682B65" w:rsidRPr="00AF2E66" w:rsidRDefault="00682B65" w:rsidP="00CB097E">
      <w:pPr>
        <w:pStyle w:val="FootnoteText"/>
        <w:rPr>
          <w:sz w:val="16"/>
          <w:szCs w:val="16"/>
          <w:lang w:val="en-US"/>
        </w:rPr>
      </w:pPr>
      <w:r w:rsidRPr="00AF2E66">
        <w:rPr>
          <w:rStyle w:val="FootnoteReference"/>
          <w:sz w:val="16"/>
          <w:szCs w:val="16"/>
        </w:rPr>
        <w:footnoteRef/>
      </w:r>
      <w:r w:rsidRPr="00AF2E66">
        <w:rPr>
          <w:sz w:val="16"/>
          <w:szCs w:val="16"/>
        </w:rPr>
        <w:t xml:space="preserve"> Coalition of Major Professional and Participation Sports (2022), </w:t>
      </w:r>
      <w:hyperlink r:id="rId40" w:history="1">
        <w:r w:rsidRPr="00AF2E66">
          <w:rPr>
            <w:rStyle w:val="Hyperlink"/>
            <w:sz w:val="16"/>
            <w:szCs w:val="16"/>
          </w:rPr>
          <w:t>Submission of COMPPS to the review of the anti-siphoning scheme</w:t>
        </w:r>
      </w:hyperlink>
      <w:r w:rsidRPr="00AF2E66">
        <w:rPr>
          <w:sz w:val="16"/>
          <w:szCs w:val="16"/>
        </w:rPr>
        <w:t>, p2</w:t>
      </w:r>
      <w:r>
        <w:rPr>
          <w:sz w:val="16"/>
          <w:szCs w:val="16"/>
        </w:rPr>
        <w:t>.</w:t>
      </w:r>
    </w:p>
  </w:footnote>
  <w:footnote w:id="50">
    <w:p w14:paraId="312E78B1" w14:textId="02C7753B" w:rsidR="00682B65" w:rsidRPr="00D457D3" w:rsidRDefault="00682B65" w:rsidP="00FB15DF">
      <w:pPr>
        <w:pStyle w:val="FootnoteText"/>
        <w:rPr>
          <w:rFonts w:cstheme="minorHAnsi"/>
          <w:sz w:val="16"/>
          <w:szCs w:val="16"/>
          <w:lang w:val="en-US"/>
        </w:rPr>
      </w:pPr>
      <w:r w:rsidRPr="00165BEC">
        <w:rPr>
          <w:rStyle w:val="FootnoteReference"/>
          <w:sz w:val="16"/>
          <w:szCs w:val="16"/>
        </w:rPr>
        <w:footnoteRef/>
      </w:r>
      <w:r w:rsidRPr="00165BEC">
        <w:rPr>
          <w:sz w:val="16"/>
          <w:szCs w:val="16"/>
        </w:rPr>
        <w:t xml:space="preserve"> </w:t>
      </w:r>
      <w:r w:rsidRPr="00D92C74">
        <w:rPr>
          <w:sz w:val="16"/>
          <w:szCs w:val="16"/>
        </w:rPr>
        <w:t xml:space="preserve">Free TV Australia (2022), </w:t>
      </w:r>
      <w:hyperlink r:id="rId41" w:history="1">
        <w:r w:rsidRPr="00D92C74">
          <w:rPr>
            <w:rStyle w:val="Hyperlink"/>
            <w:sz w:val="16"/>
            <w:szCs w:val="16"/>
          </w:rPr>
          <w:t>Response to the anti-siphoning scheme consultation paper</w:t>
        </w:r>
      </w:hyperlink>
      <w:r w:rsidRPr="00D92C74">
        <w:rPr>
          <w:sz w:val="16"/>
          <w:szCs w:val="16"/>
        </w:rPr>
        <w:t>, p1</w:t>
      </w:r>
      <w:r>
        <w:rPr>
          <w:sz w:val="16"/>
          <w:szCs w:val="16"/>
        </w:rPr>
        <w:t>5.</w:t>
      </w:r>
    </w:p>
  </w:footnote>
  <w:footnote w:id="51">
    <w:p w14:paraId="5ED8F6A4" w14:textId="77777777" w:rsidR="00682B65" w:rsidRPr="0091450F" w:rsidRDefault="00682B65">
      <w:pPr>
        <w:pStyle w:val="FootnoteText"/>
        <w:rPr>
          <w:sz w:val="16"/>
          <w:szCs w:val="16"/>
          <w:lang w:val="en-US"/>
        </w:rPr>
      </w:pPr>
      <w:r w:rsidRPr="0091450F">
        <w:rPr>
          <w:rStyle w:val="FootnoteReference"/>
          <w:sz w:val="16"/>
          <w:szCs w:val="16"/>
        </w:rPr>
        <w:footnoteRef/>
      </w:r>
      <w:r w:rsidRPr="00FB15DF">
        <w:rPr>
          <w:sz w:val="16"/>
          <w:szCs w:val="16"/>
        </w:rPr>
        <w:t xml:space="preserve"> Ibid</w:t>
      </w:r>
    </w:p>
  </w:footnote>
  <w:footnote w:id="52">
    <w:p w14:paraId="447AD156" w14:textId="38E908D7" w:rsidR="00682B65" w:rsidRPr="006642B1" w:rsidRDefault="00682B65">
      <w:pPr>
        <w:pStyle w:val="FootnoteText"/>
        <w:rPr>
          <w:sz w:val="16"/>
          <w:szCs w:val="16"/>
          <w:lang w:val="en-US"/>
        </w:rPr>
      </w:pPr>
      <w:r w:rsidRPr="0091450F">
        <w:rPr>
          <w:rStyle w:val="FootnoteReference"/>
          <w:sz w:val="16"/>
          <w:szCs w:val="16"/>
        </w:rPr>
        <w:footnoteRef/>
      </w:r>
      <w:r w:rsidRPr="0091450F">
        <w:rPr>
          <w:sz w:val="16"/>
          <w:szCs w:val="16"/>
        </w:rPr>
        <w:t xml:space="preserve"> </w:t>
      </w:r>
      <w:r w:rsidRPr="006642B1">
        <w:rPr>
          <w:sz w:val="16"/>
          <w:szCs w:val="16"/>
          <w:lang w:val="en-US"/>
        </w:rPr>
        <w:t>Commonwealth Games Federation Partnerships</w:t>
      </w:r>
      <w:r>
        <w:rPr>
          <w:sz w:val="16"/>
          <w:szCs w:val="16"/>
          <w:lang w:val="en-US"/>
        </w:rPr>
        <w:t xml:space="preserve"> (2022)</w:t>
      </w:r>
      <w:r w:rsidRPr="006642B1">
        <w:rPr>
          <w:sz w:val="16"/>
          <w:szCs w:val="16"/>
          <w:lang w:val="en-US"/>
        </w:rPr>
        <w:t xml:space="preserve">, </w:t>
      </w:r>
      <w:hyperlink r:id="rId42" w:history="1">
        <w:r w:rsidRPr="006642B1">
          <w:rPr>
            <w:rStyle w:val="Hyperlink"/>
            <w:sz w:val="16"/>
            <w:szCs w:val="16"/>
            <w:lang w:val="en-US"/>
          </w:rPr>
          <w:t>Review of the Anti-Siphoning Scheme – Response to Consultation Paper</w:t>
        </w:r>
      </w:hyperlink>
      <w:r w:rsidRPr="006642B1">
        <w:rPr>
          <w:sz w:val="16"/>
          <w:szCs w:val="16"/>
          <w:lang w:val="en-US"/>
        </w:rPr>
        <w:t>, p1.</w:t>
      </w:r>
    </w:p>
  </w:footnote>
  <w:footnote w:id="53">
    <w:p w14:paraId="4DA84AC5" w14:textId="5F04E09F" w:rsidR="00682B65" w:rsidRPr="00D44FD2" w:rsidRDefault="00682B65">
      <w:pPr>
        <w:pStyle w:val="FootnoteText"/>
        <w:rPr>
          <w:sz w:val="16"/>
          <w:szCs w:val="16"/>
        </w:rPr>
      </w:pPr>
      <w:r w:rsidRPr="00D44FD2">
        <w:rPr>
          <w:rStyle w:val="FootnoteReference"/>
          <w:sz w:val="16"/>
          <w:szCs w:val="16"/>
        </w:rPr>
        <w:footnoteRef/>
      </w:r>
      <w:r w:rsidRPr="00D44FD2">
        <w:rPr>
          <w:sz w:val="16"/>
          <w:szCs w:val="16"/>
        </w:rPr>
        <w:t xml:space="preserve"> </w:t>
      </w:r>
      <w:r>
        <w:rPr>
          <w:sz w:val="16"/>
          <w:szCs w:val="16"/>
        </w:rPr>
        <w:t xml:space="preserve">Inside 7 (2022), </w:t>
      </w:r>
      <w:hyperlink r:id="rId43" w:history="1">
        <w:r>
          <w:rPr>
            <w:rStyle w:val="Hyperlink"/>
            <w:sz w:val="16"/>
            <w:szCs w:val="16"/>
          </w:rPr>
          <w:t>Seven honoured at Sport Australia Media Awards</w:t>
        </w:r>
      </w:hyperlink>
    </w:p>
  </w:footnote>
  <w:footnote w:id="54">
    <w:p w14:paraId="4D3C8CB5" w14:textId="592A0D4D" w:rsidR="00682B65" w:rsidRPr="008B13AA" w:rsidRDefault="00682B65" w:rsidP="00960B1D">
      <w:pPr>
        <w:pStyle w:val="FootnoteText"/>
        <w:rPr>
          <w:sz w:val="16"/>
          <w:szCs w:val="16"/>
          <w:lang w:val="en-US"/>
        </w:rPr>
      </w:pPr>
      <w:r w:rsidRPr="008B13AA">
        <w:rPr>
          <w:rStyle w:val="FootnoteReference"/>
          <w:sz w:val="16"/>
          <w:szCs w:val="16"/>
        </w:rPr>
        <w:footnoteRef/>
      </w:r>
      <w:r w:rsidRPr="008B13AA">
        <w:rPr>
          <w:sz w:val="16"/>
          <w:szCs w:val="16"/>
        </w:rPr>
        <w:t xml:space="preserve"> </w:t>
      </w:r>
      <w:r w:rsidRPr="008B13AA">
        <w:rPr>
          <w:sz w:val="16"/>
          <w:szCs w:val="16"/>
          <w:lang w:val="en-US"/>
        </w:rPr>
        <w:t>Carp S (4 February 2021)</w:t>
      </w:r>
      <w:r>
        <w:rPr>
          <w:sz w:val="16"/>
          <w:szCs w:val="16"/>
          <w:lang w:val="en-US"/>
        </w:rPr>
        <w:t>,</w:t>
      </w:r>
      <w:r w:rsidRPr="008B13AA">
        <w:rPr>
          <w:sz w:val="16"/>
          <w:szCs w:val="16"/>
          <w:lang w:val="en-US"/>
        </w:rPr>
        <w:t xml:space="preserve"> </w:t>
      </w:r>
      <w:hyperlink r:id="rId44" w:history="1">
        <w:r w:rsidRPr="008B13AA">
          <w:rPr>
            <w:rStyle w:val="Hyperlink"/>
            <w:sz w:val="16"/>
            <w:szCs w:val="16"/>
          </w:rPr>
          <w:t>Amazon dips toe in Australian market with swimming streaming deal</w:t>
        </w:r>
      </w:hyperlink>
      <w:r>
        <w:rPr>
          <w:rStyle w:val="Hyperlink"/>
          <w:sz w:val="16"/>
          <w:szCs w:val="16"/>
        </w:rPr>
        <w:t>,</w:t>
      </w:r>
      <w:r w:rsidRPr="008B13AA">
        <w:rPr>
          <w:sz w:val="16"/>
          <w:szCs w:val="16"/>
        </w:rPr>
        <w:t xml:space="preserve"> Sports Pro Media</w:t>
      </w:r>
      <w:r>
        <w:rPr>
          <w:sz w:val="16"/>
          <w:szCs w:val="16"/>
        </w:rPr>
        <w:t>.</w:t>
      </w:r>
    </w:p>
  </w:footnote>
  <w:footnote w:id="55">
    <w:p w14:paraId="26EEE435" w14:textId="3D4D1F23" w:rsidR="00682B65" w:rsidRPr="00165BEC" w:rsidRDefault="00682B65" w:rsidP="008901D0">
      <w:pPr>
        <w:pStyle w:val="FootnoteText"/>
        <w:rPr>
          <w:sz w:val="16"/>
          <w:szCs w:val="16"/>
          <w:lang w:val="en-US"/>
        </w:rPr>
      </w:pPr>
      <w:r w:rsidRPr="00165BEC">
        <w:rPr>
          <w:rStyle w:val="FootnoteReference"/>
          <w:sz w:val="16"/>
          <w:szCs w:val="16"/>
        </w:rPr>
        <w:footnoteRef/>
      </w:r>
      <w:r>
        <w:rPr>
          <w:sz w:val="16"/>
          <w:szCs w:val="16"/>
          <w:lang w:val="en-US"/>
        </w:rPr>
        <w:t xml:space="preserve"> </w:t>
      </w:r>
      <w:r w:rsidRPr="00E03F65">
        <w:rPr>
          <w:sz w:val="16"/>
          <w:szCs w:val="16"/>
          <w:lang w:val="en-US"/>
        </w:rPr>
        <w:t>Meade A</w:t>
      </w:r>
      <w:r>
        <w:rPr>
          <w:sz w:val="16"/>
          <w:szCs w:val="16"/>
          <w:lang w:val="en-US"/>
        </w:rPr>
        <w:t xml:space="preserve"> (23 June 2023), </w:t>
      </w:r>
      <w:hyperlink r:id="rId45" w:history="1">
        <w:r w:rsidRPr="00E03F65">
          <w:rPr>
            <w:rStyle w:val="Hyperlink"/>
            <w:sz w:val="16"/>
            <w:szCs w:val="16"/>
            <w:lang w:val="en-US"/>
          </w:rPr>
          <w:t>Ten Network drops bid to secure Melbourne Cup rights over Tabcorp deal</w:t>
        </w:r>
      </w:hyperlink>
      <w:r>
        <w:rPr>
          <w:sz w:val="16"/>
          <w:szCs w:val="16"/>
          <w:lang w:val="en-US"/>
        </w:rPr>
        <w:t>, The Guardian.</w:t>
      </w:r>
    </w:p>
  </w:footnote>
  <w:footnote w:id="56">
    <w:p w14:paraId="35B580AC" w14:textId="52B04539" w:rsidR="00682B65" w:rsidRPr="00B5207D" w:rsidRDefault="00682B65">
      <w:pPr>
        <w:pStyle w:val="FootnoteText"/>
        <w:rPr>
          <w:sz w:val="16"/>
          <w:szCs w:val="16"/>
          <w:lang w:val="en-US"/>
        </w:rPr>
      </w:pPr>
      <w:r w:rsidRPr="00B5207D">
        <w:rPr>
          <w:rStyle w:val="FootnoteReference"/>
          <w:sz w:val="16"/>
          <w:szCs w:val="16"/>
        </w:rPr>
        <w:footnoteRef/>
      </w:r>
      <w:r w:rsidRPr="00B5207D">
        <w:rPr>
          <w:sz w:val="16"/>
          <w:szCs w:val="16"/>
        </w:rPr>
        <w:t xml:space="preserve"> </w:t>
      </w:r>
      <w:r w:rsidRPr="00B5207D">
        <w:rPr>
          <w:sz w:val="16"/>
          <w:szCs w:val="16"/>
          <w:lang w:val="en-US"/>
        </w:rPr>
        <w:t>Optus Sport (</w:t>
      </w:r>
      <w:r>
        <w:rPr>
          <w:sz w:val="16"/>
          <w:szCs w:val="16"/>
          <w:lang w:val="en-US"/>
        </w:rPr>
        <w:t xml:space="preserve">3 August </w:t>
      </w:r>
      <w:r w:rsidRPr="00B5207D">
        <w:rPr>
          <w:sz w:val="16"/>
          <w:szCs w:val="16"/>
          <w:lang w:val="en-US"/>
        </w:rPr>
        <w:t xml:space="preserve">2021), </w:t>
      </w:r>
      <w:hyperlink r:id="rId46" w:history="1">
        <w:r w:rsidRPr="00B5207D">
          <w:rPr>
            <w:rStyle w:val="Hyperlink"/>
            <w:sz w:val="16"/>
            <w:szCs w:val="16"/>
            <w:lang w:val="en-US"/>
          </w:rPr>
          <w:t>Optus Sport secures media rights to the FIFA Women’s World Cup 2023</w:t>
        </w:r>
      </w:hyperlink>
      <w:r w:rsidRPr="00B5207D">
        <w:rPr>
          <w:sz w:val="16"/>
          <w:szCs w:val="16"/>
          <w:lang w:val="en-US"/>
        </w:rPr>
        <w:t>.</w:t>
      </w:r>
    </w:p>
  </w:footnote>
  <w:footnote w:id="57">
    <w:p w14:paraId="0F1621E6" w14:textId="4F5C8ECC" w:rsidR="00682B65" w:rsidRPr="00524091" w:rsidRDefault="00682B65" w:rsidP="005A0427">
      <w:pPr>
        <w:pStyle w:val="FootnoteText"/>
        <w:rPr>
          <w:sz w:val="16"/>
          <w:szCs w:val="16"/>
        </w:rPr>
      </w:pPr>
      <w:r w:rsidRPr="00524091">
        <w:rPr>
          <w:rStyle w:val="FootnoteReference"/>
          <w:sz w:val="16"/>
          <w:szCs w:val="16"/>
        </w:rPr>
        <w:footnoteRef/>
      </w:r>
      <w:r w:rsidRPr="00524091">
        <w:rPr>
          <w:sz w:val="16"/>
          <w:szCs w:val="16"/>
        </w:rPr>
        <w:t xml:space="preserve"> </w:t>
      </w:r>
      <w:r w:rsidRPr="00DE12E5">
        <w:rPr>
          <w:sz w:val="16"/>
          <w:szCs w:val="16"/>
        </w:rPr>
        <w:t>7news.com.au</w:t>
      </w:r>
      <w:r>
        <w:rPr>
          <w:sz w:val="16"/>
          <w:szCs w:val="16"/>
        </w:rPr>
        <w:t xml:space="preserve"> (31 October 2022),</w:t>
      </w:r>
      <w:r w:rsidRPr="00524091">
        <w:rPr>
          <w:sz w:val="16"/>
          <w:szCs w:val="16"/>
        </w:rPr>
        <w:t xml:space="preserve"> </w:t>
      </w:r>
      <w:hyperlink r:id="rId47" w:history="1">
        <w:r>
          <w:rPr>
            <w:rStyle w:val="Hyperlink"/>
            <w:sz w:val="16"/>
            <w:szCs w:val="16"/>
          </w:rPr>
          <w:t>Women’s World Cup live and free on Seven and 7plus in 2023, Matildas match times and venues revealed</w:t>
        </w:r>
      </w:hyperlink>
      <w:r w:rsidRPr="00524091">
        <w:rPr>
          <w:sz w:val="16"/>
          <w:szCs w:val="16"/>
        </w:rPr>
        <w:t>.</w:t>
      </w:r>
    </w:p>
  </w:footnote>
  <w:footnote w:id="58">
    <w:p w14:paraId="5F1F3F1B" w14:textId="50E14A05" w:rsidR="00682B65" w:rsidRPr="00B5207D" w:rsidRDefault="00682B65" w:rsidP="008901D0">
      <w:pPr>
        <w:pStyle w:val="FootnoteText"/>
        <w:rPr>
          <w:sz w:val="16"/>
          <w:szCs w:val="16"/>
          <w:lang w:val="en-US"/>
        </w:rPr>
      </w:pPr>
      <w:r w:rsidRPr="00B5207D">
        <w:rPr>
          <w:rStyle w:val="FootnoteReference"/>
          <w:sz w:val="16"/>
          <w:szCs w:val="16"/>
        </w:rPr>
        <w:footnoteRef/>
      </w:r>
      <w:r w:rsidRPr="00B5207D">
        <w:rPr>
          <w:sz w:val="16"/>
          <w:szCs w:val="16"/>
        </w:rPr>
        <w:t xml:space="preserve"> Nielsen (2022), </w:t>
      </w:r>
      <w:hyperlink r:id="rId48" w:history="1">
        <w:r w:rsidRPr="002D673F">
          <w:rPr>
            <w:rStyle w:val="Hyperlink"/>
            <w:sz w:val="16"/>
            <w:szCs w:val="16"/>
          </w:rPr>
          <w:t>Global Sports Marketing Report</w:t>
        </w:r>
      </w:hyperlink>
      <w:r w:rsidRPr="002D673F">
        <w:rPr>
          <w:sz w:val="16"/>
          <w:szCs w:val="16"/>
        </w:rPr>
        <w:t>, p5.</w:t>
      </w:r>
    </w:p>
  </w:footnote>
  <w:footnote w:id="59">
    <w:p w14:paraId="4CC4E4BF" w14:textId="6DE193A1" w:rsidR="00682B65" w:rsidRPr="00B5207D" w:rsidRDefault="00682B65">
      <w:pPr>
        <w:pStyle w:val="FootnoteText"/>
        <w:rPr>
          <w:sz w:val="16"/>
          <w:szCs w:val="16"/>
          <w:lang w:val="en-US"/>
        </w:rPr>
      </w:pPr>
      <w:r w:rsidRPr="00B5207D">
        <w:rPr>
          <w:rStyle w:val="FootnoteReference"/>
          <w:sz w:val="16"/>
          <w:szCs w:val="16"/>
        </w:rPr>
        <w:footnoteRef/>
      </w:r>
      <w:r w:rsidRPr="00B5207D">
        <w:rPr>
          <w:sz w:val="16"/>
          <w:szCs w:val="16"/>
        </w:rPr>
        <w:t xml:space="preserve"> </w:t>
      </w:r>
      <w:r w:rsidRPr="00B5207D">
        <w:rPr>
          <w:sz w:val="16"/>
          <w:szCs w:val="16"/>
          <w:lang w:val="en-US"/>
        </w:rPr>
        <w:t xml:space="preserve">Ampere Analysis (2022), </w:t>
      </w:r>
      <w:hyperlink r:id="rId49" w:history="1">
        <w:r w:rsidRPr="00B5207D">
          <w:rPr>
            <w:rStyle w:val="Hyperlink"/>
            <w:sz w:val="16"/>
            <w:szCs w:val="16"/>
            <w:lang w:val="en-US"/>
          </w:rPr>
          <w:t xml:space="preserve">Trends and Dynamics in the Sports Broadcasting Sector – Abridged Report for </w:t>
        </w:r>
        <w:r w:rsidRPr="00B5207D">
          <w:rPr>
            <w:rStyle w:val="Hyperlink"/>
            <w:sz w:val="16"/>
            <w:szCs w:val="16"/>
            <w:lang w:val="en-US"/>
          </w:rPr>
          <w:t>Ofcom Analysis</w:t>
        </w:r>
      </w:hyperlink>
      <w:r w:rsidRPr="00B5207D">
        <w:rPr>
          <w:sz w:val="16"/>
          <w:szCs w:val="16"/>
          <w:lang w:val="en-US"/>
        </w:rPr>
        <w:t>, p23.</w:t>
      </w:r>
    </w:p>
  </w:footnote>
  <w:footnote w:id="60">
    <w:p w14:paraId="3888497B" w14:textId="77777777" w:rsidR="00682B65" w:rsidRPr="00B5207D" w:rsidRDefault="00682B65">
      <w:pPr>
        <w:pStyle w:val="FootnoteText"/>
        <w:rPr>
          <w:sz w:val="16"/>
          <w:szCs w:val="16"/>
          <w:lang w:val="en-US"/>
        </w:rPr>
      </w:pPr>
      <w:r w:rsidRPr="00B5207D">
        <w:rPr>
          <w:rStyle w:val="FootnoteReference"/>
          <w:sz w:val="16"/>
          <w:szCs w:val="16"/>
        </w:rPr>
        <w:footnoteRef/>
      </w:r>
      <w:r w:rsidRPr="00B5207D">
        <w:rPr>
          <w:sz w:val="16"/>
          <w:szCs w:val="16"/>
        </w:rPr>
        <w:t xml:space="preserve"> </w:t>
      </w:r>
      <w:r w:rsidRPr="00B5207D">
        <w:rPr>
          <w:sz w:val="16"/>
          <w:szCs w:val="16"/>
          <w:lang w:val="en-US"/>
        </w:rPr>
        <w:t>Ibid</w:t>
      </w:r>
      <w:r>
        <w:rPr>
          <w:sz w:val="16"/>
          <w:szCs w:val="16"/>
        </w:rPr>
        <w:t>.</w:t>
      </w:r>
    </w:p>
  </w:footnote>
  <w:footnote w:id="61">
    <w:p w14:paraId="5F77C235" w14:textId="68AA7BAA" w:rsidR="00682B65" w:rsidRPr="00B5207D" w:rsidRDefault="00682B65" w:rsidP="00723041">
      <w:pPr>
        <w:pStyle w:val="FootnoteText"/>
        <w:ind w:left="142" w:hanging="142"/>
        <w:rPr>
          <w:sz w:val="16"/>
          <w:szCs w:val="16"/>
          <w:lang w:val="en-US"/>
        </w:rPr>
      </w:pPr>
      <w:r w:rsidRPr="00B5207D">
        <w:rPr>
          <w:rStyle w:val="FootnoteReference"/>
          <w:sz w:val="16"/>
          <w:szCs w:val="16"/>
        </w:rPr>
        <w:footnoteRef/>
      </w:r>
      <w:r w:rsidRPr="00B5207D">
        <w:rPr>
          <w:sz w:val="16"/>
          <w:szCs w:val="16"/>
        </w:rPr>
        <w:t xml:space="preserve"> </w:t>
      </w:r>
      <w:r w:rsidRPr="00B5207D">
        <w:rPr>
          <w:sz w:val="16"/>
          <w:szCs w:val="16"/>
          <w:lang w:val="en-US"/>
        </w:rPr>
        <w:t xml:space="preserve">Ampere Analysis (2023), </w:t>
      </w:r>
      <w:hyperlink r:id="rId50" w:history="1">
        <w:r>
          <w:rPr>
            <w:rStyle w:val="Hyperlink"/>
            <w:sz w:val="16"/>
            <w:szCs w:val="16"/>
          </w:rPr>
          <w:t>Streaming services will spend over $8bn on sports</w:t>
        </w:r>
      </w:hyperlink>
      <w:r>
        <w:rPr>
          <w:sz w:val="16"/>
          <w:szCs w:val="16"/>
        </w:rPr>
        <w:t>, p1.</w:t>
      </w:r>
    </w:p>
  </w:footnote>
  <w:footnote w:id="62">
    <w:p w14:paraId="106252E2" w14:textId="6F571D59" w:rsidR="00682B65" w:rsidRPr="00B5207D" w:rsidRDefault="00682B65" w:rsidP="008901D0">
      <w:pPr>
        <w:pStyle w:val="FootnoteText"/>
        <w:rPr>
          <w:sz w:val="16"/>
          <w:szCs w:val="16"/>
          <w:lang w:val="en-US"/>
        </w:rPr>
      </w:pPr>
      <w:r w:rsidRPr="00B5207D">
        <w:rPr>
          <w:rStyle w:val="FootnoteReference"/>
          <w:sz w:val="16"/>
          <w:szCs w:val="16"/>
        </w:rPr>
        <w:footnoteRef/>
      </w:r>
      <w:r>
        <w:rPr>
          <w:sz w:val="16"/>
          <w:szCs w:val="16"/>
          <w:lang w:val="en-US"/>
        </w:rPr>
        <w:t xml:space="preserve"> </w:t>
      </w:r>
      <w:r w:rsidRPr="00B5207D">
        <w:rPr>
          <w:sz w:val="16"/>
          <w:szCs w:val="16"/>
          <w:lang w:val="en-US"/>
        </w:rPr>
        <w:t xml:space="preserve">Rao PS and Draper K (7 June 2018), </w:t>
      </w:r>
      <w:hyperlink r:id="rId51" w:history="1">
        <w:r w:rsidRPr="00B5207D">
          <w:rPr>
            <w:rStyle w:val="Hyperlink"/>
            <w:sz w:val="16"/>
            <w:szCs w:val="16"/>
            <w:lang w:val="en-US"/>
          </w:rPr>
          <w:t>Amazon Wins Exclusive U.K. Rights to Broadcast Some Premier League Matches</w:t>
        </w:r>
      </w:hyperlink>
      <w:r w:rsidRPr="00B5207D">
        <w:rPr>
          <w:sz w:val="16"/>
          <w:szCs w:val="16"/>
          <w:lang w:val="en-US"/>
        </w:rPr>
        <w:t>, The New York Times</w:t>
      </w:r>
      <w:r>
        <w:rPr>
          <w:sz w:val="16"/>
          <w:szCs w:val="16"/>
        </w:rPr>
        <w:t>.</w:t>
      </w:r>
    </w:p>
  </w:footnote>
  <w:footnote w:id="63">
    <w:p w14:paraId="27126399" w14:textId="7C0DC216" w:rsidR="00682B65" w:rsidRPr="00B5207D" w:rsidRDefault="00682B65" w:rsidP="008901D0">
      <w:pPr>
        <w:pStyle w:val="FootnoteText"/>
        <w:rPr>
          <w:sz w:val="16"/>
          <w:szCs w:val="16"/>
          <w:lang w:val="en-US"/>
        </w:rPr>
      </w:pPr>
      <w:r w:rsidRPr="00B5207D">
        <w:rPr>
          <w:rStyle w:val="FootnoteReference"/>
          <w:sz w:val="16"/>
          <w:szCs w:val="16"/>
        </w:rPr>
        <w:footnoteRef/>
      </w:r>
      <w:r w:rsidRPr="00B5207D">
        <w:rPr>
          <w:sz w:val="16"/>
          <w:szCs w:val="16"/>
        </w:rPr>
        <w:t xml:space="preserve"> </w:t>
      </w:r>
      <w:r w:rsidRPr="00B5207D">
        <w:rPr>
          <w:sz w:val="16"/>
          <w:szCs w:val="16"/>
          <w:lang w:val="en-US"/>
        </w:rPr>
        <w:t xml:space="preserve">Sweney M (13 May 2021), </w:t>
      </w:r>
      <w:hyperlink r:id="rId52" w:history="1">
        <w:r w:rsidRPr="00B5207D">
          <w:rPr>
            <w:rStyle w:val="Hyperlink"/>
            <w:sz w:val="16"/>
            <w:szCs w:val="16"/>
            <w:lang w:val="en-US"/>
          </w:rPr>
          <w:t xml:space="preserve">Premier League renews </w:t>
        </w:r>
        <w:r w:rsidRPr="00B5207D">
          <w:rPr>
            <w:rStyle w:val="Hyperlink"/>
            <w:rFonts w:cstheme="minorHAnsi"/>
            <w:sz w:val="16"/>
            <w:szCs w:val="16"/>
            <w:lang w:val="en-US"/>
          </w:rPr>
          <w:t>£</w:t>
        </w:r>
        <w:r w:rsidRPr="00B5207D">
          <w:rPr>
            <w:rStyle w:val="Hyperlink"/>
            <w:sz w:val="16"/>
            <w:szCs w:val="16"/>
            <w:lang w:val="en-US"/>
          </w:rPr>
          <w:t xml:space="preserve">4.8bn TV deal with extra </w:t>
        </w:r>
        <w:r w:rsidRPr="00B5207D">
          <w:rPr>
            <w:rStyle w:val="Hyperlink"/>
            <w:rFonts w:cstheme="minorHAnsi"/>
            <w:sz w:val="16"/>
            <w:szCs w:val="16"/>
            <w:lang w:val="en-US"/>
          </w:rPr>
          <w:t>£</w:t>
        </w:r>
        <w:r w:rsidRPr="00B5207D">
          <w:rPr>
            <w:rStyle w:val="Hyperlink"/>
            <w:sz w:val="16"/>
            <w:szCs w:val="16"/>
            <w:lang w:val="en-US"/>
          </w:rPr>
          <w:t>100m trickle-down funds</w:t>
        </w:r>
      </w:hyperlink>
      <w:r w:rsidRPr="00B5207D">
        <w:rPr>
          <w:sz w:val="16"/>
          <w:szCs w:val="16"/>
          <w:lang w:val="en-US"/>
        </w:rPr>
        <w:t>, The Guardian</w:t>
      </w:r>
      <w:r>
        <w:rPr>
          <w:sz w:val="16"/>
          <w:szCs w:val="16"/>
        </w:rPr>
        <w:t>.</w:t>
      </w:r>
    </w:p>
  </w:footnote>
  <w:footnote w:id="64">
    <w:p w14:paraId="0783A09A" w14:textId="36DBAF6B" w:rsidR="00682B65" w:rsidRPr="00B5207D" w:rsidRDefault="00682B65">
      <w:pPr>
        <w:pStyle w:val="FootnoteText"/>
        <w:rPr>
          <w:sz w:val="16"/>
          <w:szCs w:val="16"/>
        </w:rPr>
      </w:pPr>
      <w:r w:rsidRPr="00B5207D">
        <w:rPr>
          <w:rStyle w:val="FootnoteReference"/>
          <w:sz w:val="16"/>
          <w:szCs w:val="16"/>
        </w:rPr>
        <w:footnoteRef/>
      </w:r>
      <w:r w:rsidRPr="00B5207D">
        <w:rPr>
          <w:sz w:val="16"/>
          <w:szCs w:val="16"/>
        </w:rPr>
        <w:t xml:space="preserve"> </w:t>
      </w:r>
      <w:r w:rsidRPr="0059533F">
        <w:rPr>
          <w:sz w:val="16"/>
          <w:szCs w:val="16"/>
        </w:rPr>
        <w:t>Cunningham</w:t>
      </w:r>
      <w:r>
        <w:rPr>
          <w:sz w:val="16"/>
          <w:szCs w:val="16"/>
        </w:rPr>
        <w:t xml:space="preserve"> E (31 March 2023), </w:t>
      </w:r>
      <w:hyperlink r:id="rId53" w:history="1">
        <w:r>
          <w:rPr>
            <w:rStyle w:val="Hyperlink"/>
            <w:sz w:val="16"/>
            <w:szCs w:val="16"/>
          </w:rPr>
          <w:t>France TV and Amazon extend domestic Roland Garros rights until 2027</w:t>
        </w:r>
      </w:hyperlink>
      <w:r>
        <w:rPr>
          <w:sz w:val="16"/>
          <w:szCs w:val="16"/>
        </w:rPr>
        <w:t>,</w:t>
      </w:r>
      <w:r w:rsidRPr="00B5207D">
        <w:rPr>
          <w:sz w:val="16"/>
          <w:szCs w:val="16"/>
        </w:rPr>
        <w:t xml:space="preserve"> </w:t>
      </w:r>
      <w:r>
        <w:rPr>
          <w:sz w:val="16"/>
          <w:szCs w:val="16"/>
        </w:rPr>
        <w:t>Sportcal.</w:t>
      </w:r>
    </w:p>
  </w:footnote>
  <w:footnote w:id="65">
    <w:p w14:paraId="5FB4FA60" w14:textId="24E5653A" w:rsidR="00682B65" w:rsidRPr="00B5207D" w:rsidRDefault="00682B65">
      <w:pPr>
        <w:pStyle w:val="FootnoteText"/>
        <w:rPr>
          <w:sz w:val="16"/>
          <w:szCs w:val="16"/>
          <w:lang w:val="en-US"/>
        </w:rPr>
      </w:pPr>
      <w:r w:rsidRPr="00B5207D">
        <w:rPr>
          <w:rStyle w:val="FootnoteReference"/>
          <w:sz w:val="16"/>
          <w:szCs w:val="16"/>
        </w:rPr>
        <w:footnoteRef/>
      </w:r>
      <w:r w:rsidRPr="00B5207D">
        <w:rPr>
          <w:sz w:val="16"/>
          <w:szCs w:val="16"/>
        </w:rPr>
        <w:t xml:space="preserve"> </w:t>
      </w:r>
      <w:r w:rsidRPr="00B5207D">
        <w:rPr>
          <w:sz w:val="16"/>
          <w:szCs w:val="16"/>
          <w:lang w:val="en-US"/>
        </w:rPr>
        <w:t>Pollina E (</w:t>
      </w:r>
      <w:r>
        <w:rPr>
          <w:sz w:val="16"/>
          <w:szCs w:val="16"/>
          <w:lang w:val="en-US"/>
        </w:rPr>
        <w:t xml:space="preserve">27 March </w:t>
      </w:r>
      <w:r w:rsidRPr="00B5207D">
        <w:rPr>
          <w:sz w:val="16"/>
          <w:szCs w:val="16"/>
          <w:lang w:val="en-US"/>
        </w:rPr>
        <w:t xml:space="preserve">2021), </w:t>
      </w:r>
      <w:hyperlink r:id="rId54" w:history="1">
        <w:r w:rsidRPr="00B5207D">
          <w:rPr>
            <w:rStyle w:val="Hyperlink"/>
            <w:sz w:val="16"/>
            <w:szCs w:val="16"/>
            <w:lang w:val="en-US"/>
          </w:rPr>
          <w:t>DAZN grabs broadcast rights for Serie A in Italy</w:t>
        </w:r>
      </w:hyperlink>
      <w:r w:rsidRPr="00B5207D">
        <w:rPr>
          <w:sz w:val="16"/>
          <w:szCs w:val="16"/>
          <w:lang w:val="en-US"/>
        </w:rPr>
        <w:t>, Reuters</w:t>
      </w:r>
      <w:r>
        <w:rPr>
          <w:sz w:val="16"/>
          <w:szCs w:val="16"/>
        </w:rPr>
        <w:t>.</w:t>
      </w:r>
    </w:p>
  </w:footnote>
  <w:footnote w:id="66">
    <w:p w14:paraId="3CF62B30" w14:textId="0F69353E" w:rsidR="00682B65" w:rsidRPr="00213B0E" w:rsidRDefault="00682B65">
      <w:pPr>
        <w:pStyle w:val="FootnoteText"/>
        <w:rPr>
          <w:rFonts w:cstheme="minorHAnsi"/>
          <w:sz w:val="16"/>
          <w:szCs w:val="16"/>
          <w:lang w:val="en-US"/>
        </w:rPr>
      </w:pPr>
      <w:r w:rsidRPr="00213B0E">
        <w:rPr>
          <w:rStyle w:val="FootnoteReference"/>
          <w:rFonts w:cstheme="minorHAnsi"/>
          <w:sz w:val="16"/>
          <w:szCs w:val="16"/>
        </w:rPr>
        <w:footnoteRef/>
      </w:r>
      <w:r w:rsidRPr="00213B0E">
        <w:rPr>
          <w:rFonts w:cstheme="minorHAnsi"/>
          <w:sz w:val="16"/>
          <w:szCs w:val="16"/>
        </w:rPr>
        <w:t xml:space="preserve"> </w:t>
      </w:r>
      <w:r w:rsidRPr="00213B0E">
        <w:rPr>
          <w:sz w:val="16"/>
          <w:szCs w:val="16"/>
          <w:lang w:val="en-US"/>
        </w:rPr>
        <w:t xml:space="preserve">Apple (8 March 2022), </w:t>
      </w:r>
      <w:hyperlink r:id="rId55" w:history="1">
        <w:r w:rsidRPr="00213B0E">
          <w:rPr>
            <w:rStyle w:val="Hyperlink"/>
            <w:sz w:val="16"/>
            <w:szCs w:val="16"/>
            <w:lang w:val="en-US"/>
          </w:rPr>
          <w:t>Apple and Major League Baseball to offer “Friday Night Baseball”</w:t>
        </w:r>
      </w:hyperlink>
      <w:r w:rsidRPr="00213B0E">
        <w:rPr>
          <w:sz w:val="16"/>
          <w:szCs w:val="16"/>
        </w:rPr>
        <w:t xml:space="preserve"> .</w:t>
      </w:r>
    </w:p>
  </w:footnote>
  <w:footnote w:id="67">
    <w:p w14:paraId="4AE3A302" w14:textId="522C56D3" w:rsidR="00682B65" w:rsidRPr="00213B0E" w:rsidRDefault="00682B65" w:rsidP="008901D0">
      <w:pPr>
        <w:pStyle w:val="FootnoteText"/>
        <w:rPr>
          <w:sz w:val="16"/>
          <w:szCs w:val="16"/>
          <w:lang w:val="en-US"/>
        </w:rPr>
      </w:pPr>
      <w:r w:rsidRPr="00213B0E">
        <w:rPr>
          <w:rStyle w:val="FootnoteReference"/>
          <w:sz w:val="16"/>
          <w:szCs w:val="16"/>
        </w:rPr>
        <w:footnoteRef/>
      </w:r>
      <w:r w:rsidRPr="00213B0E">
        <w:rPr>
          <w:sz w:val="16"/>
          <w:szCs w:val="16"/>
        </w:rPr>
        <w:t xml:space="preserve"> Belson K and Draper K (18 March 2021), </w:t>
      </w:r>
      <w:hyperlink r:id="rId56" w:anchor=":~:text=The%20N.F.L.,value%20of%20its%20previous%20contracts." w:history="1">
        <w:r w:rsidRPr="00213B0E">
          <w:rPr>
            <w:rStyle w:val="Hyperlink"/>
            <w:sz w:val="16"/>
            <w:szCs w:val="16"/>
          </w:rPr>
          <w:t>N.F.L. Signs Media Deals Worth Over $100 Billion</w:t>
        </w:r>
      </w:hyperlink>
      <w:r w:rsidRPr="00213B0E">
        <w:rPr>
          <w:sz w:val="16"/>
          <w:szCs w:val="16"/>
        </w:rPr>
        <w:t>, The New York Times.</w:t>
      </w:r>
    </w:p>
  </w:footnote>
  <w:footnote w:id="68">
    <w:p w14:paraId="19F16403" w14:textId="0A0BCB8D" w:rsidR="00682B65" w:rsidRPr="00213B0E" w:rsidRDefault="00682B65" w:rsidP="008901D0">
      <w:pPr>
        <w:pStyle w:val="FootnoteText"/>
        <w:rPr>
          <w:sz w:val="16"/>
          <w:szCs w:val="16"/>
          <w:lang w:val="en-US"/>
        </w:rPr>
      </w:pPr>
      <w:r w:rsidRPr="00213B0E">
        <w:rPr>
          <w:rStyle w:val="FootnoteReference"/>
          <w:sz w:val="16"/>
          <w:szCs w:val="16"/>
        </w:rPr>
        <w:footnoteRef/>
      </w:r>
      <w:r w:rsidRPr="00213B0E">
        <w:rPr>
          <w:sz w:val="16"/>
          <w:szCs w:val="16"/>
        </w:rPr>
        <w:t xml:space="preserve"> Palmer A (20 September 2022), </w:t>
      </w:r>
      <w:hyperlink r:id="rId57" w:history="1">
        <w:r w:rsidRPr="00213B0E">
          <w:rPr>
            <w:rStyle w:val="Hyperlink"/>
            <w:sz w:val="16"/>
            <w:szCs w:val="16"/>
          </w:rPr>
          <w:t>Amazon memo says ‘Thursday Night Football’ drew record number of Prime signups for a 3-hour period</w:t>
        </w:r>
      </w:hyperlink>
      <w:r w:rsidRPr="00213B0E">
        <w:rPr>
          <w:sz w:val="16"/>
          <w:szCs w:val="16"/>
        </w:rPr>
        <w:t>, CNBC.</w:t>
      </w:r>
    </w:p>
  </w:footnote>
  <w:footnote w:id="69">
    <w:p w14:paraId="5C968A39" w14:textId="018C8D1C" w:rsidR="00682B65" w:rsidRPr="00213B0E" w:rsidRDefault="00682B65">
      <w:pPr>
        <w:pStyle w:val="FootnoteText"/>
        <w:rPr>
          <w:sz w:val="16"/>
          <w:szCs w:val="16"/>
          <w:lang w:val="en-US"/>
        </w:rPr>
      </w:pPr>
      <w:r w:rsidRPr="00213B0E">
        <w:rPr>
          <w:rStyle w:val="FootnoteReference"/>
          <w:sz w:val="16"/>
          <w:szCs w:val="16"/>
        </w:rPr>
        <w:footnoteRef/>
      </w:r>
      <w:r w:rsidRPr="00213B0E">
        <w:rPr>
          <w:sz w:val="16"/>
          <w:szCs w:val="16"/>
        </w:rPr>
        <w:t xml:space="preserve"> Departmental analysis of data available through: World Bank (2016) </w:t>
      </w:r>
      <w:hyperlink r:id="rId58" w:history="1">
        <w:r w:rsidRPr="00213B0E">
          <w:rPr>
            <w:rStyle w:val="Hyperlink"/>
            <w:sz w:val="16"/>
            <w:szCs w:val="16"/>
          </w:rPr>
          <w:t>Digital Adoption Index</w:t>
        </w:r>
      </w:hyperlink>
      <w:r w:rsidRPr="00213B0E">
        <w:rPr>
          <w:sz w:val="16"/>
          <w:szCs w:val="16"/>
        </w:rPr>
        <w:t>.</w:t>
      </w:r>
    </w:p>
  </w:footnote>
  <w:footnote w:id="70">
    <w:p w14:paraId="1641A352" w14:textId="080E1715" w:rsidR="00682B65" w:rsidRPr="00213B0E" w:rsidRDefault="00682B65">
      <w:pPr>
        <w:pStyle w:val="FootnoteText"/>
        <w:rPr>
          <w:sz w:val="16"/>
          <w:szCs w:val="16"/>
          <w:lang w:val="en-US"/>
        </w:rPr>
      </w:pPr>
      <w:r w:rsidRPr="00213B0E">
        <w:rPr>
          <w:rStyle w:val="FootnoteReference"/>
          <w:sz w:val="16"/>
          <w:szCs w:val="16"/>
        </w:rPr>
        <w:footnoteRef/>
      </w:r>
      <w:r w:rsidRPr="00213B0E">
        <w:rPr>
          <w:sz w:val="16"/>
          <w:szCs w:val="16"/>
        </w:rPr>
        <w:t xml:space="preserve"> Oviedo-Trespalacios, Nandavar S, Newton JDA, Demant D, Phillips JG (2019), </w:t>
      </w:r>
      <w:hyperlink r:id="rId59" w:history="1">
        <w:r w:rsidRPr="00213B0E">
          <w:rPr>
            <w:rStyle w:val="Hyperlink"/>
            <w:sz w:val="16"/>
            <w:szCs w:val="16"/>
          </w:rPr>
          <w:t>Problematic Use of Mobile Phones in Australia…Is It Getting Worse?</w:t>
        </w:r>
      </w:hyperlink>
      <w:r w:rsidRPr="00213B0E">
        <w:rPr>
          <w:sz w:val="16"/>
          <w:szCs w:val="16"/>
        </w:rPr>
        <w:t>.</w:t>
      </w:r>
    </w:p>
  </w:footnote>
  <w:footnote w:id="71">
    <w:p w14:paraId="6F2348DE" w14:textId="7FAC790B" w:rsidR="00682B65" w:rsidRPr="00D457D3" w:rsidRDefault="00682B65">
      <w:pPr>
        <w:pStyle w:val="FootnoteText"/>
        <w:rPr>
          <w:rFonts w:cstheme="minorHAnsi"/>
          <w:sz w:val="16"/>
          <w:szCs w:val="16"/>
          <w:lang w:val="en-US"/>
        </w:rPr>
      </w:pPr>
      <w:r w:rsidRPr="00213B0E">
        <w:rPr>
          <w:rStyle w:val="FootnoteReference"/>
          <w:sz w:val="16"/>
          <w:szCs w:val="16"/>
        </w:rPr>
        <w:footnoteRef/>
      </w:r>
      <w:r>
        <w:rPr>
          <w:sz w:val="16"/>
          <w:szCs w:val="16"/>
        </w:rPr>
        <w:t xml:space="preserve"> </w:t>
      </w:r>
      <w:r w:rsidRPr="00213B0E">
        <w:rPr>
          <w:sz w:val="16"/>
          <w:szCs w:val="16"/>
        </w:rPr>
        <w:t xml:space="preserve">Grand View Research, </w:t>
      </w:r>
      <w:hyperlink r:id="rId60" w:history="1">
        <w:r w:rsidRPr="00213B0E">
          <w:rPr>
            <w:rStyle w:val="Hyperlink"/>
            <w:sz w:val="16"/>
            <w:szCs w:val="16"/>
          </w:rPr>
          <w:t>Video Streaming Market Size, Share &amp; Growth Report, 2030</w:t>
        </w:r>
      </w:hyperlink>
      <w:r w:rsidRPr="00213B0E">
        <w:rPr>
          <w:sz w:val="16"/>
          <w:szCs w:val="16"/>
        </w:rPr>
        <w:t>.</w:t>
      </w:r>
    </w:p>
  </w:footnote>
  <w:footnote w:id="72">
    <w:p w14:paraId="37AF62D0" w14:textId="2F9D6FC1" w:rsidR="00682B65" w:rsidRPr="00D457D3" w:rsidRDefault="00682B65">
      <w:pPr>
        <w:pStyle w:val="FootnoteText"/>
        <w:rPr>
          <w:rFonts w:cstheme="minorHAnsi"/>
          <w:sz w:val="16"/>
          <w:szCs w:val="16"/>
          <w:lang w:val="en-US"/>
        </w:rPr>
      </w:pPr>
      <w:r w:rsidRPr="00D457D3">
        <w:rPr>
          <w:rStyle w:val="FootnoteReference"/>
          <w:rFonts w:cstheme="minorHAnsi"/>
          <w:sz w:val="16"/>
          <w:szCs w:val="16"/>
        </w:rPr>
        <w:footnoteRef/>
      </w:r>
      <w:r w:rsidRPr="00D457D3">
        <w:rPr>
          <w:rFonts w:cstheme="minorHAnsi"/>
          <w:sz w:val="16"/>
          <w:szCs w:val="16"/>
        </w:rPr>
        <w:t xml:space="preserve"> </w:t>
      </w:r>
      <w:r w:rsidRPr="001F30B5">
        <w:rPr>
          <w:sz w:val="16"/>
          <w:szCs w:val="16"/>
          <w:lang w:val="en-US"/>
        </w:rPr>
        <w:t>Fox Sports</w:t>
      </w:r>
      <w:r>
        <w:rPr>
          <w:sz w:val="16"/>
          <w:szCs w:val="16"/>
          <w:lang w:val="en-US"/>
        </w:rPr>
        <w:t xml:space="preserve"> (7 March 2022), </w:t>
      </w:r>
      <w:hyperlink r:id="rId61" w:history="1">
        <w:r w:rsidRPr="001F30B5">
          <w:rPr>
            <w:rStyle w:val="Hyperlink"/>
            <w:sz w:val="16"/>
            <w:szCs w:val="16"/>
            <w:lang w:val="en-US"/>
          </w:rPr>
          <w:t>Huge growth of Aussie love for women’s sport revealed in new research</w:t>
        </w:r>
      </w:hyperlink>
      <w:r>
        <w:rPr>
          <w:sz w:val="16"/>
          <w:szCs w:val="16"/>
          <w:lang w:val="en-US"/>
        </w:rPr>
        <w:t>.</w:t>
      </w:r>
    </w:p>
  </w:footnote>
  <w:footnote w:id="73">
    <w:p w14:paraId="5E6E8A45" w14:textId="45D51C83" w:rsidR="00682B65" w:rsidRPr="00D457D3" w:rsidRDefault="00682B65">
      <w:pPr>
        <w:pStyle w:val="FootnoteText"/>
        <w:rPr>
          <w:rFonts w:cstheme="minorHAnsi"/>
          <w:sz w:val="16"/>
          <w:szCs w:val="16"/>
          <w:lang w:val="en-US"/>
        </w:rPr>
      </w:pPr>
      <w:r w:rsidRPr="00D457D3">
        <w:rPr>
          <w:rStyle w:val="FootnoteReference"/>
          <w:rFonts w:cstheme="minorHAnsi"/>
          <w:sz w:val="16"/>
          <w:szCs w:val="16"/>
        </w:rPr>
        <w:footnoteRef/>
      </w:r>
      <w:r w:rsidRPr="00D457D3">
        <w:rPr>
          <w:rFonts w:cstheme="minorHAnsi"/>
          <w:sz w:val="16"/>
          <w:szCs w:val="16"/>
        </w:rPr>
        <w:t xml:space="preserve"> </w:t>
      </w:r>
      <w:r w:rsidRPr="003339D8">
        <w:rPr>
          <w:sz w:val="16"/>
          <w:szCs w:val="16"/>
          <w:lang w:val="en-US"/>
        </w:rPr>
        <w:t xml:space="preserve">Australian Professional Leagues (2022), </w:t>
      </w:r>
      <w:hyperlink r:id="rId62" w:history="1">
        <w:r w:rsidRPr="003339D8">
          <w:rPr>
            <w:rStyle w:val="Hyperlink"/>
            <w:sz w:val="16"/>
            <w:szCs w:val="16"/>
            <w:lang w:val="en-US"/>
          </w:rPr>
          <w:t>Review of the anti-siphoning scheme</w:t>
        </w:r>
      </w:hyperlink>
      <w:r w:rsidRPr="003339D8">
        <w:rPr>
          <w:sz w:val="16"/>
          <w:szCs w:val="16"/>
          <w:lang w:val="en-US"/>
        </w:rPr>
        <w:t>, p</w:t>
      </w:r>
      <w:r>
        <w:rPr>
          <w:sz w:val="16"/>
          <w:szCs w:val="16"/>
          <w:lang w:val="en-US"/>
        </w:rPr>
        <w:t xml:space="preserve"> 4.</w:t>
      </w:r>
    </w:p>
  </w:footnote>
  <w:footnote w:id="74">
    <w:p w14:paraId="51BB688F" w14:textId="1BB3A42C" w:rsidR="00682B65" w:rsidRPr="00F2384B" w:rsidRDefault="00682B65" w:rsidP="008E010A">
      <w:pPr>
        <w:pStyle w:val="FootnoteText"/>
        <w:rPr>
          <w:sz w:val="16"/>
          <w:szCs w:val="16"/>
          <w:lang w:val="en-US"/>
        </w:rPr>
      </w:pPr>
      <w:r w:rsidRPr="00F2384B">
        <w:rPr>
          <w:rStyle w:val="FootnoteReference"/>
          <w:sz w:val="16"/>
          <w:szCs w:val="16"/>
        </w:rPr>
        <w:footnoteRef/>
      </w:r>
      <w:r w:rsidRPr="00F2384B">
        <w:rPr>
          <w:sz w:val="16"/>
          <w:szCs w:val="16"/>
        </w:rPr>
        <w:t xml:space="preserve"> Coalition of Major Professional and Participation Sports (2022), </w:t>
      </w:r>
      <w:hyperlink r:id="rId63" w:history="1">
        <w:r w:rsidRPr="00F2384B">
          <w:rPr>
            <w:rStyle w:val="Hyperlink"/>
            <w:sz w:val="16"/>
            <w:szCs w:val="16"/>
          </w:rPr>
          <w:t>Submission of COMPPS to the review of the anti-siphoning scheme</w:t>
        </w:r>
      </w:hyperlink>
      <w:r w:rsidRPr="00F2384B">
        <w:rPr>
          <w:sz w:val="16"/>
          <w:szCs w:val="16"/>
        </w:rPr>
        <w:t>, p</w:t>
      </w:r>
      <w:r>
        <w:rPr>
          <w:sz w:val="16"/>
          <w:szCs w:val="16"/>
        </w:rPr>
        <w:t>5</w:t>
      </w:r>
      <w:r w:rsidRPr="00F2384B">
        <w:rPr>
          <w:sz w:val="16"/>
          <w:szCs w:val="16"/>
        </w:rPr>
        <w:t>.</w:t>
      </w:r>
    </w:p>
  </w:footnote>
  <w:footnote w:id="75">
    <w:p w14:paraId="1DA71A95" w14:textId="55ADEE38" w:rsidR="00682B65" w:rsidRPr="00F2384B" w:rsidRDefault="00682B65" w:rsidP="008E010A">
      <w:pPr>
        <w:pStyle w:val="FootnoteText"/>
        <w:rPr>
          <w:sz w:val="16"/>
          <w:szCs w:val="16"/>
          <w:lang w:val="en-US"/>
        </w:rPr>
      </w:pPr>
      <w:r w:rsidRPr="00F2384B">
        <w:rPr>
          <w:rStyle w:val="FootnoteReference"/>
          <w:sz w:val="16"/>
          <w:szCs w:val="16"/>
        </w:rPr>
        <w:footnoteRef/>
      </w:r>
      <w:r w:rsidRPr="00F2384B">
        <w:rPr>
          <w:sz w:val="16"/>
          <w:szCs w:val="16"/>
        </w:rPr>
        <w:t xml:space="preserve"> Free TV Australia (2022), </w:t>
      </w:r>
      <w:hyperlink r:id="rId64" w:history="1">
        <w:r w:rsidRPr="00F2384B">
          <w:rPr>
            <w:rStyle w:val="Hyperlink"/>
            <w:sz w:val="16"/>
            <w:szCs w:val="16"/>
          </w:rPr>
          <w:t>Response to the anti-siphoning scheme consultation paper</w:t>
        </w:r>
      </w:hyperlink>
      <w:r w:rsidRPr="00F2384B">
        <w:rPr>
          <w:sz w:val="16"/>
          <w:szCs w:val="16"/>
        </w:rPr>
        <w:t>, p20</w:t>
      </w:r>
      <w:r>
        <w:rPr>
          <w:sz w:val="16"/>
          <w:szCs w:val="16"/>
        </w:rPr>
        <w:t>.</w:t>
      </w:r>
    </w:p>
  </w:footnote>
  <w:footnote w:id="76">
    <w:p w14:paraId="2EB3776F" w14:textId="0C98CA11" w:rsidR="00682B65" w:rsidRPr="00D457D3" w:rsidRDefault="00682B65" w:rsidP="00791751">
      <w:pPr>
        <w:pStyle w:val="FootnoteText"/>
        <w:rPr>
          <w:rFonts w:cstheme="minorHAnsi"/>
          <w:sz w:val="16"/>
          <w:szCs w:val="16"/>
        </w:rPr>
      </w:pPr>
      <w:r w:rsidRPr="00D457D3">
        <w:rPr>
          <w:rStyle w:val="FootnoteReference"/>
          <w:rFonts w:cstheme="minorHAnsi"/>
          <w:sz w:val="16"/>
          <w:szCs w:val="16"/>
        </w:rPr>
        <w:footnoteRef/>
      </w:r>
      <w:r w:rsidRPr="00D457D3">
        <w:rPr>
          <w:rFonts w:cstheme="minorHAnsi"/>
          <w:sz w:val="16"/>
          <w:szCs w:val="16"/>
        </w:rPr>
        <w:t xml:space="preserve"> </w:t>
      </w:r>
      <w:r w:rsidRPr="00247C31">
        <w:rPr>
          <w:sz w:val="16"/>
          <w:szCs w:val="16"/>
        </w:rPr>
        <w:t>Foxtel</w:t>
      </w:r>
      <w:r>
        <w:rPr>
          <w:sz w:val="16"/>
          <w:szCs w:val="16"/>
        </w:rPr>
        <w:t xml:space="preserve"> Group (2022), </w:t>
      </w:r>
      <w:hyperlink r:id="rId65" w:history="1">
        <w:r w:rsidRPr="00247C31">
          <w:rPr>
            <w:rStyle w:val="Hyperlink"/>
            <w:sz w:val="16"/>
            <w:szCs w:val="16"/>
          </w:rPr>
          <w:t>Submission in response to the review of the anti-siphoning scheme – Consultation paper</w:t>
        </w:r>
      </w:hyperlink>
      <w:r>
        <w:rPr>
          <w:sz w:val="16"/>
          <w:szCs w:val="16"/>
        </w:rPr>
        <w:t>,</w:t>
      </w:r>
      <w:r w:rsidRPr="00247C31">
        <w:rPr>
          <w:sz w:val="16"/>
          <w:szCs w:val="16"/>
        </w:rPr>
        <w:t xml:space="preserve"> p</w:t>
      </w:r>
      <w:r>
        <w:rPr>
          <w:sz w:val="16"/>
          <w:szCs w:val="16"/>
        </w:rPr>
        <w:t>18.</w:t>
      </w:r>
    </w:p>
  </w:footnote>
  <w:footnote w:id="77">
    <w:p w14:paraId="35F9A4BB" w14:textId="77777777" w:rsidR="00682B65" w:rsidRPr="00F2384B" w:rsidRDefault="00682B65" w:rsidP="00613725">
      <w:pPr>
        <w:pStyle w:val="FootnoteText"/>
        <w:rPr>
          <w:sz w:val="16"/>
          <w:szCs w:val="16"/>
        </w:rPr>
      </w:pPr>
      <w:r w:rsidRPr="00F2384B">
        <w:rPr>
          <w:rStyle w:val="FootnoteReference"/>
          <w:sz w:val="16"/>
          <w:szCs w:val="16"/>
        </w:rPr>
        <w:footnoteRef/>
      </w:r>
      <w:r w:rsidRPr="00F2384B">
        <w:rPr>
          <w:sz w:val="16"/>
          <w:szCs w:val="16"/>
        </w:rPr>
        <w:t xml:space="preserve"> </w:t>
      </w:r>
      <w:r>
        <w:rPr>
          <w:sz w:val="16"/>
          <w:szCs w:val="16"/>
        </w:rPr>
        <w:t>Ibid,</w:t>
      </w:r>
      <w:r w:rsidRPr="00247C31">
        <w:rPr>
          <w:sz w:val="16"/>
          <w:szCs w:val="16"/>
        </w:rPr>
        <w:t xml:space="preserve"> p</w:t>
      </w:r>
      <w:r>
        <w:rPr>
          <w:sz w:val="16"/>
          <w:szCs w:val="16"/>
        </w:rPr>
        <w:t xml:space="preserve"> </w:t>
      </w:r>
      <w:r w:rsidRPr="00247C31">
        <w:rPr>
          <w:sz w:val="16"/>
          <w:szCs w:val="16"/>
        </w:rPr>
        <w:t>7</w:t>
      </w:r>
      <w:r>
        <w:rPr>
          <w:sz w:val="16"/>
          <w:szCs w:val="16"/>
        </w:rPr>
        <w:t>.</w:t>
      </w:r>
    </w:p>
  </w:footnote>
  <w:footnote w:id="78">
    <w:p w14:paraId="453177BE" w14:textId="77777777" w:rsidR="00682B65" w:rsidRPr="00D457D3" w:rsidRDefault="00682B65" w:rsidP="00613725">
      <w:pPr>
        <w:pStyle w:val="FootnoteText"/>
        <w:rPr>
          <w:rFonts w:cstheme="minorHAnsi"/>
          <w:sz w:val="16"/>
          <w:szCs w:val="16"/>
          <w:lang w:val="en-US"/>
        </w:rPr>
      </w:pPr>
      <w:r w:rsidRPr="00D457D3">
        <w:rPr>
          <w:rStyle w:val="FootnoteReference"/>
          <w:rFonts w:cstheme="minorHAnsi"/>
          <w:sz w:val="16"/>
          <w:szCs w:val="16"/>
        </w:rPr>
        <w:footnoteRef/>
      </w:r>
      <w:r w:rsidRPr="00F96C32">
        <w:rPr>
          <w:sz w:val="16"/>
          <w:szCs w:val="16"/>
        </w:rPr>
        <w:t xml:space="preserve"> </w:t>
      </w:r>
      <w:r>
        <w:rPr>
          <w:sz w:val="16"/>
          <w:szCs w:val="16"/>
        </w:rPr>
        <w:t>Ibid,</w:t>
      </w:r>
      <w:r w:rsidRPr="00247C31">
        <w:rPr>
          <w:sz w:val="16"/>
          <w:szCs w:val="16"/>
        </w:rPr>
        <w:t xml:space="preserve"> p</w:t>
      </w:r>
      <w:r>
        <w:rPr>
          <w:sz w:val="16"/>
          <w:szCs w:val="16"/>
        </w:rPr>
        <w:t xml:space="preserve"> 8.</w:t>
      </w:r>
    </w:p>
  </w:footnote>
  <w:footnote w:id="79">
    <w:p w14:paraId="15CB9DC0" w14:textId="5C8C9AFB" w:rsidR="00682B65" w:rsidRPr="00F2384B" w:rsidRDefault="00682B65">
      <w:pPr>
        <w:pStyle w:val="FootnoteText"/>
        <w:rPr>
          <w:sz w:val="16"/>
          <w:szCs w:val="16"/>
          <w:lang w:val="en-US"/>
        </w:rPr>
      </w:pPr>
      <w:r w:rsidRPr="00F2384B">
        <w:rPr>
          <w:rStyle w:val="FootnoteReference"/>
          <w:sz w:val="16"/>
          <w:szCs w:val="16"/>
        </w:rPr>
        <w:footnoteRef/>
      </w:r>
      <w:r w:rsidRPr="00F2384B">
        <w:rPr>
          <w:sz w:val="16"/>
          <w:szCs w:val="16"/>
        </w:rPr>
        <w:t xml:space="preserve"> Optus</w:t>
      </w:r>
      <w:r>
        <w:rPr>
          <w:sz w:val="16"/>
          <w:szCs w:val="16"/>
        </w:rPr>
        <w:t xml:space="preserve"> (2022)</w:t>
      </w:r>
      <w:r w:rsidRPr="00F2384B">
        <w:rPr>
          <w:sz w:val="16"/>
          <w:szCs w:val="16"/>
        </w:rPr>
        <w:t xml:space="preserve">, </w:t>
      </w:r>
      <w:hyperlink r:id="rId66" w:history="1">
        <w:r w:rsidRPr="00F2384B">
          <w:rPr>
            <w:rStyle w:val="Hyperlink"/>
            <w:sz w:val="16"/>
            <w:szCs w:val="16"/>
          </w:rPr>
          <w:t>Submission in response to DITRDCA Consultation Paper: Review of the anti-siphoning scheme</w:t>
        </w:r>
      </w:hyperlink>
      <w:r w:rsidRPr="00F2384B">
        <w:rPr>
          <w:sz w:val="16"/>
          <w:szCs w:val="16"/>
        </w:rPr>
        <w:t>, p10</w:t>
      </w:r>
      <w:r>
        <w:rPr>
          <w:sz w:val="16"/>
          <w:szCs w:val="16"/>
        </w:rPr>
        <w:t>.</w:t>
      </w:r>
    </w:p>
  </w:footnote>
  <w:footnote w:id="80">
    <w:p w14:paraId="3F6F8D8A" w14:textId="192280DA" w:rsidR="00682B65" w:rsidRPr="00F2384B" w:rsidRDefault="00682B65">
      <w:pPr>
        <w:pStyle w:val="FootnoteText"/>
        <w:rPr>
          <w:sz w:val="16"/>
          <w:szCs w:val="16"/>
          <w:lang w:val="en-US"/>
        </w:rPr>
      </w:pPr>
      <w:r w:rsidRPr="00F2384B">
        <w:rPr>
          <w:rStyle w:val="FootnoteReference"/>
          <w:sz w:val="16"/>
          <w:szCs w:val="16"/>
        </w:rPr>
        <w:footnoteRef/>
      </w:r>
      <w:r w:rsidRPr="00F2384B">
        <w:rPr>
          <w:sz w:val="16"/>
          <w:szCs w:val="16"/>
        </w:rPr>
        <w:t xml:space="preserve"> See for example: Australians for a Murdoch Royal Commission (2022), </w:t>
      </w:r>
      <w:hyperlink r:id="rId67" w:history="1">
        <w:r w:rsidRPr="00F2384B">
          <w:rPr>
            <w:rStyle w:val="Hyperlink"/>
            <w:sz w:val="16"/>
            <w:szCs w:val="16"/>
          </w:rPr>
          <w:t>Submission to the Review of the Anti-Siphoning Scheme</w:t>
        </w:r>
      </w:hyperlink>
      <w:r w:rsidRPr="00F2384B">
        <w:rPr>
          <w:sz w:val="16"/>
          <w:szCs w:val="16"/>
        </w:rPr>
        <w:t>, p5</w:t>
      </w:r>
      <w:r>
        <w:rPr>
          <w:sz w:val="16"/>
          <w:szCs w:val="16"/>
        </w:rPr>
        <w:t>.</w:t>
      </w:r>
    </w:p>
  </w:footnote>
  <w:footnote w:id="81">
    <w:p w14:paraId="3595C937" w14:textId="5BB5F3B9" w:rsidR="00682B65" w:rsidRPr="00F2384B" w:rsidRDefault="00682B65">
      <w:pPr>
        <w:pStyle w:val="FootnoteText"/>
        <w:rPr>
          <w:sz w:val="16"/>
          <w:szCs w:val="16"/>
          <w:lang w:val="en-US"/>
        </w:rPr>
      </w:pPr>
      <w:r w:rsidRPr="00F2384B">
        <w:rPr>
          <w:rStyle w:val="FootnoteReference"/>
          <w:sz w:val="16"/>
          <w:szCs w:val="16"/>
        </w:rPr>
        <w:footnoteRef/>
      </w:r>
      <w:r w:rsidRPr="00F2384B">
        <w:rPr>
          <w:sz w:val="16"/>
          <w:szCs w:val="16"/>
        </w:rPr>
        <w:t xml:space="preserve"> Paralympics Australia (</w:t>
      </w:r>
      <w:r>
        <w:rPr>
          <w:sz w:val="16"/>
          <w:szCs w:val="16"/>
        </w:rPr>
        <w:t xml:space="preserve">3 July </w:t>
      </w:r>
      <w:r w:rsidRPr="00F2384B">
        <w:rPr>
          <w:sz w:val="16"/>
          <w:szCs w:val="16"/>
        </w:rPr>
        <w:t xml:space="preserve">2023), </w:t>
      </w:r>
      <w:hyperlink r:id="rId68" w:history="1">
        <w:r w:rsidRPr="00F2384B">
          <w:rPr>
            <w:rStyle w:val="Hyperlink"/>
            <w:sz w:val="16"/>
            <w:szCs w:val="16"/>
          </w:rPr>
          <w:t>Live Coverage To Feature Stars Of World Para-Athletics</w:t>
        </w:r>
      </w:hyperlink>
      <w:r>
        <w:rPr>
          <w:sz w:val="16"/>
          <w:szCs w:val="16"/>
        </w:rPr>
        <w:t>.</w:t>
      </w:r>
    </w:p>
  </w:footnote>
  <w:footnote w:id="82">
    <w:p w14:paraId="4E5513E7" w14:textId="6E53F9D0" w:rsidR="00682B65" w:rsidRPr="00D457D3" w:rsidRDefault="00682B65" w:rsidP="00ED5291">
      <w:pPr>
        <w:pStyle w:val="FootnoteText"/>
        <w:rPr>
          <w:rFonts w:cstheme="minorHAnsi"/>
          <w:sz w:val="16"/>
          <w:szCs w:val="16"/>
          <w:lang w:val="en-US"/>
        </w:rPr>
      </w:pPr>
      <w:r w:rsidRPr="00F2384B">
        <w:rPr>
          <w:rStyle w:val="FootnoteReference"/>
          <w:sz w:val="16"/>
          <w:szCs w:val="16"/>
        </w:rPr>
        <w:footnoteRef/>
      </w:r>
      <w:r w:rsidRPr="00F2384B">
        <w:rPr>
          <w:sz w:val="16"/>
          <w:szCs w:val="16"/>
        </w:rPr>
        <w:t xml:space="preserve"> Paralympics Australia (</w:t>
      </w:r>
      <w:r>
        <w:rPr>
          <w:sz w:val="16"/>
          <w:szCs w:val="16"/>
        </w:rPr>
        <w:t xml:space="preserve"> 23 May </w:t>
      </w:r>
      <w:r w:rsidRPr="00F2384B">
        <w:rPr>
          <w:sz w:val="16"/>
          <w:szCs w:val="16"/>
        </w:rPr>
        <w:t xml:space="preserve">2023), </w:t>
      </w:r>
      <w:hyperlink r:id="rId69" w:history="1">
        <w:r w:rsidRPr="00F2384B">
          <w:rPr>
            <w:rStyle w:val="Hyperlink"/>
            <w:sz w:val="16"/>
            <w:szCs w:val="16"/>
          </w:rPr>
          <w:t>Paralympics Australia Secures Landmark Paris 2024 Media Rights Deal</w:t>
        </w:r>
      </w:hyperlink>
      <w:r>
        <w:rPr>
          <w:sz w:val="16"/>
          <w:szCs w:val="16"/>
        </w:rPr>
        <w:t>.</w:t>
      </w:r>
    </w:p>
  </w:footnote>
  <w:footnote w:id="83">
    <w:p w14:paraId="07FF19AF" w14:textId="78D22875" w:rsidR="00682B65" w:rsidRDefault="00682B65">
      <w:pPr>
        <w:pStyle w:val="FootnoteText"/>
      </w:pPr>
      <w:r>
        <w:rPr>
          <w:rStyle w:val="FootnoteReference"/>
        </w:rPr>
        <w:footnoteRef/>
      </w:r>
      <w:r>
        <w:t xml:space="preserve"> </w:t>
      </w:r>
      <w:r w:rsidRPr="002B1D55">
        <w:rPr>
          <w:sz w:val="16"/>
          <w:szCs w:val="16"/>
        </w:rPr>
        <w:t>26 weeks prior to its commencement.</w:t>
      </w:r>
    </w:p>
  </w:footnote>
  <w:footnote w:id="84">
    <w:p w14:paraId="576C3EC8" w14:textId="017261EA" w:rsidR="00682B65" w:rsidRPr="00CB688E" w:rsidRDefault="00682B65">
      <w:pPr>
        <w:pStyle w:val="FootnoteText"/>
        <w:rPr>
          <w:sz w:val="16"/>
          <w:szCs w:val="16"/>
        </w:rPr>
      </w:pPr>
      <w:r w:rsidRPr="00CB688E">
        <w:rPr>
          <w:rStyle w:val="FootnoteReference"/>
          <w:sz w:val="16"/>
          <w:szCs w:val="16"/>
        </w:rPr>
        <w:footnoteRef/>
      </w:r>
      <w:r w:rsidRPr="00CB688E">
        <w:rPr>
          <w:sz w:val="16"/>
          <w:szCs w:val="16"/>
        </w:rPr>
        <w:t xml:space="preserve"> Ibid</w:t>
      </w:r>
    </w:p>
  </w:footnote>
  <w:footnote w:id="85">
    <w:p w14:paraId="04E1FEC6" w14:textId="68265636" w:rsidR="00682B65" w:rsidRPr="00756E28" w:rsidRDefault="00682B65" w:rsidP="00D9463E">
      <w:pPr>
        <w:pStyle w:val="FootnoteText"/>
        <w:ind w:left="153" w:hanging="153"/>
        <w:rPr>
          <w:sz w:val="16"/>
          <w:szCs w:val="16"/>
        </w:rPr>
      </w:pPr>
      <w:r w:rsidRPr="00DB7C49">
        <w:rPr>
          <w:rStyle w:val="FootnoteReference"/>
          <w:sz w:val="16"/>
          <w:szCs w:val="16"/>
        </w:rPr>
        <w:footnoteRef/>
      </w:r>
      <w:r w:rsidRPr="00DB7C49">
        <w:rPr>
          <w:sz w:val="16"/>
          <w:szCs w:val="16"/>
        </w:rPr>
        <w:t xml:space="preserve"> ‘Content’ would </w:t>
      </w:r>
      <w:r w:rsidRPr="00DB7C49" w:rsidDel="00D73927">
        <w:rPr>
          <w:sz w:val="16"/>
          <w:szCs w:val="16"/>
        </w:rPr>
        <w:t xml:space="preserve"> </w:t>
      </w:r>
      <w:r w:rsidRPr="00DB7C49">
        <w:rPr>
          <w:sz w:val="16"/>
          <w:szCs w:val="16"/>
        </w:rPr>
        <w:t xml:space="preserve">be defined as per </w:t>
      </w:r>
      <w:r>
        <w:rPr>
          <w:sz w:val="16"/>
          <w:szCs w:val="16"/>
        </w:rPr>
        <w:t>c</w:t>
      </w:r>
      <w:r w:rsidRPr="00DB7C49">
        <w:rPr>
          <w:sz w:val="16"/>
          <w:szCs w:val="16"/>
        </w:rPr>
        <w:t xml:space="preserve">lause 2 of Schedule 8 to the </w:t>
      </w:r>
      <w:hyperlink r:id="rId70" w:history="1">
        <w:r w:rsidRPr="00C244B6">
          <w:rPr>
            <w:rStyle w:val="Hyperlink"/>
            <w:i/>
            <w:sz w:val="16"/>
            <w:szCs w:val="16"/>
          </w:rPr>
          <w:t>Broadcasting Services Act 1992</w:t>
        </w:r>
      </w:hyperlink>
      <w:r w:rsidRPr="00DB7C49">
        <w:rPr>
          <w:i/>
          <w:sz w:val="16"/>
          <w:szCs w:val="16"/>
        </w:rPr>
        <w:t xml:space="preserve"> </w:t>
      </w:r>
      <w:r w:rsidRPr="00DB7C49">
        <w:rPr>
          <w:sz w:val="16"/>
          <w:szCs w:val="16"/>
        </w:rPr>
        <w:t>to include</w:t>
      </w:r>
      <w:r>
        <w:rPr>
          <w:sz w:val="16"/>
          <w:szCs w:val="16"/>
        </w:rPr>
        <w:t>:</w:t>
      </w:r>
      <w:r w:rsidRPr="00DB7C49">
        <w:rPr>
          <w:sz w:val="16"/>
          <w:szCs w:val="16"/>
        </w:rPr>
        <w:t xml:space="preserve"> text</w:t>
      </w:r>
      <w:r>
        <w:rPr>
          <w:sz w:val="16"/>
          <w:szCs w:val="16"/>
        </w:rPr>
        <w:t>;</w:t>
      </w:r>
      <w:r w:rsidRPr="00DB7C49">
        <w:rPr>
          <w:sz w:val="16"/>
          <w:szCs w:val="16"/>
        </w:rPr>
        <w:t xml:space="preserve"> data</w:t>
      </w:r>
      <w:r>
        <w:rPr>
          <w:sz w:val="16"/>
          <w:szCs w:val="16"/>
        </w:rPr>
        <w:t>;</w:t>
      </w:r>
      <w:r w:rsidRPr="00DB7C49">
        <w:rPr>
          <w:sz w:val="16"/>
          <w:szCs w:val="16"/>
        </w:rPr>
        <w:t xml:space="preserve"> speech</w:t>
      </w:r>
      <w:r>
        <w:rPr>
          <w:sz w:val="16"/>
          <w:szCs w:val="16"/>
        </w:rPr>
        <w:t>;</w:t>
      </w:r>
      <w:r w:rsidRPr="00DB7C49">
        <w:rPr>
          <w:sz w:val="16"/>
          <w:szCs w:val="16"/>
        </w:rPr>
        <w:t xml:space="preserve"> music or other sound</w:t>
      </w:r>
      <w:r>
        <w:rPr>
          <w:sz w:val="16"/>
          <w:szCs w:val="16"/>
        </w:rPr>
        <w:t>s;</w:t>
      </w:r>
      <w:r w:rsidRPr="00DB7C49">
        <w:rPr>
          <w:sz w:val="16"/>
          <w:szCs w:val="16"/>
        </w:rPr>
        <w:t xml:space="preserve"> visual images</w:t>
      </w:r>
      <w:r>
        <w:rPr>
          <w:sz w:val="16"/>
          <w:szCs w:val="16"/>
        </w:rPr>
        <w:t>;</w:t>
      </w:r>
      <w:r w:rsidRPr="00DB7C49">
        <w:rPr>
          <w:sz w:val="16"/>
          <w:szCs w:val="16"/>
        </w:rPr>
        <w:t xml:space="preserve"> or any other form or combination of forms.</w:t>
      </w:r>
    </w:p>
  </w:footnote>
  <w:footnote w:id="86">
    <w:p w14:paraId="6CF79392" w14:textId="21C6518D" w:rsidR="00682B65" w:rsidRPr="00D457D3" w:rsidRDefault="00682B65" w:rsidP="00D9463E">
      <w:pPr>
        <w:pStyle w:val="FootnoteText"/>
        <w:ind w:left="153" w:hanging="153"/>
        <w:rPr>
          <w:rFonts w:cstheme="minorHAnsi"/>
          <w:sz w:val="16"/>
          <w:szCs w:val="16"/>
        </w:rPr>
      </w:pPr>
      <w:r w:rsidRPr="00756E28">
        <w:rPr>
          <w:rStyle w:val="FootnoteReference"/>
          <w:sz w:val="16"/>
          <w:szCs w:val="16"/>
        </w:rPr>
        <w:footnoteRef/>
      </w:r>
      <w:r w:rsidRPr="00756E28">
        <w:rPr>
          <w:sz w:val="16"/>
          <w:szCs w:val="16"/>
        </w:rPr>
        <w:t xml:space="preserve"> A ‘carriage service’ would be defined as per </w:t>
      </w:r>
      <w:r>
        <w:rPr>
          <w:sz w:val="16"/>
          <w:szCs w:val="16"/>
        </w:rPr>
        <w:t>s</w:t>
      </w:r>
      <w:r w:rsidRPr="00756E28">
        <w:rPr>
          <w:sz w:val="16"/>
          <w:szCs w:val="16"/>
        </w:rPr>
        <w:t xml:space="preserve">ection 7 of the </w:t>
      </w:r>
      <w:hyperlink r:id="rId71" w:history="1">
        <w:r w:rsidRPr="00C244B6">
          <w:rPr>
            <w:rStyle w:val="Hyperlink"/>
            <w:i/>
            <w:sz w:val="16"/>
            <w:szCs w:val="16"/>
          </w:rPr>
          <w:t>Telecommunications Act 1997</w:t>
        </w:r>
      </w:hyperlink>
      <w:r w:rsidRPr="00756E28">
        <w:rPr>
          <w:i/>
          <w:sz w:val="16"/>
          <w:szCs w:val="16"/>
        </w:rPr>
        <w:t xml:space="preserve"> </w:t>
      </w:r>
      <w:r w:rsidRPr="00756E28">
        <w:rPr>
          <w:sz w:val="16"/>
          <w:szCs w:val="16"/>
        </w:rPr>
        <w:t>to be a service for carrying communications by mean</w:t>
      </w:r>
      <w:r>
        <w:rPr>
          <w:sz w:val="16"/>
          <w:szCs w:val="16"/>
        </w:rPr>
        <w:t>s</w:t>
      </w:r>
      <w:r w:rsidRPr="00756E28">
        <w:rPr>
          <w:sz w:val="16"/>
          <w:szCs w:val="16"/>
        </w:rPr>
        <w:t xml:space="preserve"> of guided and/or unguided electromagnetic energy.</w:t>
      </w:r>
    </w:p>
  </w:footnote>
  <w:footnote w:id="87">
    <w:p w14:paraId="70E5373B" w14:textId="50335255" w:rsidR="00682B65" w:rsidRPr="00567C13" w:rsidRDefault="00682B65" w:rsidP="00545071">
      <w:pPr>
        <w:pStyle w:val="FootnoteText"/>
        <w:ind w:left="142" w:hanging="142"/>
        <w:rPr>
          <w:sz w:val="16"/>
          <w:szCs w:val="16"/>
        </w:rPr>
      </w:pPr>
      <w:r w:rsidRPr="00567C13">
        <w:rPr>
          <w:rStyle w:val="FootnoteReference"/>
          <w:sz w:val="16"/>
          <w:szCs w:val="16"/>
        </w:rPr>
        <w:footnoteRef/>
      </w:r>
      <w:r w:rsidRPr="00567C13">
        <w:rPr>
          <w:sz w:val="16"/>
          <w:szCs w:val="16"/>
        </w:rPr>
        <w:t xml:space="preserve"> This aligns with the construction of providing a content service to the public specified in </w:t>
      </w:r>
      <w:r>
        <w:rPr>
          <w:sz w:val="16"/>
          <w:szCs w:val="16"/>
        </w:rPr>
        <w:t>c</w:t>
      </w:r>
      <w:r w:rsidRPr="00567C13">
        <w:rPr>
          <w:sz w:val="16"/>
          <w:szCs w:val="16"/>
        </w:rPr>
        <w:t xml:space="preserve">lause 7 of Schedule 7 to the </w:t>
      </w:r>
      <w:hyperlink r:id="rId72" w:history="1">
        <w:r w:rsidRPr="00C244B6">
          <w:rPr>
            <w:rStyle w:val="Hyperlink"/>
            <w:i/>
            <w:sz w:val="16"/>
            <w:szCs w:val="16"/>
          </w:rPr>
          <w:t>Broadcasting Services Act 1992</w:t>
        </w:r>
      </w:hyperlink>
      <w:r w:rsidRPr="00567C13">
        <w:rPr>
          <w:sz w:val="16"/>
          <w:szCs w:val="16"/>
        </w:rPr>
        <w:t>.</w:t>
      </w:r>
    </w:p>
  </w:footnote>
  <w:footnote w:id="88">
    <w:p w14:paraId="2484C18E" w14:textId="38EDE7E8" w:rsidR="00682B65" w:rsidRPr="00567C13" w:rsidRDefault="00682B65" w:rsidP="00696D32">
      <w:pPr>
        <w:pStyle w:val="FootnoteText"/>
        <w:ind w:left="142" w:hanging="142"/>
        <w:rPr>
          <w:sz w:val="16"/>
          <w:szCs w:val="16"/>
        </w:rPr>
      </w:pPr>
      <w:r w:rsidRPr="00567C13">
        <w:rPr>
          <w:rStyle w:val="FootnoteReference"/>
          <w:sz w:val="16"/>
          <w:szCs w:val="16"/>
        </w:rPr>
        <w:footnoteRef/>
      </w:r>
      <w:r w:rsidRPr="00567C13">
        <w:rPr>
          <w:sz w:val="16"/>
          <w:szCs w:val="16"/>
        </w:rPr>
        <w:t xml:space="preserve"> </w:t>
      </w:r>
      <w:r>
        <w:rPr>
          <w:sz w:val="16"/>
          <w:szCs w:val="16"/>
        </w:rPr>
        <w:t>The relevant definitions are contained in C</w:t>
      </w:r>
      <w:r w:rsidRPr="00567C13">
        <w:rPr>
          <w:sz w:val="16"/>
          <w:szCs w:val="16"/>
        </w:rPr>
        <w:t xml:space="preserve">lause 2 of Schedule 7 to the </w:t>
      </w:r>
      <w:hyperlink r:id="rId73" w:history="1">
        <w:r w:rsidRPr="00C244B6">
          <w:rPr>
            <w:rStyle w:val="Hyperlink"/>
            <w:i/>
            <w:sz w:val="16"/>
            <w:szCs w:val="16"/>
          </w:rPr>
          <w:t>Broadcasting Services Act 1992</w:t>
        </w:r>
      </w:hyperlink>
      <w:r w:rsidRPr="00567C13">
        <w:rPr>
          <w:sz w:val="16"/>
          <w:szCs w:val="16"/>
        </w:rPr>
        <w:t xml:space="preserve"> </w:t>
      </w:r>
      <w:r>
        <w:rPr>
          <w:sz w:val="16"/>
          <w:szCs w:val="16"/>
        </w:rPr>
        <w:t>(</w:t>
      </w:r>
      <w:r w:rsidRPr="00567C13">
        <w:rPr>
          <w:sz w:val="16"/>
          <w:szCs w:val="16"/>
        </w:rPr>
        <w:t>‘content service’</w:t>
      </w:r>
      <w:r>
        <w:rPr>
          <w:sz w:val="16"/>
          <w:szCs w:val="16"/>
        </w:rPr>
        <w:t>) and in C</w:t>
      </w:r>
      <w:r w:rsidRPr="00567C13">
        <w:rPr>
          <w:sz w:val="16"/>
          <w:szCs w:val="16"/>
        </w:rPr>
        <w:t xml:space="preserve">lause 5 </w:t>
      </w:r>
      <w:r>
        <w:rPr>
          <w:sz w:val="16"/>
          <w:szCs w:val="16"/>
        </w:rPr>
        <w:t>(</w:t>
      </w:r>
      <w:r w:rsidRPr="00567C13">
        <w:rPr>
          <w:sz w:val="16"/>
          <w:szCs w:val="16"/>
        </w:rPr>
        <w:t>‘content service provider’</w:t>
      </w:r>
      <w:r>
        <w:rPr>
          <w:sz w:val="16"/>
          <w:szCs w:val="16"/>
        </w:rPr>
        <w:t>)</w:t>
      </w:r>
      <w:r w:rsidRPr="00567C13">
        <w:rPr>
          <w:sz w:val="16"/>
          <w:szCs w:val="16"/>
        </w:rPr>
        <w:t xml:space="preserve">. Consideration was also given to the definitions of ‘online content service’ and ‘online content service provider’ specified in clauses 2 and 3 and of Schedule 8 to the </w:t>
      </w:r>
      <w:hyperlink r:id="rId74" w:history="1">
        <w:r w:rsidRPr="00C244B6">
          <w:rPr>
            <w:rStyle w:val="Hyperlink"/>
            <w:i/>
            <w:sz w:val="16"/>
            <w:szCs w:val="16"/>
          </w:rPr>
          <w:t>Broadcasting Services Act 1992</w:t>
        </w:r>
      </w:hyperlink>
      <w:r w:rsidRPr="00567C13">
        <w:rPr>
          <w:sz w:val="16"/>
          <w:szCs w:val="16"/>
        </w:rPr>
        <w:t xml:space="preserve">. However, these definitions are limited to services delivered by means of an </w:t>
      </w:r>
      <w:r w:rsidRPr="00567C13">
        <w:rPr>
          <w:sz w:val="16"/>
          <w:szCs w:val="16"/>
          <w:u w:val="single"/>
        </w:rPr>
        <w:t>internet</w:t>
      </w:r>
      <w:r w:rsidRPr="00567C13">
        <w:rPr>
          <w:sz w:val="16"/>
          <w:szCs w:val="16"/>
        </w:rPr>
        <w:t xml:space="preserve"> carriage service that, via </w:t>
      </w:r>
      <w:r>
        <w:rPr>
          <w:sz w:val="16"/>
          <w:szCs w:val="16"/>
        </w:rPr>
        <w:t>s</w:t>
      </w:r>
      <w:r w:rsidRPr="00567C13">
        <w:rPr>
          <w:sz w:val="16"/>
          <w:szCs w:val="16"/>
        </w:rPr>
        <w:t xml:space="preserve">ection 5 of the </w:t>
      </w:r>
      <w:hyperlink r:id="rId75" w:history="1">
        <w:r w:rsidRPr="00C244B6">
          <w:rPr>
            <w:rStyle w:val="Hyperlink"/>
            <w:i/>
            <w:sz w:val="16"/>
            <w:szCs w:val="16"/>
          </w:rPr>
          <w:t>Online Safety Act 2021</w:t>
        </w:r>
      </w:hyperlink>
      <w:r w:rsidRPr="00567C13">
        <w:rPr>
          <w:sz w:val="16"/>
          <w:szCs w:val="16"/>
        </w:rPr>
        <w:t xml:space="preserve">, is limited to listed carriage services that enable end-users to access the internet. It is intended that the definition of content service for the purposes of the anti-siphoning scheme apply to </w:t>
      </w:r>
      <w:r w:rsidRPr="00567C13">
        <w:rPr>
          <w:sz w:val="16"/>
          <w:szCs w:val="16"/>
          <w:u w:val="single"/>
        </w:rPr>
        <w:t>all providers of content service</w:t>
      </w:r>
      <w:r w:rsidRPr="00567C13">
        <w:rPr>
          <w:sz w:val="16"/>
          <w:szCs w:val="16"/>
        </w:rPr>
        <w:t xml:space="preserve">, not just those provided via the internet. Consideration was also given to the definitions of ‘content service’ and ‘content service provider’ contained in </w:t>
      </w:r>
      <w:r>
        <w:rPr>
          <w:sz w:val="16"/>
          <w:szCs w:val="16"/>
        </w:rPr>
        <w:t>s</w:t>
      </w:r>
      <w:r w:rsidRPr="00567C13">
        <w:rPr>
          <w:sz w:val="16"/>
          <w:szCs w:val="16"/>
        </w:rPr>
        <w:t xml:space="preserve">ections 15 and 97 of the </w:t>
      </w:r>
      <w:hyperlink r:id="rId76" w:history="1">
        <w:r w:rsidRPr="00C244B6">
          <w:rPr>
            <w:rStyle w:val="Hyperlink"/>
            <w:i/>
            <w:sz w:val="16"/>
            <w:szCs w:val="16"/>
          </w:rPr>
          <w:t>Telecommunications Act 1997</w:t>
        </w:r>
      </w:hyperlink>
      <w:r>
        <w:rPr>
          <w:rStyle w:val="Hyperlink"/>
          <w:i/>
          <w:sz w:val="16"/>
          <w:szCs w:val="16"/>
        </w:rPr>
        <w:t xml:space="preserve"> </w:t>
      </w:r>
      <w:r w:rsidRPr="001B2511">
        <w:rPr>
          <w:sz w:val="16"/>
          <w:szCs w:val="16"/>
        </w:rPr>
        <w:t>respectively.</w:t>
      </w:r>
    </w:p>
  </w:footnote>
  <w:footnote w:id="89">
    <w:p w14:paraId="14022673" w14:textId="39869A32" w:rsidR="00682B65" w:rsidRPr="00567C13" w:rsidRDefault="00682B65">
      <w:pPr>
        <w:pStyle w:val="FootnoteText"/>
        <w:ind w:left="142" w:hanging="142"/>
        <w:rPr>
          <w:sz w:val="16"/>
          <w:szCs w:val="16"/>
        </w:rPr>
      </w:pPr>
      <w:r w:rsidRPr="00567C13">
        <w:rPr>
          <w:rStyle w:val="FootnoteReference"/>
          <w:sz w:val="16"/>
          <w:szCs w:val="16"/>
        </w:rPr>
        <w:footnoteRef/>
      </w:r>
      <w:r w:rsidRPr="00567C13">
        <w:rPr>
          <w:sz w:val="16"/>
          <w:szCs w:val="16"/>
        </w:rPr>
        <w:t xml:space="preserve"> </w:t>
      </w:r>
      <w:r w:rsidRPr="00287A65">
        <w:rPr>
          <w:sz w:val="16"/>
          <w:szCs w:val="16"/>
        </w:rPr>
        <w:t>A</w:t>
      </w:r>
      <w:r>
        <w:rPr>
          <w:sz w:val="16"/>
          <w:szCs w:val="16"/>
        </w:rPr>
        <w:t xml:space="preserve">n </w:t>
      </w:r>
      <w:r w:rsidRPr="00287A65">
        <w:rPr>
          <w:sz w:val="16"/>
          <w:szCs w:val="16"/>
        </w:rPr>
        <w:t xml:space="preserve">end-user </w:t>
      </w:r>
      <w:r>
        <w:rPr>
          <w:sz w:val="16"/>
          <w:szCs w:val="16"/>
        </w:rPr>
        <w:t xml:space="preserve">in Australia </w:t>
      </w:r>
      <w:r w:rsidRPr="00287A65">
        <w:rPr>
          <w:sz w:val="16"/>
          <w:szCs w:val="16"/>
        </w:rPr>
        <w:t>would be an individual who is physically present in Australia or the external Territories</w:t>
      </w:r>
      <w:r w:rsidRPr="00567C13">
        <w:rPr>
          <w:sz w:val="16"/>
          <w:szCs w:val="16"/>
        </w:rPr>
        <w:t xml:space="preserve">, noting that the </w:t>
      </w:r>
      <w:hyperlink r:id="rId77" w:history="1">
        <w:r w:rsidRPr="00C244B6">
          <w:rPr>
            <w:rStyle w:val="Hyperlink"/>
            <w:i/>
            <w:sz w:val="16"/>
            <w:szCs w:val="16"/>
          </w:rPr>
          <w:t>Broadcasting Services Act 1992</w:t>
        </w:r>
      </w:hyperlink>
      <w:r w:rsidRPr="00567C13">
        <w:rPr>
          <w:sz w:val="16"/>
          <w:szCs w:val="16"/>
        </w:rPr>
        <w:t xml:space="preserve"> applies to all of the external Territories</w:t>
      </w:r>
      <w:r>
        <w:rPr>
          <w:sz w:val="16"/>
          <w:szCs w:val="16"/>
        </w:rPr>
        <w:t>, as per s</w:t>
      </w:r>
      <w:r w:rsidRPr="00567C13">
        <w:rPr>
          <w:sz w:val="16"/>
          <w:szCs w:val="16"/>
        </w:rPr>
        <w:t>ection 10.</w:t>
      </w:r>
    </w:p>
  </w:footnote>
  <w:footnote w:id="90">
    <w:p w14:paraId="3189D6A8" w14:textId="750175C4" w:rsidR="00682B65" w:rsidRPr="00D457D3" w:rsidRDefault="00682B65">
      <w:pPr>
        <w:pStyle w:val="FootnoteText"/>
        <w:ind w:left="142" w:hanging="142"/>
        <w:rPr>
          <w:rFonts w:cstheme="minorHAnsi"/>
          <w:sz w:val="16"/>
          <w:szCs w:val="16"/>
        </w:rPr>
      </w:pPr>
      <w:r w:rsidRPr="00567C13">
        <w:rPr>
          <w:rStyle w:val="FootnoteReference"/>
          <w:sz w:val="16"/>
          <w:szCs w:val="16"/>
        </w:rPr>
        <w:footnoteRef/>
      </w:r>
      <w:r w:rsidRPr="00567C13">
        <w:rPr>
          <w:sz w:val="16"/>
          <w:szCs w:val="16"/>
        </w:rPr>
        <w:t xml:space="preserve"> </w:t>
      </w:r>
      <w:r w:rsidRPr="00C4285E">
        <w:rPr>
          <w:sz w:val="16"/>
          <w:szCs w:val="16"/>
        </w:rPr>
        <w:t xml:space="preserve">The concept of </w:t>
      </w:r>
      <w:r>
        <w:rPr>
          <w:sz w:val="16"/>
          <w:szCs w:val="16"/>
        </w:rPr>
        <w:t>‘</w:t>
      </w:r>
      <w:r w:rsidRPr="00C4285E">
        <w:rPr>
          <w:sz w:val="16"/>
          <w:szCs w:val="16"/>
        </w:rPr>
        <w:t xml:space="preserve">wholly or partly </w:t>
      </w:r>
      <w:r>
        <w:rPr>
          <w:sz w:val="16"/>
          <w:szCs w:val="16"/>
        </w:rPr>
        <w:t xml:space="preserve">serving </w:t>
      </w:r>
      <w:r w:rsidRPr="00C4285E">
        <w:rPr>
          <w:sz w:val="16"/>
          <w:szCs w:val="16"/>
        </w:rPr>
        <w:t>Australian audiences</w:t>
      </w:r>
      <w:r>
        <w:rPr>
          <w:sz w:val="16"/>
          <w:szCs w:val="16"/>
        </w:rPr>
        <w:t>’</w:t>
      </w:r>
      <w:r w:rsidRPr="00C4285E">
        <w:rPr>
          <w:sz w:val="16"/>
          <w:szCs w:val="16"/>
        </w:rPr>
        <w:t xml:space="preserve"> forms an element of an ‘Australian media business’ in </w:t>
      </w:r>
      <w:r>
        <w:rPr>
          <w:sz w:val="16"/>
          <w:szCs w:val="16"/>
        </w:rPr>
        <w:t>s</w:t>
      </w:r>
      <w:r w:rsidRPr="00C4285E">
        <w:rPr>
          <w:sz w:val="16"/>
          <w:szCs w:val="16"/>
        </w:rPr>
        <w:t xml:space="preserve">ection 13A of the </w:t>
      </w:r>
      <w:hyperlink r:id="rId78" w:history="1">
        <w:r w:rsidRPr="00FC7446">
          <w:rPr>
            <w:rStyle w:val="Hyperlink"/>
            <w:i/>
            <w:sz w:val="16"/>
            <w:szCs w:val="16"/>
          </w:rPr>
          <w:t>Foreign Acquisitions and Takeover Regulation 2015</w:t>
        </w:r>
      </w:hyperlink>
      <w:r w:rsidRPr="00C4285E">
        <w:rPr>
          <w:sz w:val="16"/>
          <w:szCs w:val="16"/>
        </w:rPr>
        <w:t>.</w:t>
      </w:r>
    </w:p>
  </w:footnote>
  <w:footnote w:id="91">
    <w:p w14:paraId="0FFCAC72" w14:textId="540FD444" w:rsidR="00682B65" w:rsidRPr="003A0AB1" w:rsidRDefault="00682B65" w:rsidP="00706BBF">
      <w:pPr>
        <w:pStyle w:val="FootnoteText"/>
        <w:ind w:left="142" w:hanging="142"/>
        <w:rPr>
          <w:sz w:val="16"/>
          <w:szCs w:val="16"/>
        </w:rPr>
      </w:pPr>
      <w:r w:rsidRPr="003A0AB1">
        <w:rPr>
          <w:rStyle w:val="FootnoteReference"/>
          <w:sz w:val="16"/>
          <w:szCs w:val="16"/>
        </w:rPr>
        <w:footnoteRef/>
      </w:r>
      <w:r w:rsidRPr="003A0AB1">
        <w:rPr>
          <w:sz w:val="16"/>
          <w:szCs w:val="16"/>
        </w:rPr>
        <w:t xml:space="preserve"> As per </w:t>
      </w:r>
      <w:r>
        <w:rPr>
          <w:sz w:val="16"/>
          <w:szCs w:val="16"/>
        </w:rPr>
        <w:t>s</w:t>
      </w:r>
      <w:r w:rsidRPr="003A0AB1">
        <w:rPr>
          <w:sz w:val="16"/>
          <w:szCs w:val="16"/>
        </w:rPr>
        <w:t xml:space="preserve">ection 7 of the </w:t>
      </w:r>
      <w:hyperlink r:id="rId79" w:history="1">
        <w:r w:rsidRPr="00C244B6">
          <w:rPr>
            <w:rStyle w:val="Hyperlink"/>
            <w:i/>
            <w:sz w:val="16"/>
            <w:szCs w:val="16"/>
          </w:rPr>
          <w:t>Telecommunications Act 1997</w:t>
        </w:r>
      </w:hyperlink>
      <w:r w:rsidRPr="003A0AB1">
        <w:rPr>
          <w:sz w:val="16"/>
          <w:szCs w:val="16"/>
        </w:rPr>
        <w:t xml:space="preserve">, a carriage service is </w:t>
      </w:r>
      <w:r w:rsidRPr="003A0AB1">
        <w:rPr>
          <w:color w:val="000000"/>
          <w:sz w:val="16"/>
          <w:szCs w:val="16"/>
          <w:shd w:val="clear" w:color="auto" w:fill="FFFFFF"/>
        </w:rPr>
        <w:t>a service for carrying communications by means of guided and/or unguided electromagnetic energy.</w:t>
      </w:r>
    </w:p>
  </w:footnote>
  <w:footnote w:id="92">
    <w:p w14:paraId="6B705AD7" w14:textId="7E4F1C7A" w:rsidR="00682B65" w:rsidRPr="003A0AB1" w:rsidRDefault="00682B65">
      <w:pPr>
        <w:pStyle w:val="FootnoteText"/>
        <w:rPr>
          <w:sz w:val="16"/>
          <w:szCs w:val="16"/>
        </w:rPr>
      </w:pPr>
      <w:r w:rsidRPr="003A0AB1">
        <w:rPr>
          <w:rStyle w:val="FootnoteReference"/>
          <w:sz w:val="16"/>
          <w:szCs w:val="16"/>
        </w:rPr>
        <w:footnoteRef/>
      </w:r>
      <w:r w:rsidRPr="003A0AB1">
        <w:rPr>
          <w:sz w:val="16"/>
          <w:szCs w:val="16"/>
        </w:rPr>
        <w:t xml:space="preserve"> Regional TAM, OzTAM, &amp; Nielsen (2017), </w:t>
      </w:r>
      <w:hyperlink r:id="rId80" w:history="1">
        <w:r w:rsidRPr="0052129C">
          <w:rPr>
            <w:rStyle w:val="Hyperlink"/>
            <w:sz w:val="16"/>
            <w:szCs w:val="16"/>
          </w:rPr>
          <w:t>Australian Video Viewing Report Quarter 4, 2017</w:t>
        </w:r>
      </w:hyperlink>
      <w:r w:rsidRPr="003A0AB1">
        <w:rPr>
          <w:sz w:val="16"/>
          <w:szCs w:val="16"/>
        </w:rPr>
        <w:t>,</w:t>
      </w:r>
      <w:r>
        <w:rPr>
          <w:sz w:val="16"/>
          <w:szCs w:val="16"/>
        </w:rPr>
        <w:t xml:space="preserve"> p 11.</w:t>
      </w:r>
    </w:p>
  </w:footnote>
  <w:footnote w:id="93">
    <w:p w14:paraId="5059EA9B" w14:textId="3C04641D" w:rsidR="00682B65" w:rsidRPr="003A0AB1" w:rsidRDefault="00682B65" w:rsidP="001B1705">
      <w:pPr>
        <w:pStyle w:val="FootnoteText"/>
        <w:rPr>
          <w:sz w:val="16"/>
          <w:szCs w:val="16"/>
        </w:rPr>
      </w:pPr>
      <w:r w:rsidRPr="003A0AB1">
        <w:rPr>
          <w:rStyle w:val="FootnoteReference"/>
          <w:sz w:val="16"/>
          <w:szCs w:val="16"/>
        </w:rPr>
        <w:footnoteRef/>
      </w:r>
      <w:r w:rsidRPr="003A0AB1">
        <w:rPr>
          <w:sz w:val="16"/>
          <w:szCs w:val="16"/>
        </w:rPr>
        <w:t xml:space="preserve"> Free TV Australia, </w:t>
      </w:r>
      <w:hyperlink r:id="rId81" w:anchor=":~:text=Digital%20terrestrial%20television%20(DTT)%20is,99%25%20of%20the%20Australian%20population." w:history="1">
        <w:r>
          <w:rPr>
            <w:rStyle w:val="Hyperlink"/>
            <w:sz w:val="16"/>
            <w:szCs w:val="16"/>
          </w:rPr>
          <w:t>Technology &amp; Innovation</w:t>
        </w:r>
      </w:hyperlink>
      <w:r>
        <w:rPr>
          <w:rStyle w:val="Hyperlink"/>
          <w:sz w:val="16"/>
          <w:szCs w:val="16"/>
        </w:rPr>
        <w:t>.</w:t>
      </w:r>
    </w:p>
  </w:footnote>
  <w:footnote w:id="94">
    <w:p w14:paraId="248A29EE" w14:textId="631AB06E" w:rsidR="00682B65" w:rsidRPr="00722E25" w:rsidRDefault="00682B65" w:rsidP="00706BBF">
      <w:pPr>
        <w:pStyle w:val="FootnoteText"/>
        <w:ind w:left="142" w:hanging="142"/>
        <w:rPr>
          <w:sz w:val="16"/>
          <w:szCs w:val="16"/>
        </w:rPr>
      </w:pPr>
      <w:r w:rsidRPr="003A0AB1">
        <w:rPr>
          <w:rStyle w:val="FootnoteReference"/>
          <w:sz w:val="16"/>
          <w:szCs w:val="16"/>
        </w:rPr>
        <w:footnoteRef/>
      </w:r>
      <w:r w:rsidRPr="003A0AB1">
        <w:rPr>
          <w:sz w:val="16"/>
          <w:szCs w:val="16"/>
        </w:rPr>
        <w:t xml:space="preserve"> Department of Infrastructure, Transport, Regional Development, Communications and the Arts, </w:t>
      </w:r>
      <w:hyperlink r:id="rId82" w:history="1">
        <w:r w:rsidRPr="00722E25">
          <w:rPr>
            <w:i/>
            <w:sz w:val="16"/>
            <w:szCs w:val="16"/>
          </w:rPr>
          <w:t>International comparison of fixed broadband performance, November 2020</w:t>
        </w:r>
        <w:r>
          <w:rPr>
            <w:i/>
            <w:sz w:val="16"/>
            <w:szCs w:val="16"/>
          </w:rPr>
          <w:t xml:space="preserve"> </w:t>
        </w:r>
        <w:r>
          <w:rPr>
            <w:sz w:val="16"/>
            <w:szCs w:val="16"/>
          </w:rPr>
          <w:t>(2020)</w:t>
        </w:r>
        <w:r w:rsidRPr="00722E25">
          <w:rPr>
            <w:sz w:val="16"/>
            <w:szCs w:val="16"/>
          </w:rPr>
          <w:t xml:space="preserve">, </w:t>
        </w:r>
      </w:hyperlink>
      <w:r w:rsidRPr="00722E25">
        <w:rPr>
          <w:sz w:val="16"/>
          <w:szCs w:val="16"/>
        </w:rPr>
        <w:t xml:space="preserve"> </w:t>
      </w:r>
      <w:hyperlink r:id="rId83" w:history="1">
        <w:r w:rsidRPr="00722E25">
          <w:rPr>
            <w:rStyle w:val="Hyperlink"/>
            <w:sz w:val="16"/>
            <w:szCs w:val="16"/>
          </w:rPr>
          <w:t>International comparison of fixed broadband performance – coverage and minimum speeds</w:t>
        </w:r>
      </w:hyperlink>
      <w:r w:rsidRPr="00722E25">
        <w:rPr>
          <w:sz w:val="16"/>
          <w:szCs w:val="16"/>
        </w:rPr>
        <w:t>.</w:t>
      </w:r>
    </w:p>
  </w:footnote>
  <w:footnote w:id="95">
    <w:p w14:paraId="63775F55" w14:textId="11EF62E0" w:rsidR="00682B65" w:rsidRPr="001B1705" w:rsidRDefault="00682B65">
      <w:pPr>
        <w:pStyle w:val="FootnoteText"/>
        <w:rPr>
          <w:sz w:val="16"/>
          <w:szCs w:val="16"/>
        </w:rPr>
      </w:pPr>
      <w:r w:rsidRPr="00722E25">
        <w:rPr>
          <w:rStyle w:val="FootnoteReference"/>
          <w:sz w:val="16"/>
          <w:szCs w:val="16"/>
        </w:rPr>
        <w:footnoteRef/>
      </w:r>
      <w:r w:rsidRPr="00722E25">
        <w:rPr>
          <w:sz w:val="16"/>
          <w:szCs w:val="16"/>
        </w:rPr>
        <w:t xml:space="preserve"> </w:t>
      </w:r>
      <w:bookmarkStart w:id="168" w:name="_Hlk142930293"/>
      <w:r w:rsidRPr="00722E25">
        <w:rPr>
          <w:sz w:val="16"/>
          <w:szCs w:val="16"/>
        </w:rPr>
        <w:t xml:space="preserve">Telstra, </w:t>
      </w:r>
      <w:hyperlink r:id="rId84" w:history="1">
        <w:r>
          <w:rPr>
            <w:rStyle w:val="Hyperlink"/>
            <w:sz w:val="16"/>
            <w:szCs w:val="16"/>
          </w:rPr>
          <w:t>Our Network</w:t>
        </w:r>
      </w:hyperlink>
      <w:r w:rsidRPr="00722E25">
        <w:rPr>
          <w:sz w:val="16"/>
          <w:szCs w:val="16"/>
        </w:rPr>
        <w:t>.</w:t>
      </w:r>
      <w:bookmarkEnd w:id="168"/>
    </w:p>
  </w:footnote>
  <w:footnote w:id="96">
    <w:p w14:paraId="759131D8" w14:textId="66B74537" w:rsidR="00682B65" w:rsidRPr="00D457D3" w:rsidRDefault="00682B65" w:rsidP="00706BBF">
      <w:pPr>
        <w:pStyle w:val="FootnoteText"/>
        <w:ind w:left="142" w:hanging="142"/>
        <w:rPr>
          <w:rFonts w:cstheme="minorHAnsi"/>
          <w:sz w:val="16"/>
          <w:szCs w:val="16"/>
        </w:rPr>
      </w:pPr>
      <w:r w:rsidRPr="00FE64A1">
        <w:rPr>
          <w:rStyle w:val="FootnoteReference"/>
          <w:sz w:val="16"/>
          <w:szCs w:val="16"/>
        </w:rPr>
        <w:footnoteRef/>
      </w:r>
      <w:r w:rsidRPr="00FE64A1">
        <w:rPr>
          <w:sz w:val="16"/>
          <w:szCs w:val="16"/>
        </w:rPr>
        <w:t xml:space="preserve"> </w:t>
      </w:r>
      <w:r>
        <w:rPr>
          <w:sz w:val="16"/>
          <w:szCs w:val="16"/>
        </w:rPr>
        <w:t xml:space="preserve">Subsection 146E(2) of the </w:t>
      </w:r>
      <w:hyperlink r:id="rId85" w:history="1">
        <w:r w:rsidRPr="00C244B6">
          <w:rPr>
            <w:rStyle w:val="Hyperlink"/>
            <w:i/>
            <w:sz w:val="16"/>
            <w:szCs w:val="16"/>
          </w:rPr>
          <w:t>Broadcasting Services Act 1992</w:t>
        </w:r>
      </w:hyperlink>
      <w:r>
        <w:rPr>
          <w:rStyle w:val="Hyperlink"/>
          <w:i/>
          <w:sz w:val="16"/>
          <w:szCs w:val="16"/>
        </w:rPr>
        <w:t xml:space="preserve"> </w:t>
      </w:r>
      <w:r>
        <w:rPr>
          <w:sz w:val="16"/>
          <w:szCs w:val="16"/>
        </w:rPr>
        <w:t>provides for this construction of an ‘insubstantial proportion’ of an event in the context of the anti-hoarding rules contained in Part 10A of the Act.</w:t>
      </w:r>
    </w:p>
  </w:footnote>
  <w:footnote w:id="97">
    <w:p w14:paraId="5E320FDF" w14:textId="26AAB839" w:rsidR="00682B65" w:rsidRPr="00722E25" w:rsidRDefault="00682B65" w:rsidP="005C1580">
      <w:pPr>
        <w:pStyle w:val="FootnoteText"/>
        <w:ind w:left="147" w:hanging="147"/>
        <w:rPr>
          <w:sz w:val="16"/>
          <w:szCs w:val="16"/>
        </w:rPr>
      </w:pPr>
      <w:r w:rsidRPr="00722E25">
        <w:rPr>
          <w:rStyle w:val="FootnoteReference"/>
          <w:sz w:val="16"/>
          <w:szCs w:val="16"/>
        </w:rPr>
        <w:footnoteRef/>
      </w:r>
      <w:r w:rsidRPr="00722E25">
        <w:rPr>
          <w:sz w:val="16"/>
          <w:szCs w:val="16"/>
        </w:rPr>
        <w:t xml:space="preserve"> Subsections 146F(3) and 146F(4) of the </w:t>
      </w:r>
      <w:hyperlink r:id="rId86" w:history="1">
        <w:r w:rsidRPr="00722E25">
          <w:rPr>
            <w:rStyle w:val="Hyperlink"/>
            <w:i/>
            <w:sz w:val="16"/>
            <w:szCs w:val="16"/>
          </w:rPr>
          <w:t>Broadcasting Services Act 1992</w:t>
        </w:r>
      </w:hyperlink>
      <w:r w:rsidRPr="00722E25">
        <w:rPr>
          <w:rStyle w:val="Hyperlink"/>
          <w:i/>
          <w:sz w:val="16"/>
          <w:szCs w:val="16"/>
        </w:rPr>
        <w:t xml:space="preserve"> </w:t>
      </w:r>
      <w:r w:rsidRPr="00722E25">
        <w:rPr>
          <w:sz w:val="16"/>
          <w:szCs w:val="16"/>
        </w:rPr>
        <w:t>provide that if a licensee has a right to a substantial proportion of an event, the relevant obligations have effect as if the proportion were a designated event in its own right.</w:t>
      </w:r>
    </w:p>
  </w:footnote>
  <w:footnote w:id="98">
    <w:p w14:paraId="4197C723" w14:textId="1C163145" w:rsidR="00682B65" w:rsidRPr="008E111B" w:rsidRDefault="00682B65">
      <w:pPr>
        <w:pStyle w:val="FootnoteText"/>
        <w:rPr>
          <w:sz w:val="16"/>
          <w:szCs w:val="16"/>
        </w:rPr>
      </w:pPr>
      <w:r w:rsidRPr="00722E25">
        <w:rPr>
          <w:rStyle w:val="FootnoteReference"/>
          <w:sz w:val="16"/>
          <w:szCs w:val="16"/>
        </w:rPr>
        <w:footnoteRef/>
      </w:r>
      <w:r w:rsidRPr="00722E25">
        <w:rPr>
          <w:sz w:val="16"/>
          <w:szCs w:val="16"/>
        </w:rPr>
        <w:t xml:space="preserve"> </w:t>
      </w:r>
      <w:hyperlink r:id="rId87" w:history="1">
        <w:r w:rsidRPr="00FC7446">
          <w:rPr>
            <w:rStyle w:val="Hyperlink"/>
            <w:i/>
            <w:sz w:val="16"/>
            <w:szCs w:val="16"/>
          </w:rPr>
          <w:t>Broadcasting Services (Events) Notice 2023</w:t>
        </w:r>
      </w:hyperlink>
      <w:r w:rsidRPr="00FC7446">
        <w:rPr>
          <w:i/>
          <w:sz w:val="16"/>
          <w:szCs w:val="16"/>
        </w:rPr>
        <w:t>.</w:t>
      </w:r>
    </w:p>
  </w:footnote>
  <w:footnote w:id="99">
    <w:p w14:paraId="76BF5D7B" w14:textId="3AFBF0C5" w:rsidR="00682B65" w:rsidRPr="00463DB8" w:rsidRDefault="00682B65" w:rsidP="008623D4">
      <w:pPr>
        <w:pStyle w:val="FootnoteText"/>
        <w:rPr>
          <w:sz w:val="16"/>
          <w:szCs w:val="16"/>
        </w:rPr>
      </w:pPr>
      <w:r w:rsidRPr="00463DB8">
        <w:rPr>
          <w:rStyle w:val="FootnoteReference"/>
          <w:sz w:val="16"/>
          <w:szCs w:val="16"/>
        </w:rPr>
        <w:footnoteRef/>
      </w:r>
      <w:r w:rsidRPr="00463DB8">
        <w:rPr>
          <w:sz w:val="16"/>
          <w:szCs w:val="16"/>
        </w:rPr>
        <w:t xml:space="preserve"> Coalition of Major Professional and Participation Sports</w:t>
      </w:r>
      <w:r>
        <w:rPr>
          <w:sz w:val="16"/>
          <w:szCs w:val="16"/>
        </w:rPr>
        <w:t xml:space="preserve"> (2022)</w:t>
      </w:r>
      <w:r w:rsidRPr="00463DB8">
        <w:rPr>
          <w:sz w:val="16"/>
          <w:szCs w:val="16"/>
        </w:rPr>
        <w:t xml:space="preserve">, </w:t>
      </w:r>
      <w:hyperlink r:id="rId88" w:history="1">
        <w:r w:rsidRPr="00463DB8">
          <w:rPr>
            <w:rStyle w:val="Hyperlink"/>
            <w:sz w:val="16"/>
            <w:szCs w:val="16"/>
          </w:rPr>
          <w:t>Submission of COMPPS to the review of the anti-siphoning scheme</w:t>
        </w:r>
      </w:hyperlink>
      <w:r w:rsidRPr="00463DB8">
        <w:rPr>
          <w:sz w:val="16"/>
          <w:szCs w:val="16"/>
        </w:rPr>
        <w:t>, p 2-3.</w:t>
      </w:r>
    </w:p>
  </w:footnote>
  <w:footnote w:id="100">
    <w:p w14:paraId="26723ABC" w14:textId="77777777" w:rsidR="00682B65" w:rsidRPr="00463DB8" w:rsidRDefault="00682B65">
      <w:pPr>
        <w:pStyle w:val="FootnoteText"/>
        <w:rPr>
          <w:sz w:val="16"/>
          <w:szCs w:val="16"/>
          <w:lang w:val="en-US"/>
        </w:rPr>
      </w:pPr>
      <w:r w:rsidRPr="00463DB8">
        <w:rPr>
          <w:rStyle w:val="FootnoteReference"/>
          <w:sz w:val="16"/>
          <w:szCs w:val="16"/>
        </w:rPr>
        <w:footnoteRef/>
      </w:r>
      <w:r w:rsidRPr="00463DB8">
        <w:rPr>
          <w:sz w:val="16"/>
          <w:szCs w:val="16"/>
        </w:rPr>
        <w:t xml:space="preserve"> Ibid.</w:t>
      </w:r>
    </w:p>
  </w:footnote>
  <w:footnote w:id="101">
    <w:p w14:paraId="07440C4D" w14:textId="5E33AE8B" w:rsidR="00682B65" w:rsidRPr="00463DB8" w:rsidRDefault="00682B65" w:rsidP="0083202D">
      <w:pPr>
        <w:pStyle w:val="FootnoteText"/>
        <w:rPr>
          <w:sz w:val="16"/>
          <w:szCs w:val="16"/>
          <w:lang w:val="en-US"/>
        </w:rPr>
      </w:pPr>
      <w:r w:rsidRPr="00463DB8">
        <w:rPr>
          <w:rStyle w:val="FootnoteReference"/>
          <w:sz w:val="16"/>
          <w:szCs w:val="16"/>
        </w:rPr>
        <w:footnoteRef/>
      </w:r>
      <w:r w:rsidRPr="00463DB8">
        <w:rPr>
          <w:sz w:val="16"/>
          <w:szCs w:val="16"/>
        </w:rPr>
        <w:t xml:space="preserve"> Foxtel Group</w:t>
      </w:r>
      <w:r>
        <w:rPr>
          <w:sz w:val="16"/>
          <w:szCs w:val="16"/>
        </w:rPr>
        <w:t xml:space="preserve"> (2022)</w:t>
      </w:r>
      <w:r w:rsidRPr="00463DB8">
        <w:rPr>
          <w:sz w:val="16"/>
          <w:szCs w:val="16"/>
        </w:rPr>
        <w:t xml:space="preserve">, </w:t>
      </w:r>
      <w:hyperlink r:id="rId89" w:history="1">
        <w:r w:rsidRPr="00463DB8">
          <w:rPr>
            <w:rStyle w:val="Hyperlink"/>
            <w:sz w:val="16"/>
            <w:szCs w:val="16"/>
          </w:rPr>
          <w:t>Submission in response to the review of the anti-siphoning scheme – Consultation Paper</w:t>
        </w:r>
      </w:hyperlink>
      <w:r w:rsidRPr="00463DB8">
        <w:rPr>
          <w:sz w:val="16"/>
          <w:szCs w:val="16"/>
        </w:rPr>
        <w:t>, p 2.</w:t>
      </w:r>
    </w:p>
  </w:footnote>
  <w:footnote w:id="102">
    <w:p w14:paraId="58989CD2" w14:textId="77777777" w:rsidR="00682B65" w:rsidRPr="00D457D3" w:rsidRDefault="00682B65">
      <w:pPr>
        <w:pStyle w:val="FootnoteText"/>
        <w:rPr>
          <w:rFonts w:cstheme="minorHAnsi"/>
          <w:sz w:val="16"/>
          <w:szCs w:val="16"/>
        </w:rPr>
      </w:pPr>
      <w:r w:rsidRPr="00463DB8">
        <w:rPr>
          <w:rStyle w:val="FootnoteReference"/>
          <w:sz w:val="16"/>
          <w:szCs w:val="16"/>
        </w:rPr>
        <w:footnoteRef/>
      </w:r>
      <w:r w:rsidRPr="00463DB8">
        <w:rPr>
          <w:sz w:val="16"/>
          <w:szCs w:val="16"/>
        </w:rPr>
        <w:t xml:space="preserve"> Ibid.</w:t>
      </w:r>
      <w:r w:rsidRPr="0083202D">
        <w:rPr>
          <w:sz w:val="16"/>
          <w:szCs w:val="16"/>
        </w:rPr>
        <w:t xml:space="preserve"> </w:t>
      </w:r>
    </w:p>
  </w:footnote>
  <w:footnote w:id="103">
    <w:p w14:paraId="71C4FCA0" w14:textId="6E5093C0" w:rsidR="00682B65" w:rsidRPr="00C229B1" w:rsidRDefault="00682B65" w:rsidP="005C1580">
      <w:pPr>
        <w:pStyle w:val="FootnoteText"/>
        <w:ind w:left="153" w:hanging="153"/>
        <w:rPr>
          <w:sz w:val="16"/>
          <w:szCs w:val="16"/>
        </w:rPr>
      </w:pPr>
      <w:r w:rsidRPr="00C229B1">
        <w:rPr>
          <w:rStyle w:val="FootnoteReference"/>
          <w:sz w:val="16"/>
          <w:szCs w:val="16"/>
        </w:rPr>
        <w:footnoteRef/>
      </w:r>
      <w:r w:rsidRPr="00C229B1">
        <w:rPr>
          <w:sz w:val="16"/>
          <w:szCs w:val="16"/>
        </w:rPr>
        <w:t xml:space="preserve"> Department of Infrastructure, Transport, Regional Development, Communications and the Arts, </w:t>
      </w:r>
      <w:hyperlink r:id="rId90" w:history="1">
        <w:r w:rsidRPr="00C229B1">
          <w:rPr>
            <w:i/>
            <w:sz w:val="16"/>
            <w:szCs w:val="16"/>
          </w:rPr>
          <w:t>International comparison of fixed broadband performance, November 2020</w:t>
        </w:r>
        <w:r w:rsidRPr="00C229B1">
          <w:rPr>
            <w:sz w:val="16"/>
            <w:szCs w:val="16"/>
          </w:rPr>
          <w:t xml:space="preserve">, </w:t>
        </w:r>
        <w:r>
          <w:rPr>
            <w:sz w:val="16"/>
            <w:szCs w:val="16"/>
          </w:rPr>
          <w:t>(2020),</w:t>
        </w:r>
        <w:r w:rsidRPr="00C229B1">
          <w:rPr>
            <w:sz w:val="16"/>
            <w:szCs w:val="16"/>
          </w:rPr>
          <w:t xml:space="preserve"> </w:t>
        </w:r>
      </w:hyperlink>
      <w:hyperlink r:id="rId91" w:history="1">
        <w:r w:rsidRPr="00C229B1">
          <w:rPr>
            <w:rStyle w:val="Hyperlink"/>
            <w:sz w:val="16"/>
            <w:szCs w:val="16"/>
          </w:rPr>
          <w:t>International comparison of fixed broadband performance – coverage and minimum speeds</w:t>
        </w:r>
      </w:hyperlink>
      <w:r w:rsidRPr="00C229B1">
        <w:rPr>
          <w:sz w:val="16"/>
          <w:szCs w:val="16"/>
        </w:rPr>
        <w:t>.</w:t>
      </w:r>
    </w:p>
  </w:footnote>
  <w:footnote w:id="104">
    <w:p w14:paraId="2D1C8C40" w14:textId="77425950" w:rsidR="00682B65" w:rsidRDefault="00682B65">
      <w:pPr>
        <w:pStyle w:val="FootnoteText"/>
      </w:pPr>
      <w:r>
        <w:rPr>
          <w:rStyle w:val="FootnoteReference"/>
        </w:rPr>
        <w:footnoteRef/>
      </w:r>
      <w:r>
        <w:t xml:space="preserve"> </w:t>
      </w:r>
      <w:r>
        <w:rPr>
          <w:sz w:val="16"/>
          <w:szCs w:val="16"/>
        </w:rPr>
        <w:t xml:space="preserve">Telstra, </w:t>
      </w:r>
      <w:hyperlink r:id="rId92" w:history="1">
        <w:r>
          <w:rPr>
            <w:rStyle w:val="Hyperlink"/>
            <w:sz w:val="16"/>
            <w:szCs w:val="16"/>
          </w:rPr>
          <w:t>Our Network</w:t>
        </w:r>
      </w:hyperlink>
    </w:p>
  </w:footnote>
  <w:footnote w:id="105">
    <w:p w14:paraId="3B3D2C1F" w14:textId="47693737" w:rsidR="00682B65" w:rsidRPr="00C229B1" w:rsidRDefault="00682B65" w:rsidP="005530A0">
      <w:pPr>
        <w:pStyle w:val="FootnoteText"/>
        <w:rPr>
          <w:sz w:val="16"/>
          <w:szCs w:val="16"/>
        </w:rPr>
      </w:pPr>
      <w:r w:rsidRPr="00C229B1">
        <w:rPr>
          <w:rStyle w:val="FootnoteReference"/>
          <w:sz w:val="16"/>
          <w:szCs w:val="16"/>
        </w:rPr>
        <w:footnoteRef/>
      </w:r>
      <w:r w:rsidRPr="00C229B1">
        <w:rPr>
          <w:sz w:val="16"/>
          <w:szCs w:val="16"/>
        </w:rPr>
        <w:t xml:space="preserve"> </w:t>
      </w:r>
      <w:r>
        <w:rPr>
          <w:sz w:val="16"/>
          <w:szCs w:val="16"/>
        </w:rPr>
        <w:t xml:space="preserve">Telstra, </w:t>
      </w:r>
      <w:hyperlink r:id="rId93" w:history="1">
        <w:r>
          <w:rPr>
            <w:rStyle w:val="Hyperlink"/>
            <w:sz w:val="16"/>
            <w:szCs w:val="16"/>
          </w:rPr>
          <w:t>Australia's Largest 5G Network</w:t>
        </w:r>
      </w:hyperlink>
      <w:r w:rsidRPr="00C229B1">
        <w:rPr>
          <w:sz w:val="16"/>
          <w:szCs w:val="16"/>
        </w:rPr>
        <w:t>.</w:t>
      </w:r>
    </w:p>
  </w:footnote>
  <w:footnote w:id="106">
    <w:p w14:paraId="34D275EF" w14:textId="2A781B37" w:rsidR="00682B65" w:rsidRPr="00C229B1" w:rsidRDefault="00682B65" w:rsidP="005530A0">
      <w:pPr>
        <w:pStyle w:val="FootnoteText"/>
        <w:rPr>
          <w:sz w:val="16"/>
          <w:szCs w:val="16"/>
        </w:rPr>
      </w:pPr>
      <w:r w:rsidRPr="00C229B1">
        <w:rPr>
          <w:rStyle w:val="FootnoteReference"/>
          <w:sz w:val="16"/>
          <w:szCs w:val="16"/>
        </w:rPr>
        <w:footnoteRef/>
      </w:r>
      <w:r w:rsidRPr="00C229B1">
        <w:rPr>
          <w:sz w:val="16"/>
          <w:szCs w:val="16"/>
        </w:rPr>
        <w:t xml:space="preserve"> </w:t>
      </w:r>
      <w:r>
        <w:rPr>
          <w:sz w:val="16"/>
          <w:szCs w:val="16"/>
        </w:rPr>
        <w:t xml:space="preserve">Optus, </w:t>
      </w:r>
      <w:hyperlink r:id="rId94" w:history="1">
        <w:r>
          <w:rPr>
            <w:rStyle w:val="Hyperlink"/>
            <w:sz w:val="16"/>
            <w:szCs w:val="16"/>
          </w:rPr>
          <w:t>Prepaid Mobile</w:t>
        </w:r>
      </w:hyperlink>
      <w:r w:rsidRPr="00C229B1">
        <w:rPr>
          <w:sz w:val="16"/>
          <w:szCs w:val="16"/>
        </w:rPr>
        <w:t>.</w:t>
      </w:r>
    </w:p>
  </w:footnote>
  <w:footnote w:id="107">
    <w:p w14:paraId="09030F0B" w14:textId="5CB8C57A" w:rsidR="00682B65" w:rsidRPr="00C229B1" w:rsidRDefault="00682B65">
      <w:pPr>
        <w:pStyle w:val="FootnoteText"/>
        <w:rPr>
          <w:sz w:val="16"/>
          <w:szCs w:val="16"/>
        </w:rPr>
      </w:pPr>
      <w:r w:rsidRPr="00C229B1">
        <w:rPr>
          <w:rStyle w:val="FootnoteReference"/>
          <w:sz w:val="16"/>
          <w:szCs w:val="16"/>
        </w:rPr>
        <w:footnoteRef/>
      </w:r>
      <w:r w:rsidRPr="00C229B1">
        <w:rPr>
          <w:sz w:val="16"/>
          <w:szCs w:val="16"/>
        </w:rPr>
        <w:t xml:space="preserve"> </w:t>
      </w:r>
      <w:r>
        <w:rPr>
          <w:sz w:val="16"/>
          <w:szCs w:val="16"/>
        </w:rPr>
        <w:t xml:space="preserve">Vodafone Australia (15 February 2023), </w:t>
      </w:r>
      <w:hyperlink r:id="rId95" w:history="1">
        <w:r w:rsidRPr="00A26B2D">
          <w:rPr>
            <w:rStyle w:val="Hyperlink"/>
            <w:sz w:val="16"/>
            <w:szCs w:val="16"/>
          </w:rPr>
          <w:t>Vodafone sets a new 5G high-speed score at the SCG | Vodafone Australia</w:t>
        </w:r>
      </w:hyperlink>
      <w:r w:rsidRPr="00C229B1">
        <w:rPr>
          <w:sz w:val="16"/>
          <w:szCs w:val="16"/>
        </w:rPr>
        <w:t>.</w:t>
      </w:r>
    </w:p>
  </w:footnote>
  <w:footnote w:id="108">
    <w:p w14:paraId="5564DBD5" w14:textId="7ACC3ADD" w:rsidR="00682B65" w:rsidRPr="00C229B1" w:rsidRDefault="00682B65">
      <w:pPr>
        <w:pStyle w:val="FootnoteText"/>
        <w:rPr>
          <w:i/>
          <w:sz w:val="16"/>
          <w:szCs w:val="16"/>
        </w:rPr>
      </w:pPr>
      <w:r w:rsidRPr="00C229B1">
        <w:rPr>
          <w:rStyle w:val="FootnoteReference"/>
          <w:sz w:val="16"/>
          <w:szCs w:val="16"/>
        </w:rPr>
        <w:footnoteRef/>
      </w:r>
      <w:r w:rsidRPr="00C229B1">
        <w:rPr>
          <w:sz w:val="16"/>
          <w:szCs w:val="16"/>
        </w:rPr>
        <w:t xml:space="preserve"> ACMA (2020)</w:t>
      </w:r>
      <w:r w:rsidRPr="00C229B1">
        <w:rPr>
          <w:i/>
          <w:sz w:val="16"/>
          <w:szCs w:val="16"/>
        </w:rPr>
        <w:t xml:space="preserve">, </w:t>
      </w:r>
      <w:hyperlink r:id="rId96" w:history="1">
        <w:r w:rsidRPr="00C229B1">
          <w:rPr>
            <w:rStyle w:val="Hyperlink"/>
            <w:sz w:val="16"/>
            <w:szCs w:val="16"/>
          </w:rPr>
          <w:t>Mobile-only Australia: living without a fixed line at home | ACMA</w:t>
        </w:r>
      </w:hyperlink>
      <w:r w:rsidRPr="00C229B1">
        <w:rPr>
          <w:sz w:val="16"/>
          <w:szCs w:val="16"/>
        </w:rPr>
        <w:t>.</w:t>
      </w:r>
    </w:p>
  </w:footnote>
  <w:footnote w:id="109">
    <w:p w14:paraId="39B6F234" w14:textId="45B2C069" w:rsidR="00682B65" w:rsidRPr="00C229B1" w:rsidRDefault="00682B65" w:rsidP="00C40601">
      <w:pPr>
        <w:pStyle w:val="FootnoteText"/>
        <w:rPr>
          <w:sz w:val="16"/>
          <w:szCs w:val="16"/>
        </w:rPr>
      </w:pPr>
      <w:r w:rsidRPr="00C229B1">
        <w:rPr>
          <w:rStyle w:val="FootnoteReference"/>
          <w:sz w:val="16"/>
          <w:szCs w:val="16"/>
        </w:rPr>
        <w:footnoteRef/>
      </w:r>
      <w:r w:rsidRPr="00C229B1">
        <w:rPr>
          <w:sz w:val="16"/>
          <w:szCs w:val="16"/>
        </w:rPr>
        <w:t xml:space="preserve"> Australian Digital Inclusion Index, </w:t>
      </w:r>
      <w:hyperlink r:id="rId97" w:history="1">
        <w:r w:rsidRPr="00C229B1">
          <w:rPr>
            <w:rStyle w:val="Hyperlink"/>
            <w:sz w:val="16"/>
            <w:szCs w:val="16"/>
          </w:rPr>
          <w:t>Key findings and next steps - Australian Digital Inclusion Index</w:t>
        </w:r>
      </w:hyperlink>
      <w:r w:rsidRPr="00C229B1">
        <w:rPr>
          <w:sz w:val="16"/>
          <w:szCs w:val="16"/>
        </w:rPr>
        <w:t>.</w:t>
      </w:r>
    </w:p>
  </w:footnote>
  <w:footnote w:id="110">
    <w:p w14:paraId="4D55612B" w14:textId="758C6378" w:rsidR="00682B65" w:rsidRPr="00FC606E" w:rsidRDefault="00682B65" w:rsidP="00112DF0">
      <w:pPr>
        <w:pStyle w:val="FootnoteText"/>
        <w:rPr>
          <w:sz w:val="16"/>
          <w:szCs w:val="16"/>
        </w:rPr>
      </w:pPr>
      <w:r w:rsidRPr="00FC606E">
        <w:rPr>
          <w:rStyle w:val="FootnoteReference"/>
          <w:sz w:val="16"/>
          <w:szCs w:val="16"/>
        </w:rPr>
        <w:footnoteRef/>
      </w:r>
      <w:r w:rsidRPr="00FC606E">
        <w:rPr>
          <w:sz w:val="16"/>
          <w:szCs w:val="16"/>
        </w:rPr>
        <w:t xml:space="preserve"> </w:t>
      </w:r>
      <w:r w:rsidRPr="001A1C82">
        <w:rPr>
          <w:sz w:val="16"/>
          <w:szCs w:val="16"/>
        </w:rPr>
        <w:t>ACMA</w:t>
      </w:r>
      <w:r>
        <w:rPr>
          <w:sz w:val="16"/>
          <w:szCs w:val="16"/>
        </w:rPr>
        <w:t xml:space="preserve"> (December 2022)</w:t>
      </w:r>
      <w:r w:rsidRPr="001A1C82">
        <w:rPr>
          <w:sz w:val="16"/>
          <w:szCs w:val="16"/>
        </w:rPr>
        <w:t xml:space="preserve">, </w:t>
      </w:r>
      <w:hyperlink r:id="rId98" w:history="1">
        <w:r w:rsidRPr="00FC606E">
          <w:rPr>
            <w:rStyle w:val="Hyperlink"/>
            <w:sz w:val="16"/>
            <w:szCs w:val="16"/>
          </w:rPr>
          <w:t>Communications and media in Australia: How we use the internet</w:t>
        </w:r>
      </w:hyperlink>
      <w:r w:rsidRPr="001A1C82">
        <w:rPr>
          <w:sz w:val="16"/>
          <w:szCs w:val="16"/>
        </w:rPr>
        <w:t>,</w:t>
      </w:r>
      <w:r>
        <w:rPr>
          <w:sz w:val="16"/>
          <w:szCs w:val="16"/>
        </w:rPr>
        <w:t xml:space="preserve"> p 3.</w:t>
      </w:r>
    </w:p>
  </w:footnote>
  <w:footnote w:id="111">
    <w:p w14:paraId="18BAFB89" w14:textId="07FB1E5C" w:rsidR="00682B65" w:rsidRPr="00C229B1" w:rsidRDefault="00682B65" w:rsidP="007B3C35">
      <w:pPr>
        <w:pStyle w:val="FootnoteText"/>
        <w:ind w:left="187" w:hanging="187"/>
        <w:rPr>
          <w:sz w:val="16"/>
          <w:szCs w:val="16"/>
        </w:rPr>
      </w:pPr>
      <w:r w:rsidRPr="00C229B1">
        <w:rPr>
          <w:rStyle w:val="FootnoteReference"/>
          <w:sz w:val="16"/>
          <w:szCs w:val="16"/>
        </w:rPr>
        <w:footnoteRef/>
      </w:r>
      <w:r w:rsidRPr="00C229B1">
        <w:rPr>
          <w:sz w:val="16"/>
          <w:szCs w:val="16"/>
        </w:rPr>
        <w:t xml:space="preserve"> </w:t>
      </w:r>
      <w:r>
        <w:rPr>
          <w:sz w:val="16"/>
          <w:szCs w:val="16"/>
        </w:rPr>
        <w:t xml:space="preserve">ACCC (June 2023), </w:t>
      </w:r>
      <w:hyperlink r:id="rId99" w:history="1">
        <w:r w:rsidRPr="00A80CD9">
          <w:rPr>
            <w:rStyle w:val="Hyperlink"/>
            <w:sz w:val="16"/>
            <w:szCs w:val="16"/>
          </w:rPr>
          <w:t>Internet activity report – For the period ending 31 December 2022</w:t>
        </w:r>
      </w:hyperlink>
      <w:r>
        <w:rPr>
          <w:sz w:val="16"/>
          <w:szCs w:val="16"/>
        </w:rPr>
        <w:t xml:space="preserve">, p 8. </w:t>
      </w:r>
      <w:r w:rsidRPr="00D45FF6">
        <w:rPr>
          <w:sz w:val="16"/>
          <w:szCs w:val="16"/>
        </w:rPr>
        <w:t>It is unclear how many of these services included broadband.</w:t>
      </w:r>
    </w:p>
  </w:footnote>
  <w:footnote w:id="112">
    <w:p w14:paraId="58506320" w14:textId="77777777" w:rsidR="00682B65" w:rsidRPr="00C229B1" w:rsidRDefault="00682B65">
      <w:pPr>
        <w:pStyle w:val="FootnoteText"/>
        <w:rPr>
          <w:sz w:val="16"/>
          <w:szCs w:val="16"/>
        </w:rPr>
      </w:pPr>
      <w:r w:rsidRPr="00C229B1">
        <w:rPr>
          <w:rStyle w:val="FootnoteReference"/>
          <w:sz w:val="16"/>
          <w:szCs w:val="16"/>
        </w:rPr>
        <w:footnoteRef/>
      </w:r>
      <w:r w:rsidRPr="00C229B1">
        <w:rPr>
          <w:sz w:val="16"/>
          <w:szCs w:val="16"/>
        </w:rPr>
        <w:t xml:space="preserve"> </w:t>
      </w:r>
      <w:r w:rsidRPr="002B1D55">
        <w:rPr>
          <w:sz w:val="16"/>
          <w:szCs w:val="16"/>
        </w:rPr>
        <w:t>Ibid</w:t>
      </w:r>
      <w:r>
        <w:rPr>
          <w:sz w:val="16"/>
          <w:szCs w:val="16"/>
        </w:rPr>
        <w:t>, p 8</w:t>
      </w:r>
      <w:r w:rsidRPr="00C229B1">
        <w:rPr>
          <w:sz w:val="16"/>
          <w:szCs w:val="16"/>
        </w:rPr>
        <w:t>.</w:t>
      </w:r>
    </w:p>
  </w:footnote>
  <w:footnote w:id="113">
    <w:p w14:paraId="1EF7B0D9" w14:textId="59059034" w:rsidR="00682B65" w:rsidRPr="001A1C82" w:rsidRDefault="00682B65">
      <w:pPr>
        <w:pStyle w:val="FootnoteText"/>
        <w:rPr>
          <w:sz w:val="16"/>
          <w:szCs w:val="16"/>
        </w:rPr>
      </w:pPr>
      <w:r w:rsidRPr="00C229B1">
        <w:rPr>
          <w:rStyle w:val="FootnoteReference"/>
          <w:sz w:val="16"/>
          <w:szCs w:val="16"/>
        </w:rPr>
        <w:footnoteRef/>
      </w:r>
      <w:r w:rsidRPr="00C229B1">
        <w:rPr>
          <w:sz w:val="16"/>
          <w:szCs w:val="16"/>
        </w:rPr>
        <w:t xml:space="preserve"> </w:t>
      </w:r>
      <w:r w:rsidRPr="001A1C82">
        <w:rPr>
          <w:sz w:val="16"/>
          <w:szCs w:val="16"/>
        </w:rPr>
        <w:t>ACMA</w:t>
      </w:r>
      <w:r>
        <w:rPr>
          <w:sz w:val="16"/>
          <w:szCs w:val="16"/>
        </w:rPr>
        <w:t xml:space="preserve"> (December 2022)</w:t>
      </w:r>
      <w:r w:rsidRPr="001A1C82">
        <w:rPr>
          <w:sz w:val="16"/>
          <w:szCs w:val="16"/>
        </w:rPr>
        <w:t xml:space="preserve">, </w:t>
      </w:r>
      <w:hyperlink r:id="rId100" w:history="1">
        <w:r>
          <w:rPr>
            <w:rStyle w:val="Hyperlink"/>
            <w:sz w:val="16"/>
            <w:szCs w:val="16"/>
          </w:rPr>
          <w:t>Communications and media in Australia: How we use the internet – data file</w:t>
        </w:r>
      </w:hyperlink>
      <w:r>
        <w:rPr>
          <w:sz w:val="16"/>
          <w:szCs w:val="16"/>
        </w:rPr>
        <w:t>.</w:t>
      </w:r>
    </w:p>
  </w:footnote>
  <w:footnote w:id="114">
    <w:p w14:paraId="1F482FBA" w14:textId="77777777" w:rsidR="00682B65" w:rsidRPr="00DC3223" w:rsidRDefault="00682B65" w:rsidP="00657C46">
      <w:pPr>
        <w:pStyle w:val="FootnoteText"/>
        <w:rPr>
          <w:sz w:val="16"/>
          <w:szCs w:val="16"/>
        </w:rPr>
      </w:pPr>
      <w:r w:rsidRPr="00DC3223">
        <w:rPr>
          <w:rStyle w:val="FootnoteReference"/>
          <w:sz w:val="16"/>
          <w:szCs w:val="16"/>
        </w:rPr>
        <w:footnoteRef/>
      </w:r>
      <w:r w:rsidRPr="00DC3223">
        <w:rPr>
          <w:sz w:val="16"/>
          <w:szCs w:val="16"/>
        </w:rPr>
        <w:t xml:space="preserve"> </w:t>
      </w:r>
      <w:r>
        <w:rPr>
          <w:sz w:val="16"/>
          <w:szCs w:val="16"/>
        </w:rPr>
        <w:t>Ibid</w:t>
      </w:r>
      <w:r w:rsidRPr="00C229B1">
        <w:rPr>
          <w:sz w:val="16"/>
          <w:szCs w:val="16"/>
        </w:rPr>
        <w:t>.</w:t>
      </w:r>
    </w:p>
  </w:footnote>
  <w:footnote w:id="115">
    <w:p w14:paraId="2F5BC392" w14:textId="77777777" w:rsidR="00682B65" w:rsidRPr="00DC3223" w:rsidRDefault="00682B65">
      <w:pPr>
        <w:pStyle w:val="FootnoteText"/>
        <w:rPr>
          <w:sz w:val="16"/>
          <w:szCs w:val="16"/>
        </w:rPr>
      </w:pPr>
      <w:r w:rsidRPr="00DC3223">
        <w:rPr>
          <w:rStyle w:val="FootnoteReference"/>
          <w:sz w:val="16"/>
          <w:szCs w:val="16"/>
        </w:rPr>
        <w:footnoteRef/>
      </w:r>
      <w:r w:rsidRPr="00DC3223">
        <w:rPr>
          <w:sz w:val="16"/>
          <w:szCs w:val="16"/>
        </w:rPr>
        <w:t xml:space="preserve"> Ibid</w:t>
      </w:r>
      <w:r w:rsidRPr="00C229B1">
        <w:rPr>
          <w:sz w:val="16"/>
          <w:szCs w:val="16"/>
        </w:rPr>
        <w:t>.</w:t>
      </w:r>
    </w:p>
  </w:footnote>
  <w:footnote w:id="116">
    <w:p w14:paraId="6E6A7913" w14:textId="4579EDC3" w:rsidR="00682B65" w:rsidRPr="00DC3223" w:rsidRDefault="00682B65">
      <w:pPr>
        <w:pStyle w:val="FootnoteText"/>
        <w:rPr>
          <w:sz w:val="16"/>
          <w:szCs w:val="16"/>
        </w:rPr>
      </w:pPr>
      <w:r w:rsidRPr="00DC3223">
        <w:rPr>
          <w:rStyle w:val="FootnoteReference"/>
          <w:sz w:val="16"/>
          <w:szCs w:val="16"/>
        </w:rPr>
        <w:footnoteRef/>
      </w:r>
      <w:r w:rsidRPr="00DC3223">
        <w:rPr>
          <w:sz w:val="16"/>
          <w:szCs w:val="16"/>
        </w:rPr>
        <w:t xml:space="preserve"> Australian Digital Inclusion Index, </w:t>
      </w:r>
      <w:hyperlink r:id="rId101" w:history="1">
        <w:r w:rsidRPr="00657C46">
          <w:rPr>
            <w:rStyle w:val="Hyperlink"/>
            <w:sz w:val="16"/>
            <w:szCs w:val="16"/>
          </w:rPr>
          <w:t>Key findings and next steps - Australian Digital Inclusion Index</w:t>
        </w:r>
      </w:hyperlink>
      <w:r w:rsidRPr="00C229B1">
        <w:rPr>
          <w:sz w:val="16"/>
          <w:szCs w:val="16"/>
        </w:rPr>
        <w:t>.</w:t>
      </w:r>
    </w:p>
  </w:footnote>
  <w:footnote w:id="117">
    <w:p w14:paraId="117F1147" w14:textId="71A327A1" w:rsidR="00682B65" w:rsidRDefault="00682B65" w:rsidP="00D40516">
      <w:pPr>
        <w:pStyle w:val="FootnoteText"/>
      </w:pPr>
      <w:r>
        <w:rPr>
          <w:rStyle w:val="FootnoteReference"/>
        </w:rPr>
        <w:footnoteRef/>
      </w:r>
      <w:r>
        <w:t xml:space="preserve"> </w:t>
      </w:r>
      <w:r w:rsidRPr="001876CE">
        <w:rPr>
          <w:sz w:val="16"/>
          <w:szCs w:val="16"/>
        </w:rPr>
        <w:t xml:space="preserve">Australian Digital Inclusion Index: </w:t>
      </w:r>
      <w:hyperlink r:id="rId102" w:history="1">
        <w:r w:rsidRPr="001876CE">
          <w:rPr>
            <w:rStyle w:val="Hyperlink"/>
            <w:sz w:val="16"/>
            <w:szCs w:val="16"/>
          </w:rPr>
          <w:t>Affordability</w:t>
        </w:r>
      </w:hyperlink>
      <w:r w:rsidRPr="001876CE">
        <w:rPr>
          <w:sz w:val="16"/>
          <w:szCs w:val="16"/>
        </w:rPr>
        <w:t>.</w:t>
      </w:r>
    </w:p>
  </w:footnote>
  <w:footnote w:id="118">
    <w:p w14:paraId="1DEE5222" w14:textId="77777777" w:rsidR="00682B65" w:rsidRPr="001876CE" w:rsidRDefault="00682B65" w:rsidP="00EF6B04">
      <w:pPr>
        <w:pStyle w:val="FootnoteText"/>
        <w:rPr>
          <w:rFonts w:cstheme="minorHAnsi"/>
          <w:sz w:val="16"/>
          <w:szCs w:val="16"/>
        </w:rPr>
      </w:pPr>
      <w:r w:rsidRPr="001876CE">
        <w:rPr>
          <w:rStyle w:val="FootnoteReference"/>
          <w:sz w:val="16"/>
          <w:szCs w:val="16"/>
        </w:rPr>
        <w:footnoteRef/>
      </w:r>
      <w:r w:rsidRPr="001876CE">
        <w:rPr>
          <w:sz w:val="16"/>
          <w:szCs w:val="16"/>
        </w:rPr>
        <w:t xml:space="preserve"> Ibid.</w:t>
      </w:r>
    </w:p>
  </w:footnote>
  <w:footnote w:id="119">
    <w:p w14:paraId="49F16FDA" w14:textId="29EFBB7C" w:rsidR="00682B65" w:rsidRPr="001876CE" w:rsidRDefault="00682B65" w:rsidP="00124224">
      <w:pPr>
        <w:pStyle w:val="FootnoteText"/>
        <w:rPr>
          <w:sz w:val="16"/>
          <w:szCs w:val="16"/>
        </w:rPr>
      </w:pPr>
      <w:r w:rsidRPr="001876CE">
        <w:rPr>
          <w:rStyle w:val="FootnoteReference"/>
          <w:sz w:val="16"/>
          <w:szCs w:val="16"/>
        </w:rPr>
        <w:footnoteRef/>
      </w:r>
      <w:r w:rsidRPr="001876CE">
        <w:rPr>
          <w:sz w:val="16"/>
          <w:szCs w:val="16"/>
        </w:rPr>
        <w:t xml:space="preserve"> ACMA (July 2023) </w:t>
      </w:r>
      <w:hyperlink r:id="rId103" w:history="1">
        <w:r w:rsidRPr="001876CE">
          <w:rPr>
            <w:rStyle w:val="Hyperlink"/>
            <w:sz w:val="16"/>
            <w:szCs w:val="16"/>
          </w:rPr>
          <w:t>Communications and media in Australia: Trends and developments in viewing and listening</w:t>
        </w:r>
      </w:hyperlink>
      <w:r w:rsidRPr="001876CE">
        <w:rPr>
          <w:sz w:val="16"/>
          <w:szCs w:val="16"/>
        </w:rPr>
        <w:t>, 2021–22, p 10.</w:t>
      </w:r>
    </w:p>
  </w:footnote>
  <w:footnote w:id="120">
    <w:p w14:paraId="4E5CD975" w14:textId="4028F865" w:rsidR="00682B65" w:rsidRPr="001876CE" w:rsidRDefault="00682B65" w:rsidP="00124224">
      <w:pPr>
        <w:pStyle w:val="FootnoteText"/>
        <w:rPr>
          <w:sz w:val="16"/>
          <w:szCs w:val="16"/>
        </w:rPr>
      </w:pPr>
      <w:r w:rsidRPr="001876CE">
        <w:rPr>
          <w:rStyle w:val="FootnoteReference"/>
          <w:sz w:val="16"/>
          <w:szCs w:val="16"/>
        </w:rPr>
        <w:footnoteRef/>
      </w:r>
      <w:r w:rsidRPr="001876CE">
        <w:rPr>
          <w:sz w:val="16"/>
          <w:szCs w:val="16"/>
        </w:rPr>
        <w:t xml:space="preserve"> </w:t>
      </w:r>
      <w:r w:rsidRPr="001876CE">
        <w:rPr>
          <w:rFonts w:eastAsia="Times New Roman" w:cstheme="minorHAnsi"/>
          <w:color w:val="000000"/>
          <w:sz w:val="16"/>
          <w:szCs w:val="16"/>
          <w:lang w:val="x-none"/>
        </w:rPr>
        <w:t>Deloitte</w:t>
      </w:r>
      <w:r w:rsidRPr="001876CE">
        <w:rPr>
          <w:rFonts w:eastAsia="Times New Roman" w:cstheme="minorHAnsi"/>
          <w:color w:val="000000"/>
          <w:sz w:val="16"/>
          <w:szCs w:val="16"/>
        </w:rPr>
        <w:t xml:space="preserve"> (2022)</w:t>
      </w:r>
      <w:r w:rsidRPr="001876CE">
        <w:rPr>
          <w:rFonts w:eastAsia="Times New Roman" w:cstheme="minorHAnsi"/>
          <w:color w:val="000000"/>
          <w:sz w:val="16"/>
          <w:szCs w:val="16"/>
          <w:lang w:val="x-none"/>
        </w:rPr>
        <w:t xml:space="preserve">, </w:t>
      </w:r>
      <w:hyperlink r:id="rId104" w:history="1">
        <w:r w:rsidRPr="001876CE">
          <w:rPr>
            <w:rStyle w:val="Hyperlink"/>
            <w:rFonts w:eastAsia="Times New Roman" w:cstheme="minorHAnsi"/>
            <w:sz w:val="16"/>
            <w:szCs w:val="16"/>
            <w:lang w:val="x-none"/>
          </w:rPr>
          <w:t>Media Consumer Survey 2022</w:t>
        </w:r>
      </w:hyperlink>
      <w:r>
        <w:rPr>
          <w:rFonts w:eastAsia="Times New Roman" w:cstheme="minorHAnsi"/>
          <w:color w:val="000000"/>
          <w:sz w:val="16"/>
          <w:szCs w:val="16"/>
        </w:rPr>
        <w:t>, p 9.</w:t>
      </w:r>
    </w:p>
  </w:footnote>
  <w:footnote w:id="121">
    <w:p w14:paraId="150AA2A0" w14:textId="7ECE1B0C" w:rsidR="00682B65" w:rsidRPr="001876CE" w:rsidRDefault="00682B65" w:rsidP="002E32F3">
      <w:pPr>
        <w:pStyle w:val="FootnoteText"/>
        <w:rPr>
          <w:sz w:val="16"/>
          <w:szCs w:val="16"/>
          <w:lang w:val="en-US"/>
        </w:rPr>
      </w:pPr>
      <w:r w:rsidRPr="001876CE">
        <w:rPr>
          <w:rStyle w:val="FootnoteReference"/>
          <w:sz w:val="16"/>
          <w:szCs w:val="16"/>
        </w:rPr>
        <w:footnoteRef/>
      </w:r>
      <w:r w:rsidRPr="001876CE">
        <w:rPr>
          <w:sz w:val="16"/>
          <w:szCs w:val="16"/>
        </w:rPr>
        <w:t xml:space="preserve"> Kayo Sports, </w:t>
      </w:r>
      <w:hyperlink r:id="rId105" w:anchor=":~:text=Sports%20on%20Kayo%20are%20best,in%20Standard%20Definition%20(SD)." w:history="1">
        <w:r>
          <w:rPr>
            <w:rStyle w:val="Hyperlink"/>
            <w:sz w:val="16"/>
            <w:szCs w:val="16"/>
          </w:rPr>
          <w:t>What internet speed do I need to use Kayo?</w:t>
        </w:r>
      </w:hyperlink>
    </w:p>
  </w:footnote>
  <w:footnote w:id="122">
    <w:p w14:paraId="3107D98B" w14:textId="6CF8460E" w:rsidR="00682B65" w:rsidRPr="001876CE" w:rsidRDefault="00682B65" w:rsidP="002E32F3">
      <w:pPr>
        <w:pStyle w:val="FootnoteText"/>
        <w:rPr>
          <w:rFonts w:cstheme="minorHAnsi"/>
          <w:sz w:val="16"/>
          <w:szCs w:val="16"/>
          <w:lang w:val="en-US"/>
        </w:rPr>
      </w:pPr>
      <w:r w:rsidRPr="001876CE">
        <w:rPr>
          <w:rStyle w:val="FootnoteReference"/>
          <w:rFonts w:cstheme="minorHAnsi"/>
          <w:sz w:val="16"/>
          <w:szCs w:val="16"/>
        </w:rPr>
        <w:footnoteRef/>
      </w:r>
      <w:r w:rsidRPr="001876CE">
        <w:rPr>
          <w:rFonts w:cstheme="minorHAnsi"/>
          <w:sz w:val="16"/>
          <w:szCs w:val="16"/>
        </w:rPr>
        <w:t xml:space="preserve"> </w:t>
      </w:r>
      <w:r w:rsidRPr="001876CE">
        <w:rPr>
          <w:sz w:val="16"/>
          <w:szCs w:val="16"/>
        </w:rPr>
        <w:t>See:</w:t>
      </w:r>
      <w:r w:rsidRPr="001876CE">
        <w:rPr>
          <w:rFonts w:cstheme="minorHAnsi"/>
          <w:sz w:val="16"/>
          <w:szCs w:val="16"/>
          <w:lang w:val="en-US"/>
        </w:rPr>
        <w:t xml:space="preserve"> </w:t>
      </w:r>
      <w:r w:rsidRPr="001876CE">
        <w:rPr>
          <w:sz w:val="16"/>
          <w:szCs w:val="16"/>
        </w:rPr>
        <w:t xml:space="preserve">7Plus, </w:t>
      </w:r>
      <w:hyperlink r:id="rId106" w:history="1">
        <w:r w:rsidRPr="001876CE">
          <w:rPr>
            <w:rStyle w:val="Hyperlink"/>
            <w:sz w:val="16"/>
            <w:szCs w:val="16"/>
          </w:rPr>
          <w:t>Frequently Asked Questions</w:t>
        </w:r>
      </w:hyperlink>
      <w:r w:rsidRPr="001876CE">
        <w:rPr>
          <w:sz w:val="16"/>
          <w:szCs w:val="16"/>
        </w:rPr>
        <w:t xml:space="preserve">; Stan, </w:t>
      </w:r>
      <w:hyperlink r:id="rId107" w:history="1">
        <w:r w:rsidRPr="001876CE">
          <w:rPr>
            <w:rStyle w:val="Hyperlink"/>
            <w:sz w:val="16"/>
            <w:szCs w:val="16"/>
          </w:rPr>
          <w:t>Minimum Internet Requirements</w:t>
        </w:r>
      </w:hyperlink>
      <w:r w:rsidRPr="001876CE">
        <w:rPr>
          <w:sz w:val="16"/>
          <w:szCs w:val="16"/>
        </w:rPr>
        <w:t xml:space="preserve">; and </w:t>
      </w:r>
      <w:r w:rsidRPr="00AC25C7">
        <w:rPr>
          <w:sz w:val="16"/>
          <w:szCs w:val="16"/>
        </w:rPr>
        <w:t xml:space="preserve">Paramount+, </w:t>
      </w:r>
      <w:hyperlink r:id="rId108" w:history="1">
        <w:r w:rsidRPr="002B1D55">
          <w:rPr>
            <w:rStyle w:val="Hyperlink"/>
            <w:sz w:val="16"/>
            <w:szCs w:val="16"/>
          </w:rPr>
          <w:t>How can I fix streaming issues on my device? (paramountplus.com)</w:t>
        </w:r>
      </w:hyperlink>
      <w:r w:rsidRPr="00AC25C7">
        <w:rPr>
          <w:sz w:val="16"/>
          <w:szCs w:val="16"/>
        </w:rPr>
        <w:t>.</w:t>
      </w:r>
    </w:p>
  </w:footnote>
  <w:footnote w:id="123">
    <w:p w14:paraId="15318596" w14:textId="54C564B9" w:rsidR="00682B65" w:rsidRPr="001876CE" w:rsidRDefault="00682B65" w:rsidP="002E32F3">
      <w:pPr>
        <w:pStyle w:val="FootnoteText"/>
        <w:rPr>
          <w:rFonts w:cstheme="minorHAnsi"/>
          <w:sz w:val="16"/>
          <w:szCs w:val="16"/>
          <w:lang w:val="en-US"/>
        </w:rPr>
      </w:pPr>
      <w:r w:rsidRPr="001876CE">
        <w:rPr>
          <w:rStyle w:val="FootnoteReference"/>
          <w:rFonts w:cstheme="minorHAnsi"/>
          <w:sz w:val="16"/>
          <w:szCs w:val="16"/>
        </w:rPr>
        <w:footnoteRef/>
      </w:r>
      <w:r w:rsidRPr="001876CE">
        <w:rPr>
          <w:rFonts w:cstheme="minorHAnsi"/>
          <w:sz w:val="16"/>
          <w:szCs w:val="16"/>
        </w:rPr>
        <w:t xml:space="preserve"> </w:t>
      </w:r>
      <w:r w:rsidRPr="001876CE">
        <w:rPr>
          <w:sz w:val="16"/>
          <w:szCs w:val="16"/>
        </w:rPr>
        <w:t xml:space="preserve">ACCC, (August 2022), </w:t>
      </w:r>
      <w:hyperlink r:id="rId109" w:history="1">
        <w:r w:rsidRPr="001876CE">
          <w:rPr>
            <w:rStyle w:val="Hyperlink"/>
            <w:sz w:val="16"/>
            <w:szCs w:val="16"/>
          </w:rPr>
          <w:t>Measuring Broadband Australia: Report 18, Appendix</w:t>
        </w:r>
      </w:hyperlink>
      <w:r w:rsidRPr="001876CE">
        <w:rPr>
          <w:sz w:val="16"/>
          <w:szCs w:val="16"/>
        </w:rPr>
        <w:t>, p 2.</w:t>
      </w:r>
    </w:p>
  </w:footnote>
  <w:footnote w:id="124">
    <w:p w14:paraId="3B56FC01" w14:textId="33B5E3FA" w:rsidR="00682B65" w:rsidRPr="00D457D3" w:rsidRDefault="00682B65" w:rsidP="00F711DC">
      <w:pPr>
        <w:pStyle w:val="FootnoteText"/>
        <w:rPr>
          <w:rFonts w:cstheme="minorHAnsi"/>
          <w:sz w:val="16"/>
          <w:szCs w:val="16"/>
        </w:rPr>
      </w:pPr>
      <w:r w:rsidRPr="001876CE">
        <w:rPr>
          <w:rStyle w:val="FootnoteReference"/>
          <w:rFonts w:cstheme="minorHAnsi"/>
          <w:sz w:val="16"/>
          <w:szCs w:val="16"/>
        </w:rPr>
        <w:footnoteRef/>
      </w:r>
      <w:r w:rsidRPr="001876CE">
        <w:rPr>
          <w:rFonts w:cstheme="minorHAnsi"/>
          <w:sz w:val="16"/>
          <w:szCs w:val="16"/>
        </w:rPr>
        <w:t xml:space="preserve"> Duke J (28 June 2018), </w:t>
      </w:r>
      <w:hyperlink r:id="rId110" w:history="1">
        <w:r w:rsidRPr="001876CE">
          <w:rPr>
            <w:rStyle w:val="Hyperlink"/>
            <w:sz w:val="16"/>
            <w:szCs w:val="16"/>
          </w:rPr>
          <w:t>World Cup: Optus surrenders final games to SBS after streaming fail</w:t>
        </w:r>
      </w:hyperlink>
      <w:r w:rsidRPr="001876CE">
        <w:rPr>
          <w:sz w:val="16"/>
          <w:szCs w:val="16"/>
        </w:rPr>
        <w:t>, The Sydney Morning Herald.</w:t>
      </w:r>
    </w:p>
  </w:footnote>
  <w:footnote w:id="125">
    <w:p w14:paraId="130E731B" w14:textId="04FE4A67" w:rsidR="00682B65" w:rsidRPr="009B7831" w:rsidRDefault="00682B65">
      <w:pPr>
        <w:pStyle w:val="FootnoteText"/>
        <w:rPr>
          <w:sz w:val="16"/>
          <w:szCs w:val="16"/>
        </w:rPr>
      </w:pPr>
      <w:r w:rsidRPr="009B7831">
        <w:rPr>
          <w:rStyle w:val="FootnoteReference"/>
          <w:sz w:val="16"/>
          <w:szCs w:val="16"/>
        </w:rPr>
        <w:footnoteRef/>
      </w:r>
      <w:r w:rsidRPr="009B7831">
        <w:rPr>
          <w:sz w:val="16"/>
          <w:szCs w:val="16"/>
        </w:rPr>
        <w:t xml:space="preserve"> Providing covering under this model would relate to </w:t>
      </w:r>
      <w:r>
        <w:rPr>
          <w:sz w:val="16"/>
          <w:szCs w:val="16"/>
        </w:rPr>
        <w:t xml:space="preserve">providing coverage in the form of </w:t>
      </w:r>
      <w:r w:rsidRPr="009B7831">
        <w:rPr>
          <w:sz w:val="16"/>
          <w:szCs w:val="16"/>
        </w:rPr>
        <w:t>video footage.</w:t>
      </w:r>
    </w:p>
  </w:footnote>
  <w:footnote w:id="126">
    <w:p w14:paraId="2C629246" w14:textId="2A7901F9" w:rsidR="00682B65" w:rsidRPr="00287A65" w:rsidRDefault="00682B65" w:rsidP="0057641D">
      <w:pPr>
        <w:pStyle w:val="FootnoteText"/>
        <w:rPr>
          <w:sz w:val="16"/>
          <w:szCs w:val="16"/>
        </w:rPr>
      </w:pPr>
      <w:r w:rsidRPr="00287A65">
        <w:rPr>
          <w:rStyle w:val="FootnoteReference"/>
          <w:sz w:val="16"/>
          <w:szCs w:val="16"/>
        </w:rPr>
        <w:footnoteRef/>
      </w:r>
      <w:r w:rsidRPr="00287A65">
        <w:rPr>
          <w:sz w:val="16"/>
          <w:szCs w:val="16"/>
        </w:rPr>
        <w:t xml:space="preserve"> An end-user </w:t>
      </w:r>
      <w:r>
        <w:rPr>
          <w:sz w:val="16"/>
          <w:szCs w:val="16"/>
        </w:rPr>
        <w:t xml:space="preserve">in Australia </w:t>
      </w:r>
      <w:r w:rsidRPr="00287A65">
        <w:rPr>
          <w:sz w:val="16"/>
          <w:szCs w:val="16"/>
        </w:rPr>
        <w:t>would be an individual who is physically present in Australia or the external Territories.</w:t>
      </w:r>
    </w:p>
  </w:footnote>
  <w:footnote w:id="127">
    <w:p w14:paraId="5C925B7F" w14:textId="3B3F2A35" w:rsidR="00682B65" w:rsidRPr="00557F5E" w:rsidRDefault="00682B65" w:rsidP="001876CE">
      <w:pPr>
        <w:pStyle w:val="FootnoteText"/>
        <w:ind w:left="210" w:hanging="210"/>
        <w:rPr>
          <w:sz w:val="16"/>
          <w:szCs w:val="16"/>
        </w:rPr>
      </w:pPr>
      <w:r w:rsidRPr="00DB7C49">
        <w:rPr>
          <w:rStyle w:val="FootnoteReference"/>
          <w:sz w:val="16"/>
          <w:szCs w:val="16"/>
        </w:rPr>
        <w:footnoteRef/>
      </w:r>
      <w:r w:rsidRPr="00DB7C49">
        <w:rPr>
          <w:sz w:val="16"/>
          <w:szCs w:val="16"/>
        </w:rPr>
        <w:t xml:space="preserve"> ‘Content’ would be defined as per </w:t>
      </w:r>
      <w:r>
        <w:rPr>
          <w:sz w:val="16"/>
          <w:szCs w:val="16"/>
        </w:rPr>
        <w:t>C</w:t>
      </w:r>
      <w:r w:rsidRPr="00DB7C49">
        <w:rPr>
          <w:sz w:val="16"/>
          <w:szCs w:val="16"/>
        </w:rPr>
        <w:t xml:space="preserve">lause 2 of Schedule 8 to the </w:t>
      </w:r>
      <w:hyperlink r:id="rId111" w:history="1">
        <w:r w:rsidRPr="00C244B6">
          <w:rPr>
            <w:rStyle w:val="Hyperlink"/>
            <w:i/>
            <w:sz w:val="16"/>
            <w:szCs w:val="16"/>
          </w:rPr>
          <w:t>Broadcasting Services Act 1992</w:t>
        </w:r>
      </w:hyperlink>
      <w:r w:rsidRPr="00DB7C49">
        <w:rPr>
          <w:i/>
          <w:sz w:val="16"/>
          <w:szCs w:val="16"/>
        </w:rPr>
        <w:t xml:space="preserve"> </w:t>
      </w:r>
      <w:r w:rsidRPr="00DB7C49">
        <w:rPr>
          <w:sz w:val="16"/>
          <w:szCs w:val="16"/>
        </w:rPr>
        <w:t>to include</w:t>
      </w:r>
      <w:r>
        <w:rPr>
          <w:sz w:val="16"/>
          <w:szCs w:val="16"/>
        </w:rPr>
        <w:t>:</w:t>
      </w:r>
      <w:r w:rsidRPr="00DB7C49">
        <w:rPr>
          <w:sz w:val="16"/>
          <w:szCs w:val="16"/>
        </w:rPr>
        <w:t xml:space="preserve"> text</w:t>
      </w:r>
      <w:r>
        <w:rPr>
          <w:sz w:val="16"/>
          <w:szCs w:val="16"/>
        </w:rPr>
        <w:t>;</w:t>
      </w:r>
      <w:r w:rsidRPr="00DB7C49">
        <w:rPr>
          <w:sz w:val="16"/>
          <w:szCs w:val="16"/>
        </w:rPr>
        <w:t xml:space="preserve"> data</w:t>
      </w:r>
      <w:r>
        <w:rPr>
          <w:sz w:val="16"/>
          <w:szCs w:val="16"/>
        </w:rPr>
        <w:t>;</w:t>
      </w:r>
      <w:r w:rsidRPr="00DB7C49">
        <w:rPr>
          <w:sz w:val="16"/>
          <w:szCs w:val="16"/>
        </w:rPr>
        <w:t xml:space="preserve"> speech</w:t>
      </w:r>
      <w:r>
        <w:rPr>
          <w:sz w:val="16"/>
          <w:szCs w:val="16"/>
        </w:rPr>
        <w:t>;</w:t>
      </w:r>
      <w:r w:rsidRPr="00DB7C49">
        <w:rPr>
          <w:sz w:val="16"/>
          <w:szCs w:val="16"/>
        </w:rPr>
        <w:t xml:space="preserve"> music or other sound</w:t>
      </w:r>
      <w:r>
        <w:rPr>
          <w:sz w:val="16"/>
          <w:szCs w:val="16"/>
        </w:rPr>
        <w:t>s;</w:t>
      </w:r>
      <w:r w:rsidRPr="00DB7C49">
        <w:rPr>
          <w:sz w:val="16"/>
          <w:szCs w:val="16"/>
        </w:rPr>
        <w:t xml:space="preserve"> visual images</w:t>
      </w:r>
      <w:r>
        <w:rPr>
          <w:sz w:val="16"/>
          <w:szCs w:val="16"/>
        </w:rPr>
        <w:t>;</w:t>
      </w:r>
      <w:r w:rsidRPr="00DB7C49">
        <w:rPr>
          <w:sz w:val="16"/>
          <w:szCs w:val="16"/>
        </w:rPr>
        <w:t xml:space="preserve"> or any other form or combination of forms.</w:t>
      </w:r>
    </w:p>
  </w:footnote>
  <w:footnote w:id="128">
    <w:p w14:paraId="75CD0FB2" w14:textId="0143133E" w:rsidR="00682B65" w:rsidRPr="00737D5D" w:rsidRDefault="00682B65" w:rsidP="001876CE">
      <w:pPr>
        <w:pStyle w:val="FootnoteText"/>
        <w:ind w:left="210" w:hanging="210"/>
        <w:rPr>
          <w:rFonts w:cstheme="minorHAnsi"/>
          <w:sz w:val="16"/>
          <w:szCs w:val="16"/>
        </w:rPr>
      </w:pPr>
      <w:r w:rsidRPr="00557F5E">
        <w:rPr>
          <w:rStyle w:val="FootnoteReference"/>
          <w:sz w:val="16"/>
          <w:szCs w:val="16"/>
        </w:rPr>
        <w:footnoteRef/>
      </w:r>
      <w:r w:rsidRPr="00557F5E">
        <w:rPr>
          <w:sz w:val="16"/>
          <w:szCs w:val="16"/>
        </w:rPr>
        <w:t xml:space="preserve"> </w:t>
      </w:r>
      <w:r w:rsidRPr="00756E28">
        <w:rPr>
          <w:sz w:val="16"/>
          <w:szCs w:val="16"/>
        </w:rPr>
        <w:t xml:space="preserve">A ‘carriage service’ would be defined as per </w:t>
      </w:r>
      <w:r>
        <w:rPr>
          <w:sz w:val="16"/>
          <w:szCs w:val="16"/>
        </w:rPr>
        <w:t>s</w:t>
      </w:r>
      <w:r w:rsidRPr="00756E28">
        <w:rPr>
          <w:sz w:val="16"/>
          <w:szCs w:val="16"/>
        </w:rPr>
        <w:t xml:space="preserve">ection 7 of the </w:t>
      </w:r>
      <w:hyperlink r:id="rId112" w:history="1">
        <w:r w:rsidRPr="00C244B6">
          <w:rPr>
            <w:rStyle w:val="Hyperlink"/>
            <w:i/>
            <w:sz w:val="16"/>
            <w:szCs w:val="16"/>
          </w:rPr>
          <w:t>Telecommunications Act 1997</w:t>
        </w:r>
      </w:hyperlink>
      <w:r w:rsidRPr="00756E28">
        <w:rPr>
          <w:i/>
          <w:sz w:val="16"/>
          <w:szCs w:val="16"/>
        </w:rPr>
        <w:t xml:space="preserve"> </w:t>
      </w:r>
      <w:r w:rsidRPr="00756E28">
        <w:rPr>
          <w:sz w:val="16"/>
          <w:szCs w:val="16"/>
        </w:rPr>
        <w:t>to be a service for carrying communications by mean</w:t>
      </w:r>
      <w:r>
        <w:rPr>
          <w:sz w:val="16"/>
          <w:szCs w:val="16"/>
        </w:rPr>
        <w:t>s</w:t>
      </w:r>
      <w:r w:rsidRPr="00756E28">
        <w:rPr>
          <w:sz w:val="16"/>
          <w:szCs w:val="16"/>
        </w:rPr>
        <w:t xml:space="preserve"> of guided and/or unguided electromagnetic energy.</w:t>
      </w:r>
    </w:p>
  </w:footnote>
  <w:footnote w:id="129">
    <w:p w14:paraId="56E00378" w14:textId="0545D8CA" w:rsidR="00682B65" w:rsidRPr="00567C13" w:rsidRDefault="00682B65" w:rsidP="00C46F79">
      <w:pPr>
        <w:pStyle w:val="FootnoteText"/>
        <w:ind w:left="210" w:hanging="210"/>
        <w:rPr>
          <w:sz w:val="16"/>
          <w:szCs w:val="16"/>
        </w:rPr>
      </w:pPr>
      <w:r w:rsidRPr="00567C13">
        <w:rPr>
          <w:rStyle w:val="FootnoteReference"/>
          <w:sz w:val="16"/>
          <w:szCs w:val="16"/>
        </w:rPr>
        <w:footnoteRef/>
      </w:r>
      <w:r w:rsidRPr="00567C13">
        <w:rPr>
          <w:sz w:val="16"/>
          <w:szCs w:val="16"/>
        </w:rPr>
        <w:t xml:space="preserve"> This aligns with the construction of providing a content service to the public specified in </w:t>
      </w:r>
      <w:r>
        <w:rPr>
          <w:sz w:val="16"/>
          <w:szCs w:val="16"/>
        </w:rPr>
        <w:t>C</w:t>
      </w:r>
      <w:r w:rsidRPr="00567C13">
        <w:rPr>
          <w:sz w:val="16"/>
          <w:szCs w:val="16"/>
        </w:rPr>
        <w:t xml:space="preserve">lause 7 of Schedule 7 to the </w:t>
      </w:r>
      <w:hyperlink r:id="rId113" w:history="1">
        <w:r w:rsidRPr="00C244B6">
          <w:rPr>
            <w:rStyle w:val="Hyperlink"/>
            <w:i/>
            <w:sz w:val="16"/>
            <w:szCs w:val="16"/>
          </w:rPr>
          <w:t>Broadcasting Services Act 1992</w:t>
        </w:r>
      </w:hyperlink>
      <w:r w:rsidRPr="00567C13">
        <w:rPr>
          <w:sz w:val="16"/>
          <w:szCs w:val="16"/>
        </w:rPr>
        <w:t>.</w:t>
      </w:r>
    </w:p>
  </w:footnote>
  <w:footnote w:id="130">
    <w:p w14:paraId="6AF1EA55" w14:textId="639A77C0" w:rsidR="00682B65" w:rsidRPr="00567C13" w:rsidRDefault="00682B65" w:rsidP="001876CE">
      <w:pPr>
        <w:pStyle w:val="FootnoteText"/>
        <w:ind w:left="210" w:hanging="210"/>
        <w:rPr>
          <w:sz w:val="16"/>
          <w:szCs w:val="16"/>
        </w:rPr>
      </w:pPr>
      <w:r w:rsidRPr="00567C13">
        <w:rPr>
          <w:rStyle w:val="FootnoteReference"/>
          <w:sz w:val="16"/>
          <w:szCs w:val="16"/>
        </w:rPr>
        <w:footnoteRef/>
      </w:r>
      <w:r w:rsidRPr="00567C13">
        <w:rPr>
          <w:sz w:val="16"/>
          <w:szCs w:val="16"/>
        </w:rPr>
        <w:t xml:space="preserve"> </w:t>
      </w:r>
      <w:r>
        <w:rPr>
          <w:sz w:val="16"/>
          <w:szCs w:val="16"/>
        </w:rPr>
        <w:t>The relevant definitions are contained in C</w:t>
      </w:r>
      <w:r w:rsidRPr="00567C13">
        <w:rPr>
          <w:sz w:val="16"/>
          <w:szCs w:val="16"/>
        </w:rPr>
        <w:t xml:space="preserve">lause 2 of Schedule 7 to the </w:t>
      </w:r>
      <w:hyperlink r:id="rId114" w:history="1">
        <w:r w:rsidRPr="00C244B6">
          <w:rPr>
            <w:rStyle w:val="Hyperlink"/>
            <w:i/>
            <w:sz w:val="16"/>
            <w:szCs w:val="16"/>
          </w:rPr>
          <w:t>Broadcasting Services Act 1992</w:t>
        </w:r>
      </w:hyperlink>
      <w:r w:rsidRPr="00567C13">
        <w:rPr>
          <w:sz w:val="16"/>
          <w:szCs w:val="16"/>
        </w:rPr>
        <w:t xml:space="preserve"> </w:t>
      </w:r>
      <w:r>
        <w:rPr>
          <w:sz w:val="16"/>
          <w:szCs w:val="16"/>
        </w:rPr>
        <w:t>(</w:t>
      </w:r>
      <w:r w:rsidRPr="00567C13">
        <w:rPr>
          <w:sz w:val="16"/>
          <w:szCs w:val="16"/>
        </w:rPr>
        <w:t>‘content service’</w:t>
      </w:r>
      <w:r>
        <w:rPr>
          <w:sz w:val="16"/>
          <w:szCs w:val="16"/>
        </w:rPr>
        <w:t>) and in C</w:t>
      </w:r>
      <w:r w:rsidRPr="00567C13">
        <w:rPr>
          <w:sz w:val="16"/>
          <w:szCs w:val="16"/>
        </w:rPr>
        <w:t xml:space="preserve">lause 5 </w:t>
      </w:r>
      <w:r>
        <w:rPr>
          <w:sz w:val="16"/>
          <w:szCs w:val="16"/>
        </w:rPr>
        <w:t>(</w:t>
      </w:r>
      <w:r w:rsidRPr="00567C13">
        <w:rPr>
          <w:sz w:val="16"/>
          <w:szCs w:val="16"/>
        </w:rPr>
        <w:t>‘content service provider’</w:t>
      </w:r>
      <w:r>
        <w:rPr>
          <w:sz w:val="16"/>
          <w:szCs w:val="16"/>
        </w:rPr>
        <w:t>)</w:t>
      </w:r>
      <w:r w:rsidRPr="00567C13">
        <w:rPr>
          <w:sz w:val="16"/>
          <w:szCs w:val="16"/>
        </w:rPr>
        <w:t xml:space="preserve">. Consideration was also given to the definitions of ‘online content service’ and ‘online content service provider’ specified in clauses 2 and 3 and of Schedule 8 to the </w:t>
      </w:r>
      <w:hyperlink r:id="rId115" w:history="1">
        <w:r w:rsidRPr="00C244B6">
          <w:rPr>
            <w:rStyle w:val="Hyperlink"/>
            <w:i/>
            <w:sz w:val="16"/>
            <w:szCs w:val="16"/>
          </w:rPr>
          <w:t>Broadcasting Services Act 1992</w:t>
        </w:r>
      </w:hyperlink>
      <w:r w:rsidRPr="00567C13">
        <w:rPr>
          <w:sz w:val="16"/>
          <w:szCs w:val="16"/>
        </w:rPr>
        <w:t xml:space="preserve">. However, these definitions are limited to services delivered by means of an </w:t>
      </w:r>
      <w:r w:rsidRPr="00567C13">
        <w:rPr>
          <w:sz w:val="16"/>
          <w:szCs w:val="16"/>
          <w:u w:val="single"/>
        </w:rPr>
        <w:t>internet</w:t>
      </w:r>
      <w:r w:rsidRPr="00567C13">
        <w:rPr>
          <w:sz w:val="16"/>
          <w:szCs w:val="16"/>
        </w:rPr>
        <w:t xml:space="preserve"> carriage service that, via </w:t>
      </w:r>
      <w:r>
        <w:rPr>
          <w:sz w:val="16"/>
          <w:szCs w:val="16"/>
        </w:rPr>
        <w:t>s</w:t>
      </w:r>
      <w:r w:rsidRPr="00567C13">
        <w:rPr>
          <w:sz w:val="16"/>
          <w:szCs w:val="16"/>
        </w:rPr>
        <w:t xml:space="preserve">ection 5 of the </w:t>
      </w:r>
      <w:hyperlink r:id="rId116" w:history="1">
        <w:r w:rsidRPr="00C244B6">
          <w:rPr>
            <w:rStyle w:val="Hyperlink"/>
            <w:i/>
            <w:sz w:val="16"/>
            <w:szCs w:val="16"/>
          </w:rPr>
          <w:t>Online Safety Act 2021</w:t>
        </w:r>
      </w:hyperlink>
      <w:r w:rsidRPr="00567C13">
        <w:rPr>
          <w:sz w:val="16"/>
          <w:szCs w:val="16"/>
        </w:rPr>
        <w:t xml:space="preserve">, is limited to listed carriage services that enable end-users to access the internet. It is intended that the definition of content service for the purposes of the anti-siphoning scheme apply to </w:t>
      </w:r>
      <w:r w:rsidRPr="00567C13">
        <w:rPr>
          <w:sz w:val="16"/>
          <w:szCs w:val="16"/>
          <w:u w:val="single"/>
        </w:rPr>
        <w:t>all providers of content service</w:t>
      </w:r>
      <w:r w:rsidRPr="00567C13">
        <w:rPr>
          <w:sz w:val="16"/>
          <w:szCs w:val="16"/>
        </w:rPr>
        <w:t xml:space="preserve">, not just those provided via the internet. Consideration was also given to the definitions of ‘content service’ and ‘content service provider’ contained in </w:t>
      </w:r>
      <w:r>
        <w:rPr>
          <w:sz w:val="16"/>
          <w:szCs w:val="16"/>
        </w:rPr>
        <w:t>s</w:t>
      </w:r>
      <w:r w:rsidRPr="00567C13">
        <w:rPr>
          <w:sz w:val="16"/>
          <w:szCs w:val="16"/>
        </w:rPr>
        <w:t xml:space="preserve">ections 15 and 97 of the </w:t>
      </w:r>
      <w:hyperlink r:id="rId117" w:history="1">
        <w:r w:rsidRPr="00C244B6">
          <w:rPr>
            <w:rStyle w:val="Hyperlink"/>
            <w:i/>
            <w:sz w:val="16"/>
            <w:szCs w:val="16"/>
          </w:rPr>
          <w:t>Telecommunications Act 1997</w:t>
        </w:r>
      </w:hyperlink>
      <w:r w:rsidRPr="00567C13">
        <w:rPr>
          <w:sz w:val="16"/>
          <w:szCs w:val="16"/>
        </w:rPr>
        <w:t>.</w:t>
      </w:r>
    </w:p>
  </w:footnote>
  <w:footnote w:id="131">
    <w:p w14:paraId="5DB7B39E" w14:textId="438D6F8E" w:rsidR="00682B65" w:rsidRPr="003A7CC1" w:rsidRDefault="00682B65">
      <w:pPr>
        <w:pStyle w:val="FootnoteText"/>
        <w:rPr>
          <w:sz w:val="16"/>
          <w:szCs w:val="16"/>
        </w:rPr>
      </w:pPr>
      <w:r w:rsidRPr="003A7CC1">
        <w:rPr>
          <w:rStyle w:val="FootnoteReference"/>
          <w:sz w:val="16"/>
          <w:szCs w:val="16"/>
        </w:rPr>
        <w:footnoteRef/>
      </w:r>
      <w:r w:rsidRPr="003A7CC1">
        <w:rPr>
          <w:sz w:val="16"/>
          <w:szCs w:val="16"/>
        </w:rPr>
        <w:t xml:space="preserve"> </w:t>
      </w:r>
      <w:hyperlink r:id="rId118" w:history="1">
        <w:r w:rsidRPr="00FC7446">
          <w:rPr>
            <w:rStyle w:val="Hyperlink"/>
            <w:i/>
            <w:sz w:val="16"/>
            <w:szCs w:val="16"/>
          </w:rPr>
          <w:t>Broadcasting Services (Events) Notice 2023</w:t>
        </w:r>
      </w:hyperlink>
      <w:r w:rsidRPr="00FC7446">
        <w:rPr>
          <w:i/>
          <w:sz w:val="16"/>
          <w:szCs w:val="16"/>
        </w:rPr>
        <w:t>.</w:t>
      </w:r>
    </w:p>
  </w:footnote>
  <w:footnote w:id="132">
    <w:p w14:paraId="6B728E3C" w14:textId="23FD84FD" w:rsidR="00682B65" w:rsidRPr="009F60C6" w:rsidRDefault="00682B65" w:rsidP="00F37CE5">
      <w:pPr>
        <w:pStyle w:val="FootnoteText"/>
        <w:rPr>
          <w:sz w:val="16"/>
          <w:szCs w:val="16"/>
        </w:rPr>
      </w:pPr>
      <w:r w:rsidRPr="009F60C6">
        <w:rPr>
          <w:rStyle w:val="FootnoteReference"/>
          <w:sz w:val="16"/>
          <w:szCs w:val="16"/>
        </w:rPr>
        <w:footnoteRef/>
      </w:r>
      <w:r w:rsidRPr="009F60C6">
        <w:rPr>
          <w:sz w:val="16"/>
          <w:szCs w:val="16"/>
        </w:rPr>
        <w:t xml:space="preserve"> </w:t>
      </w:r>
      <w:r>
        <w:rPr>
          <w:sz w:val="16"/>
          <w:szCs w:val="16"/>
        </w:rPr>
        <w:t xml:space="preserve">Coalition of Major Professional and Participation Sports (2022), </w:t>
      </w:r>
      <w:hyperlink r:id="rId119" w:history="1">
        <w:r w:rsidRPr="00DD3DE9">
          <w:rPr>
            <w:rStyle w:val="Hyperlink"/>
            <w:sz w:val="16"/>
            <w:szCs w:val="16"/>
          </w:rPr>
          <w:t>Submission of COMPPS to the review of the anti-siphoning scheme</w:t>
        </w:r>
      </w:hyperlink>
      <w:r>
        <w:rPr>
          <w:sz w:val="16"/>
          <w:szCs w:val="16"/>
        </w:rPr>
        <w:t>,</w:t>
      </w:r>
      <w:r w:rsidRPr="009F60C6">
        <w:rPr>
          <w:sz w:val="16"/>
          <w:szCs w:val="16"/>
        </w:rPr>
        <w:t xml:space="preserve"> p</w:t>
      </w:r>
      <w:r>
        <w:rPr>
          <w:sz w:val="16"/>
          <w:szCs w:val="16"/>
        </w:rPr>
        <w:t xml:space="preserve"> 2-3. </w:t>
      </w:r>
    </w:p>
  </w:footnote>
  <w:footnote w:id="133">
    <w:p w14:paraId="24C78BD6" w14:textId="77777777" w:rsidR="00682B65" w:rsidRPr="009B7831" w:rsidRDefault="00682B65" w:rsidP="0069071A">
      <w:pPr>
        <w:pStyle w:val="FootnoteText"/>
        <w:ind w:left="187" w:hanging="187"/>
        <w:rPr>
          <w:sz w:val="16"/>
          <w:szCs w:val="16"/>
        </w:rPr>
      </w:pPr>
      <w:r w:rsidRPr="009B7831">
        <w:rPr>
          <w:rStyle w:val="FootnoteReference"/>
          <w:sz w:val="16"/>
          <w:szCs w:val="16"/>
        </w:rPr>
        <w:footnoteRef/>
      </w:r>
      <w:r w:rsidRPr="009B7831">
        <w:rPr>
          <w:sz w:val="16"/>
          <w:szCs w:val="16"/>
        </w:rPr>
        <w:t xml:space="preserve"> Providing cover</w:t>
      </w:r>
      <w:r>
        <w:rPr>
          <w:sz w:val="16"/>
          <w:szCs w:val="16"/>
        </w:rPr>
        <w:t xml:space="preserve">age of a listed event to end-users in Australia on a content service </w:t>
      </w:r>
      <w:r w:rsidRPr="009B7831">
        <w:rPr>
          <w:sz w:val="16"/>
          <w:szCs w:val="16"/>
        </w:rPr>
        <w:t xml:space="preserve">under this model would relate to </w:t>
      </w:r>
      <w:r>
        <w:rPr>
          <w:sz w:val="16"/>
          <w:szCs w:val="16"/>
        </w:rPr>
        <w:t xml:space="preserve">provision of coverage in the form of </w:t>
      </w:r>
      <w:r w:rsidRPr="009B7831">
        <w:rPr>
          <w:sz w:val="16"/>
          <w:szCs w:val="16"/>
        </w:rPr>
        <w:t xml:space="preserve">video footage.  </w:t>
      </w:r>
    </w:p>
  </w:footnote>
  <w:footnote w:id="134">
    <w:p w14:paraId="164C43EC" w14:textId="77777777" w:rsidR="00682B65" w:rsidRPr="00287A65" w:rsidRDefault="00682B65" w:rsidP="001E4FEC">
      <w:pPr>
        <w:pStyle w:val="FootnoteText"/>
        <w:rPr>
          <w:sz w:val="16"/>
          <w:szCs w:val="16"/>
        </w:rPr>
      </w:pPr>
      <w:r w:rsidRPr="009B7831">
        <w:rPr>
          <w:rStyle w:val="FootnoteReference"/>
          <w:sz w:val="16"/>
          <w:szCs w:val="16"/>
        </w:rPr>
        <w:footnoteRef/>
      </w:r>
      <w:r w:rsidRPr="009B7831">
        <w:rPr>
          <w:sz w:val="16"/>
          <w:szCs w:val="16"/>
        </w:rPr>
        <w:t xml:space="preserve"> An end-user in Australia would be an individual who is physically present in Australia or the external Territories.</w:t>
      </w:r>
      <w:r w:rsidRPr="00287A65">
        <w:rPr>
          <w:sz w:val="16"/>
          <w:szCs w:val="16"/>
        </w:rPr>
        <w:t xml:space="preserve"> </w:t>
      </w:r>
    </w:p>
  </w:footnote>
  <w:footnote w:id="135">
    <w:p w14:paraId="06D66A89" w14:textId="77777777" w:rsidR="00682B65" w:rsidRPr="00CB2D8B" w:rsidRDefault="00682B65" w:rsidP="0069071A">
      <w:pPr>
        <w:pStyle w:val="FootnoteText"/>
        <w:ind w:left="187" w:hanging="187"/>
        <w:rPr>
          <w:sz w:val="16"/>
          <w:szCs w:val="16"/>
        </w:rPr>
      </w:pPr>
      <w:r w:rsidRPr="00CB2D8B">
        <w:rPr>
          <w:rStyle w:val="FootnoteReference"/>
          <w:sz w:val="16"/>
          <w:szCs w:val="16"/>
        </w:rPr>
        <w:footnoteRef/>
      </w:r>
      <w:r w:rsidRPr="00CB2D8B">
        <w:rPr>
          <w:sz w:val="16"/>
          <w:szCs w:val="16"/>
        </w:rPr>
        <w:t xml:space="preserve"> The proposed acquisition rule would stipulate that a right to provide coverage of an event on a content service to end-users in Australia does not include a right to televise the event on a national or commercial television broadcasting service. This will ensure that, for the purposes of the anti-siphoning scheme, the two types of rights are able to be dealt with separately and distinctly in terms of the regulatory framework. </w:t>
      </w:r>
    </w:p>
  </w:footnote>
  <w:footnote w:id="136">
    <w:p w14:paraId="6AC1CD47" w14:textId="3BE19427" w:rsidR="00682B65" w:rsidRPr="00557F5E" w:rsidRDefault="00682B65" w:rsidP="001876CE">
      <w:pPr>
        <w:pStyle w:val="FootnoteText"/>
        <w:ind w:left="210" w:hanging="210"/>
        <w:rPr>
          <w:sz w:val="16"/>
          <w:szCs w:val="16"/>
        </w:rPr>
      </w:pPr>
      <w:r w:rsidRPr="00DB7C49">
        <w:rPr>
          <w:rStyle w:val="FootnoteReference"/>
          <w:sz w:val="16"/>
          <w:szCs w:val="16"/>
        </w:rPr>
        <w:footnoteRef/>
      </w:r>
      <w:r w:rsidRPr="00DB7C49">
        <w:rPr>
          <w:sz w:val="16"/>
          <w:szCs w:val="16"/>
        </w:rPr>
        <w:t xml:space="preserve"> ‘Content’ would be defined as per </w:t>
      </w:r>
      <w:r>
        <w:rPr>
          <w:sz w:val="16"/>
          <w:szCs w:val="16"/>
        </w:rPr>
        <w:t>C</w:t>
      </w:r>
      <w:r w:rsidRPr="00DB7C49">
        <w:rPr>
          <w:sz w:val="16"/>
          <w:szCs w:val="16"/>
        </w:rPr>
        <w:t xml:space="preserve">lause 2 of Schedule 8 to the </w:t>
      </w:r>
      <w:hyperlink r:id="rId120" w:history="1">
        <w:r w:rsidRPr="00C244B6">
          <w:rPr>
            <w:rStyle w:val="Hyperlink"/>
            <w:i/>
            <w:sz w:val="16"/>
            <w:szCs w:val="16"/>
          </w:rPr>
          <w:t>Broadcasting Services Act 1992</w:t>
        </w:r>
      </w:hyperlink>
      <w:r w:rsidRPr="00DB7C49">
        <w:rPr>
          <w:i/>
          <w:sz w:val="16"/>
          <w:szCs w:val="16"/>
        </w:rPr>
        <w:t xml:space="preserve"> </w:t>
      </w:r>
      <w:r w:rsidRPr="00DB7C49">
        <w:rPr>
          <w:sz w:val="16"/>
          <w:szCs w:val="16"/>
        </w:rPr>
        <w:t>to include</w:t>
      </w:r>
      <w:r>
        <w:rPr>
          <w:sz w:val="16"/>
          <w:szCs w:val="16"/>
        </w:rPr>
        <w:t>:</w:t>
      </w:r>
      <w:r w:rsidRPr="00DB7C49">
        <w:rPr>
          <w:sz w:val="16"/>
          <w:szCs w:val="16"/>
        </w:rPr>
        <w:t xml:space="preserve"> text</w:t>
      </w:r>
      <w:r>
        <w:rPr>
          <w:sz w:val="16"/>
          <w:szCs w:val="16"/>
        </w:rPr>
        <w:t>;</w:t>
      </w:r>
      <w:r w:rsidRPr="00DB7C49">
        <w:rPr>
          <w:sz w:val="16"/>
          <w:szCs w:val="16"/>
        </w:rPr>
        <w:t xml:space="preserve"> data</w:t>
      </w:r>
      <w:r>
        <w:rPr>
          <w:sz w:val="16"/>
          <w:szCs w:val="16"/>
        </w:rPr>
        <w:t>;</w:t>
      </w:r>
      <w:r w:rsidRPr="00DB7C49">
        <w:rPr>
          <w:sz w:val="16"/>
          <w:szCs w:val="16"/>
        </w:rPr>
        <w:t xml:space="preserve"> speech</w:t>
      </w:r>
      <w:r>
        <w:rPr>
          <w:sz w:val="16"/>
          <w:szCs w:val="16"/>
        </w:rPr>
        <w:t>;</w:t>
      </w:r>
      <w:r w:rsidRPr="00DB7C49">
        <w:rPr>
          <w:sz w:val="16"/>
          <w:szCs w:val="16"/>
        </w:rPr>
        <w:t xml:space="preserve"> music or other sound</w:t>
      </w:r>
      <w:r>
        <w:rPr>
          <w:sz w:val="16"/>
          <w:szCs w:val="16"/>
        </w:rPr>
        <w:t>s;</w:t>
      </w:r>
      <w:r w:rsidRPr="00DB7C49">
        <w:rPr>
          <w:sz w:val="16"/>
          <w:szCs w:val="16"/>
        </w:rPr>
        <w:t xml:space="preserve"> visual images</w:t>
      </w:r>
      <w:r>
        <w:rPr>
          <w:sz w:val="16"/>
          <w:szCs w:val="16"/>
        </w:rPr>
        <w:t>;</w:t>
      </w:r>
      <w:r w:rsidRPr="00DB7C49">
        <w:rPr>
          <w:sz w:val="16"/>
          <w:szCs w:val="16"/>
        </w:rPr>
        <w:t xml:space="preserve"> or any other form or combination of forms.</w:t>
      </w:r>
    </w:p>
  </w:footnote>
  <w:footnote w:id="137">
    <w:p w14:paraId="27ED0FE2" w14:textId="57FD6512" w:rsidR="00682B65" w:rsidRPr="00557F5E" w:rsidRDefault="00682B65" w:rsidP="001876CE">
      <w:pPr>
        <w:pStyle w:val="FootnoteText"/>
        <w:ind w:left="210" w:hanging="210"/>
        <w:rPr>
          <w:sz w:val="16"/>
          <w:szCs w:val="16"/>
        </w:rPr>
      </w:pPr>
      <w:r w:rsidRPr="00557F5E">
        <w:rPr>
          <w:rStyle w:val="FootnoteReference"/>
          <w:sz w:val="16"/>
          <w:szCs w:val="16"/>
        </w:rPr>
        <w:footnoteRef/>
      </w:r>
      <w:r w:rsidRPr="00557F5E">
        <w:rPr>
          <w:sz w:val="16"/>
          <w:szCs w:val="16"/>
        </w:rPr>
        <w:t xml:space="preserve"> </w:t>
      </w:r>
      <w:r w:rsidRPr="00756E28">
        <w:rPr>
          <w:sz w:val="16"/>
          <w:szCs w:val="16"/>
        </w:rPr>
        <w:t xml:space="preserve">A ‘carriage service’ would be defined as per </w:t>
      </w:r>
      <w:r>
        <w:rPr>
          <w:sz w:val="16"/>
          <w:szCs w:val="16"/>
        </w:rPr>
        <w:t>s</w:t>
      </w:r>
      <w:r w:rsidRPr="00756E28">
        <w:rPr>
          <w:sz w:val="16"/>
          <w:szCs w:val="16"/>
        </w:rPr>
        <w:t xml:space="preserve">ection 7 of the </w:t>
      </w:r>
      <w:hyperlink r:id="rId121" w:history="1">
        <w:r w:rsidRPr="00C244B6">
          <w:rPr>
            <w:rStyle w:val="Hyperlink"/>
            <w:i/>
            <w:sz w:val="16"/>
            <w:szCs w:val="16"/>
          </w:rPr>
          <w:t>Telecommunications Act 1997</w:t>
        </w:r>
      </w:hyperlink>
      <w:r w:rsidRPr="00756E28">
        <w:rPr>
          <w:i/>
          <w:sz w:val="16"/>
          <w:szCs w:val="16"/>
        </w:rPr>
        <w:t xml:space="preserve"> </w:t>
      </w:r>
      <w:r w:rsidRPr="00756E28">
        <w:rPr>
          <w:sz w:val="16"/>
          <w:szCs w:val="16"/>
        </w:rPr>
        <w:t>to be a service for carrying communications by mean</w:t>
      </w:r>
      <w:r>
        <w:rPr>
          <w:sz w:val="16"/>
          <w:szCs w:val="16"/>
        </w:rPr>
        <w:t>s</w:t>
      </w:r>
      <w:r w:rsidRPr="00756E28">
        <w:rPr>
          <w:sz w:val="16"/>
          <w:szCs w:val="16"/>
        </w:rPr>
        <w:t xml:space="preserve"> of guided and/or unguided electromagnetic energy.</w:t>
      </w:r>
    </w:p>
  </w:footnote>
  <w:footnote w:id="138">
    <w:p w14:paraId="4C872AF1" w14:textId="363EE2FA" w:rsidR="00682B65" w:rsidRPr="00567C13" w:rsidRDefault="00682B65" w:rsidP="001876CE">
      <w:pPr>
        <w:pStyle w:val="FootnoteText"/>
        <w:ind w:left="210" w:hanging="210"/>
        <w:rPr>
          <w:sz w:val="16"/>
          <w:szCs w:val="16"/>
        </w:rPr>
      </w:pPr>
      <w:r w:rsidRPr="00567C13">
        <w:rPr>
          <w:rStyle w:val="FootnoteReference"/>
          <w:sz w:val="16"/>
          <w:szCs w:val="16"/>
        </w:rPr>
        <w:footnoteRef/>
      </w:r>
      <w:r w:rsidRPr="00567C13">
        <w:rPr>
          <w:sz w:val="16"/>
          <w:szCs w:val="16"/>
        </w:rPr>
        <w:t xml:space="preserve"> This aligns with the construction of providing a content service to the public specified in </w:t>
      </w:r>
      <w:r>
        <w:rPr>
          <w:sz w:val="16"/>
          <w:szCs w:val="16"/>
        </w:rPr>
        <w:t>C</w:t>
      </w:r>
      <w:r w:rsidRPr="00567C13">
        <w:rPr>
          <w:sz w:val="16"/>
          <w:szCs w:val="16"/>
        </w:rPr>
        <w:t xml:space="preserve">lause 7 of Schedule 7 to the </w:t>
      </w:r>
      <w:hyperlink r:id="rId122" w:history="1">
        <w:r w:rsidRPr="00C244B6">
          <w:rPr>
            <w:rStyle w:val="Hyperlink"/>
            <w:i/>
            <w:sz w:val="16"/>
            <w:szCs w:val="16"/>
          </w:rPr>
          <w:t>Broadcasting Services Act 1992</w:t>
        </w:r>
      </w:hyperlink>
      <w:r w:rsidRPr="00567C13">
        <w:rPr>
          <w:sz w:val="16"/>
          <w:szCs w:val="16"/>
        </w:rPr>
        <w:t>.</w:t>
      </w:r>
    </w:p>
  </w:footnote>
  <w:footnote w:id="139">
    <w:p w14:paraId="78873138" w14:textId="169314C6" w:rsidR="00682B65" w:rsidRPr="00567C13" w:rsidRDefault="00682B65" w:rsidP="001876CE">
      <w:pPr>
        <w:pStyle w:val="FootnoteText"/>
        <w:ind w:left="210" w:hanging="210"/>
        <w:rPr>
          <w:sz w:val="16"/>
          <w:szCs w:val="16"/>
        </w:rPr>
      </w:pPr>
      <w:r w:rsidRPr="00557F5E">
        <w:rPr>
          <w:rStyle w:val="FootnoteReference"/>
          <w:sz w:val="16"/>
          <w:szCs w:val="16"/>
        </w:rPr>
        <w:footnoteRef/>
      </w:r>
      <w:r w:rsidRPr="00557F5E">
        <w:rPr>
          <w:sz w:val="16"/>
          <w:szCs w:val="16"/>
        </w:rPr>
        <w:t xml:space="preserve"> </w:t>
      </w:r>
      <w:r>
        <w:rPr>
          <w:sz w:val="16"/>
          <w:szCs w:val="16"/>
        </w:rPr>
        <w:t>The relevant definitions are contained in C</w:t>
      </w:r>
      <w:r w:rsidRPr="00567C13">
        <w:rPr>
          <w:sz w:val="16"/>
          <w:szCs w:val="16"/>
        </w:rPr>
        <w:t xml:space="preserve">lause 2 of Schedule 7 to the </w:t>
      </w:r>
      <w:hyperlink r:id="rId123" w:history="1">
        <w:r w:rsidRPr="00C244B6">
          <w:rPr>
            <w:rStyle w:val="Hyperlink"/>
            <w:i/>
            <w:sz w:val="16"/>
            <w:szCs w:val="16"/>
          </w:rPr>
          <w:t>Broadcasting Services Act 1992</w:t>
        </w:r>
      </w:hyperlink>
      <w:r w:rsidRPr="00567C13">
        <w:rPr>
          <w:sz w:val="16"/>
          <w:szCs w:val="16"/>
        </w:rPr>
        <w:t xml:space="preserve"> </w:t>
      </w:r>
      <w:r>
        <w:rPr>
          <w:sz w:val="16"/>
          <w:szCs w:val="16"/>
        </w:rPr>
        <w:t>(</w:t>
      </w:r>
      <w:r w:rsidRPr="00567C13">
        <w:rPr>
          <w:sz w:val="16"/>
          <w:szCs w:val="16"/>
        </w:rPr>
        <w:t>‘content service’</w:t>
      </w:r>
      <w:r>
        <w:rPr>
          <w:sz w:val="16"/>
          <w:szCs w:val="16"/>
        </w:rPr>
        <w:t>) and in C</w:t>
      </w:r>
      <w:r w:rsidRPr="00567C13">
        <w:rPr>
          <w:sz w:val="16"/>
          <w:szCs w:val="16"/>
        </w:rPr>
        <w:t xml:space="preserve">lause 5 </w:t>
      </w:r>
      <w:r>
        <w:rPr>
          <w:sz w:val="16"/>
          <w:szCs w:val="16"/>
        </w:rPr>
        <w:t>(</w:t>
      </w:r>
      <w:r w:rsidRPr="00567C13">
        <w:rPr>
          <w:sz w:val="16"/>
          <w:szCs w:val="16"/>
        </w:rPr>
        <w:t>‘content service provider’</w:t>
      </w:r>
      <w:r>
        <w:rPr>
          <w:sz w:val="16"/>
          <w:szCs w:val="16"/>
        </w:rPr>
        <w:t>)</w:t>
      </w:r>
      <w:r w:rsidRPr="00567C13">
        <w:rPr>
          <w:sz w:val="16"/>
          <w:szCs w:val="16"/>
        </w:rPr>
        <w:t xml:space="preserve">. Consideration was also given to the definitions of ‘online content service’ and ‘online content service provider’ specified in clauses 2 and 3 and of Schedule 8 to the </w:t>
      </w:r>
      <w:hyperlink r:id="rId124" w:history="1">
        <w:r w:rsidRPr="00C244B6">
          <w:rPr>
            <w:rStyle w:val="Hyperlink"/>
            <w:i/>
            <w:sz w:val="16"/>
            <w:szCs w:val="16"/>
          </w:rPr>
          <w:t>Broadcasting Services Act 1992</w:t>
        </w:r>
      </w:hyperlink>
      <w:r w:rsidRPr="00567C13">
        <w:rPr>
          <w:sz w:val="16"/>
          <w:szCs w:val="16"/>
        </w:rPr>
        <w:t xml:space="preserve">. However, these definitions are limited to services delivered by means of an </w:t>
      </w:r>
      <w:r w:rsidRPr="00567C13">
        <w:rPr>
          <w:sz w:val="16"/>
          <w:szCs w:val="16"/>
          <w:u w:val="single"/>
        </w:rPr>
        <w:t>internet</w:t>
      </w:r>
      <w:r w:rsidRPr="00567C13">
        <w:rPr>
          <w:sz w:val="16"/>
          <w:szCs w:val="16"/>
        </w:rPr>
        <w:t xml:space="preserve"> carriage service that, via </w:t>
      </w:r>
      <w:r>
        <w:rPr>
          <w:sz w:val="16"/>
          <w:szCs w:val="16"/>
        </w:rPr>
        <w:t>s</w:t>
      </w:r>
      <w:r w:rsidRPr="00567C13">
        <w:rPr>
          <w:sz w:val="16"/>
          <w:szCs w:val="16"/>
        </w:rPr>
        <w:t xml:space="preserve">ection 5 of the </w:t>
      </w:r>
      <w:hyperlink r:id="rId125" w:history="1">
        <w:r w:rsidRPr="00C244B6">
          <w:rPr>
            <w:rStyle w:val="Hyperlink"/>
            <w:i/>
            <w:sz w:val="16"/>
            <w:szCs w:val="16"/>
          </w:rPr>
          <w:t>Online Safety Act 2021</w:t>
        </w:r>
      </w:hyperlink>
      <w:r w:rsidRPr="00567C13">
        <w:rPr>
          <w:sz w:val="16"/>
          <w:szCs w:val="16"/>
        </w:rPr>
        <w:t xml:space="preserve">, is limited to listed carriage services that enable end-users to access the internet. It is intended that the definition of content service for the purposes of the anti-siphoning scheme apply to </w:t>
      </w:r>
      <w:r w:rsidRPr="00567C13">
        <w:rPr>
          <w:sz w:val="16"/>
          <w:szCs w:val="16"/>
          <w:u w:val="single"/>
        </w:rPr>
        <w:t>all providers of content service</w:t>
      </w:r>
      <w:r w:rsidRPr="00567C13">
        <w:rPr>
          <w:sz w:val="16"/>
          <w:szCs w:val="16"/>
        </w:rPr>
        <w:t xml:space="preserve">, not just those provided via the internet. Consideration was also given to the definitions of ‘content service’ and ‘content service provider’ contained in </w:t>
      </w:r>
      <w:r>
        <w:rPr>
          <w:sz w:val="16"/>
          <w:szCs w:val="16"/>
        </w:rPr>
        <w:t>s</w:t>
      </w:r>
      <w:r w:rsidRPr="00567C13">
        <w:rPr>
          <w:sz w:val="16"/>
          <w:szCs w:val="16"/>
        </w:rPr>
        <w:t xml:space="preserve">ections 15 and 97 of the </w:t>
      </w:r>
      <w:hyperlink r:id="rId126" w:history="1">
        <w:r w:rsidRPr="00C244B6">
          <w:rPr>
            <w:rStyle w:val="Hyperlink"/>
            <w:i/>
            <w:sz w:val="16"/>
            <w:szCs w:val="16"/>
          </w:rPr>
          <w:t>Telecommunications Act 1997</w:t>
        </w:r>
      </w:hyperlink>
      <w:r w:rsidRPr="00567C13">
        <w:rPr>
          <w:sz w:val="16"/>
          <w:szCs w:val="16"/>
        </w:rPr>
        <w:t>.</w:t>
      </w:r>
    </w:p>
  </w:footnote>
  <w:footnote w:id="140">
    <w:p w14:paraId="75783118" w14:textId="2390B5B1" w:rsidR="00682B65" w:rsidRPr="00722E25" w:rsidRDefault="00682B65" w:rsidP="006B789B">
      <w:pPr>
        <w:pStyle w:val="FootnoteText"/>
        <w:rPr>
          <w:i/>
          <w:sz w:val="16"/>
          <w:szCs w:val="16"/>
        </w:rPr>
      </w:pPr>
      <w:r w:rsidRPr="003A7CC1">
        <w:rPr>
          <w:rStyle w:val="FootnoteReference"/>
          <w:sz w:val="16"/>
          <w:szCs w:val="16"/>
        </w:rPr>
        <w:footnoteRef/>
      </w:r>
      <w:r w:rsidRPr="003A7CC1">
        <w:rPr>
          <w:sz w:val="16"/>
          <w:szCs w:val="16"/>
        </w:rPr>
        <w:t xml:space="preserve"> </w:t>
      </w:r>
      <w:hyperlink r:id="rId127" w:history="1">
        <w:r w:rsidRPr="00FC7446">
          <w:rPr>
            <w:rStyle w:val="Hyperlink"/>
            <w:i/>
            <w:sz w:val="16"/>
            <w:szCs w:val="16"/>
          </w:rPr>
          <w:t>Broadcasting Services (Events) Notice 2023</w:t>
        </w:r>
      </w:hyperlink>
      <w:r w:rsidRPr="00FC7446">
        <w:rPr>
          <w:i/>
          <w:sz w:val="16"/>
          <w:szCs w:val="16"/>
        </w:rPr>
        <w:t>.</w:t>
      </w:r>
    </w:p>
  </w:footnote>
  <w:footnote w:id="141">
    <w:p w14:paraId="1F005A62" w14:textId="0196FEE7" w:rsidR="00682B65" w:rsidRPr="009F60C6" w:rsidRDefault="00682B65" w:rsidP="00EC4E1F">
      <w:pPr>
        <w:pStyle w:val="FootnoteText"/>
        <w:rPr>
          <w:sz w:val="16"/>
          <w:szCs w:val="16"/>
        </w:rPr>
      </w:pPr>
      <w:r w:rsidRPr="009F60C6">
        <w:rPr>
          <w:rStyle w:val="FootnoteReference"/>
          <w:sz w:val="16"/>
          <w:szCs w:val="16"/>
        </w:rPr>
        <w:footnoteRef/>
      </w:r>
      <w:r w:rsidRPr="009F60C6">
        <w:rPr>
          <w:sz w:val="16"/>
          <w:szCs w:val="16"/>
        </w:rPr>
        <w:t xml:space="preserve"> </w:t>
      </w:r>
      <w:r>
        <w:rPr>
          <w:sz w:val="16"/>
          <w:szCs w:val="16"/>
        </w:rPr>
        <w:t xml:space="preserve">Coalition of Major Professional and Participation Sports (2022), </w:t>
      </w:r>
      <w:hyperlink r:id="rId128" w:history="1">
        <w:r w:rsidRPr="00DD3DE9">
          <w:rPr>
            <w:rStyle w:val="Hyperlink"/>
            <w:sz w:val="16"/>
            <w:szCs w:val="16"/>
          </w:rPr>
          <w:t>Submission of COMPPS to the review of the anti-siphoning scheme</w:t>
        </w:r>
      </w:hyperlink>
      <w:r>
        <w:rPr>
          <w:sz w:val="16"/>
          <w:szCs w:val="16"/>
        </w:rPr>
        <w:t>,</w:t>
      </w:r>
      <w:r w:rsidRPr="009F60C6">
        <w:rPr>
          <w:sz w:val="16"/>
          <w:szCs w:val="16"/>
        </w:rPr>
        <w:t xml:space="preserve"> p</w:t>
      </w:r>
      <w:r>
        <w:rPr>
          <w:sz w:val="16"/>
          <w:szCs w:val="16"/>
        </w:rPr>
        <w:t xml:space="preserve">. 2-3. </w:t>
      </w:r>
    </w:p>
  </w:footnote>
  <w:footnote w:id="142">
    <w:p w14:paraId="6B983465" w14:textId="18BD8EDB" w:rsidR="00682B65" w:rsidRPr="00977318" w:rsidRDefault="00682B65" w:rsidP="001876CE">
      <w:pPr>
        <w:pStyle w:val="FootnoteText"/>
        <w:ind w:left="187" w:hanging="187"/>
        <w:rPr>
          <w:sz w:val="16"/>
          <w:szCs w:val="16"/>
        </w:rPr>
      </w:pPr>
      <w:r w:rsidRPr="00977318">
        <w:rPr>
          <w:rStyle w:val="FootnoteReference"/>
          <w:sz w:val="16"/>
          <w:szCs w:val="16"/>
        </w:rPr>
        <w:footnoteRef/>
      </w:r>
      <w:r w:rsidRPr="00977318">
        <w:rPr>
          <w:sz w:val="16"/>
          <w:szCs w:val="16"/>
        </w:rPr>
        <w:t xml:space="preserve"> </w:t>
      </w:r>
      <w:hyperlink r:id="rId129" w:history="1">
        <w:r w:rsidRPr="00FC7446">
          <w:rPr>
            <w:rStyle w:val="Hyperlink"/>
            <w:i/>
            <w:sz w:val="16"/>
            <w:szCs w:val="16"/>
          </w:rPr>
          <w:t>Broadcasting Services (Events) Notice 2023</w:t>
        </w:r>
      </w:hyperlink>
      <w:r w:rsidRPr="00FC7446">
        <w:rPr>
          <w:i/>
          <w:sz w:val="16"/>
          <w:szCs w:val="16"/>
        </w:rPr>
        <w:t>.</w:t>
      </w:r>
    </w:p>
  </w:footnote>
  <w:footnote w:id="143">
    <w:p w14:paraId="491EFBE1" w14:textId="761DA2A2" w:rsidR="00682B65" w:rsidRDefault="00682B65" w:rsidP="00722E25">
      <w:pPr>
        <w:pStyle w:val="FootnoteText"/>
        <w:ind w:left="193" w:hanging="193"/>
      </w:pPr>
      <w:r>
        <w:rPr>
          <w:rStyle w:val="FootnoteReference"/>
        </w:rPr>
        <w:footnoteRef/>
      </w:r>
      <w:r>
        <w:t xml:space="preserve"> </w:t>
      </w:r>
      <w:r w:rsidRPr="00657D06">
        <w:rPr>
          <w:sz w:val="16"/>
          <w:szCs w:val="16"/>
        </w:rPr>
        <w:t>This</w:t>
      </w:r>
      <w:r>
        <w:rPr>
          <w:sz w:val="16"/>
          <w:szCs w:val="16"/>
        </w:rPr>
        <w:t xml:space="preserve"> estimate of the number of events on the list is indicative only. </w:t>
      </w:r>
      <w:r w:rsidRPr="00657D06">
        <w:rPr>
          <w:sz w:val="16"/>
          <w:szCs w:val="16"/>
        </w:rPr>
        <w:t>It is</w:t>
      </w:r>
      <w:r>
        <w:rPr>
          <w:sz w:val="16"/>
          <w:szCs w:val="16"/>
        </w:rPr>
        <w:t xml:space="preserve"> not </w:t>
      </w:r>
      <w:r w:rsidRPr="00657D06">
        <w:rPr>
          <w:sz w:val="16"/>
          <w:szCs w:val="16"/>
        </w:rPr>
        <w:t xml:space="preserve">possible to provide a precise total of events on the list as the format and timing of many competitions changes over time and a number of competitions only take place periodically. </w:t>
      </w:r>
      <w:r>
        <w:rPr>
          <w:sz w:val="16"/>
          <w:szCs w:val="16"/>
        </w:rPr>
        <w:t xml:space="preserve">This figure represents an estimate of the </w:t>
      </w:r>
      <w:r w:rsidRPr="00657D06">
        <w:rPr>
          <w:sz w:val="16"/>
          <w:szCs w:val="16"/>
        </w:rPr>
        <w:t xml:space="preserve">number of events </w:t>
      </w:r>
      <w:r>
        <w:rPr>
          <w:sz w:val="16"/>
          <w:szCs w:val="16"/>
        </w:rPr>
        <w:t xml:space="preserve">on the list </w:t>
      </w:r>
      <w:r w:rsidRPr="00657D06">
        <w:rPr>
          <w:sz w:val="16"/>
          <w:szCs w:val="16"/>
        </w:rPr>
        <w:t xml:space="preserve">in a hypothetical </w:t>
      </w:r>
      <w:r>
        <w:rPr>
          <w:sz w:val="16"/>
          <w:szCs w:val="16"/>
        </w:rPr>
        <w:t xml:space="preserve">calendar </w:t>
      </w:r>
      <w:r w:rsidRPr="00657D06">
        <w:rPr>
          <w:sz w:val="16"/>
          <w:szCs w:val="16"/>
        </w:rPr>
        <w:t xml:space="preserve">year. </w:t>
      </w:r>
      <w:r>
        <w:rPr>
          <w:sz w:val="16"/>
          <w:szCs w:val="16"/>
        </w:rPr>
        <w:t xml:space="preserve">For the purposes of this paper, </w:t>
      </w:r>
      <w:r>
        <w:rPr>
          <w:rFonts w:cstheme="minorHAnsi"/>
          <w:sz w:val="16"/>
          <w:szCs w:val="16"/>
        </w:rPr>
        <w:t>i</w:t>
      </w:r>
      <w:r w:rsidRPr="00D457D3">
        <w:rPr>
          <w:rFonts w:cstheme="minorHAnsi"/>
          <w:sz w:val="16"/>
          <w:szCs w:val="16"/>
        </w:rPr>
        <w:t xml:space="preserve">t </w:t>
      </w:r>
      <w:r>
        <w:rPr>
          <w:rFonts w:cstheme="minorHAnsi"/>
          <w:sz w:val="16"/>
          <w:szCs w:val="16"/>
        </w:rPr>
        <w:t xml:space="preserve">is </w:t>
      </w:r>
      <w:r w:rsidRPr="00D457D3">
        <w:rPr>
          <w:rFonts w:cstheme="minorHAnsi"/>
          <w:sz w:val="16"/>
          <w:szCs w:val="16"/>
        </w:rPr>
        <w:t>assume</w:t>
      </w:r>
      <w:r>
        <w:rPr>
          <w:rFonts w:cstheme="minorHAnsi"/>
          <w:sz w:val="16"/>
          <w:szCs w:val="16"/>
        </w:rPr>
        <w:t xml:space="preserve">d that </w:t>
      </w:r>
      <w:r w:rsidRPr="00D457D3">
        <w:rPr>
          <w:rFonts w:cstheme="minorHAnsi"/>
          <w:sz w:val="16"/>
          <w:szCs w:val="16"/>
        </w:rPr>
        <w:t xml:space="preserve">all quadrennial, biennial and annual events take place in the </w:t>
      </w:r>
      <w:r>
        <w:rPr>
          <w:sz w:val="16"/>
          <w:szCs w:val="16"/>
        </w:rPr>
        <w:t>one</w:t>
      </w:r>
      <w:r w:rsidRPr="00D457D3">
        <w:rPr>
          <w:rFonts w:cstheme="minorHAnsi"/>
          <w:sz w:val="16"/>
          <w:szCs w:val="16"/>
        </w:rPr>
        <w:t xml:space="preserve"> year. It does not represent the likely number of events in any given year</w:t>
      </w:r>
      <w:r w:rsidRPr="00657D06">
        <w:rPr>
          <w:sz w:val="16"/>
          <w:szCs w:val="16"/>
        </w:rPr>
        <w:t>.</w:t>
      </w:r>
    </w:p>
  </w:footnote>
  <w:footnote w:id="144">
    <w:p w14:paraId="44B1C3E0" w14:textId="3B1E1E1C" w:rsidR="00682B65" w:rsidRPr="00977318" w:rsidRDefault="00682B65" w:rsidP="001876CE">
      <w:pPr>
        <w:pStyle w:val="FootnoteText"/>
        <w:ind w:left="187" w:hanging="187"/>
        <w:rPr>
          <w:sz w:val="16"/>
          <w:szCs w:val="16"/>
        </w:rPr>
      </w:pPr>
      <w:r w:rsidRPr="00977318">
        <w:rPr>
          <w:rStyle w:val="FootnoteReference"/>
          <w:sz w:val="16"/>
          <w:szCs w:val="16"/>
        </w:rPr>
        <w:footnoteRef/>
      </w:r>
      <w:r w:rsidRPr="00977318">
        <w:rPr>
          <w:sz w:val="16"/>
          <w:szCs w:val="16"/>
        </w:rPr>
        <w:t xml:space="preserve"> </w:t>
      </w:r>
      <w:r>
        <w:rPr>
          <w:color w:val="auto"/>
          <w:sz w:val="16"/>
          <w:szCs w:val="16"/>
          <w:lang w:val="en-US"/>
        </w:rPr>
        <w:t xml:space="preserve">Department of Infrastructure, Transport, Regional Development, Communications and the Arts (2022), </w:t>
      </w:r>
      <w:hyperlink r:id="rId130" w:history="1">
        <w:r>
          <w:rPr>
            <w:rStyle w:val="Hyperlink"/>
            <w:sz w:val="16"/>
            <w:szCs w:val="16"/>
            <w:lang w:val="en-US"/>
          </w:rPr>
          <w:t>Review of the anti-siphoning scheme: Consultation paper</w:t>
        </w:r>
      </w:hyperlink>
      <w:r w:rsidRPr="009E37B3">
        <w:rPr>
          <w:sz w:val="16"/>
          <w:szCs w:val="16"/>
        </w:rPr>
        <w:t>.</w:t>
      </w:r>
    </w:p>
  </w:footnote>
  <w:footnote w:id="145">
    <w:p w14:paraId="2418D4D4" w14:textId="0B3ADA38" w:rsidR="00682B65" w:rsidRPr="00281671" w:rsidRDefault="00682B65" w:rsidP="009E189B">
      <w:pPr>
        <w:pStyle w:val="FootnoteText"/>
        <w:ind w:left="210" w:hanging="210"/>
        <w:rPr>
          <w:sz w:val="16"/>
          <w:szCs w:val="16"/>
        </w:rPr>
      </w:pPr>
      <w:r w:rsidRPr="00281671">
        <w:rPr>
          <w:rStyle w:val="FootnoteReference"/>
          <w:sz w:val="16"/>
          <w:szCs w:val="16"/>
        </w:rPr>
        <w:footnoteRef/>
      </w:r>
      <w:r w:rsidRPr="00281671">
        <w:rPr>
          <w:sz w:val="16"/>
          <w:szCs w:val="16"/>
        </w:rPr>
        <w:t xml:space="preserve"> </w:t>
      </w:r>
      <w:r w:rsidRPr="00FC7446">
        <w:rPr>
          <w:sz w:val="16"/>
          <w:szCs w:val="16"/>
        </w:rPr>
        <w:t>Estimates in this row are indicative only and adopt the caveats and assumptions as the above estimate of the number events on the current list.</w:t>
      </w:r>
    </w:p>
  </w:footnote>
  <w:footnote w:id="146">
    <w:p w14:paraId="72B439BF" w14:textId="037BC539" w:rsidR="00682B65" w:rsidRPr="00D457D3" w:rsidRDefault="00682B65">
      <w:pPr>
        <w:pStyle w:val="FootnoteText"/>
        <w:rPr>
          <w:rFonts w:cstheme="minorHAnsi"/>
          <w:sz w:val="16"/>
          <w:szCs w:val="16"/>
        </w:rPr>
      </w:pPr>
      <w:r w:rsidRPr="00D457D3">
        <w:rPr>
          <w:rStyle w:val="FootnoteReference"/>
          <w:rFonts w:cstheme="minorHAnsi"/>
          <w:sz w:val="16"/>
          <w:szCs w:val="16"/>
        </w:rPr>
        <w:footnoteRef/>
      </w:r>
      <w:r w:rsidRPr="00D457D3">
        <w:rPr>
          <w:rFonts w:cstheme="minorHAnsi"/>
          <w:sz w:val="16"/>
          <w:szCs w:val="16"/>
        </w:rPr>
        <w:t xml:space="preserve"> </w:t>
      </w:r>
      <w:r w:rsidRPr="000655F0">
        <w:rPr>
          <w:sz w:val="16"/>
          <w:szCs w:val="16"/>
        </w:rPr>
        <w:t>The live and in full coverage requirement inherent to this reform model necessitates a truncated listing of certain events.</w:t>
      </w:r>
    </w:p>
  </w:footnote>
  <w:footnote w:id="147">
    <w:p w14:paraId="07183845" w14:textId="7B4CCFE7" w:rsidR="00682B65" w:rsidRPr="00FA5BAC" w:rsidRDefault="00682B65" w:rsidP="001876CE">
      <w:pPr>
        <w:pStyle w:val="FootnoteText"/>
        <w:ind w:left="187" w:hanging="187"/>
        <w:rPr>
          <w:sz w:val="16"/>
          <w:szCs w:val="16"/>
        </w:rPr>
      </w:pPr>
      <w:r w:rsidRPr="00FA5BAC">
        <w:rPr>
          <w:rStyle w:val="FootnoteReference"/>
          <w:sz w:val="16"/>
          <w:szCs w:val="16"/>
        </w:rPr>
        <w:footnoteRef/>
      </w:r>
      <w:r w:rsidRPr="00FA5BAC">
        <w:rPr>
          <w:sz w:val="16"/>
          <w:szCs w:val="16"/>
        </w:rPr>
        <w:t xml:space="preserve"> </w:t>
      </w:r>
      <w:r w:rsidRPr="00657D06">
        <w:rPr>
          <w:sz w:val="16"/>
          <w:szCs w:val="16"/>
        </w:rPr>
        <w:t>This</w:t>
      </w:r>
      <w:r>
        <w:rPr>
          <w:sz w:val="16"/>
          <w:szCs w:val="16"/>
        </w:rPr>
        <w:t xml:space="preserve"> estimate of the number of events on the list is indicative only. </w:t>
      </w:r>
      <w:r w:rsidRPr="00657D06">
        <w:rPr>
          <w:sz w:val="16"/>
          <w:szCs w:val="16"/>
        </w:rPr>
        <w:t>It is</w:t>
      </w:r>
      <w:r>
        <w:rPr>
          <w:sz w:val="16"/>
          <w:szCs w:val="16"/>
        </w:rPr>
        <w:t xml:space="preserve"> not </w:t>
      </w:r>
      <w:r w:rsidRPr="00657D06">
        <w:rPr>
          <w:sz w:val="16"/>
          <w:szCs w:val="16"/>
        </w:rPr>
        <w:t xml:space="preserve">possible to provide a precise total of events on the list as the format and timing of many competitions changes over time and a number of competitions only take place periodically. </w:t>
      </w:r>
      <w:r>
        <w:rPr>
          <w:sz w:val="16"/>
          <w:szCs w:val="16"/>
        </w:rPr>
        <w:t xml:space="preserve">This figure represents an estimate of the </w:t>
      </w:r>
      <w:r w:rsidRPr="00657D06">
        <w:rPr>
          <w:sz w:val="16"/>
          <w:szCs w:val="16"/>
        </w:rPr>
        <w:t xml:space="preserve">number of events </w:t>
      </w:r>
      <w:r>
        <w:rPr>
          <w:sz w:val="16"/>
          <w:szCs w:val="16"/>
        </w:rPr>
        <w:t xml:space="preserve">on the list </w:t>
      </w:r>
      <w:r w:rsidRPr="00657D06">
        <w:rPr>
          <w:sz w:val="16"/>
          <w:szCs w:val="16"/>
        </w:rPr>
        <w:t xml:space="preserve">in a hypothetical </w:t>
      </w:r>
      <w:r>
        <w:rPr>
          <w:sz w:val="16"/>
          <w:szCs w:val="16"/>
        </w:rPr>
        <w:t xml:space="preserve">calendar </w:t>
      </w:r>
      <w:r w:rsidRPr="00657D06">
        <w:rPr>
          <w:sz w:val="16"/>
          <w:szCs w:val="16"/>
        </w:rPr>
        <w:t xml:space="preserve">year. </w:t>
      </w:r>
      <w:r>
        <w:rPr>
          <w:sz w:val="16"/>
          <w:szCs w:val="16"/>
        </w:rPr>
        <w:t xml:space="preserve">For the purposes of this paper, </w:t>
      </w:r>
      <w:r>
        <w:rPr>
          <w:rFonts w:cstheme="minorHAnsi"/>
          <w:sz w:val="16"/>
          <w:szCs w:val="16"/>
        </w:rPr>
        <w:t>i</w:t>
      </w:r>
      <w:r w:rsidRPr="00D457D3">
        <w:rPr>
          <w:rFonts w:cstheme="minorHAnsi"/>
          <w:sz w:val="16"/>
          <w:szCs w:val="16"/>
        </w:rPr>
        <w:t xml:space="preserve">t </w:t>
      </w:r>
      <w:r>
        <w:rPr>
          <w:rFonts w:cstheme="minorHAnsi"/>
          <w:sz w:val="16"/>
          <w:szCs w:val="16"/>
        </w:rPr>
        <w:t xml:space="preserve">is </w:t>
      </w:r>
      <w:r w:rsidRPr="00D457D3">
        <w:rPr>
          <w:rFonts w:cstheme="minorHAnsi"/>
          <w:sz w:val="16"/>
          <w:szCs w:val="16"/>
        </w:rPr>
        <w:t>assume</w:t>
      </w:r>
      <w:r>
        <w:rPr>
          <w:rFonts w:cstheme="minorHAnsi"/>
          <w:sz w:val="16"/>
          <w:szCs w:val="16"/>
        </w:rPr>
        <w:t>d</w:t>
      </w:r>
      <w:r w:rsidRPr="00D457D3">
        <w:rPr>
          <w:rFonts w:cstheme="minorHAnsi"/>
          <w:sz w:val="16"/>
          <w:szCs w:val="16"/>
        </w:rPr>
        <w:t xml:space="preserve"> </w:t>
      </w:r>
      <w:r>
        <w:rPr>
          <w:rFonts w:cstheme="minorHAnsi"/>
          <w:sz w:val="16"/>
          <w:szCs w:val="16"/>
        </w:rPr>
        <w:t xml:space="preserve">that </w:t>
      </w:r>
      <w:r w:rsidRPr="00D457D3">
        <w:rPr>
          <w:rFonts w:cstheme="minorHAnsi"/>
          <w:sz w:val="16"/>
          <w:szCs w:val="16"/>
        </w:rPr>
        <w:t xml:space="preserve">all quadrennial, biennial and annual events take place in the </w:t>
      </w:r>
      <w:r>
        <w:rPr>
          <w:sz w:val="16"/>
          <w:szCs w:val="16"/>
        </w:rPr>
        <w:t>one</w:t>
      </w:r>
      <w:r w:rsidRPr="00D457D3">
        <w:rPr>
          <w:rFonts w:cstheme="minorHAnsi"/>
          <w:sz w:val="16"/>
          <w:szCs w:val="16"/>
        </w:rPr>
        <w:t xml:space="preserve"> year. It does not represent the likely number of events in any given year</w:t>
      </w:r>
      <w:r w:rsidRPr="00657D06">
        <w:rPr>
          <w:sz w:val="16"/>
          <w:szCs w:val="16"/>
        </w:rPr>
        <w:t>.</w:t>
      </w:r>
    </w:p>
  </w:footnote>
  <w:footnote w:id="148">
    <w:p w14:paraId="4733677D" w14:textId="5C8D3F2F" w:rsidR="00682B65" w:rsidRPr="00463DB8" w:rsidRDefault="00682B65" w:rsidP="00325CB4">
      <w:pPr>
        <w:pStyle w:val="FootnoteText"/>
        <w:rPr>
          <w:sz w:val="16"/>
          <w:szCs w:val="16"/>
        </w:rPr>
      </w:pPr>
      <w:r w:rsidRPr="00463DB8">
        <w:rPr>
          <w:rStyle w:val="FootnoteReference"/>
          <w:sz w:val="16"/>
          <w:szCs w:val="16"/>
        </w:rPr>
        <w:footnoteRef/>
      </w:r>
      <w:r w:rsidRPr="00463DB8">
        <w:rPr>
          <w:sz w:val="16"/>
          <w:szCs w:val="16"/>
        </w:rPr>
        <w:t xml:space="preserve"> Coalition of Major Professional and Participation Sports</w:t>
      </w:r>
      <w:r>
        <w:rPr>
          <w:sz w:val="16"/>
          <w:szCs w:val="16"/>
        </w:rPr>
        <w:t xml:space="preserve"> (2022)</w:t>
      </w:r>
      <w:r w:rsidRPr="00463DB8">
        <w:rPr>
          <w:sz w:val="16"/>
          <w:szCs w:val="16"/>
        </w:rPr>
        <w:t xml:space="preserve">, </w:t>
      </w:r>
      <w:hyperlink r:id="rId131" w:history="1">
        <w:r w:rsidRPr="00463DB8">
          <w:rPr>
            <w:rStyle w:val="Hyperlink"/>
            <w:sz w:val="16"/>
            <w:szCs w:val="16"/>
          </w:rPr>
          <w:t>Submission of COMPPS to the review of the anti-siphoning scheme</w:t>
        </w:r>
      </w:hyperlink>
      <w:r w:rsidRPr="00463DB8">
        <w:rPr>
          <w:sz w:val="16"/>
          <w:szCs w:val="16"/>
        </w:rPr>
        <w:t>, p. 2-3.</w:t>
      </w:r>
    </w:p>
  </w:footnote>
  <w:footnote w:id="149">
    <w:p w14:paraId="1A15F7A3" w14:textId="4CD0C7C1" w:rsidR="00682B65" w:rsidRPr="003A0AB1" w:rsidRDefault="00682B65" w:rsidP="001876CE">
      <w:pPr>
        <w:pStyle w:val="FootnoteText"/>
        <w:ind w:left="187" w:hanging="187"/>
        <w:rPr>
          <w:sz w:val="16"/>
          <w:szCs w:val="16"/>
        </w:rPr>
      </w:pPr>
      <w:r w:rsidRPr="003A0AB1">
        <w:rPr>
          <w:rStyle w:val="FootnoteReference"/>
          <w:sz w:val="16"/>
          <w:szCs w:val="16"/>
        </w:rPr>
        <w:footnoteRef/>
      </w:r>
      <w:r w:rsidRPr="003A0AB1">
        <w:rPr>
          <w:sz w:val="16"/>
          <w:szCs w:val="16"/>
        </w:rPr>
        <w:t xml:space="preserve"> </w:t>
      </w:r>
      <w:r w:rsidRPr="00657D06">
        <w:rPr>
          <w:sz w:val="16"/>
          <w:szCs w:val="16"/>
        </w:rPr>
        <w:t>This</w:t>
      </w:r>
      <w:r>
        <w:rPr>
          <w:sz w:val="16"/>
          <w:szCs w:val="16"/>
        </w:rPr>
        <w:t xml:space="preserve"> estimate of the number of events on the list is indicative only. </w:t>
      </w:r>
      <w:r w:rsidRPr="00657D06">
        <w:rPr>
          <w:sz w:val="16"/>
          <w:szCs w:val="16"/>
        </w:rPr>
        <w:t>It is</w:t>
      </w:r>
      <w:r>
        <w:rPr>
          <w:sz w:val="16"/>
          <w:szCs w:val="16"/>
        </w:rPr>
        <w:t xml:space="preserve"> not </w:t>
      </w:r>
      <w:r w:rsidRPr="00657D06">
        <w:rPr>
          <w:sz w:val="16"/>
          <w:szCs w:val="16"/>
        </w:rPr>
        <w:t xml:space="preserve">possible to provide a precise total of events on the list as the format and timing of many competitions changes over time and a number of competitions only take place periodically. </w:t>
      </w:r>
      <w:r>
        <w:rPr>
          <w:sz w:val="16"/>
          <w:szCs w:val="16"/>
        </w:rPr>
        <w:t xml:space="preserve">This figure represents an estimate of the </w:t>
      </w:r>
      <w:r w:rsidRPr="00657D06">
        <w:rPr>
          <w:sz w:val="16"/>
          <w:szCs w:val="16"/>
        </w:rPr>
        <w:t xml:space="preserve">number of events </w:t>
      </w:r>
      <w:r>
        <w:rPr>
          <w:sz w:val="16"/>
          <w:szCs w:val="16"/>
        </w:rPr>
        <w:t xml:space="preserve">on the list </w:t>
      </w:r>
      <w:r w:rsidRPr="00657D06">
        <w:rPr>
          <w:sz w:val="16"/>
          <w:szCs w:val="16"/>
        </w:rPr>
        <w:t xml:space="preserve">in a hypothetical </w:t>
      </w:r>
      <w:r>
        <w:rPr>
          <w:sz w:val="16"/>
          <w:szCs w:val="16"/>
        </w:rPr>
        <w:t xml:space="preserve">calendar </w:t>
      </w:r>
      <w:r w:rsidRPr="00657D06">
        <w:rPr>
          <w:sz w:val="16"/>
          <w:szCs w:val="16"/>
        </w:rPr>
        <w:t xml:space="preserve">year. </w:t>
      </w:r>
      <w:r>
        <w:rPr>
          <w:sz w:val="16"/>
          <w:szCs w:val="16"/>
        </w:rPr>
        <w:t xml:space="preserve">For the purposes of this paper, </w:t>
      </w:r>
      <w:r>
        <w:rPr>
          <w:rFonts w:cstheme="minorHAnsi"/>
          <w:sz w:val="16"/>
          <w:szCs w:val="16"/>
        </w:rPr>
        <w:t>i</w:t>
      </w:r>
      <w:r w:rsidRPr="00D457D3">
        <w:rPr>
          <w:rFonts w:cstheme="minorHAnsi"/>
          <w:sz w:val="16"/>
          <w:szCs w:val="16"/>
        </w:rPr>
        <w:t>t</w:t>
      </w:r>
      <w:r>
        <w:rPr>
          <w:rFonts w:cstheme="minorHAnsi"/>
          <w:sz w:val="16"/>
          <w:szCs w:val="16"/>
        </w:rPr>
        <w:t xml:space="preserve"> is</w:t>
      </w:r>
      <w:r w:rsidRPr="00D457D3">
        <w:rPr>
          <w:rFonts w:cstheme="minorHAnsi"/>
          <w:sz w:val="16"/>
          <w:szCs w:val="16"/>
        </w:rPr>
        <w:t xml:space="preserve"> assume</w:t>
      </w:r>
      <w:r>
        <w:rPr>
          <w:rFonts w:cstheme="minorHAnsi"/>
          <w:sz w:val="16"/>
          <w:szCs w:val="16"/>
        </w:rPr>
        <w:t>d that</w:t>
      </w:r>
      <w:r w:rsidRPr="00D457D3">
        <w:rPr>
          <w:rFonts w:cstheme="minorHAnsi"/>
          <w:sz w:val="16"/>
          <w:szCs w:val="16"/>
        </w:rPr>
        <w:t xml:space="preserve"> all quadrennial, biennial and annual events take place in the </w:t>
      </w:r>
      <w:r>
        <w:rPr>
          <w:sz w:val="16"/>
          <w:szCs w:val="16"/>
        </w:rPr>
        <w:t>one</w:t>
      </w:r>
      <w:r w:rsidRPr="00D457D3">
        <w:rPr>
          <w:rFonts w:cstheme="minorHAnsi"/>
          <w:sz w:val="16"/>
          <w:szCs w:val="16"/>
        </w:rPr>
        <w:t xml:space="preserve"> year. It does not represent the likely number of events in any given year</w:t>
      </w:r>
      <w:r w:rsidRPr="003A0AB1">
        <w:rPr>
          <w:sz w:val="16"/>
          <w:szCs w:val="16"/>
        </w:rPr>
        <w:t>.</w:t>
      </w:r>
    </w:p>
  </w:footnote>
  <w:footnote w:id="150">
    <w:p w14:paraId="57C9D7CB" w14:textId="7E249DA4" w:rsidR="00682B65" w:rsidRPr="006649CF" w:rsidRDefault="00682B65" w:rsidP="00AB786E">
      <w:pPr>
        <w:pStyle w:val="FootnoteText"/>
        <w:rPr>
          <w:sz w:val="16"/>
          <w:szCs w:val="16"/>
        </w:rPr>
      </w:pPr>
      <w:r w:rsidRPr="006649CF">
        <w:rPr>
          <w:rStyle w:val="FootnoteReference"/>
          <w:sz w:val="16"/>
          <w:szCs w:val="16"/>
        </w:rPr>
        <w:footnoteRef/>
      </w:r>
      <w:r w:rsidRPr="006649CF">
        <w:rPr>
          <w:sz w:val="16"/>
          <w:szCs w:val="16"/>
        </w:rPr>
        <w:t xml:space="preserve"> Seven West Media (25 August 2021), </w:t>
      </w:r>
      <w:hyperlink r:id="rId132" w:history="1">
        <w:r w:rsidRPr="006649CF">
          <w:rPr>
            <w:rStyle w:val="Hyperlink"/>
            <w:sz w:val="16"/>
            <w:szCs w:val="16"/>
          </w:rPr>
          <w:t>Tokyo 2020 Paralympics smashes records</w:t>
        </w:r>
      </w:hyperlink>
      <w:r w:rsidRPr="006649CF">
        <w:rPr>
          <w:sz w:val="16"/>
          <w:szCs w:val="16"/>
        </w:rPr>
        <w:t>.</w:t>
      </w:r>
    </w:p>
  </w:footnote>
  <w:footnote w:id="151">
    <w:p w14:paraId="75686DB2" w14:textId="5DC0913D" w:rsidR="00682B65" w:rsidRPr="006649CF" w:rsidRDefault="00682B65" w:rsidP="00D1389E">
      <w:pPr>
        <w:pStyle w:val="FootnoteText"/>
        <w:rPr>
          <w:sz w:val="16"/>
          <w:szCs w:val="16"/>
        </w:rPr>
      </w:pPr>
      <w:r w:rsidRPr="006649CF">
        <w:rPr>
          <w:rStyle w:val="FootnoteReference"/>
          <w:sz w:val="16"/>
          <w:szCs w:val="16"/>
        </w:rPr>
        <w:footnoteRef/>
      </w:r>
      <w:r w:rsidRPr="006649CF">
        <w:rPr>
          <w:sz w:val="16"/>
          <w:szCs w:val="16"/>
        </w:rPr>
        <w:t xml:space="preserve"> Paralympics Australia (24 August 2022), </w:t>
      </w:r>
      <w:hyperlink r:id="rId133" w:history="1">
        <w:r w:rsidRPr="006649CF">
          <w:rPr>
            <w:rStyle w:val="Hyperlink"/>
            <w:sz w:val="16"/>
            <w:szCs w:val="16"/>
          </w:rPr>
          <w:t>One Year Since Tokyo, Analysis Shows A Resounding Success</w:t>
        </w:r>
      </w:hyperlink>
      <w:r w:rsidRPr="006649CF">
        <w:rPr>
          <w:sz w:val="16"/>
          <w:szCs w:val="16"/>
        </w:rPr>
        <w:t>.</w:t>
      </w:r>
    </w:p>
  </w:footnote>
  <w:footnote w:id="152">
    <w:p w14:paraId="42453588" w14:textId="77777777" w:rsidR="00682B65" w:rsidRPr="006649CF" w:rsidRDefault="00682B65" w:rsidP="00D1389E">
      <w:pPr>
        <w:pStyle w:val="FootnoteText"/>
        <w:rPr>
          <w:sz w:val="16"/>
          <w:szCs w:val="16"/>
        </w:rPr>
      </w:pPr>
      <w:r w:rsidRPr="006649CF">
        <w:rPr>
          <w:rStyle w:val="FootnoteReference"/>
          <w:sz w:val="16"/>
          <w:szCs w:val="16"/>
        </w:rPr>
        <w:footnoteRef/>
      </w:r>
      <w:r w:rsidRPr="006649CF">
        <w:rPr>
          <w:sz w:val="16"/>
          <w:szCs w:val="16"/>
        </w:rPr>
        <w:t xml:space="preserve"> Ibid.</w:t>
      </w:r>
    </w:p>
  </w:footnote>
  <w:footnote w:id="153">
    <w:p w14:paraId="74238396" w14:textId="3F90CA52" w:rsidR="00682B65" w:rsidRPr="006649CF" w:rsidRDefault="00682B65" w:rsidP="00A83D38">
      <w:pPr>
        <w:pStyle w:val="FootnoteText"/>
        <w:rPr>
          <w:sz w:val="16"/>
          <w:szCs w:val="16"/>
        </w:rPr>
      </w:pPr>
      <w:r w:rsidRPr="006649CF">
        <w:rPr>
          <w:rStyle w:val="FootnoteReference"/>
          <w:sz w:val="16"/>
          <w:szCs w:val="16"/>
        </w:rPr>
        <w:footnoteRef/>
      </w:r>
      <w:r w:rsidRPr="006649CF">
        <w:rPr>
          <w:sz w:val="16"/>
          <w:szCs w:val="16"/>
        </w:rPr>
        <w:t xml:space="preserve"> Sports Industry AU (2022), </w:t>
      </w:r>
      <w:hyperlink r:id="rId134" w:history="1">
        <w:r w:rsidRPr="006649CF">
          <w:rPr>
            <w:rStyle w:val="Hyperlink"/>
            <w:sz w:val="16"/>
            <w:szCs w:val="16"/>
          </w:rPr>
          <w:t>2022 AFL TV Ratings</w:t>
        </w:r>
      </w:hyperlink>
      <w:r w:rsidRPr="006649CF">
        <w:rPr>
          <w:sz w:val="16"/>
          <w:szCs w:val="16"/>
        </w:rPr>
        <w:t>.</w:t>
      </w:r>
    </w:p>
  </w:footnote>
  <w:footnote w:id="154">
    <w:p w14:paraId="117C01E3" w14:textId="30AE7A9D" w:rsidR="00682B65" w:rsidRPr="006649CF" w:rsidRDefault="00682B65" w:rsidP="00741975">
      <w:pPr>
        <w:pStyle w:val="FootnoteText"/>
        <w:rPr>
          <w:sz w:val="16"/>
          <w:szCs w:val="16"/>
        </w:rPr>
      </w:pPr>
      <w:r w:rsidRPr="006649CF">
        <w:rPr>
          <w:rStyle w:val="FootnoteReference"/>
          <w:sz w:val="16"/>
          <w:szCs w:val="16"/>
        </w:rPr>
        <w:footnoteRef/>
      </w:r>
      <w:r w:rsidRPr="006649CF">
        <w:rPr>
          <w:sz w:val="16"/>
          <w:szCs w:val="16"/>
        </w:rPr>
        <w:t xml:space="preserve"> Manning J (3 October 2022), </w:t>
      </w:r>
      <w:hyperlink r:id="rId135" w:history="1">
        <w:r w:rsidRPr="006649CF">
          <w:rPr>
            <w:rStyle w:val="Hyperlink"/>
            <w:sz w:val="16"/>
            <w:szCs w:val="16"/>
          </w:rPr>
          <w:t>2022 NRL Grand Final delivers historically small crowd</w:t>
        </w:r>
        <w:r w:rsidRPr="006649CF">
          <w:rPr>
            <w:sz w:val="16"/>
            <w:szCs w:val="16"/>
          </w:rPr>
          <w:t>, Mediaweek.</w:t>
        </w:r>
        <w:r w:rsidRPr="006649CF">
          <w:rPr>
            <w:rStyle w:val="Hyperlink"/>
            <w:sz w:val="16"/>
            <w:szCs w:val="16"/>
          </w:rPr>
          <w:t xml:space="preserve"> </w:t>
        </w:r>
      </w:hyperlink>
    </w:p>
  </w:footnote>
  <w:footnote w:id="155">
    <w:p w14:paraId="5D61269F" w14:textId="79772EA3" w:rsidR="00682B65" w:rsidRPr="003A0AB1" w:rsidRDefault="00682B65" w:rsidP="001876CE">
      <w:pPr>
        <w:pStyle w:val="FootnoteText"/>
        <w:ind w:left="227" w:hanging="227"/>
        <w:rPr>
          <w:sz w:val="16"/>
          <w:szCs w:val="16"/>
        </w:rPr>
      </w:pPr>
      <w:r w:rsidRPr="006649CF">
        <w:rPr>
          <w:rStyle w:val="FootnoteReference"/>
          <w:sz w:val="16"/>
          <w:szCs w:val="16"/>
        </w:rPr>
        <w:footnoteRef/>
      </w:r>
      <w:r w:rsidRPr="006649CF">
        <w:rPr>
          <w:sz w:val="16"/>
          <w:szCs w:val="16"/>
        </w:rPr>
        <w:t xml:space="preserve"> Phillips S (7 April 2023) </w:t>
      </w:r>
      <w:hyperlink r:id="rId136" w:history="1">
        <w:r w:rsidRPr="006649CF">
          <w:rPr>
            <w:rStyle w:val="Hyperlink"/>
            <w:sz w:val="16"/>
            <w:szCs w:val="16"/>
          </w:rPr>
          <w:t>NRLW television ratings soar in bumper season</w:t>
        </w:r>
      </w:hyperlink>
      <w:r w:rsidRPr="006649CF">
        <w:rPr>
          <w:sz w:val="16"/>
          <w:szCs w:val="16"/>
        </w:rPr>
        <w:t xml:space="preserve"> The Sydney Morning Herald</w:t>
      </w:r>
    </w:p>
  </w:footnote>
  <w:footnote w:id="156">
    <w:p w14:paraId="731394B3" w14:textId="6D33875B" w:rsidR="00682B65" w:rsidRPr="00984E60" w:rsidRDefault="00682B65">
      <w:pPr>
        <w:pStyle w:val="FootnoteText"/>
        <w:rPr>
          <w:lang w:val="en-US"/>
        </w:rPr>
      </w:pPr>
      <w:r>
        <w:rPr>
          <w:rStyle w:val="FootnoteReference"/>
        </w:rPr>
        <w:footnoteRef/>
      </w:r>
      <w:r>
        <w:t xml:space="preserve"> </w:t>
      </w:r>
      <w:r w:rsidRPr="00F2384B">
        <w:rPr>
          <w:sz w:val="16"/>
          <w:szCs w:val="16"/>
        </w:rPr>
        <w:t xml:space="preserve">Paralympics Australia (2023), </w:t>
      </w:r>
      <w:hyperlink r:id="rId137" w:history="1">
        <w:r w:rsidRPr="00F2384B">
          <w:rPr>
            <w:rStyle w:val="Hyperlink"/>
            <w:sz w:val="16"/>
            <w:szCs w:val="16"/>
          </w:rPr>
          <w:t>Paralympics Australia Secures Landmark Paris 2024 Media Rights Deal</w:t>
        </w:r>
      </w:hyperlink>
      <w:r w:rsidRPr="003A0AB1">
        <w:rPr>
          <w:sz w:val="16"/>
          <w:szCs w:val="16"/>
        </w:rPr>
        <w:t>.</w:t>
      </w:r>
    </w:p>
  </w:footnote>
  <w:footnote w:id="157">
    <w:p w14:paraId="513C894B" w14:textId="6CDC91F0" w:rsidR="00682B65" w:rsidRPr="003A0AB1" w:rsidRDefault="00682B65">
      <w:pPr>
        <w:pStyle w:val="FootnoteText"/>
        <w:rPr>
          <w:sz w:val="16"/>
          <w:szCs w:val="16"/>
          <w:lang w:val="en-US"/>
        </w:rPr>
      </w:pPr>
      <w:r w:rsidRPr="003A0AB1">
        <w:rPr>
          <w:rStyle w:val="FootnoteReference"/>
          <w:sz w:val="16"/>
          <w:szCs w:val="16"/>
        </w:rPr>
        <w:footnoteRef/>
      </w:r>
      <w:r w:rsidRPr="003A0AB1">
        <w:rPr>
          <w:sz w:val="16"/>
          <w:szCs w:val="16"/>
        </w:rPr>
        <w:t xml:space="preserve"> AFL (2022), </w:t>
      </w:r>
      <w:hyperlink r:id="rId138" w:history="1">
        <w:r w:rsidRPr="003A0AB1">
          <w:rPr>
            <w:rStyle w:val="Hyperlink"/>
            <w:sz w:val="16"/>
            <w:szCs w:val="16"/>
          </w:rPr>
          <w:t>Seven years, $4.5b: AFL reveals HUGE new broadcast rights deal</w:t>
        </w:r>
      </w:hyperlink>
      <w:r w:rsidRPr="003A0AB1">
        <w:rPr>
          <w:sz w:val="16"/>
          <w:szCs w:val="16"/>
        </w:rPr>
        <w:t>.</w:t>
      </w:r>
    </w:p>
  </w:footnote>
  <w:footnote w:id="158">
    <w:p w14:paraId="1A6BDC3D" w14:textId="3AC85BC1" w:rsidR="00682B65" w:rsidRPr="003A0AB1" w:rsidRDefault="00682B65" w:rsidP="00CC398D">
      <w:pPr>
        <w:pStyle w:val="FootnoteText"/>
        <w:ind w:left="187" w:hanging="187"/>
        <w:rPr>
          <w:lang w:val="en-US"/>
        </w:rPr>
      </w:pPr>
      <w:r w:rsidRPr="003A0AB1">
        <w:rPr>
          <w:rStyle w:val="FootnoteReference"/>
          <w:sz w:val="16"/>
          <w:szCs w:val="16"/>
        </w:rPr>
        <w:footnoteRef/>
      </w:r>
      <w:r w:rsidRPr="003A0AB1">
        <w:rPr>
          <w:sz w:val="16"/>
          <w:szCs w:val="16"/>
        </w:rPr>
        <w:t xml:space="preserve"> Hislop</w:t>
      </w:r>
      <w:r>
        <w:rPr>
          <w:sz w:val="16"/>
          <w:szCs w:val="16"/>
        </w:rPr>
        <w:t xml:space="preserve"> M</w:t>
      </w:r>
      <w:r w:rsidRPr="003A0AB1">
        <w:rPr>
          <w:sz w:val="16"/>
          <w:szCs w:val="16"/>
        </w:rPr>
        <w:t xml:space="preserve"> (</w:t>
      </w:r>
      <w:r>
        <w:rPr>
          <w:sz w:val="16"/>
          <w:szCs w:val="16"/>
        </w:rPr>
        <w:t xml:space="preserve">28 April </w:t>
      </w:r>
      <w:r w:rsidRPr="003A0AB1">
        <w:rPr>
          <w:sz w:val="16"/>
          <w:szCs w:val="16"/>
        </w:rPr>
        <w:t xml:space="preserve">2023), </w:t>
      </w:r>
      <w:hyperlink r:id="rId139" w:history="1">
        <w:r w:rsidRPr="003A0AB1">
          <w:rPr>
            <w:rStyle w:val="Hyperlink"/>
            <w:sz w:val="16"/>
            <w:szCs w:val="16"/>
          </w:rPr>
          <w:t>NRLW set for biggest season yet with expansion and new broadcast deal</w:t>
        </w:r>
      </w:hyperlink>
      <w:r w:rsidRPr="003A0AB1">
        <w:rPr>
          <w:sz w:val="16"/>
          <w:szCs w:val="16"/>
        </w:rPr>
        <w:t xml:space="preserve">, Women’s Agenda; See for example: NRL (2023), </w:t>
      </w:r>
      <w:hyperlink r:id="rId140" w:history="1">
        <w:r w:rsidRPr="003A0AB1">
          <w:rPr>
            <w:rStyle w:val="Hyperlink"/>
            <w:sz w:val="16"/>
            <w:szCs w:val="16"/>
          </w:rPr>
          <w:t>NRLW 2023: When, where to watch Round 1 games</w:t>
        </w:r>
      </w:hyperlink>
      <w:r w:rsidRPr="003A0AB1">
        <w:rPr>
          <w:sz w:val="16"/>
          <w:szCs w:val="16"/>
        </w:rPr>
        <w:t>.</w:t>
      </w:r>
    </w:p>
  </w:footnote>
  <w:footnote w:id="159">
    <w:p w14:paraId="36ECC968" w14:textId="18F1ACA0" w:rsidR="00682B65" w:rsidRPr="00AE1042" w:rsidRDefault="00682B65" w:rsidP="00CC398D">
      <w:pPr>
        <w:pStyle w:val="FootnoteText"/>
        <w:ind w:left="187" w:hanging="187"/>
        <w:rPr>
          <w:sz w:val="16"/>
          <w:szCs w:val="16"/>
        </w:rPr>
      </w:pPr>
      <w:r w:rsidRPr="00AE1042">
        <w:rPr>
          <w:rStyle w:val="FootnoteReference"/>
          <w:sz w:val="16"/>
          <w:szCs w:val="16"/>
        </w:rPr>
        <w:footnoteRef/>
      </w:r>
      <w:r w:rsidRPr="00AE1042">
        <w:rPr>
          <w:sz w:val="16"/>
          <w:szCs w:val="16"/>
        </w:rPr>
        <w:t xml:space="preserve"> </w:t>
      </w:r>
      <w:r w:rsidRPr="00657D06">
        <w:rPr>
          <w:sz w:val="16"/>
          <w:szCs w:val="16"/>
        </w:rPr>
        <w:t>This</w:t>
      </w:r>
      <w:r>
        <w:rPr>
          <w:sz w:val="16"/>
          <w:szCs w:val="16"/>
        </w:rPr>
        <w:t xml:space="preserve"> estimate of the number of events on the list is indicative only. </w:t>
      </w:r>
      <w:r w:rsidRPr="00657D06">
        <w:rPr>
          <w:sz w:val="16"/>
          <w:szCs w:val="16"/>
        </w:rPr>
        <w:t>It is</w:t>
      </w:r>
      <w:r>
        <w:rPr>
          <w:sz w:val="16"/>
          <w:szCs w:val="16"/>
        </w:rPr>
        <w:t xml:space="preserve"> not </w:t>
      </w:r>
      <w:r w:rsidRPr="00657D06">
        <w:rPr>
          <w:sz w:val="16"/>
          <w:szCs w:val="16"/>
        </w:rPr>
        <w:t xml:space="preserve">possible to provide a precise total of events on the list as the format and timing of many competitions changes over time and a number of competitions only take place periodically. </w:t>
      </w:r>
      <w:r>
        <w:rPr>
          <w:sz w:val="16"/>
          <w:szCs w:val="16"/>
        </w:rPr>
        <w:t xml:space="preserve">This figure represents an estimate of the </w:t>
      </w:r>
      <w:r w:rsidRPr="00657D06">
        <w:rPr>
          <w:sz w:val="16"/>
          <w:szCs w:val="16"/>
        </w:rPr>
        <w:t xml:space="preserve">number of events </w:t>
      </w:r>
      <w:r>
        <w:rPr>
          <w:sz w:val="16"/>
          <w:szCs w:val="16"/>
        </w:rPr>
        <w:t xml:space="preserve">on the list </w:t>
      </w:r>
      <w:r w:rsidRPr="00657D06">
        <w:rPr>
          <w:sz w:val="16"/>
          <w:szCs w:val="16"/>
        </w:rPr>
        <w:t xml:space="preserve">in a hypothetical </w:t>
      </w:r>
      <w:r>
        <w:rPr>
          <w:sz w:val="16"/>
          <w:szCs w:val="16"/>
        </w:rPr>
        <w:t xml:space="preserve">calendar </w:t>
      </w:r>
      <w:r w:rsidRPr="00657D06">
        <w:rPr>
          <w:sz w:val="16"/>
          <w:szCs w:val="16"/>
        </w:rPr>
        <w:t xml:space="preserve">year. </w:t>
      </w:r>
      <w:r>
        <w:rPr>
          <w:sz w:val="16"/>
          <w:szCs w:val="16"/>
        </w:rPr>
        <w:t xml:space="preserve">For the purposes of this paper, </w:t>
      </w:r>
      <w:r>
        <w:rPr>
          <w:rFonts w:cstheme="minorHAnsi"/>
          <w:sz w:val="16"/>
          <w:szCs w:val="16"/>
        </w:rPr>
        <w:t>i</w:t>
      </w:r>
      <w:r w:rsidRPr="00D457D3">
        <w:rPr>
          <w:rFonts w:cstheme="minorHAnsi"/>
          <w:sz w:val="16"/>
          <w:szCs w:val="16"/>
        </w:rPr>
        <w:t xml:space="preserve">t </w:t>
      </w:r>
      <w:r>
        <w:rPr>
          <w:rFonts w:cstheme="minorHAnsi"/>
          <w:sz w:val="16"/>
          <w:szCs w:val="16"/>
        </w:rPr>
        <w:t xml:space="preserve">is </w:t>
      </w:r>
      <w:r w:rsidRPr="00D457D3">
        <w:rPr>
          <w:rFonts w:cstheme="minorHAnsi"/>
          <w:sz w:val="16"/>
          <w:szCs w:val="16"/>
        </w:rPr>
        <w:t>assume</w:t>
      </w:r>
      <w:r>
        <w:rPr>
          <w:rFonts w:cstheme="minorHAnsi"/>
          <w:sz w:val="16"/>
          <w:szCs w:val="16"/>
        </w:rPr>
        <w:t xml:space="preserve">d that </w:t>
      </w:r>
      <w:r w:rsidRPr="00D457D3">
        <w:rPr>
          <w:rFonts w:cstheme="minorHAnsi"/>
          <w:sz w:val="16"/>
          <w:szCs w:val="16"/>
        </w:rPr>
        <w:t xml:space="preserve">all quadrennial, biennial and annual events take place in the </w:t>
      </w:r>
      <w:r>
        <w:rPr>
          <w:sz w:val="16"/>
          <w:szCs w:val="16"/>
        </w:rPr>
        <w:t>one</w:t>
      </w:r>
      <w:r w:rsidRPr="00D457D3">
        <w:rPr>
          <w:rFonts w:cstheme="minorHAnsi"/>
          <w:sz w:val="16"/>
          <w:szCs w:val="16"/>
        </w:rPr>
        <w:t xml:space="preserve"> year. It does not represent the likely number of events in any given year</w:t>
      </w:r>
      <w:r w:rsidRPr="00C0370B">
        <w:rPr>
          <w:sz w:val="16"/>
          <w:szCs w:val="16"/>
        </w:rPr>
        <w:t>.</w:t>
      </w:r>
      <w:r w:rsidRPr="00AE1042" w:rsidDel="00AD3BA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6DBF" w14:textId="47FCD5EB" w:rsidR="00682B65" w:rsidRDefault="00D56F15" w:rsidP="00D87AD8">
    <w:pPr>
      <w:pStyle w:val="Header"/>
      <w:spacing w:after="1320"/>
      <w:jc w:val="left"/>
    </w:pPr>
    <w:r>
      <w:fldChar w:fldCharType="begin"/>
    </w:r>
    <w:r>
      <w:instrText xml:space="preserve"> STYLEREF  "Heading 1"  \* MERGEFORMAT </w:instrText>
    </w:r>
    <w:r>
      <w:fldChar w:fldCharType="separate"/>
    </w:r>
    <w:r w:rsidR="00682B65">
      <w:rPr>
        <w:noProof/>
      </w:rPr>
      <w:t>Chapter 1: Summary of the proposals paper</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C94A" w14:textId="49A76087" w:rsidR="00682B65" w:rsidRDefault="00682B65"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1711E" w14:textId="7FBB1AB7" w:rsidR="00682B65" w:rsidRDefault="00682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2A65" w14:textId="64FF7913" w:rsidR="00682B65" w:rsidRDefault="00682B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19B1" w14:textId="37D4B6CE" w:rsidR="00682B65" w:rsidRDefault="00682B65" w:rsidP="000A0DE7">
    <w:pPr>
      <w:pStyle w:val="Header"/>
      <w:tabs>
        <w:tab w:val="left" w:pos="3660"/>
      </w:tabs>
      <w:spacing w:after="720"/>
      <w:jc w:val="left"/>
    </w:pP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589E2" w14:textId="352EF1D0" w:rsidR="00682B65" w:rsidRDefault="00682B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89192" w14:textId="1DAEAB14" w:rsidR="00682B65" w:rsidRDefault="00682B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2F3B8" w14:textId="50E5EB37" w:rsidR="00682B65" w:rsidRDefault="00682B65" w:rsidP="000A0DE7">
    <w:pPr>
      <w:pStyle w:val="Header"/>
      <w:tabs>
        <w:tab w:val="left" w:pos="3660"/>
      </w:tabs>
      <w:spacing w:after="720"/>
      <w:jc w:val="left"/>
    </w:pPr>
    <w:r>
      <w:tab/>
    </w: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222D" w14:textId="7675BBB3" w:rsidR="00682B65" w:rsidRDefault="00682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405"/>
    <w:multiLevelType w:val="hybridMultilevel"/>
    <w:tmpl w:val="D812D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DD751B"/>
    <w:multiLevelType w:val="hybridMultilevel"/>
    <w:tmpl w:val="CD0C0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621AED"/>
    <w:multiLevelType w:val="multilevel"/>
    <w:tmpl w:val="C2EED61A"/>
    <w:numStyleLink w:val="NumberedHeadings"/>
  </w:abstractNum>
  <w:abstractNum w:abstractNumId="4" w15:restartNumberingAfterBreak="0">
    <w:nsid w:val="0DCB5CA0"/>
    <w:multiLevelType w:val="hybridMultilevel"/>
    <w:tmpl w:val="F3AA8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D858B0"/>
    <w:multiLevelType w:val="hybridMultilevel"/>
    <w:tmpl w:val="35D222AC"/>
    <w:lvl w:ilvl="0" w:tplc="DD3270E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674B0"/>
    <w:multiLevelType w:val="hybridMultilevel"/>
    <w:tmpl w:val="89CAA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7E1998"/>
    <w:multiLevelType w:val="hybridMultilevel"/>
    <w:tmpl w:val="2FC4D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7A4A14"/>
    <w:multiLevelType w:val="hybridMultilevel"/>
    <w:tmpl w:val="59441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DE62ED"/>
    <w:multiLevelType w:val="hybridMultilevel"/>
    <w:tmpl w:val="E466A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213BA8"/>
    <w:multiLevelType w:val="hybridMultilevel"/>
    <w:tmpl w:val="928CA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CD5EDD"/>
    <w:multiLevelType w:val="hybridMultilevel"/>
    <w:tmpl w:val="2D0A35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C76C07"/>
    <w:multiLevelType w:val="hybridMultilevel"/>
    <w:tmpl w:val="0D1672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596228D"/>
    <w:multiLevelType w:val="hybridMultilevel"/>
    <w:tmpl w:val="D206E1D6"/>
    <w:lvl w:ilvl="0" w:tplc="74AE92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CF3A2D"/>
    <w:multiLevelType w:val="hybridMultilevel"/>
    <w:tmpl w:val="74509D04"/>
    <w:lvl w:ilvl="0" w:tplc="B17ED7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387A28"/>
    <w:multiLevelType w:val="hybridMultilevel"/>
    <w:tmpl w:val="69B82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D87483"/>
    <w:multiLevelType w:val="hybridMultilevel"/>
    <w:tmpl w:val="0E961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CA51B8"/>
    <w:multiLevelType w:val="hybridMultilevel"/>
    <w:tmpl w:val="7EFAD6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EB154B"/>
    <w:multiLevelType w:val="hybridMultilevel"/>
    <w:tmpl w:val="DB306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1602A5"/>
    <w:multiLevelType w:val="hybridMultilevel"/>
    <w:tmpl w:val="3A82F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820CB1"/>
    <w:multiLevelType w:val="hybridMultilevel"/>
    <w:tmpl w:val="2B468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6755ED"/>
    <w:multiLevelType w:val="hybridMultilevel"/>
    <w:tmpl w:val="406257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A73656"/>
    <w:multiLevelType w:val="hybridMultilevel"/>
    <w:tmpl w:val="626A0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2273313"/>
    <w:multiLevelType w:val="hybridMultilevel"/>
    <w:tmpl w:val="A94E9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34E651F"/>
    <w:multiLevelType w:val="hybridMultilevel"/>
    <w:tmpl w:val="404C0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63602F2"/>
    <w:multiLevelType w:val="hybridMultilevel"/>
    <w:tmpl w:val="6A5A5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AA51938"/>
    <w:multiLevelType w:val="multilevel"/>
    <w:tmpl w:val="298C34E4"/>
    <w:numStyleLink w:val="AppendixNumbers"/>
  </w:abstractNum>
  <w:abstractNum w:abstractNumId="28" w15:restartNumberingAfterBreak="0">
    <w:nsid w:val="3B4509EE"/>
    <w:multiLevelType w:val="hybridMultilevel"/>
    <w:tmpl w:val="205E0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D117C5A"/>
    <w:multiLevelType w:val="hybridMultilevel"/>
    <w:tmpl w:val="ACAE07F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02A3A40"/>
    <w:multiLevelType w:val="hybridMultilevel"/>
    <w:tmpl w:val="E63C2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03C7E1A"/>
    <w:multiLevelType w:val="hybridMultilevel"/>
    <w:tmpl w:val="F4FCF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438504CE"/>
    <w:multiLevelType w:val="hybridMultilevel"/>
    <w:tmpl w:val="0ABE6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610C17"/>
    <w:multiLevelType w:val="hybridMultilevel"/>
    <w:tmpl w:val="F2E82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47915DC"/>
    <w:multiLevelType w:val="hybridMultilevel"/>
    <w:tmpl w:val="01381A96"/>
    <w:lvl w:ilvl="0" w:tplc="BFDCD56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900880"/>
    <w:multiLevelType w:val="hybridMultilevel"/>
    <w:tmpl w:val="6FA46D0E"/>
    <w:lvl w:ilvl="0" w:tplc="0C090001">
      <w:start w:val="1"/>
      <w:numFmt w:val="bullet"/>
      <w:lvlText w:val=""/>
      <w:lvlJc w:val="left"/>
      <w:pPr>
        <w:ind w:left="360" w:hanging="360"/>
      </w:pPr>
      <w:rPr>
        <w:rFonts w:ascii="Symbol" w:hAnsi="Symbol" w:hint="default"/>
      </w:rPr>
    </w:lvl>
    <w:lvl w:ilvl="1" w:tplc="0C090017">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6E62ABA"/>
    <w:multiLevelType w:val="hybridMultilevel"/>
    <w:tmpl w:val="89D0590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737BE4"/>
    <w:multiLevelType w:val="hybridMultilevel"/>
    <w:tmpl w:val="7274668E"/>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CCA28C4"/>
    <w:multiLevelType w:val="hybridMultilevel"/>
    <w:tmpl w:val="3DE49D3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F750ED6"/>
    <w:multiLevelType w:val="hybridMultilevel"/>
    <w:tmpl w:val="B9AC9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FD30FB3"/>
    <w:multiLevelType w:val="hybridMultilevel"/>
    <w:tmpl w:val="F6ACE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071499A"/>
    <w:multiLevelType w:val="hybridMultilevel"/>
    <w:tmpl w:val="A32A2D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08A7422"/>
    <w:multiLevelType w:val="hybridMultilevel"/>
    <w:tmpl w:val="7274668E"/>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7521DAD"/>
    <w:multiLevelType w:val="hybridMultilevel"/>
    <w:tmpl w:val="17E87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77572E2"/>
    <w:multiLevelType w:val="hybridMultilevel"/>
    <w:tmpl w:val="5FF21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587B3F7F"/>
    <w:multiLevelType w:val="hybridMultilevel"/>
    <w:tmpl w:val="8A36B4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5A49642E"/>
    <w:multiLevelType w:val="hybridMultilevel"/>
    <w:tmpl w:val="DDC45086"/>
    <w:lvl w:ilvl="0" w:tplc="F2F2DD50">
      <w:start w:val="20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327062"/>
    <w:multiLevelType w:val="hybridMultilevel"/>
    <w:tmpl w:val="41444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23845F6"/>
    <w:multiLevelType w:val="hybridMultilevel"/>
    <w:tmpl w:val="3C68B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4031C51"/>
    <w:multiLevelType w:val="hybridMultilevel"/>
    <w:tmpl w:val="FFE69F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4E56A67"/>
    <w:multiLevelType w:val="hybridMultilevel"/>
    <w:tmpl w:val="8D989B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7322417"/>
    <w:multiLevelType w:val="hybridMultilevel"/>
    <w:tmpl w:val="74A2ED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8F7218B"/>
    <w:multiLevelType w:val="hybridMultilevel"/>
    <w:tmpl w:val="3E5C9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94C6918"/>
    <w:multiLevelType w:val="hybridMultilevel"/>
    <w:tmpl w:val="04AEF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9861554"/>
    <w:multiLevelType w:val="hybridMultilevel"/>
    <w:tmpl w:val="F7D20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ADE1A4D"/>
    <w:multiLevelType w:val="hybridMultilevel"/>
    <w:tmpl w:val="717E6BB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6B9B6184"/>
    <w:multiLevelType w:val="hybridMultilevel"/>
    <w:tmpl w:val="C408D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D872308"/>
    <w:multiLevelType w:val="hybridMultilevel"/>
    <w:tmpl w:val="4B0C5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FF017DD"/>
    <w:multiLevelType w:val="hybridMultilevel"/>
    <w:tmpl w:val="45A07DEC"/>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1522B6C"/>
    <w:multiLevelType w:val="hybridMultilevel"/>
    <w:tmpl w:val="3D16D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291687D"/>
    <w:multiLevelType w:val="hybridMultilevel"/>
    <w:tmpl w:val="7BD66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2DD617A"/>
    <w:multiLevelType w:val="hybridMultilevel"/>
    <w:tmpl w:val="8828D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31837E8"/>
    <w:multiLevelType w:val="hybridMultilevel"/>
    <w:tmpl w:val="7274668E"/>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7AF4319"/>
    <w:multiLevelType w:val="hybridMultilevel"/>
    <w:tmpl w:val="98602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91205F0"/>
    <w:multiLevelType w:val="hybridMultilevel"/>
    <w:tmpl w:val="A32A2D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9551003"/>
    <w:multiLevelType w:val="hybridMultilevel"/>
    <w:tmpl w:val="0982F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A793654"/>
    <w:multiLevelType w:val="hybridMultilevel"/>
    <w:tmpl w:val="A32A2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B012CB7"/>
    <w:multiLevelType w:val="hybridMultilevel"/>
    <w:tmpl w:val="936E4F6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num>
  <w:num w:numId="4">
    <w:abstractNumId w:val="1"/>
  </w:num>
  <w:num w:numId="5">
    <w:abstractNumId w:val="30"/>
  </w:num>
  <w:num w:numId="6">
    <w:abstractNumId w:val="3"/>
  </w:num>
  <w:num w:numId="7">
    <w:abstractNumId w:val="22"/>
  </w:num>
  <w:num w:numId="8">
    <w:abstractNumId w:val="27"/>
  </w:num>
  <w:num w:numId="9">
    <w:abstractNumId w:val="49"/>
  </w:num>
  <w:num w:numId="10">
    <w:abstractNumId w:val="50"/>
  </w:num>
  <w:num w:numId="11">
    <w:abstractNumId w:val="50"/>
  </w:num>
  <w:num w:numId="12">
    <w:abstractNumId w:val="5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num>
  <w:num w:numId="14">
    <w:abstractNumId w:val="70"/>
  </w:num>
  <w:num w:numId="15">
    <w:abstractNumId w:val="34"/>
  </w:num>
  <w:num w:numId="16">
    <w:abstractNumId w:val="39"/>
  </w:num>
  <w:num w:numId="17">
    <w:abstractNumId w:val="59"/>
  </w:num>
  <w:num w:numId="18">
    <w:abstractNumId w:val="40"/>
  </w:num>
  <w:num w:numId="19">
    <w:abstractNumId w:val="38"/>
  </w:num>
  <w:num w:numId="20">
    <w:abstractNumId w:val="23"/>
  </w:num>
  <w:num w:numId="21">
    <w:abstractNumId w:val="45"/>
  </w:num>
  <w:num w:numId="22">
    <w:abstractNumId w:val="37"/>
  </w:num>
  <w:num w:numId="23">
    <w:abstractNumId w:val="29"/>
  </w:num>
  <w:num w:numId="24">
    <w:abstractNumId w:val="62"/>
  </w:num>
  <w:num w:numId="25">
    <w:abstractNumId w:val="5"/>
  </w:num>
  <w:num w:numId="26">
    <w:abstractNumId w:val="66"/>
  </w:num>
  <w:num w:numId="27">
    <w:abstractNumId w:val="44"/>
  </w:num>
  <w:num w:numId="28">
    <w:abstractNumId w:val="55"/>
  </w:num>
  <w:num w:numId="29">
    <w:abstractNumId w:val="2"/>
  </w:num>
  <w:num w:numId="30">
    <w:abstractNumId w:val="14"/>
  </w:num>
  <w:num w:numId="31">
    <w:abstractNumId w:val="42"/>
  </w:num>
  <w:num w:numId="32">
    <w:abstractNumId w:val="67"/>
  </w:num>
  <w:num w:numId="33">
    <w:abstractNumId w:val="53"/>
  </w:num>
  <w:num w:numId="34">
    <w:abstractNumId w:val="17"/>
  </w:num>
  <w:num w:numId="35">
    <w:abstractNumId w:val="36"/>
  </w:num>
  <w:num w:numId="36">
    <w:abstractNumId w:val="71"/>
  </w:num>
  <w:num w:numId="37">
    <w:abstractNumId w:val="11"/>
  </w:num>
  <w:num w:numId="38">
    <w:abstractNumId w:val="48"/>
  </w:num>
  <w:num w:numId="39">
    <w:abstractNumId w:val="41"/>
  </w:num>
  <w:num w:numId="40">
    <w:abstractNumId w:val="57"/>
  </w:num>
  <w:num w:numId="41">
    <w:abstractNumId w:val="20"/>
  </w:num>
  <w:num w:numId="42">
    <w:abstractNumId w:val="6"/>
  </w:num>
  <w:num w:numId="43">
    <w:abstractNumId w:val="43"/>
  </w:num>
  <w:num w:numId="44">
    <w:abstractNumId w:val="35"/>
  </w:num>
  <w:num w:numId="45">
    <w:abstractNumId w:val="19"/>
  </w:num>
  <w:num w:numId="46">
    <w:abstractNumId w:val="7"/>
  </w:num>
  <w:num w:numId="47">
    <w:abstractNumId w:val="60"/>
  </w:num>
  <w:num w:numId="48">
    <w:abstractNumId w:val="65"/>
  </w:num>
  <w:num w:numId="49">
    <w:abstractNumId w:val="16"/>
  </w:num>
  <w:num w:numId="50">
    <w:abstractNumId w:val="54"/>
  </w:num>
  <w:num w:numId="51">
    <w:abstractNumId w:val="10"/>
  </w:num>
  <w:num w:numId="52">
    <w:abstractNumId w:val="13"/>
  </w:num>
  <w:num w:numId="53">
    <w:abstractNumId w:val="15"/>
  </w:num>
  <w:num w:numId="54">
    <w:abstractNumId w:val="51"/>
  </w:num>
  <w:num w:numId="55">
    <w:abstractNumId w:val="25"/>
  </w:num>
  <w:num w:numId="56">
    <w:abstractNumId w:val="69"/>
  </w:num>
  <w:num w:numId="57">
    <w:abstractNumId w:val="21"/>
  </w:num>
  <w:num w:numId="58">
    <w:abstractNumId w:val="52"/>
  </w:num>
  <w:num w:numId="59">
    <w:abstractNumId w:val="18"/>
  </w:num>
  <w:num w:numId="60">
    <w:abstractNumId w:val="9"/>
  </w:num>
  <w:num w:numId="61">
    <w:abstractNumId w:val="4"/>
  </w:num>
  <w:num w:numId="62">
    <w:abstractNumId w:val="61"/>
  </w:num>
  <w:num w:numId="63">
    <w:abstractNumId w:val="24"/>
  </w:num>
  <w:num w:numId="64">
    <w:abstractNumId w:val="32"/>
  </w:num>
  <w:num w:numId="65">
    <w:abstractNumId w:val="64"/>
  </w:num>
  <w:num w:numId="66">
    <w:abstractNumId w:val="28"/>
  </w:num>
  <w:num w:numId="67">
    <w:abstractNumId w:val="71"/>
  </w:num>
  <w:num w:numId="68">
    <w:abstractNumId w:val="46"/>
  </w:num>
  <w:num w:numId="69">
    <w:abstractNumId w:val="46"/>
  </w:num>
  <w:num w:numId="70">
    <w:abstractNumId w:val="58"/>
  </w:num>
  <w:num w:numId="71">
    <w:abstractNumId w:val="26"/>
  </w:num>
  <w:num w:numId="72">
    <w:abstractNumId w:val="8"/>
  </w:num>
  <w:num w:numId="73">
    <w:abstractNumId w:val="63"/>
  </w:num>
  <w:num w:numId="74">
    <w:abstractNumId w:val="68"/>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num>
  <w:num w:numId="77">
    <w:abstractNumId w:val="31"/>
  </w:num>
  <w:num w:numId="78">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7D"/>
    <w:rsid w:val="000003CF"/>
    <w:rsid w:val="00000558"/>
    <w:rsid w:val="0000133F"/>
    <w:rsid w:val="00001BEE"/>
    <w:rsid w:val="00002048"/>
    <w:rsid w:val="0000337D"/>
    <w:rsid w:val="000034C8"/>
    <w:rsid w:val="00003546"/>
    <w:rsid w:val="00005180"/>
    <w:rsid w:val="00006CD9"/>
    <w:rsid w:val="00007A72"/>
    <w:rsid w:val="00007D32"/>
    <w:rsid w:val="000100EF"/>
    <w:rsid w:val="00010F3C"/>
    <w:rsid w:val="00010F56"/>
    <w:rsid w:val="0001155A"/>
    <w:rsid w:val="000117F1"/>
    <w:rsid w:val="000121C2"/>
    <w:rsid w:val="000126F2"/>
    <w:rsid w:val="000127AB"/>
    <w:rsid w:val="00013879"/>
    <w:rsid w:val="00013EB9"/>
    <w:rsid w:val="0001430B"/>
    <w:rsid w:val="000146D4"/>
    <w:rsid w:val="00014EC2"/>
    <w:rsid w:val="00015561"/>
    <w:rsid w:val="00015A9C"/>
    <w:rsid w:val="000167C7"/>
    <w:rsid w:val="000174E9"/>
    <w:rsid w:val="000177F1"/>
    <w:rsid w:val="000179B2"/>
    <w:rsid w:val="000206D2"/>
    <w:rsid w:val="00021D6A"/>
    <w:rsid w:val="00022613"/>
    <w:rsid w:val="000227D9"/>
    <w:rsid w:val="00023E94"/>
    <w:rsid w:val="00024D25"/>
    <w:rsid w:val="00025AD0"/>
    <w:rsid w:val="000263D8"/>
    <w:rsid w:val="0002650D"/>
    <w:rsid w:val="000265B0"/>
    <w:rsid w:val="000265C5"/>
    <w:rsid w:val="00026876"/>
    <w:rsid w:val="000272CB"/>
    <w:rsid w:val="0002780A"/>
    <w:rsid w:val="000309A1"/>
    <w:rsid w:val="00031868"/>
    <w:rsid w:val="000319CA"/>
    <w:rsid w:val="000324D3"/>
    <w:rsid w:val="00032C5D"/>
    <w:rsid w:val="00032CF9"/>
    <w:rsid w:val="000332F9"/>
    <w:rsid w:val="00033C23"/>
    <w:rsid w:val="00033DB4"/>
    <w:rsid w:val="0003411A"/>
    <w:rsid w:val="0003463E"/>
    <w:rsid w:val="00034774"/>
    <w:rsid w:val="0003537B"/>
    <w:rsid w:val="00036E35"/>
    <w:rsid w:val="00037DAD"/>
    <w:rsid w:val="0004011F"/>
    <w:rsid w:val="00040132"/>
    <w:rsid w:val="00040243"/>
    <w:rsid w:val="00040D77"/>
    <w:rsid w:val="00041240"/>
    <w:rsid w:val="0004149C"/>
    <w:rsid w:val="0004162B"/>
    <w:rsid w:val="00042DD8"/>
    <w:rsid w:val="0004345C"/>
    <w:rsid w:val="00043596"/>
    <w:rsid w:val="00043A4D"/>
    <w:rsid w:val="0004407A"/>
    <w:rsid w:val="00044864"/>
    <w:rsid w:val="000452F4"/>
    <w:rsid w:val="0004532F"/>
    <w:rsid w:val="000456D0"/>
    <w:rsid w:val="000462F9"/>
    <w:rsid w:val="00046373"/>
    <w:rsid w:val="00046780"/>
    <w:rsid w:val="00046829"/>
    <w:rsid w:val="00046AF6"/>
    <w:rsid w:val="000472E9"/>
    <w:rsid w:val="00047EBF"/>
    <w:rsid w:val="000504D6"/>
    <w:rsid w:val="000507A7"/>
    <w:rsid w:val="00050A6D"/>
    <w:rsid w:val="000517EC"/>
    <w:rsid w:val="00051BEB"/>
    <w:rsid w:val="000522BF"/>
    <w:rsid w:val="00052354"/>
    <w:rsid w:val="0005247A"/>
    <w:rsid w:val="00052698"/>
    <w:rsid w:val="0005335A"/>
    <w:rsid w:val="00053708"/>
    <w:rsid w:val="000537E5"/>
    <w:rsid w:val="00053826"/>
    <w:rsid w:val="000557F9"/>
    <w:rsid w:val="00055D4A"/>
    <w:rsid w:val="00055FB1"/>
    <w:rsid w:val="00056164"/>
    <w:rsid w:val="000565ED"/>
    <w:rsid w:val="00056B66"/>
    <w:rsid w:val="000573F6"/>
    <w:rsid w:val="00060298"/>
    <w:rsid w:val="00060541"/>
    <w:rsid w:val="00062109"/>
    <w:rsid w:val="000630F6"/>
    <w:rsid w:val="0006389B"/>
    <w:rsid w:val="00063EF9"/>
    <w:rsid w:val="000641C9"/>
    <w:rsid w:val="00064A71"/>
    <w:rsid w:val="000655F0"/>
    <w:rsid w:val="0006572D"/>
    <w:rsid w:val="000661F1"/>
    <w:rsid w:val="0006686F"/>
    <w:rsid w:val="0006723A"/>
    <w:rsid w:val="000675A4"/>
    <w:rsid w:val="00072842"/>
    <w:rsid w:val="000738F8"/>
    <w:rsid w:val="00074409"/>
    <w:rsid w:val="0007575E"/>
    <w:rsid w:val="00075D30"/>
    <w:rsid w:val="000770D7"/>
    <w:rsid w:val="000771EF"/>
    <w:rsid w:val="00077C43"/>
    <w:rsid w:val="00077CBC"/>
    <w:rsid w:val="000801AC"/>
    <w:rsid w:val="0008026E"/>
    <w:rsid w:val="00082797"/>
    <w:rsid w:val="00082C49"/>
    <w:rsid w:val="00082EB2"/>
    <w:rsid w:val="00082F95"/>
    <w:rsid w:val="000836B6"/>
    <w:rsid w:val="00084EEB"/>
    <w:rsid w:val="00085020"/>
    <w:rsid w:val="00085614"/>
    <w:rsid w:val="00085622"/>
    <w:rsid w:val="00085E1E"/>
    <w:rsid w:val="00086C69"/>
    <w:rsid w:val="00086C7A"/>
    <w:rsid w:val="0008788A"/>
    <w:rsid w:val="00087D57"/>
    <w:rsid w:val="00087F6A"/>
    <w:rsid w:val="000924D6"/>
    <w:rsid w:val="00093773"/>
    <w:rsid w:val="000950A0"/>
    <w:rsid w:val="0009637F"/>
    <w:rsid w:val="0009732F"/>
    <w:rsid w:val="00097745"/>
    <w:rsid w:val="00097777"/>
    <w:rsid w:val="00097AA0"/>
    <w:rsid w:val="000A06B8"/>
    <w:rsid w:val="000A0952"/>
    <w:rsid w:val="000A0A24"/>
    <w:rsid w:val="000A0DE7"/>
    <w:rsid w:val="000A15D2"/>
    <w:rsid w:val="000A15F7"/>
    <w:rsid w:val="000A16BA"/>
    <w:rsid w:val="000A173E"/>
    <w:rsid w:val="000A19B6"/>
    <w:rsid w:val="000A22FC"/>
    <w:rsid w:val="000A264A"/>
    <w:rsid w:val="000A2FE7"/>
    <w:rsid w:val="000A353A"/>
    <w:rsid w:val="000A3988"/>
    <w:rsid w:val="000A3B74"/>
    <w:rsid w:val="000A42BB"/>
    <w:rsid w:val="000A4F48"/>
    <w:rsid w:val="000A4FB2"/>
    <w:rsid w:val="000A516A"/>
    <w:rsid w:val="000A58F2"/>
    <w:rsid w:val="000A5AD6"/>
    <w:rsid w:val="000A5BA5"/>
    <w:rsid w:val="000A6B54"/>
    <w:rsid w:val="000A71EB"/>
    <w:rsid w:val="000A7914"/>
    <w:rsid w:val="000A7C43"/>
    <w:rsid w:val="000A7D91"/>
    <w:rsid w:val="000B0B9F"/>
    <w:rsid w:val="000B0DE9"/>
    <w:rsid w:val="000B113C"/>
    <w:rsid w:val="000B1313"/>
    <w:rsid w:val="000B2020"/>
    <w:rsid w:val="000B2024"/>
    <w:rsid w:val="000B23F4"/>
    <w:rsid w:val="000B2638"/>
    <w:rsid w:val="000B3892"/>
    <w:rsid w:val="000B4029"/>
    <w:rsid w:val="000B42F0"/>
    <w:rsid w:val="000B5271"/>
    <w:rsid w:val="000B5357"/>
    <w:rsid w:val="000B7938"/>
    <w:rsid w:val="000C07DA"/>
    <w:rsid w:val="000C125B"/>
    <w:rsid w:val="000C1CBF"/>
    <w:rsid w:val="000C1FB7"/>
    <w:rsid w:val="000C297F"/>
    <w:rsid w:val="000C3011"/>
    <w:rsid w:val="000C32C8"/>
    <w:rsid w:val="000C343A"/>
    <w:rsid w:val="000C3702"/>
    <w:rsid w:val="000C4B05"/>
    <w:rsid w:val="000C597A"/>
    <w:rsid w:val="000C62FA"/>
    <w:rsid w:val="000C63A1"/>
    <w:rsid w:val="000D00F7"/>
    <w:rsid w:val="000D1D24"/>
    <w:rsid w:val="000D2047"/>
    <w:rsid w:val="000D2984"/>
    <w:rsid w:val="000D2E1C"/>
    <w:rsid w:val="000D3964"/>
    <w:rsid w:val="000D3DA5"/>
    <w:rsid w:val="000D43FF"/>
    <w:rsid w:val="000D4EAF"/>
    <w:rsid w:val="000D4FBA"/>
    <w:rsid w:val="000D5FB9"/>
    <w:rsid w:val="000D61FD"/>
    <w:rsid w:val="000D6543"/>
    <w:rsid w:val="000D6DD5"/>
    <w:rsid w:val="000D7814"/>
    <w:rsid w:val="000E0A50"/>
    <w:rsid w:val="000E1479"/>
    <w:rsid w:val="000E17B7"/>
    <w:rsid w:val="000E2121"/>
    <w:rsid w:val="000E24BA"/>
    <w:rsid w:val="000E287B"/>
    <w:rsid w:val="000E2B3A"/>
    <w:rsid w:val="000E3000"/>
    <w:rsid w:val="000E30CB"/>
    <w:rsid w:val="000E414B"/>
    <w:rsid w:val="000E4274"/>
    <w:rsid w:val="000E4962"/>
    <w:rsid w:val="000E51DD"/>
    <w:rsid w:val="000E5674"/>
    <w:rsid w:val="000E5A49"/>
    <w:rsid w:val="000E667B"/>
    <w:rsid w:val="000E7112"/>
    <w:rsid w:val="000E7521"/>
    <w:rsid w:val="000F0025"/>
    <w:rsid w:val="000F053E"/>
    <w:rsid w:val="000F109C"/>
    <w:rsid w:val="000F1C5F"/>
    <w:rsid w:val="000F1DA3"/>
    <w:rsid w:val="000F2A6D"/>
    <w:rsid w:val="000F2DAF"/>
    <w:rsid w:val="000F3061"/>
    <w:rsid w:val="000F30C7"/>
    <w:rsid w:val="000F3EE2"/>
    <w:rsid w:val="000F4D13"/>
    <w:rsid w:val="000F5189"/>
    <w:rsid w:val="000F61B5"/>
    <w:rsid w:val="000F68F7"/>
    <w:rsid w:val="000F6B21"/>
    <w:rsid w:val="00100061"/>
    <w:rsid w:val="00100139"/>
    <w:rsid w:val="001003A5"/>
    <w:rsid w:val="001005F3"/>
    <w:rsid w:val="00101185"/>
    <w:rsid w:val="001011E4"/>
    <w:rsid w:val="001020A2"/>
    <w:rsid w:val="0010278F"/>
    <w:rsid w:val="001035D9"/>
    <w:rsid w:val="00103A4A"/>
    <w:rsid w:val="00103E6D"/>
    <w:rsid w:val="001041F2"/>
    <w:rsid w:val="00104E49"/>
    <w:rsid w:val="001057BD"/>
    <w:rsid w:val="00105F2A"/>
    <w:rsid w:val="00105F43"/>
    <w:rsid w:val="00106044"/>
    <w:rsid w:val="0010638C"/>
    <w:rsid w:val="00106C7E"/>
    <w:rsid w:val="00106CE9"/>
    <w:rsid w:val="0010711B"/>
    <w:rsid w:val="00107266"/>
    <w:rsid w:val="0011071C"/>
    <w:rsid w:val="0011154E"/>
    <w:rsid w:val="001117A1"/>
    <w:rsid w:val="001128D7"/>
    <w:rsid w:val="00112C79"/>
    <w:rsid w:val="00112DF0"/>
    <w:rsid w:val="00112EB3"/>
    <w:rsid w:val="00113099"/>
    <w:rsid w:val="00113509"/>
    <w:rsid w:val="00113639"/>
    <w:rsid w:val="0011424E"/>
    <w:rsid w:val="00114C5D"/>
    <w:rsid w:val="00114DD2"/>
    <w:rsid w:val="0011556B"/>
    <w:rsid w:val="001156E0"/>
    <w:rsid w:val="00115AD4"/>
    <w:rsid w:val="001165C9"/>
    <w:rsid w:val="0011674B"/>
    <w:rsid w:val="001176C5"/>
    <w:rsid w:val="00121404"/>
    <w:rsid w:val="001218D9"/>
    <w:rsid w:val="00122E6F"/>
    <w:rsid w:val="00123153"/>
    <w:rsid w:val="00123988"/>
    <w:rsid w:val="00123AA6"/>
    <w:rsid w:val="00123F46"/>
    <w:rsid w:val="00124122"/>
    <w:rsid w:val="00124224"/>
    <w:rsid w:val="0012434B"/>
    <w:rsid w:val="00124370"/>
    <w:rsid w:val="001253EA"/>
    <w:rsid w:val="00125D7F"/>
    <w:rsid w:val="00126226"/>
    <w:rsid w:val="001265EF"/>
    <w:rsid w:val="001270D9"/>
    <w:rsid w:val="001274DF"/>
    <w:rsid w:val="00127BF2"/>
    <w:rsid w:val="00127FB5"/>
    <w:rsid w:val="00130947"/>
    <w:rsid w:val="00131B75"/>
    <w:rsid w:val="00132203"/>
    <w:rsid w:val="001342F4"/>
    <w:rsid w:val="0013439F"/>
    <w:rsid w:val="001346C0"/>
    <w:rsid w:val="001349C6"/>
    <w:rsid w:val="00135043"/>
    <w:rsid w:val="001355E9"/>
    <w:rsid w:val="001359E8"/>
    <w:rsid w:val="00136660"/>
    <w:rsid w:val="00136C1B"/>
    <w:rsid w:val="001377BA"/>
    <w:rsid w:val="00137A1F"/>
    <w:rsid w:val="00141744"/>
    <w:rsid w:val="00141985"/>
    <w:rsid w:val="00141A6A"/>
    <w:rsid w:val="00141CC6"/>
    <w:rsid w:val="001425EF"/>
    <w:rsid w:val="001426D2"/>
    <w:rsid w:val="0014385C"/>
    <w:rsid w:val="001438CB"/>
    <w:rsid w:val="00143A79"/>
    <w:rsid w:val="0014493E"/>
    <w:rsid w:val="00144F35"/>
    <w:rsid w:val="00145545"/>
    <w:rsid w:val="001459F9"/>
    <w:rsid w:val="00145E21"/>
    <w:rsid w:val="00146128"/>
    <w:rsid w:val="001465EE"/>
    <w:rsid w:val="00146CD6"/>
    <w:rsid w:val="00147450"/>
    <w:rsid w:val="00147569"/>
    <w:rsid w:val="00147BDB"/>
    <w:rsid w:val="00150013"/>
    <w:rsid w:val="00150239"/>
    <w:rsid w:val="0015067A"/>
    <w:rsid w:val="00151307"/>
    <w:rsid w:val="00151672"/>
    <w:rsid w:val="0015169B"/>
    <w:rsid w:val="00151B4E"/>
    <w:rsid w:val="001521CF"/>
    <w:rsid w:val="001533F7"/>
    <w:rsid w:val="001538AF"/>
    <w:rsid w:val="00153C85"/>
    <w:rsid w:val="00154F2B"/>
    <w:rsid w:val="001550B0"/>
    <w:rsid w:val="001556EB"/>
    <w:rsid w:val="00155B36"/>
    <w:rsid w:val="00155B54"/>
    <w:rsid w:val="00156AC0"/>
    <w:rsid w:val="001574B7"/>
    <w:rsid w:val="001575FA"/>
    <w:rsid w:val="00157AA1"/>
    <w:rsid w:val="001618A3"/>
    <w:rsid w:val="0016193C"/>
    <w:rsid w:val="00162AEF"/>
    <w:rsid w:val="00162D4A"/>
    <w:rsid w:val="00164FE8"/>
    <w:rsid w:val="001653A4"/>
    <w:rsid w:val="00165BEC"/>
    <w:rsid w:val="00165C75"/>
    <w:rsid w:val="00165CB9"/>
    <w:rsid w:val="001660B7"/>
    <w:rsid w:val="00166654"/>
    <w:rsid w:val="00166821"/>
    <w:rsid w:val="00166904"/>
    <w:rsid w:val="0017058C"/>
    <w:rsid w:val="0017067B"/>
    <w:rsid w:val="00170829"/>
    <w:rsid w:val="0017125A"/>
    <w:rsid w:val="00171C9C"/>
    <w:rsid w:val="00171F05"/>
    <w:rsid w:val="001722A4"/>
    <w:rsid w:val="001722B4"/>
    <w:rsid w:val="001728C1"/>
    <w:rsid w:val="0017404C"/>
    <w:rsid w:val="00174EC9"/>
    <w:rsid w:val="001754CD"/>
    <w:rsid w:val="00175665"/>
    <w:rsid w:val="00175B20"/>
    <w:rsid w:val="00175D4A"/>
    <w:rsid w:val="00175F13"/>
    <w:rsid w:val="00176512"/>
    <w:rsid w:val="001767D8"/>
    <w:rsid w:val="00176AA8"/>
    <w:rsid w:val="001772FC"/>
    <w:rsid w:val="00177736"/>
    <w:rsid w:val="001803E3"/>
    <w:rsid w:val="00180D8D"/>
    <w:rsid w:val="0018136A"/>
    <w:rsid w:val="00181A04"/>
    <w:rsid w:val="00181B14"/>
    <w:rsid w:val="001820E5"/>
    <w:rsid w:val="0018217A"/>
    <w:rsid w:val="001821D1"/>
    <w:rsid w:val="00182A71"/>
    <w:rsid w:val="00183406"/>
    <w:rsid w:val="00183BDA"/>
    <w:rsid w:val="0018435A"/>
    <w:rsid w:val="00184A27"/>
    <w:rsid w:val="00186875"/>
    <w:rsid w:val="00186FB7"/>
    <w:rsid w:val="001873BE"/>
    <w:rsid w:val="0018746F"/>
    <w:rsid w:val="001876CE"/>
    <w:rsid w:val="001904E8"/>
    <w:rsid w:val="00190E60"/>
    <w:rsid w:val="0019131E"/>
    <w:rsid w:val="00191A09"/>
    <w:rsid w:val="00191BBD"/>
    <w:rsid w:val="001925BE"/>
    <w:rsid w:val="0019265D"/>
    <w:rsid w:val="00192E5A"/>
    <w:rsid w:val="00192F8C"/>
    <w:rsid w:val="0019330F"/>
    <w:rsid w:val="001934BD"/>
    <w:rsid w:val="00193523"/>
    <w:rsid w:val="00193528"/>
    <w:rsid w:val="00193D2D"/>
    <w:rsid w:val="0019420D"/>
    <w:rsid w:val="0019427B"/>
    <w:rsid w:val="00194794"/>
    <w:rsid w:val="0019528A"/>
    <w:rsid w:val="001957FD"/>
    <w:rsid w:val="00195F44"/>
    <w:rsid w:val="00195F77"/>
    <w:rsid w:val="00196B47"/>
    <w:rsid w:val="00196BB6"/>
    <w:rsid w:val="00197C66"/>
    <w:rsid w:val="00197CDA"/>
    <w:rsid w:val="001A00A7"/>
    <w:rsid w:val="001A0616"/>
    <w:rsid w:val="001A072A"/>
    <w:rsid w:val="001A09B1"/>
    <w:rsid w:val="001A1592"/>
    <w:rsid w:val="001A1C82"/>
    <w:rsid w:val="001A1DAA"/>
    <w:rsid w:val="001A2647"/>
    <w:rsid w:val="001A2AFB"/>
    <w:rsid w:val="001A2C0F"/>
    <w:rsid w:val="001A2D5B"/>
    <w:rsid w:val="001A2E8F"/>
    <w:rsid w:val="001A2ED3"/>
    <w:rsid w:val="001A3139"/>
    <w:rsid w:val="001A34D8"/>
    <w:rsid w:val="001A3839"/>
    <w:rsid w:val="001A3889"/>
    <w:rsid w:val="001A42EF"/>
    <w:rsid w:val="001A43E1"/>
    <w:rsid w:val="001A4E3C"/>
    <w:rsid w:val="001A5124"/>
    <w:rsid w:val="001A5E1A"/>
    <w:rsid w:val="001A6588"/>
    <w:rsid w:val="001A687D"/>
    <w:rsid w:val="001A7570"/>
    <w:rsid w:val="001A7E26"/>
    <w:rsid w:val="001B116C"/>
    <w:rsid w:val="001B1705"/>
    <w:rsid w:val="001B2511"/>
    <w:rsid w:val="001B2C6F"/>
    <w:rsid w:val="001B2DC7"/>
    <w:rsid w:val="001B3258"/>
    <w:rsid w:val="001B33B7"/>
    <w:rsid w:val="001B3F7E"/>
    <w:rsid w:val="001B42C8"/>
    <w:rsid w:val="001B457E"/>
    <w:rsid w:val="001B4BCD"/>
    <w:rsid w:val="001B4CC2"/>
    <w:rsid w:val="001B4D2E"/>
    <w:rsid w:val="001B55B1"/>
    <w:rsid w:val="001B59BE"/>
    <w:rsid w:val="001B60AE"/>
    <w:rsid w:val="001B6533"/>
    <w:rsid w:val="001B653B"/>
    <w:rsid w:val="001B67CA"/>
    <w:rsid w:val="001B68D0"/>
    <w:rsid w:val="001C01AD"/>
    <w:rsid w:val="001C048C"/>
    <w:rsid w:val="001C060E"/>
    <w:rsid w:val="001C0CA2"/>
    <w:rsid w:val="001C15A0"/>
    <w:rsid w:val="001C15D2"/>
    <w:rsid w:val="001C1B8A"/>
    <w:rsid w:val="001C256F"/>
    <w:rsid w:val="001C339C"/>
    <w:rsid w:val="001C3514"/>
    <w:rsid w:val="001C3CCB"/>
    <w:rsid w:val="001C4117"/>
    <w:rsid w:val="001C4BDE"/>
    <w:rsid w:val="001C4C56"/>
    <w:rsid w:val="001C4D38"/>
    <w:rsid w:val="001C5DBA"/>
    <w:rsid w:val="001D0821"/>
    <w:rsid w:val="001D104A"/>
    <w:rsid w:val="001D1622"/>
    <w:rsid w:val="001D1C32"/>
    <w:rsid w:val="001D1FCC"/>
    <w:rsid w:val="001D28D5"/>
    <w:rsid w:val="001D2DA7"/>
    <w:rsid w:val="001D436B"/>
    <w:rsid w:val="001D48BC"/>
    <w:rsid w:val="001D5665"/>
    <w:rsid w:val="001D5692"/>
    <w:rsid w:val="001D683C"/>
    <w:rsid w:val="001D691E"/>
    <w:rsid w:val="001D6DDC"/>
    <w:rsid w:val="001D726E"/>
    <w:rsid w:val="001D7B1A"/>
    <w:rsid w:val="001E02E0"/>
    <w:rsid w:val="001E05DE"/>
    <w:rsid w:val="001E0730"/>
    <w:rsid w:val="001E0DDD"/>
    <w:rsid w:val="001E1038"/>
    <w:rsid w:val="001E1215"/>
    <w:rsid w:val="001E1326"/>
    <w:rsid w:val="001E204F"/>
    <w:rsid w:val="001E251A"/>
    <w:rsid w:val="001E270D"/>
    <w:rsid w:val="001E2884"/>
    <w:rsid w:val="001E2E6D"/>
    <w:rsid w:val="001E2F0F"/>
    <w:rsid w:val="001E318E"/>
    <w:rsid w:val="001E3CDC"/>
    <w:rsid w:val="001E411C"/>
    <w:rsid w:val="001E4DC2"/>
    <w:rsid w:val="001E4FEC"/>
    <w:rsid w:val="001E5405"/>
    <w:rsid w:val="001E5756"/>
    <w:rsid w:val="001E59F5"/>
    <w:rsid w:val="001E5A72"/>
    <w:rsid w:val="001E5C0A"/>
    <w:rsid w:val="001E62B0"/>
    <w:rsid w:val="001E7015"/>
    <w:rsid w:val="001E7575"/>
    <w:rsid w:val="001E7C80"/>
    <w:rsid w:val="001F1861"/>
    <w:rsid w:val="001F1B51"/>
    <w:rsid w:val="001F1C3C"/>
    <w:rsid w:val="001F2295"/>
    <w:rsid w:val="001F2911"/>
    <w:rsid w:val="001F2A1B"/>
    <w:rsid w:val="001F2E1E"/>
    <w:rsid w:val="001F3016"/>
    <w:rsid w:val="001F30B5"/>
    <w:rsid w:val="001F3DAD"/>
    <w:rsid w:val="001F3FD5"/>
    <w:rsid w:val="001F433B"/>
    <w:rsid w:val="001F4CD1"/>
    <w:rsid w:val="001F50DA"/>
    <w:rsid w:val="001F51D0"/>
    <w:rsid w:val="001F5702"/>
    <w:rsid w:val="001F657E"/>
    <w:rsid w:val="001F65B0"/>
    <w:rsid w:val="001F71CC"/>
    <w:rsid w:val="0020078B"/>
    <w:rsid w:val="002008C3"/>
    <w:rsid w:val="00200B02"/>
    <w:rsid w:val="00201DC9"/>
    <w:rsid w:val="002020C6"/>
    <w:rsid w:val="00202FC4"/>
    <w:rsid w:val="00203081"/>
    <w:rsid w:val="00203438"/>
    <w:rsid w:val="002036E3"/>
    <w:rsid w:val="00204548"/>
    <w:rsid w:val="002047E1"/>
    <w:rsid w:val="00204850"/>
    <w:rsid w:val="00204A4D"/>
    <w:rsid w:val="00204A6D"/>
    <w:rsid w:val="00205778"/>
    <w:rsid w:val="00205EEB"/>
    <w:rsid w:val="00205FCB"/>
    <w:rsid w:val="00206329"/>
    <w:rsid w:val="002064E4"/>
    <w:rsid w:val="002067F6"/>
    <w:rsid w:val="00206DF0"/>
    <w:rsid w:val="00206E7A"/>
    <w:rsid w:val="00206EA1"/>
    <w:rsid w:val="00207273"/>
    <w:rsid w:val="002078A5"/>
    <w:rsid w:val="00207B5E"/>
    <w:rsid w:val="002101B8"/>
    <w:rsid w:val="00210964"/>
    <w:rsid w:val="00210BBA"/>
    <w:rsid w:val="00211598"/>
    <w:rsid w:val="00211A35"/>
    <w:rsid w:val="00211CA1"/>
    <w:rsid w:val="0021239D"/>
    <w:rsid w:val="00212B21"/>
    <w:rsid w:val="00212CC0"/>
    <w:rsid w:val="00212D44"/>
    <w:rsid w:val="002136B9"/>
    <w:rsid w:val="00213B0E"/>
    <w:rsid w:val="00213CB9"/>
    <w:rsid w:val="002140C1"/>
    <w:rsid w:val="00214436"/>
    <w:rsid w:val="00214AA9"/>
    <w:rsid w:val="00214C69"/>
    <w:rsid w:val="00214D44"/>
    <w:rsid w:val="002150D8"/>
    <w:rsid w:val="00215531"/>
    <w:rsid w:val="00216E5F"/>
    <w:rsid w:val="00217292"/>
    <w:rsid w:val="002173D0"/>
    <w:rsid w:val="002176F1"/>
    <w:rsid w:val="002225F5"/>
    <w:rsid w:val="00222D2D"/>
    <w:rsid w:val="00224E05"/>
    <w:rsid w:val="002254D5"/>
    <w:rsid w:val="00225D6B"/>
    <w:rsid w:val="0022611D"/>
    <w:rsid w:val="002263C3"/>
    <w:rsid w:val="00226D83"/>
    <w:rsid w:val="00226F81"/>
    <w:rsid w:val="00226F9A"/>
    <w:rsid w:val="00227BDE"/>
    <w:rsid w:val="00230957"/>
    <w:rsid w:val="002312E2"/>
    <w:rsid w:val="002320DF"/>
    <w:rsid w:val="0023229B"/>
    <w:rsid w:val="00232AD4"/>
    <w:rsid w:val="00232FFB"/>
    <w:rsid w:val="0023307A"/>
    <w:rsid w:val="002331FC"/>
    <w:rsid w:val="0023408D"/>
    <w:rsid w:val="00234E44"/>
    <w:rsid w:val="00234EB7"/>
    <w:rsid w:val="00234F0F"/>
    <w:rsid w:val="002353AB"/>
    <w:rsid w:val="0023583C"/>
    <w:rsid w:val="00236D19"/>
    <w:rsid w:val="00240824"/>
    <w:rsid w:val="00240FB3"/>
    <w:rsid w:val="00241DAF"/>
    <w:rsid w:val="00241FE2"/>
    <w:rsid w:val="00242BAC"/>
    <w:rsid w:val="00242C78"/>
    <w:rsid w:val="0024357D"/>
    <w:rsid w:val="00244930"/>
    <w:rsid w:val="002455CF"/>
    <w:rsid w:val="0024599B"/>
    <w:rsid w:val="00246B5F"/>
    <w:rsid w:val="00246C05"/>
    <w:rsid w:val="00247C31"/>
    <w:rsid w:val="002515A7"/>
    <w:rsid w:val="00251959"/>
    <w:rsid w:val="002527B9"/>
    <w:rsid w:val="002527E9"/>
    <w:rsid w:val="00252D21"/>
    <w:rsid w:val="00252EFE"/>
    <w:rsid w:val="0025319E"/>
    <w:rsid w:val="00253E7B"/>
    <w:rsid w:val="002542AC"/>
    <w:rsid w:val="002546C1"/>
    <w:rsid w:val="00254C75"/>
    <w:rsid w:val="0025580A"/>
    <w:rsid w:val="002559B8"/>
    <w:rsid w:val="00255B39"/>
    <w:rsid w:val="00255F92"/>
    <w:rsid w:val="0025603F"/>
    <w:rsid w:val="0025643C"/>
    <w:rsid w:val="002564B1"/>
    <w:rsid w:val="002565C3"/>
    <w:rsid w:val="00257384"/>
    <w:rsid w:val="00260474"/>
    <w:rsid w:val="00260794"/>
    <w:rsid w:val="00260ACA"/>
    <w:rsid w:val="00261004"/>
    <w:rsid w:val="002611E8"/>
    <w:rsid w:val="00261BC5"/>
    <w:rsid w:val="0026216B"/>
    <w:rsid w:val="002621EF"/>
    <w:rsid w:val="0026229D"/>
    <w:rsid w:val="00262709"/>
    <w:rsid w:val="00262A28"/>
    <w:rsid w:val="00262EA5"/>
    <w:rsid w:val="002634F2"/>
    <w:rsid w:val="00263AB6"/>
    <w:rsid w:val="00263B51"/>
    <w:rsid w:val="00263B75"/>
    <w:rsid w:val="00263F9C"/>
    <w:rsid w:val="00264E87"/>
    <w:rsid w:val="002653D5"/>
    <w:rsid w:val="0026552C"/>
    <w:rsid w:val="002657A6"/>
    <w:rsid w:val="00265E71"/>
    <w:rsid w:val="00265EF2"/>
    <w:rsid w:val="00265FD4"/>
    <w:rsid w:val="0026604C"/>
    <w:rsid w:val="00266DD7"/>
    <w:rsid w:val="00267280"/>
    <w:rsid w:val="0026764D"/>
    <w:rsid w:val="00267935"/>
    <w:rsid w:val="002679BD"/>
    <w:rsid w:val="00270507"/>
    <w:rsid w:val="002705CE"/>
    <w:rsid w:val="002710F5"/>
    <w:rsid w:val="00272536"/>
    <w:rsid w:val="00272C36"/>
    <w:rsid w:val="002733F7"/>
    <w:rsid w:val="00273D38"/>
    <w:rsid w:val="002744AD"/>
    <w:rsid w:val="0027484C"/>
    <w:rsid w:val="00274E05"/>
    <w:rsid w:val="002753ED"/>
    <w:rsid w:val="002761DB"/>
    <w:rsid w:val="002767BF"/>
    <w:rsid w:val="00277C8E"/>
    <w:rsid w:val="00280D14"/>
    <w:rsid w:val="002810C4"/>
    <w:rsid w:val="00281671"/>
    <w:rsid w:val="00281687"/>
    <w:rsid w:val="00282EB6"/>
    <w:rsid w:val="002830BE"/>
    <w:rsid w:val="00283588"/>
    <w:rsid w:val="00283651"/>
    <w:rsid w:val="00283858"/>
    <w:rsid w:val="00283D16"/>
    <w:rsid w:val="00284164"/>
    <w:rsid w:val="0028424F"/>
    <w:rsid w:val="00284D8C"/>
    <w:rsid w:val="00285118"/>
    <w:rsid w:val="002851CD"/>
    <w:rsid w:val="002852A6"/>
    <w:rsid w:val="002863F3"/>
    <w:rsid w:val="002868BC"/>
    <w:rsid w:val="0028715F"/>
    <w:rsid w:val="00287A32"/>
    <w:rsid w:val="00287A65"/>
    <w:rsid w:val="00287F1A"/>
    <w:rsid w:val="00290192"/>
    <w:rsid w:val="0029059D"/>
    <w:rsid w:val="00291050"/>
    <w:rsid w:val="002911F2"/>
    <w:rsid w:val="00292F07"/>
    <w:rsid w:val="00293626"/>
    <w:rsid w:val="00293F06"/>
    <w:rsid w:val="00294186"/>
    <w:rsid w:val="00294EBB"/>
    <w:rsid w:val="00295C15"/>
    <w:rsid w:val="00297738"/>
    <w:rsid w:val="00297CAA"/>
    <w:rsid w:val="002A09E0"/>
    <w:rsid w:val="002A1009"/>
    <w:rsid w:val="002A1084"/>
    <w:rsid w:val="002A10BB"/>
    <w:rsid w:val="002A13AB"/>
    <w:rsid w:val="002A1E11"/>
    <w:rsid w:val="002A2A32"/>
    <w:rsid w:val="002A2A36"/>
    <w:rsid w:val="002A2D4D"/>
    <w:rsid w:val="002A32CA"/>
    <w:rsid w:val="002A47A9"/>
    <w:rsid w:val="002A4A0C"/>
    <w:rsid w:val="002A4E3A"/>
    <w:rsid w:val="002A5074"/>
    <w:rsid w:val="002A560D"/>
    <w:rsid w:val="002A6A0E"/>
    <w:rsid w:val="002A6BD6"/>
    <w:rsid w:val="002A72BA"/>
    <w:rsid w:val="002A7E52"/>
    <w:rsid w:val="002B0DCD"/>
    <w:rsid w:val="002B1AC4"/>
    <w:rsid w:val="002B1D55"/>
    <w:rsid w:val="002B1F7F"/>
    <w:rsid w:val="002B2729"/>
    <w:rsid w:val="002B3569"/>
    <w:rsid w:val="002B40E6"/>
    <w:rsid w:val="002B461D"/>
    <w:rsid w:val="002B5D18"/>
    <w:rsid w:val="002B60D3"/>
    <w:rsid w:val="002B628F"/>
    <w:rsid w:val="002B6427"/>
    <w:rsid w:val="002B664D"/>
    <w:rsid w:val="002B7197"/>
    <w:rsid w:val="002B739C"/>
    <w:rsid w:val="002C0522"/>
    <w:rsid w:val="002C0612"/>
    <w:rsid w:val="002C0690"/>
    <w:rsid w:val="002C06DD"/>
    <w:rsid w:val="002C0A3C"/>
    <w:rsid w:val="002C1229"/>
    <w:rsid w:val="002C1797"/>
    <w:rsid w:val="002C1FCB"/>
    <w:rsid w:val="002C2014"/>
    <w:rsid w:val="002C2686"/>
    <w:rsid w:val="002C2755"/>
    <w:rsid w:val="002C3EEB"/>
    <w:rsid w:val="002C3F6A"/>
    <w:rsid w:val="002C659F"/>
    <w:rsid w:val="002C6DCE"/>
    <w:rsid w:val="002C7343"/>
    <w:rsid w:val="002D0580"/>
    <w:rsid w:val="002D0E3F"/>
    <w:rsid w:val="002D107C"/>
    <w:rsid w:val="002D1BCE"/>
    <w:rsid w:val="002D261B"/>
    <w:rsid w:val="002D2C29"/>
    <w:rsid w:val="002D2DFC"/>
    <w:rsid w:val="002D304F"/>
    <w:rsid w:val="002D3240"/>
    <w:rsid w:val="002D3902"/>
    <w:rsid w:val="002D3D19"/>
    <w:rsid w:val="002D4186"/>
    <w:rsid w:val="002D4816"/>
    <w:rsid w:val="002D520F"/>
    <w:rsid w:val="002D524F"/>
    <w:rsid w:val="002D5577"/>
    <w:rsid w:val="002D5A46"/>
    <w:rsid w:val="002D673F"/>
    <w:rsid w:val="002D7BCA"/>
    <w:rsid w:val="002E01E4"/>
    <w:rsid w:val="002E0FF2"/>
    <w:rsid w:val="002E17D8"/>
    <w:rsid w:val="002E1ADA"/>
    <w:rsid w:val="002E32F3"/>
    <w:rsid w:val="002E3A75"/>
    <w:rsid w:val="002E40EE"/>
    <w:rsid w:val="002E44E5"/>
    <w:rsid w:val="002E4E80"/>
    <w:rsid w:val="002E59E2"/>
    <w:rsid w:val="002E5AF5"/>
    <w:rsid w:val="002E5EBC"/>
    <w:rsid w:val="002E6EEC"/>
    <w:rsid w:val="002E704E"/>
    <w:rsid w:val="002E7271"/>
    <w:rsid w:val="002F0443"/>
    <w:rsid w:val="002F0467"/>
    <w:rsid w:val="002F0769"/>
    <w:rsid w:val="002F0B42"/>
    <w:rsid w:val="002F0F77"/>
    <w:rsid w:val="002F126C"/>
    <w:rsid w:val="002F1A0B"/>
    <w:rsid w:val="002F1B6A"/>
    <w:rsid w:val="002F1BBC"/>
    <w:rsid w:val="002F21B1"/>
    <w:rsid w:val="002F21FF"/>
    <w:rsid w:val="002F251C"/>
    <w:rsid w:val="002F2817"/>
    <w:rsid w:val="002F302F"/>
    <w:rsid w:val="002F3405"/>
    <w:rsid w:val="002F4EAF"/>
    <w:rsid w:val="002F5F69"/>
    <w:rsid w:val="002F6143"/>
    <w:rsid w:val="002F6275"/>
    <w:rsid w:val="002F632A"/>
    <w:rsid w:val="002F6CF6"/>
    <w:rsid w:val="002F791D"/>
    <w:rsid w:val="0030056C"/>
    <w:rsid w:val="00300746"/>
    <w:rsid w:val="00300B68"/>
    <w:rsid w:val="003018D0"/>
    <w:rsid w:val="00301982"/>
    <w:rsid w:val="00301FFC"/>
    <w:rsid w:val="0030209D"/>
    <w:rsid w:val="00302183"/>
    <w:rsid w:val="003021BA"/>
    <w:rsid w:val="003022D1"/>
    <w:rsid w:val="00302495"/>
    <w:rsid w:val="0030262A"/>
    <w:rsid w:val="00302711"/>
    <w:rsid w:val="00302AAF"/>
    <w:rsid w:val="00303612"/>
    <w:rsid w:val="00303DD4"/>
    <w:rsid w:val="00303E9A"/>
    <w:rsid w:val="00304473"/>
    <w:rsid w:val="00304E33"/>
    <w:rsid w:val="0030539E"/>
    <w:rsid w:val="00305B58"/>
    <w:rsid w:val="00305FDA"/>
    <w:rsid w:val="003060A8"/>
    <w:rsid w:val="003066EF"/>
    <w:rsid w:val="00306821"/>
    <w:rsid w:val="00306917"/>
    <w:rsid w:val="00306AE7"/>
    <w:rsid w:val="00307316"/>
    <w:rsid w:val="00307983"/>
    <w:rsid w:val="003102DA"/>
    <w:rsid w:val="00310438"/>
    <w:rsid w:val="00311BA1"/>
    <w:rsid w:val="00312D0F"/>
    <w:rsid w:val="00313A9A"/>
    <w:rsid w:val="00314581"/>
    <w:rsid w:val="003152C6"/>
    <w:rsid w:val="0031558C"/>
    <w:rsid w:val="0031568D"/>
    <w:rsid w:val="003157C5"/>
    <w:rsid w:val="00316460"/>
    <w:rsid w:val="003171AD"/>
    <w:rsid w:val="00317260"/>
    <w:rsid w:val="003172E1"/>
    <w:rsid w:val="003174B0"/>
    <w:rsid w:val="00317B4C"/>
    <w:rsid w:val="0032079F"/>
    <w:rsid w:val="003218C2"/>
    <w:rsid w:val="00321A14"/>
    <w:rsid w:val="00321C77"/>
    <w:rsid w:val="00321CEA"/>
    <w:rsid w:val="00322601"/>
    <w:rsid w:val="003227C2"/>
    <w:rsid w:val="003230E6"/>
    <w:rsid w:val="0032382E"/>
    <w:rsid w:val="00323A73"/>
    <w:rsid w:val="00323AB6"/>
    <w:rsid w:val="00323D30"/>
    <w:rsid w:val="00323ECD"/>
    <w:rsid w:val="00324337"/>
    <w:rsid w:val="00325CB4"/>
    <w:rsid w:val="00325F80"/>
    <w:rsid w:val="003261CF"/>
    <w:rsid w:val="003270C8"/>
    <w:rsid w:val="00327330"/>
    <w:rsid w:val="003273F8"/>
    <w:rsid w:val="00327579"/>
    <w:rsid w:val="003276EA"/>
    <w:rsid w:val="00327B43"/>
    <w:rsid w:val="00327EF1"/>
    <w:rsid w:val="0033014F"/>
    <w:rsid w:val="003305B3"/>
    <w:rsid w:val="003305EB"/>
    <w:rsid w:val="003313B3"/>
    <w:rsid w:val="003314E4"/>
    <w:rsid w:val="003317FF"/>
    <w:rsid w:val="00331FCC"/>
    <w:rsid w:val="003339D8"/>
    <w:rsid w:val="003343A4"/>
    <w:rsid w:val="003346D6"/>
    <w:rsid w:val="00335929"/>
    <w:rsid w:val="003361C2"/>
    <w:rsid w:val="003366CA"/>
    <w:rsid w:val="0033718A"/>
    <w:rsid w:val="003371A3"/>
    <w:rsid w:val="0033722C"/>
    <w:rsid w:val="003373E3"/>
    <w:rsid w:val="00337789"/>
    <w:rsid w:val="003377D3"/>
    <w:rsid w:val="003400CD"/>
    <w:rsid w:val="0034023B"/>
    <w:rsid w:val="00340849"/>
    <w:rsid w:val="003412C4"/>
    <w:rsid w:val="00341DB9"/>
    <w:rsid w:val="00341ED4"/>
    <w:rsid w:val="00343538"/>
    <w:rsid w:val="003436A6"/>
    <w:rsid w:val="00343E5E"/>
    <w:rsid w:val="0034467F"/>
    <w:rsid w:val="0034586B"/>
    <w:rsid w:val="003464FF"/>
    <w:rsid w:val="00346809"/>
    <w:rsid w:val="0035014F"/>
    <w:rsid w:val="003503D5"/>
    <w:rsid w:val="00350D71"/>
    <w:rsid w:val="003532B3"/>
    <w:rsid w:val="0035374C"/>
    <w:rsid w:val="003539FD"/>
    <w:rsid w:val="00353D63"/>
    <w:rsid w:val="00354191"/>
    <w:rsid w:val="00354A25"/>
    <w:rsid w:val="00355007"/>
    <w:rsid w:val="00355095"/>
    <w:rsid w:val="00355439"/>
    <w:rsid w:val="00355504"/>
    <w:rsid w:val="00355AB8"/>
    <w:rsid w:val="00355D00"/>
    <w:rsid w:val="00355EA7"/>
    <w:rsid w:val="00356210"/>
    <w:rsid w:val="0035730F"/>
    <w:rsid w:val="00357323"/>
    <w:rsid w:val="00361B26"/>
    <w:rsid w:val="003622C9"/>
    <w:rsid w:val="003624DD"/>
    <w:rsid w:val="00362612"/>
    <w:rsid w:val="0036293D"/>
    <w:rsid w:val="003630E2"/>
    <w:rsid w:val="00363531"/>
    <w:rsid w:val="003644A4"/>
    <w:rsid w:val="00364598"/>
    <w:rsid w:val="00364A58"/>
    <w:rsid w:val="00365A25"/>
    <w:rsid w:val="00366569"/>
    <w:rsid w:val="003666A5"/>
    <w:rsid w:val="00366CAE"/>
    <w:rsid w:val="00367342"/>
    <w:rsid w:val="00367CB4"/>
    <w:rsid w:val="003707EE"/>
    <w:rsid w:val="00371286"/>
    <w:rsid w:val="0037130C"/>
    <w:rsid w:val="0037192C"/>
    <w:rsid w:val="00371A25"/>
    <w:rsid w:val="00371F9B"/>
    <w:rsid w:val="003720E9"/>
    <w:rsid w:val="003722C7"/>
    <w:rsid w:val="003737C6"/>
    <w:rsid w:val="003737FC"/>
    <w:rsid w:val="00374209"/>
    <w:rsid w:val="0037426E"/>
    <w:rsid w:val="00374F79"/>
    <w:rsid w:val="00375402"/>
    <w:rsid w:val="0037554B"/>
    <w:rsid w:val="00375646"/>
    <w:rsid w:val="00375904"/>
    <w:rsid w:val="00375B71"/>
    <w:rsid w:val="00375BE6"/>
    <w:rsid w:val="0037717E"/>
    <w:rsid w:val="003774C8"/>
    <w:rsid w:val="00380A30"/>
    <w:rsid w:val="003811AA"/>
    <w:rsid w:val="003812C6"/>
    <w:rsid w:val="00381741"/>
    <w:rsid w:val="00383876"/>
    <w:rsid w:val="00384F32"/>
    <w:rsid w:val="0038572E"/>
    <w:rsid w:val="0038645C"/>
    <w:rsid w:val="003866C5"/>
    <w:rsid w:val="00387010"/>
    <w:rsid w:val="00387191"/>
    <w:rsid w:val="003905F9"/>
    <w:rsid w:val="00390F54"/>
    <w:rsid w:val="00391D51"/>
    <w:rsid w:val="00392F32"/>
    <w:rsid w:val="00393102"/>
    <w:rsid w:val="00393E73"/>
    <w:rsid w:val="003941CF"/>
    <w:rsid w:val="00394AC2"/>
    <w:rsid w:val="00394B1C"/>
    <w:rsid w:val="00394B4C"/>
    <w:rsid w:val="00395818"/>
    <w:rsid w:val="00395CB8"/>
    <w:rsid w:val="00396C42"/>
    <w:rsid w:val="00397C39"/>
    <w:rsid w:val="003A0891"/>
    <w:rsid w:val="003A0A18"/>
    <w:rsid w:val="003A0AB1"/>
    <w:rsid w:val="003A1586"/>
    <w:rsid w:val="003A1991"/>
    <w:rsid w:val="003A1F5A"/>
    <w:rsid w:val="003A23B4"/>
    <w:rsid w:val="003A2E0F"/>
    <w:rsid w:val="003A2FFF"/>
    <w:rsid w:val="003A3C83"/>
    <w:rsid w:val="003A3D68"/>
    <w:rsid w:val="003A45B5"/>
    <w:rsid w:val="003A5AEF"/>
    <w:rsid w:val="003A5F17"/>
    <w:rsid w:val="003A6937"/>
    <w:rsid w:val="003A7C50"/>
    <w:rsid w:val="003A7CC1"/>
    <w:rsid w:val="003B033F"/>
    <w:rsid w:val="003B18C2"/>
    <w:rsid w:val="003B1994"/>
    <w:rsid w:val="003B30BC"/>
    <w:rsid w:val="003B39D1"/>
    <w:rsid w:val="003B3B5B"/>
    <w:rsid w:val="003B47FC"/>
    <w:rsid w:val="003B488D"/>
    <w:rsid w:val="003B52BB"/>
    <w:rsid w:val="003B56AB"/>
    <w:rsid w:val="003B5DB8"/>
    <w:rsid w:val="003B6DFD"/>
    <w:rsid w:val="003C09EA"/>
    <w:rsid w:val="003C17E4"/>
    <w:rsid w:val="003C1D22"/>
    <w:rsid w:val="003C23F2"/>
    <w:rsid w:val="003C3148"/>
    <w:rsid w:val="003C3325"/>
    <w:rsid w:val="003C36FB"/>
    <w:rsid w:val="003C44EE"/>
    <w:rsid w:val="003C4AC6"/>
    <w:rsid w:val="003C625A"/>
    <w:rsid w:val="003C675F"/>
    <w:rsid w:val="003C6E1E"/>
    <w:rsid w:val="003C707E"/>
    <w:rsid w:val="003D027F"/>
    <w:rsid w:val="003D0463"/>
    <w:rsid w:val="003D0520"/>
    <w:rsid w:val="003D0780"/>
    <w:rsid w:val="003D0A69"/>
    <w:rsid w:val="003D114F"/>
    <w:rsid w:val="003D1656"/>
    <w:rsid w:val="003D16DC"/>
    <w:rsid w:val="003D2334"/>
    <w:rsid w:val="003D24AA"/>
    <w:rsid w:val="003D253B"/>
    <w:rsid w:val="003D27C6"/>
    <w:rsid w:val="003D2840"/>
    <w:rsid w:val="003D2B29"/>
    <w:rsid w:val="003D3064"/>
    <w:rsid w:val="003D3097"/>
    <w:rsid w:val="003D328A"/>
    <w:rsid w:val="003D362B"/>
    <w:rsid w:val="003D4CC8"/>
    <w:rsid w:val="003D4D5A"/>
    <w:rsid w:val="003D6406"/>
    <w:rsid w:val="003D6D1A"/>
    <w:rsid w:val="003D7B20"/>
    <w:rsid w:val="003D7F93"/>
    <w:rsid w:val="003E0682"/>
    <w:rsid w:val="003E06F8"/>
    <w:rsid w:val="003E18B1"/>
    <w:rsid w:val="003E1D6D"/>
    <w:rsid w:val="003E2306"/>
    <w:rsid w:val="003E2512"/>
    <w:rsid w:val="003E44A6"/>
    <w:rsid w:val="003E4C20"/>
    <w:rsid w:val="003E4E7E"/>
    <w:rsid w:val="003E519C"/>
    <w:rsid w:val="003E5F01"/>
    <w:rsid w:val="003E6555"/>
    <w:rsid w:val="003E65CF"/>
    <w:rsid w:val="003E677B"/>
    <w:rsid w:val="003E6D5D"/>
    <w:rsid w:val="003E781A"/>
    <w:rsid w:val="003E7B62"/>
    <w:rsid w:val="003F0378"/>
    <w:rsid w:val="003F0566"/>
    <w:rsid w:val="003F0AD2"/>
    <w:rsid w:val="003F0D3C"/>
    <w:rsid w:val="003F11DB"/>
    <w:rsid w:val="003F12B5"/>
    <w:rsid w:val="003F1592"/>
    <w:rsid w:val="003F1A82"/>
    <w:rsid w:val="003F211E"/>
    <w:rsid w:val="003F2897"/>
    <w:rsid w:val="003F299A"/>
    <w:rsid w:val="003F416B"/>
    <w:rsid w:val="003F558F"/>
    <w:rsid w:val="003F6C33"/>
    <w:rsid w:val="003F70EA"/>
    <w:rsid w:val="003F7532"/>
    <w:rsid w:val="003F775D"/>
    <w:rsid w:val="003F77F6"/>
    <w:rsid w:val="003F7C70"/>
    <w:rsid w:val="003F7E82"/>
    <w:rsid w:val="003F7F60"/>
    <w:rsid w:val="00401034"/>
    <w:rsid w:val="00401371"/>
    <w:rsid w:val="004024DE"/>
    <w:rsid w:val="00402522"/>
    <w:rsid w:val="00403258"/>
    <w:rsid w:val="00403277"/>
    <w:rsid w:val="00403C67"/>
    <w:rsid w:val="00403D2A"/>
    <w:rsid w:val="00405CDA"/>
    <w:rsid w:val="00405D6E"/>
    <w:rsid w:val="004063DE"/>
    <w:rsid w:val="00406C6A"/>
    <w:rsid w:val="00406DB5"/>
    <w:rsid w:val="00406F03"/>
    <w:rsid w:val="0040713A"/>
    <w:rsid w:val="004074EF"/>
    <w:rsid w:val="0040753A"/>
    <w:rsid w:val="0041002A"/>
    <w:rsid w:val="004100B1"/>
    <w:rsid w:val="004113CD"/>
    <w:rsid w:val="004121B0"/>
    <w:rsid w:val="004126E5"/>
    <w:rsid w:val="00412882"/>
    <w:rsid w:val="00412F53"/>
    <w:rsid w:val="00412FAB"/>
    <w:rsid w:val="00413157"/>
    <w:rsid w:val="00413D94"/>
    <w:rsid w:val="0041455A"/>
    <w:rsid w:val="00414FEC"/>
    <w:rsid w:val="004159D6"/>
    <w:rsid w:val="00416867"/>
    <w:rsid w:val="0041696A"/>
    <w:rsid w:val="0042087A"/>
    <w:rsid w:val="00420C04"/>
    <w:rsid w:val="00420F04"/>
    <w:rsid w:val="00421274"/>
    <w:rsid w:val="0042134F"/>
    <w:rsid w:val="004213AF"/>
    <w:rsid w:val="00421723"/>
    <w:rsid w:val="004221D1"/>
    <w:rsid w:val="00422881"/>
    <w:rsid w:val="004229E9"/>
    <w:rsid w:val="00422C0F"/>
    <w:rsid w:val="0042309A"/>
    <w:rsid w:val="00423611"/>
    <w:rsid w:val="00423CDD"/>
    <w:rsid w:val="00423F22"/>
    <w:rsid w:val="00424632"/>
    <w:rsid w:val="004247A5"/>
    <w:rsid w:val="00424A2C"/>
    <w:rsid w:val="00424A82"/>
    <w:rsid w:val="00424F9D"/>
    <w:rsid w:val="00425490"/>
    <w:rsid w:val="004261DE"/>
    <w:rsid w:val="004264DC"/>
    <w:rsid w:val="004266C6"/>
    <w:rsid w:val="004268AD"/>
    <w:rsid w:val="00427036"/>
    <w:rsid w:val="0042710D"/>
    <w:rsid w:val="004279BE"/>
    <w:rsid w:val="00427C4B"/>
    <w:rsid w:val="0043051D"/>
    <w:rsid w:val="004305A7"/>
    <w:rsid w:val="00430FAD"/>
    <w:rsid w:val="00431B08"/>
    <w:rsid w:val="00432381"/>
    <w:rsid w:val="00434011"/>
    <w:rsid w:val="004343A0"/>
    <w:rsid w:val="0043445E"/>
    <w:rsid w:val="004353EF"/>
    <w:rsid w:val="004355FE"/>
    <w:rsid w:val="004365B4"/>
    <w:rsid w:val="00437118"/>
    <w:rsid w:val="004373E4"/>
    <w:rsid w:val="00440262"/>
    <w:rsid w:val="004406DE"/>
    <w:rsid w:val="00440DAB"/>
    <w:rsid w:val="004414C7"/>
    <w:rsid w:val="00441522"/>
    <w:rsid w:val="0044165F"/>
    <w:rsid w:val="00441A5C"/>
    <w:rsid w:val="00441A87"/>
    <w:rsid w:val="0044218C"/>
    <w:rsid w:val="00442A3B"/>
    <w:rsid w:val="00444075"/>
    <w:rsid w:val="004444D1"/>
    <w:rsid w:val="00444F03"/>
    <w:rsid w:val="00445011"/>
    <w:rsid w:val="00445078"/>
    <w:rsid w:val="0044597C"/>
    <w:rsid w:val="00445AD3"/>
    <w:rsid w:val="00445E06"/>
    <w:rsid w:val="00445F12"/>
    <w:rsid w:val="0044610F"/>
    <w:rsid w:val="004463E6"/>
    <w:rsid w:val="00447237"/>
    <w:rsid w:val="00447453"/>
    <w:rsid w:val="004500D4"/>
    <w:rsid w:val="004517EC"/>
    <w:rsid w:val="004520D2"/>
    <w:rsid w:val="004522A9"/>
    <w:rsid w:val="004525B6"/>
    <w:rsid w:val="004525F0"/>
    <w:rsid w:val="00454798"/>
    <w:rsid w:val="004547BC"/>
    <w:rsid w:val="00454DC4"/>
    <w:rsid w:val="00455026"/>
    <w:rsid w:val="00455133"/>
    <w:rsid w:val="0045535C"/>
    <w:rsid w:val="00455889"/>
    <w:rsid w:val="00455C23"/>
    <w:rsid w:val="004569AD"/>
    <w:rsid w:val="00456A45"/>
    <w:rsid w:val="00457784"/>
    <w:rsid w:val="0045791B"/>
    <w:rsid w:val="004579D0"/>
    <w:rsid w:val="00457A9E"/>
    <w:rsid w:val="00457EE0"/>
    <w:rsid w:val="0046087B"/>
    <w:rsid w:val="004616C1"/>
    <w:rsid w:val="0046243D"/>
    <w:rsid w:val="00462F32"/>
    <w:rsid w:val="00462FA0"/>
    <w:rsid w:val="004637E0"/>
    <w:rsid w:val="00463DB8"/>
    <w:rsid w:val="00464507"/>
    <w:rsid w:val="0046485E"/>
    <w:rsid w:val="00464984"/>
    <w:rsid w:val="00464E64"/>
    <w:rsid w:val="00464FA8"/>
    <w:rsid w:val="004658F2"/>
    <w:rsid w:val="00465D32"/>
    <w:rsid w:val="00466381"/>
    <w:rsid w:val="00466427"/>
    <w:rsid w:val="0046660F"/>
    <w:rsid w:val="00470F76"/>
    <w:rsid w:val="00471349"/>
    <w:rsid w:val="00471567"/>
    <w:rsid w:val="0047174B"/>
    <w:rsid w:val="004727EC"/>
    <w:rsid w:val="0047349D"/>
    <w:rsid w:val="0047378C"/>
    <w:rsid w:val="00473CD3"/>
    <w:rsid w:val="0047465E"/>
    <w:rsid w:val="00474997"/>
    <w:rsid w:val="00474E3F"/>
    <w:rsid w:val="0047561A"/>
    <w:rsid w:val="004772AB"/>
    <w:rsid w:val="004774BE"/>
    <w:rsid w:val="0047791D"/>
    <w:rsid w:val="00477E77"/>
    <w:rsid w:val="00477EB2"/>
    <w:rsid w:val="00480F28"/>
    <w:rsid w:val="004816BF"/>
    <w:rsid w:val="00482A83"/>
    <w:rsid w:val="004838EB"/>
    <w:rsid w:val="004842E4"/>
    <w:rsid w:val="004845AD"/>
    <w:rsid w:val="00484614"/>
    <w:rsid w:val="00485115"/>
    <w:rsid w:val="0048546E"/>
    <w:rsid w:val="0048597B"/>
    <w:rsid w:val="00485A57"/>
    <w:rsid w:val="00485FDD"/>
    <w:rsid w:val="00486355"/>
    <w:rsid w:val="00486BBC"/>
    <w:rsid w:val="004874D4"/>
    <w:rsid w:val="00487EB8"/>
    <w:rsid w:val="0049011A"/>
    <w:rsid w:val="00490AC8"/>
    <w:rsid w:val="00490C23"/>
    <w:rsid w:val="00490CC4"/>
    <w:rsid w:val="004914C3"/>
    <w:rsid w:val="00491A55"/>
    <w:rsid w:val="00491A6D"/>
    <w:rsid w:val="00491C58"/>
    <w:rsid w:val="004927D0"/>
    <w:rsid w:val="004936AA"/>
    <w:rsid w:val="00493E72"/>
    <w:rsid w:val="00494486"/>
    <w:rsid w:val="00495B77"/>
    <w:rsid w:val="00495E31"/>
    <w:rsid w:val="004968A1"/>
    <w:rsid w:val="00496F2E"/>
    <w:rsid w:val="004979E2"/>
    <w:rsid w:val="00497C0E"/>
    <w:rsid w:val="004A0C55"/>
    <w:rsid w:val="004A108F"/>
    <w:rsid w:val="004A1474"/>
    <w:rsid w:val="004A1E7F"/>
    <w:rsid w:val="004A2D71"/>
    <w:rsid w:val="004A3726"/>
    <w:rsid w:val="004A37A8"/>
    <w:rsid w:val="004A3DCF"/>
    <w:rsid w:val="004A44EE"/>
    <w:rsid w:val="004A44F5"/>
    <w:rsid w:val="004A4BCF"/>
    <w:rsid w:val="004A4F4A"/>
    <w:rsid w:val="004A552D"/>
    <w:rsid w:val="004A58C1"/>
    <w:rsid w:val="004A5BF1"/>
    <w:rsid w:val="004A6039"/>
    <w:rsid w:val="004A6AE3"/>
    <w:rsid w:val="004A6B82"/>
    <w:rsid w:val="004A6E68"/>
    <w:rsid w:val="004A737E"/>
    <w:rsid w:val="004A76DE"/>
    <w:rsid w:val="004B0075"/>
    <w:rsid w:val="004B115B"/>
    <w:rsid w:val="004B1E75"/>
    <w:rsid w:val="004B1FBA"/>
    <w:rsid w:val="004B2083"/>
    <w:rsid w:val="004B24C6"/>
    <w:rsid w:val="004B2C69"/>
    <w:rsid w:val="004B3994"/>
    <w:rsid w:val="004B39B7"/>
    <w:rsid w:val="004B446B"/>
    <w:rsid w:val="004B5662"/>
    <w:rsid w:val="004B5EA4"/>
    <w:rsid w:val="004B643B"/>
    <w:rsid w:val="004B6695"/>
    <w:rsid w:val="004B6803"/>
    <w:rsid w:val="004B6F60"/>
    <w:rsid w:val="004B7A75"/>
    <w:rsid w:val="004C0308"/>
    <w:rsid w:val="004C075D"/>
    <w:rsid w:val="004C12C2"/>
    <w:rsid w:val="004C138C"/>
    <w:rsid w:val="004C1C99"/>
    <w:rsid w:val="004C2390"/>
    <w:rsid w:val="004C300A"/>
    <w:rsid w:val="004C3636"/>
    <w:rsid w:val="004C3C39"/>
    <w:rsid w:val="004C3F4C"/>
    <w:rsid w:val="004C42A5"/>
    <w:rsid w:val="004C4513"/>
    <w:rsid w:val="004C4E7B"/>
    <w:rsid w:val="004C4F06"/>
    <w:rsid w:val="004C513E"/>
    <w:rsid w:val="004C530E"/>
    <w:rsid w:val="004C5417"/>
    <w:rsid w:val="004C54D0"/>
    <w:rsid w:val="004C57FD"/>
    <w:rsid w:val="004C6C26"/>
    <w:rsid w:val="004C79DA"/>
    <w:rsid w:val="004C7E29"/>
    <w:rsid w:val="004D0002"/>
    <w:rsid w:val="004D00D0"/>
    <w:rsid w:val="004D0585"/>
    <w:rsid w:val="004D0EA8"/>
    <w:rsid w:val="004D1DF7"/>
    <w:rsid w:val="004D2D2E"/>
    <w:rsid w:val="004D3039"/>
    <w:rsid w:val="004D328E"/>
    <w:rsid w:val="004D3323"/>
    <w:rsid w:val="004D3A3B"/>
    <w:rsid w:val="004D3BE2"/>
    <w:rsid w:val="004D3F4D"/>
    <w:rsid w:val="004D43E9"/>
    <w:rsid w:val="004D44EF"/>
    <w:rsid w:val="004D46B8"/>
    <w:rsid w:val="004D47B6"/>
    <w:rsid w:val="004D4D67"/>
    <w:rsid w:val="004D4E65"/>
    <w:rsid w:val="004D50AF"/>
    <w:rsid w:val="004D5230"/>
    <w:rsid w:val="004D53EB"/>
    <w:rsid w:val="004D58EB"/>
    <w:rsid w:val="004D662F"/>
    <w:rsid w:val="004D682F"/>
    <w:rsid w:val="004E021B"/>
    <w:rsid w:val="004E0244"/>
    <w:rsid w:val="004E054C"/>
    <w:rsid w:val="004E05CD"/>
    <w:rsid w:val="004E0F6B"/>
    <w:rsid w:val="004E2283"/>
    <w:rsid w:val="004E289E"/>
    <w:rsid w:val="004E3218"/>
    <w:rsid w:val="004E38F6"/>
    <w:rsid w:val="004E5523"/>
    <w:rsid w:val="004E6028"/>
    <w:rsid w:val="004E65C3"/>
    <w:rsid w:val="004E6A95"/>
    <w:rsid w:val="004E71E2"/>
    <w:rsid w:val="004E78D1"/>
    <w:rsid w:val="004F1350"/>
    <w:rsid w:val="004F1C2F"/>
    <w:rsid w:val="004F23D3"/>
    <w:rsid w:val="004F2506"/>
    <w:rsid w:val="004F2CE2"/>
    <w:rsid w:val="004F3367"/>
    <w:rsid w:val="004F37F0"/>
    <w:rsid w:val="004F3851"/>
    <w:rsid w:val="004F38C2"/>
    <w:rsid w:val="004F3BC4"/>
    <w:rsid w:val="004F4151"/>
    <w:rsid w:val="004F45C0"/>
    <w:rsid w:val="004F49D9"/>
    <w:rsid w:val="004F507C"/>
    <w:rsid w:val="004F538E"/>
    <w:rsid w:val="004F5629"/>
    <w:rsid w:val="004F6776"/>
    <w:rsid w:val="004F697F"/>
    <w:rsid w:val="004F74F0"/>
    <w:rsid w:val="005000BE"/>
    <w:rsid w:val="00500CFB"/>
    <w:rsid w:val="00500D60"/>
    <w:rsid w:val="00500ED9"/>
    <w:rsid w:val="005017B0"/>
    <w:rsid w:val="00502290"/>
    <w:rsid w:val="005022CD"/>
    <w:rsid w:val="00502A7F"/>
    <w:rsid w:val="00502B97"/>
    <w:rsid w:val="00503F83"/>
    <w:rsid w:val="0050461A"/>
    <w:rsid w:val="00504E34"/>
    <w:rsid w:val="00505ACB"/>
    <w:rsid w:val="00505D59"/>
    <w:rsid w:val="0050659F"/>
    <w:rsid w:val="00506969"/>
    <w:rsid w:val="00506C13"/>
    <w:rsid w:val="005070FE"/>
    <w:rsid w:val="00507650"/>
    <w:rsid w:val="005076B5"/>
    <w:rsid w:val="00507714"/>
    <w:rsid w:val="00507857"/>
    <w:rsid w:val="00507BC9"/>
    <w:rsid w:val="005113D7"/>
    <w:rsid w:val="005114C2"/>
    <w:rsid w:val="0051197A"/>
    <w:rsid w:val="005119B0"/>
    <w:rsid w:val="005122CD"/>
    <w:rsid w:val="0051260B"/>
    <w:rsid w:val="005135D4"/>
    <w:rsid w:val="00514C44"/>
    <w:rsid w:val="005158EB"/>
    <w:rsid w:val="00515F70"/>
    <w:rsid w:val="0051693B"/>
    <w:rsid w:val="00516E92"/>
    <w:rsid w:val="0052021E"/>
    <w:rsid w:val="005203E9"/>
    <w:rsid w:val="00520914"/>
    <w:rsid w:val="00520BEC"/>
    <w:rsid w:val="00520F4A"/>
    <w:rsid w:val="00521109"/>
    <w:rsid w:val="0052129C"/>
    <w:rsid w:val="005219B2"/>
    <w:rsid w:val="00521B15"/>
    <w:rsid w:val="00522175"/>
    <w:rsid w:val="00524091"/>
    <w:rsid w:val="00524D40"/>
    <w:rsid w:val="0052534E"/>
    <w:rsid w:val="00525A8D"/>
    <w:rsid w:val="00525BE1"/>
    <w:rsid w:val="00525D60"/>
    <w:rsid w:val="00526491"/>
    <w:rsid w:val="00526B0D"/>
    <w:rsid w:val="00526CD6"/>
    <w:rsid w:val="00526E4B"/>
    <w:rsid w:val="00526FC1"/>
    <w:rsid w:val="00527B1E"/>
    <w:rsid w:val="0053030A"/>
    <w:rsid w:val="0053053D"/>
    <w:rsid w:val="00530C13"/>
    <w:rsid w:val="00530E92"/>
    <w:rsid w:val="00531667"/>
    <w:rsid w:val="00532DB0"/>
    <w:rsid w:val="0053313F"/>
    <w:rsid w:val="005333FF"/>
    <w:rsid w:val="00533A5F"/>
    <w:rsid w:val="00533CF4"/>
    <w:rsid w:val="005340E1"/>
    <w:rsid w:val="00534872"/>
    <w:rsid w:val="00534BA4"/>
    <w:rsid w:val="00536064"/>
    <w:rsid w:val="00540597"/>
    <w:rsid w:val="005408B2"/>
    <w:rsid w:val="00541213"/>
    <w:rsid w:val="00542842"/>
    <w:rsid w:val="005429FB"/>
    <w:rsid w:val="00542B3D"/>
    <w:rsid w:val="005439C1"/>
    <w:rsid w:val="005441EF"/>
    <w:rsid w:val="005442D1"/>
    <w:rsid w:val="005448B9"/>
    <w:rsid w:val="00545071"/>
    <w:rsid w:val="0054561A"/>
    <w:rsid w:val="00545622"/>
    <w:rsid w:val="005460E7"/>
    <w:rsid w:val="00546218"/>
    <w:rsid w:val="00546A5C"/>
    <w:rsid w:val="00546C23"/>
    <w:rsid w:val="0054720F"/>
    <w:rsid w:val="00550745"/>
    <w:rsid w:val="0055082E"/>
    <w:rsid w:val="00550D4E"/>
    <w:rsid w:val="00551F1B"/>
    <w:rsid w:val="00551FFA"/>
    <w:rsid w:val="00552999"/>
    <w:rsid w:val="00552B7E"/>
    <w:rsid w:val="005530A0"/>
    <w:rsid w:val="005537CE"/>
    <w:rsid w:val="0055469A"/>
    <w:rsid w:val="005551AA"/>
    <w:rsid w:val="00555EBD"/>
    <w:rsid w:val="0055617B"/>
    <w:rsid w:val="0055629F"/>
    <w:rsid w:val="00556DEA"/>
    <w:rsid w:val="00557EB2"/>
    <w:rsid w:val="00557F5E"/>
    <w:rsid w:val="00560145"/>
    <w:rsid w:val="005602A8"/>
    <w:rsid w:val="00560996"/>
    <w:rsid w:val="00560D19"/>
    <w:rsid w:val="005611D2"/>
    <w:rsid w:val="00561928"/>
    <w:rsid w:val="00561B4F"/>
    <w:rsid w:val="00562C1B"/>
    <w:rsid w:val="00563689"/>
    <w:rsid w:val="0056450F"/>
    <w:rsid w:val="00564CBE"/>
    <w:rsid w:val="0056561B"/>
    <w:rsid w:val="00565B92"/>
    <w:rsid w:val="005663E4"/>
    <w:rsid w:val="0056752D"/>
    <w:rsid w:val="00567C13"/>
    <w:rsid w:val="00567F3C"/>
    <w:rsid w:val="00570D6C"/>
    <w:rsid w:val="00571635"/>
    <w:rsid w:val="00571D28"/>
    <w:rsid w:val="00572A84"/>
    <w:rsid w:val="005734D1"/>
    <w:rsid w:val="00573669"/>
    <w:rsid w:val="00574974"/>
    <w:rsid w:val="00574ECA"/>
    <w:rsid w:val="00575F67"/>
    <w:rsid w:val="0057605B"/>
    <w:rsid w:val="0057641D"/>
    <w:rsid w:val="005766EE"/>
    <w:rsid w:val="005768FF"/>
    <w:rsid w:val="00576C4A"/>
    <w:rsid w:val="0058055C"/>
    <w:rsid w:val="0058094E"/>
    <w:rsid w:val="005813A4"/>
    <w:rsid w:val="00581673"/>
    <w:rsid w:val="0058190C"/>
    <w:rsid w:val="00581A7A"/>
    <w:rsid w:val="00582A74"/>
    <w:rsid w:val="00582C96"/>
    <w:rsid w:val="00583C7E"/>
    <w:rsid w:val="00584183"/>
    <w:rsid w:val="005849F6"/>
    <w:rsid w:val="00584BF8"/>
    <w:rsid w:val="00584D82"/>
    <w:rsid w:val="00585651"/>
    <w:rsid w:val="0058713C"/>
    <w:rsid w:val="005872BA"/>
    <w:rsid w:val="005873A7"/>
    <w:rsid w:val="00587A2D"/>
    <w:rsid w:val="005912BE"/>
    <w:rsid w:val="005912F1"/>
    <w:rsid w:val="00591BF7"/>
    <w:rsid w:val="005924B0"/>
    <w:rsid w:val="005925AF"/>
    <w:rsid w:val="0059273E"/>
    <w:rsid w:val="00593B31"/>
    <w:rsid w:val="00593BD5"/>
    <w:rsid w:val="0059442F"/>
    <w:rsid w:val="0059533F"/>
    <w:rsid w:val="00595E0A"/>
    <w:rsid w:val="005964CF"/>
    <w:rsid w:val="005A0427"/>
    <w:rsid w:val="005A0593"/>
    <w:rsid w:val="005A0C54"/>
    <w:rsid w:val="005A12E9"/>
    <w:rsid w:val="005A1843"/>
    <w:rsid w:val="005A21D6"/>
    <w:rsid w:val="005A2250"/>
    <w:rsid w:val="005A22EF"/>
    <w:rsid w:val="005A241F"/>
    <w:rsid w:val="005A299A"/>
    <w:rsid w:val="005A2A9F"/>
    <w:rsid w:val="005A2FCF"/>
    <w:rsid w:val="005A3408"/>
    <w:rsid w:val="005A3924"/>
    <w:rsid w:val="005A3A34"/>
    <w:rsid w:val="005A3FC9"/>
    <w:rsid w:val="005A4BF9"/>
    <w:rsid w:val="005A5573"/>
    <w:rsid w:val="005A5A2D"/>
    <w:rsid w:val="005A5B52"/>
    <w:rsid w:val="005A63D8"/>
    <w:rsid w:val="005A69C8"/>
    <w:rsid w:val="005A6B89"/>
    <w:rsid w:val="005A77FE"/>
    <w:rsid w:val="005A786B"/>
    <w:rsid w:val="005A7893"/>
    <w:rsid w:val="005A7E5A"/>
    <w:rsid w:val="005B0CAD"/>
    <w:rsid w:val="005B207C"/>
    <w:rsid w:val="005B20DE"/>
    <w:rsid w:val="005B2795"/>
    <w:rsid w:val="005B37DB"/>
    <w:rsid w:val="005B3C8B"/>
    <w:rsid w:val="005B3D30"/>
    <w:rsid w:val="005B479E"/>
    <w:rsid w:val="005B4DD6"/>
    <w:rsid w:val="005B5D70"/>
    <w:rsid w:val="005B647F"/>
    <w:rsid w:val="005B7749"/>
    <w:rsid w:val="005B7973"/>
    <w:rsid w:val="005B7CF1"/>
    <w:rsid w:val="005C0B9B"/>
    <w:rsid w:val="005C1580"/>
    <w:rsid w:val="005C18A8"/>
    <w:rsid w:val="005C18E7"/>
    <w:rsid w:val="005C2273"/>
    <w:rsid w:val="005C28DC"/>
    <w:rsid w:val="005C2C85"/>
    <w:rsid w:val="005C2D89"/>
    <w:rsid w:val="005C35F0"/>
    <w:rsid w:val="005C362B"/>
    <w:rsid w:val="005C3724"/>
    <w:rsid w:val="005C3BB6"/>
    <w:rsid w:val="005C3C2C"/>
    <w:rsid w:val="005C5611"/>
    <w:rsid w:val="005C5ACA"/>
    <w:rsid w:val="005C5B27"/>
    <w:rsid w:val="005C6402"/>
    <w:rsid w:val="005C698E"/>
    <w:rsid w:val="005C72CF"/>
    <w:rsid w:val="005C7419"/>
    <w:rsid w:val="005D1711"/>
    <w:rsid w:val="005D19F8"/>
    <w:rsid w:val="005D1BD0"/>
    <w:rsid w:val="005D1DA4"/>
    <w:rsid w:val="005D2122"/>
    <w:rsid w:val="005D221F"/>
    <w:rsid w:val="005D2993"/>
    <w:rsid w:val="005D35B6"/>
    <w:rsid w:val="005D37D9"/>
    <w:rsid w:val="005D414A"/>
    <w:rsid w:val="005D47DA"/>
    <w:rsid w:val="005D49A3"/>
    <w:rsid w:val="005D4A58"/>
    <w:rsid w:val="005D5654"/>
    <w:rsid w:val="005D5D48"/>
    <w:rsid w:val="005D751C"/>
    <w:rsid w:val="005D7FC1"/>
    <w:rsid w:val="005E126F"/>
    <w:rsid w:val="005E2609"/>
    <w:rsid w:val="005E2EEC"/>
    <w:rsid w:val="005E3B68"/>
    <w:rsid w:val="005E3C1F"/>
    <w:rsid w:val="005E3C41"/>
    <w:rsid w:val="005E4402"/>
    <w:rsid w:val="005E4ED7"/>
    <w:rsid w:val="005E5272"/>
    <w:rsid w:val="005E5574"/>
    <w:rsid w:val="005E5F87"/>
    <w:rsid w:val="005E67B2"/>
    <w:rsid w:val="005E6E0C"/>
    <w:rsid w:val="005E7014"/>
    <w:rsid w:val="005E72D9"/>
    <w:rsid w:val="005E75D3"/>
    <w:rsid w:val="005E7679"/>
    <w:rsid w:val="005E7BC3"/>
    <w:rsid w:val="005F01C4"/>
    <w:rsid w:val="005F034E"/>
    <w:rsid w:val="005F0DA8"/>
    <w:rsid w:val="005F0DB3"/>
    <w:rsid w:val="005F1011"/>
    <w:rsid w:val="005F101E"/>
    <w:rsid w:val="005F1763"/>
    <w:rsid w:val="005F2917"/>
    <w:rsid w:val="005F2D1E"/>
    <w:rsid w:val="005F2F4A"/>
    <w:rsid w:val="005F3700"/>
    <w:rsid w:val="005F3895"/>
    <w:rsid w:val="005F3976"/>
    <w:rsid w:val="005F3F53"/>
    <w:rsid w:val="005F43FD"/>
    <w:rsid w:val="005F45C3"/>
    <w:rsid w:val="005F45DD"/>
    <w:rsid w:val="005F4C78"/>
    <w:rsid w:val="005F4D5E"/>
    <w:rsid w:val="005F6B54"/>
    <w:rsid w:val="005F6D18"/>
    <w:rsid w:val="005F7060"/>
    <w:rsid w:val="005F710E"/>
    <w:rsid w:val="005F73D1"/>
    <w:rsid w:val="005F754B"/>
    <w:rsid w:val="005F7771"/>
    <w:rsid w:val="005F794B"/>
    <w:rsid w:val="005F7FFB"/>
    <w:rsid w:val="00600874"/>
    <w:rsid w:val="00600C08"/>
    <w:rsid w:val="006011D2"/>
    <w:rsid w:val="00601248"/>
    <w:rsid w:val="0060155E"/>
    <w:rsid w:val="00601CFD"/>
    <w:rsid w:val="00601E27"/>
    <w:rsid w:val="00601E93"/>
    <w:rsid w:val="00601F9A"/>
    <w:rsid w:val="0060208A"/>
    <w:rsid w:val="0060368E"/>
    <w:rsid w:val="006047C2"/>
    <w:rsid w:val="00605151"/>
    <w:rsid w:val="00605888"/>
    <w:rsid w:val="00605928"/>
    <w:rsid w:val="00606A6A"/>
    <w:rsid w:val="00606BD7"/>
    <w:rsid w:val="00607099"/>
    <w:rsid w:val="00607301"/>
    <w:rsid w:val="00607CF4"/>
    <w:rsid w:val="00607DE0"/>
    <w:rsid w:val="00610436"/>
    <w:rsid w:val="006104A6"/>
    <w:rsid w:val="00610B5B"/>
    <w:rsid w:val="00610F81"/>
    <w:rsid w:val="0061252B"/>
    <w:rsid w:val="00613725"/>
    <w:rsid w:val="00614826"/>
    <w:rsid w:val="00614940"/>
    <w:rsid w:val="00615B5B"/>
    <w:rsid w:val="00615F03"/>
    <w:rsid w:val="00615F17"/>
    <w:rsid w:val="006167C1"/>
    <w:rsid w:val="00616AF8"/>
    <w:rsid w:val="00617597"/>
    <w:rsid w:val="0061764C"/>
    <w:rsid w:val="006200E4"/>
    <w:rsid w:val="00620C63"/>
    <w:rsid w:val="00620E92"/>
    <w:rsid w:val="0062137E"/>
    <w:rsid w:val="00621A17"/>
    <w:rsid w:val="00621C8E"/>
    <w:rsid w:val="0062213F"/>
    <w:rsid w:val="00622709"/>
    <w:rsid w:val="0062293A"/>
    <w:rsid w:val="00622FBE"/>
    <w:rsid w:val="0062377D"/>
    <w:rsid w:val="00623DBD"/>
    <w:rsid w:val="00623F96"/>
    <w:rsid w:val="0062410B"/>
    <w:rsid w:val="006241C8"/>
    <w:rsid w:val="006243B9"/>
    <w:rsid w:val="00625557"/>
    <w:rsid w:val="006256AB"/>
    <w:rsid w:val="00626422"/>
    <w:rsid w:val="006264AB"/>
    <w:rsid w:val="0062695A"/>
    <w:rsid w:val="0062734E"/>
    <w:rsid w:val="00630257"/>
    <w:rsid w:val="0063049F"/>
    <w:rsid w:val="00630EE9"/>
    <w:rsid w:val="00631D32"/>
    <w:rsid w:val="00631D77"/>
    <w:rsid w:val="00631F3B"/>
    <w:rsid w:val="00632CB1"/>
    <w:rsid w:val="00634584"/>
    <w:rsid w:val="00634704"/>
    <w:rsid w:val="00635657"/>
    <w:rsid w:val="00636025"/>
    <w:rsid w:val="006364EF"/>
    <w:rsid w:val="006367AF"/>
    <w:rsid w:val="00636BB9"/>
    <w:rsid w:val="0063701B"/>
    <w:rsid w:val="0063752A"/>
    <w:rsid w:val="00637809"/>
    <w:rsid w:val="00637A73"/>
    <w:rsid w:val="006401CA"/>
    <w:rsid w:val="00640D67"/>
    <w:rsid w:val="006412AF"/>
    <w:rsid w:val="00641306"/>
    <w:rsid w:val="00641374"/>
    <w:rsid w:val="00641A4C"/>
    <w:rsid w:val="00641E51"/>
    <w:rsid w:val="00642AAA"/>
    <w:rsid w:val="0064365A"/>
    <w:rsid w:val="00643785"/>
    <w:rsid w:val="00643C4C"/>
    <w:rsid w:val="00643DA7"/>
    <w:rsid w:val="00644388"/>
    <w:rsid w:val="00644A60"/>
    <w:rsid w:val="00644E56"/>
    <w:rsid w:val="00644F1C"/>
    <w:rsid w:val="0064562A"/>
    <w:rsid w:val="00646420"/>
    <w:rsid w:val="00646CC2"/>
    <w:rsid w:val="006470CB"/>
    <w:rsid w:val="006471C4"/>
    <w:rsid w:val="0064795E"/>
    <w:rsid w:val="00647D8B"/>
    <w:rsid w:val="00647ECB"/>
    <w:rsid w:val="0065027F"/>
    <w:rsid w:val="006506AA"/>
    <w:rsid w:val="00650F24"/>
    <w:rsid w:val="00650F3F"/>
    <w:rsid w:val="006513E6"/>
    <w:rsid w:val="006516F1"/>
    <w:rsid w:val="006518BA"/>
    <w:rsid w:val="00651F63"/>
    <w:rsid w:val="006527D3"/>
    <w:rsid w:val="00652B62"/>
    <w:rsid w:val="006533DB"/>
    <w:rsid w:val="00654268"/>
    <w:rsid w:val="006555FF"/>
    <w:rsid w:val="00655673"/>
    <w:rsid w:val="00655B81"/>
    <w:rsid w:val="00656100"/>
    <w:rsid w:val="006561C4"/>
    <w:rsid w:val="006564BD"/>
    <w:rsid w:val="00656B72"/>
    <w:rsid w:val="00656D5B"/>
    <w:rsid w:val="00656EFF"/>
    <w:rsid w:val="00656FD4"/>
    <w:rsid w:val="00657C46"/>
    <w:rsid w:val="00657CE1"/>
    <w:rsid w:val="00657D06"/>
    <w:rsid w:val="006606D1"/>
    <w:rsid w:val="0066080D"/>
    <w:rsid w:val="006610B3"/>
    <w:rsid w:val="00662124"/>
    <w:rsid w:val="00662953"/>
    <w:rsid w:val="00662DD5"/>
    <w:rsid w:val="00663167"/>
    <w:rsid w:val="006632F5"/>
    <w:rsid w:val="00663DFB"/>
    <w:rsid w:val="006642B1"/>
    <w:rsid w:val="00664454"/>
    <w:rsid w:val="00664470"/>
    <w:rsid w:val="00664590"/>
    <w:rsid w:val="00664692"/>
    <w:rsid w:val="006649CF"/>
    <w:rsid w:val="00665375"/>
    <w:rsid w:val="0066562B"/>
    <w:rsid w:val="00665807"/>
    <w:rsid w:val="0066630F"/>
    <w:rsid w:val="00666D5F"/>
    <w:rsid w:val="00667D24"/>
    <w:rsid w:val="00670E36"/>
    <w:rsid w:val="006715DB"/>
    <w:rsid w:val="0067255B"/>
    <w:rsid w:val="00672D26"/>
    <w:rsid w:val="00672F18"/>
    <w:rsid w:val="006732D5"/>
    <w:rsid w:val="00673FE5"/>
    <w:rsid w:val="00674326"/>
    <w:rsid w:val="006749F4"/>
    <w:rsid w:val="0067538E"/>
    <w:rsid w:val="00675E1B"/>
    <w:rsid w:val="00675E9C"/>
    <w:rsid w:val="00676A62"/>
    <w:rsid w:val="00676B31"/>
    <w:rsid w:val="00677973"/>
    <w:rsid w:val="00677AE9"/>
    <w:rsid w:val="006804E6"/>
    <w:rsid w:val="00680AE4"/>
    <w:rsid w:val="00680D48"/>
    <w:rsid w:val="00681257"/>
    <w:rsid w:val="00681DC7"/>
    <w:rsid w:val="006824B6"/>
    <w:rsid w:val="0068250F"/>
    <w:rsid w:val="006825A8"/>
    <w:rsid w:val="00682A75"/>
    <w:rsid w:val="00682B65"/>
    <w:rsid w:val="00683391"/>
    <w:rsid w:val="00683499"/>
    <w:rsid w:val="0068351E"/>
    <w:rsid w:val="00683FC1"/>
    <w:rsid w:val="006847BD"/>
    <w:rsid w:val="00684F89"/>
    <w:rsid w:val="00685BBC"/>
    <w:rsid w:val="00685BBE"/>
    <w:rsid w:val="006861E9"/>
    <w:rsid w:val="00687240"/>
    <w:rsid w:val="0069071A"/>
    <w:rsid w:val="006913A7"/>
    <w:rsid w:val="006914C7"/>
    <w:rsid w:val="00692E9C"/>
    <w:rsid w:val="006932B3"/>
    <w:rsid w:val="00693547"/>
    <w:rsid w:val="00693F49"/>
    <w:rsid w:val="00694FE1"/>
    <w:rsid w:val="0069524B"/>
    <w:rsid w:val="006957C6"/>
    <w:rsid w:val="00695F5D"/>
    <w:rsid w:val="0069656A"/>
    <w:rsid w:val="00696D32"/>
    <w:rsid w:val="006979F2"/>
    <w:rsid w:val="00697F48"/>
    <w:rsid w:val="006A035A"/>
    <w:rsid w:val="006A16F3"/>
    <w:rsid w:val="006A17C7"/>
    <w:rsid w:val="006A18EF"/>
    <w:rsid w:val="006A227A"/>
    <w:rsid w:val="006A267F"/>
    <w:rsid w:val="006A2783"/>
    <w:rsid w:val="006A2961"/>
    <w:rsid w:val="006A2F6A"/>
    <w:rsid w:val="006A3B61"/>
    <w:rsid w:val="006A3B9A"/>
    <w:rsid w:val="006A46B0"/>
    <w:rsid w:val="006A54B3"/>
    <w:rsid w:val="006A552D"/>
    <w:rsid w:val="006A62ED"/>
    <w:rsid w:val="006A721B"/>
    <w:rsid w:val="006A7377"/>
    <w:rsid w:val="006A7FDA"/>
    <w:rsid w:val="006B03A8"/>
    <w:rsid w:val="006B0688"/>
    <w:rsid w:val="006B1786"/>
    <w:rsid w:val="006B189C"/>
    <w:rsid w:val="006B1D43"/>
    <w:rsid w:val="006B24AF"/>
    <w:rsid w:val="006B316E"/>
    <w:rsid w:val="006B364D"/>
    <w:rsid w:val="006B3749"/>
    <w:rsid w:val="006B376C"/>
    <w:rsid w:val="006B4192"/>
    <w:rsid w:val="006B4E85"/>
    <w:rsid w:val="006B4F3E"/>
    <w:rsid w:val="006B52AD"/>
    <w:rsid w:val="006B5F91"/>
    <w:rsid w:val="006B69E5"/>
    <w:rsid w:val="006B6C51"/>
    <w:rsid w:val="006B701F"/>
    <w:rsid w:val="006B7710"/>
    <w:rsid w:val="006B789B"/>
    <w:rsid w:val="006B7B48"/>
    <w:rsid w:val="006C01CD"/>
    <w:rsid w:val="006C08F8"/>
    <w:rsid w:val="006C0C04"/>
    <w:rsid w:val="006C129D"/>
    <w:rsid w:val="006C1453"/>
    <w:rsid w:val="006C1E8E"/>
    <w:rsid w:val="006C25C9"/>
    <w:rsid w:val="006C27E5"/>
    <w:rsid w:val="006C2CA5"/>
    <w:rsid w:val="006C35CC"/>
    <w:rsid w:val="006C397A"/>
    <w:rsid w:val="006C47EF"/>
    <w:rsid w:val="006C4925"/>
    <w:rsid w:val="006C724D"/>
    <w:rsid w:val="006C758A"/>
    <w:rsid w:val="006C7C36"/>
    <w:rsid w:val="006D0036"/>
    <w:rsid w:val="006D05DE"/>
    <w:rsid w:val="006D075F"/>
    <w:rsid w:val="006D0A7D"/>
    <w:rsid w:val="006D2609"/>
    <w:rsid w:val="006D3CE1"/>
    <w:rsid w:val="006D43F7"/>
    <w:rsid w:val="006D4F87"/>
    <w:rsid w:val="006D5280"/>
    <w:rsid w:val="006D55C4"/>
    <w:rsid w:val="006D578A"/>
    <w:rsid w:val="006D59F3"/>
    <w:rsid w:val="006D61DB"/>
    <w:rsid w:val="006D6C72"/>
    <w:rsid w:val="006D7AF4"/>
    <w:rsid w:val="006D7D68"/>
    <w:rsid w:val="006D7E81"/>
    <w:rsid w:val="006E0BF0"/>
    <w:rsid w:val="006E10E2"/>
    <w:rsid w:val="006E1A79"/>
    <w:rsid w:val="006E1ECA"/>
    <w:rsid w:val="006E22D3"/>
    <w:rsid w:val="006E26F8"/>
    <w:rsid w:val="006E287D"/>
    <w:rsid w:val="006E29F8"/>
    <w:rsid w:val="006E2B57"/>
    <w:rsid w:val="006E2C76"/>
    <w:rsid w:val="006E31BE"/>
    <w:rsid w:val="006E354B"/>
    <w:rsid w:val="006E3D4F"/>
    <w:rsid w:val="006E46CA"/>
    <w:rsid w:val="006E47AD"/>
    <w:rsid w:val="006E4D09"/>
    <w:rsid w:val="006E4FBD"/>
    <w:rsid w:val="006E6E35"/>
    <w:rsid w:val="006E71B3"/>
    <w:rsid w:val="006E73D8"/>
    <w:rsid w:val="006E7C1B"/>
    <w:rsid w:val="006F057D"/>
    <w:rsid w:val="006F108F"/>
    <w:rsid w:val="006F112F"/>
    <w:rsid w:val="006F1588"/>
    <w:rsid w:val="006F1A18"/>
    <w:rsid w:val="006F1DB0"/>
    <w:rsid w:val="006F2240"/>
    <w:rsid w:val="006F241C"/>
    <w:rsid w:val="006F291E"/>
    <w:rsid w:val="006F316D"/>
    <w:rsid w:val="006F3826"/>
    <w:rsid w:val="006F3949"/>
    <w:rsid w:val="006F39E0"/>
    <w:rsid w:val="006F42A1"/>
    <w:rsid w:val="006F4442"/>
    <w:rsid w:val="006F44A6"/>
    <w:rsid w:val="006F4506"/>
    <w:rsid w:val="006F4F57"/>
    <w:rsid w:val="006F59C9"/>
    <w:rsid w:val="006F5C38"/>
    <w:rsid w:val="006F7EC8"/>
    <w:rsid w:val="007013C1"/>
    <w:rsid w:val="00701419"/>
    <w:rsid w:val="00702179"/>
    <w:rsid w:val="00703244"/>
    <w:rsid w:val="00704083"/>
    <w:rsid w:val="0070417B"/>
    <w:rsid w:val="007045E1"/>
    <w:rsid w:val="00706BBF"/>
    <w:rsid w:val="0070716C"/>
    <w:rsid w:val="0070763D"/>
    <w:rsid w:val="00707DCE"/>
    <w:rsid w:val="007102CD"/>
    <w:rsid w:val="007117F8"/>
    <w:rsid w:val="007118C0"/>
    <w:rsid w:val="00711BBE"/>
    <w:rsid w:val="0071265A"/>
    <w:rsid w:val="00712F53"/>
    <w:rsid w:val="00714371"/>
    <w:rsid w:val="00714796"/>
    <w:rsid w:val="00715B98"/>
    <w:rsid w:val="007162A3"/>
    <w:rsid w:val="00716551"/>
    <w:rsid w:val="0071660D"/>
    <w:rsid w:val="00716930"/>
    <w:rsid w:val="00717BEC"/>
    <w:rsid w:val="00720438"/>
    <w:rsid w:val="00720BCF"/>
    <w:rsid w:val="007213D5"/>
    <w:rsid w:val="007215E3"/>
    <w:rsid w:val="00721CC2"/>
    <w:rsid w:val="00721F2E"/>
    <w:rsid w:val="00722C64"/>
    <w:rsid w:val="00722E25"/>
    <w:rsid w:val="00723041"/>
    <w:rsid w:val="00723221"/>
    <w:rsid w:val="0072325F"/>
    <w:rsid w:val="00723AE6"/>
    <w:rsid w:val="00723FDC"/>
    <w:rsid w:val="00724E88"/>
    <w:rsid w:val="00725368"/>
    <w:rsid w:val="00725952"/>
    <w:rsid w:val="00725ED3"/>
    <w:rsid w:val="007260EF"/>
    <w:rsid w:val="00726740"/>
    <w:rsid w:val="007267F9"/>
    <w:rsid w:val="00726A5B"/>
    <w:rsid w:val="00726E9D"/>
    <w:rsid w:val="00726EE9"/>
    <w:rsid w:val="0072764E"/>
    <w:rsid w:val="0072777E"/>
    <w:rsid w:val="00727A2B"/>
    <w:rsid w:val="00727D47"/>
    <w:rsid w:val="00730527"/>
    <w:rsid w:val="007306AA"/>
    <w:rsid w:val="00731776"/>
    <w:rsid w:val="00732236"/>
    <w:rsid w:val="007325FC"/>
    <w:rsid w:val="007333BA"/>
    <w:rsid w:val="0073348F"/>
    <w:rsid w:val="0073409E"/>
    <w:rsid w:val="00734AAE"/>
    <w:rsid w:val="007351A8"/>
    <w:rsid w:val="0073585E"/>
    <w:rsid w:val="007365A0"/>
    <w:rsid w:val="0073675F"/>
    <w:rsid w:val="00736BF9"/>
    <w:rsid w:val="0073711F"/>
    <w:rsid w:val="00737A37"/>
    <w:rsid w:val="00737D5D"/>
    <w:rsid w:val="00740251"/>
    <w:rsid w:val="00740289"/>
    <w:rsid w:val="00740BE1"/>
    <w:rsid w:val="00740C1A"/>
    <w:rsid w:val="00740F7D"/>
    <w:rsid w:val="0074172C"/>
    <w:rsid w:val="00741975"/>
    <w:rsid w:val="007422CF"/>
    <w:rsid w:val="00742795"/>
    <w:rsid w:val="00742973"/>
    <w:rsid w:val="00742B8B"/>
    <w:rsid w:val="00742D0C"/>
    <w:rsid w:val="00743D2B"/>
    <w:rsid w:val="00744811"/>
    <w:rsid w:val="00744CBF"/>
    <w:rsid w:val="007453C9"/>
    <w:rsid w:val="0074545A"/>
    <w:rsid w:val="007465FF"/>
    <w:rsid w:val="007468D5"/>
    <w:rsid w:val="0074695E"/>
    <w:rsid w:val="00746A52"/>
    <w:rsid w:val="00746B32"/>
    <w:rsid w:val="00746B8F"/>
    <w:rsid w:val="00746BB2"/>
    <w:rsid w:val="007471E3"/>
    <w:rsid w:val="00747E88"/>
    <w:rsid w:val="00747EC6"/>
    <w:rsid w:val="00747FCF"/>
    <w:rsid w:val="00750103"/>
    <w:rsid w:val="00750860"/>
    <w:rsid w:val="00750894"/>
    <w:rsid w:val="00750D87"/>
    <w:rsid w:val="0075103B"/>
    <w:rsid w:val="00751793"/>
    <w:rsid w:val="0075371B"/>
    <w:rsid w:val="007553DE"/>
    <w:rsid w:val="00755905"/>
    <w:rsid w:val="00755FE1"/>
    <w:rsid w:val="00756E03"/>
    <w:rsid w:val="00756E28"/>
    <w:rsid w:val="0076025A"/>
    <w:rsid w:val="00760328"/>
    <w:rsid w:val="007618BD"/>
    <w:rsid w:val="00763116"/>
    <w:rsid w:val="00763A42"/>
    <w:rsid w:val="00763CD0"/>
    <w:rsid w:val="00763EF4"/>
    <w:rsid w:val="00764EC1"/>
    <w:rsid w:val="00765DC0"/>
    <w:rsid w:val="0076639F"/>
    <w:rsid w:val="00766E70"/>
    <w:rsid w:val="00766ECC"/>
    <w:rsid w:val="00767EAF"/>
    <w:rsid w:val="007704F7"/>
    <w:rsid w:val="007709C9"/>
    <w:rsid w:val="00770D7E"/>
    <w:rsid w:val="00771856"/>
    <w:rsid w:val="00771CF7"/>
    <w:rsid w:val="0077254F"/>
    <w:rsid w:val="007727C2"/>
    <w:rsid w:val="007736F8"/>
    <w:rsid w:val="0077373A"/>
    <w:rsid w:val="00773C6F"/>
    <w:rsid w:val="007740FF"/>
    <w:rsid w:val="00774782"/>
    <w:rsid w:val="00774F1F"/>
    <w:rsid w:val="007750BF"/>
    <w:rsid w:val="007751CE"/>
    <w:rsid w:val="00775A69"/>
    <w:rsid w:val="00775B76"/>
    <w:rsid w:val="007761EE"/>
    <w:rsid w:val="007766E8"/>
    <w:rsid w:val="007769E6"/>
    <w:rsid w:val="0077775C"/>
    <w:rsid w:val="00777893"/>
    <w:rsid w:val="007802B5"/>
    <w:rsid w:val="007810CF"/>
    <w:rsid w:val="00781A3F"/>
    <w:rsid w:val="00781E1C"/>
    <w:rsid w:val="00782008"/>
    <w:rsid w:val="0078240C"/>
    <w:rsid w:val="0078250E"/>
    <w:rsid w:val="007829C8"/>
    <w:rsid w:val="007830A6"/>
    <w:rsid w:val="007830DF"/>
    <w:rsid w:val="00784132"/>
    <w:rsid w:val="007845A4"/>
    <w:rsid w:val="00785870"/>
    <w:rsid w:val="007864B5"/>
    <w:rsid w:val="007868FB"/>
    <w:rsid w:val="00786C82"/>
    <w:rsid w:val="007875B3"/>
    <w:rsid w:val="007877D9"/>
    <w:rsid w:val="00787D91"/>
    <w:rsid w:val="00787DB9"/>
    <w:rsid w:val="00787F79"/>
    <w:rsid w:val="0079053A"/>
    <w:rsid w:val="00790A90"/>
    <w:rsid w:val="00790B1D"/>
    <w:rsid w:val="00790B61"/>
    <w:rsid w:val="0079112A"/>
    <w:rsid w:val="00791751"/>
    <w:rsid w:val="00791A46"/>
    <w:rsid w:val="00791F57"/>
    <w:rsid w:val="007920A3"/>
    <w:rsid w:val="007924D2"/>
    <w:rsid w:val="00792A04"/>
    <w:rsid w:val="00793238"/>
    <w:rsid w:val="007935E0"/>
    <w:rsid w:val="00793918"/>
    <w:rsid w:val="00794180"/>
    <w:rsid w:val="00794B76"/>
    <w:rsid w:val="0079500F"/>
    <w:rsid w:val="0079503B"/>
    <w:rsid w:val="0079559A"/>
    <w:rsid w:val="007966F0"/>
    <w:rsid w:val="007968AB"/>
    <w:rsid w:val="00796ADD"/>
    <w:rsid w:val="0079704D"/>
    <w:rsid w:val="007979EB"/>
    <w:rsid w:val="007A01F9"/>
    <w:rsid w:val="007A05BE"/>
    <w:rsid w:val="007A07CB"/>
    <w:rsid w:val="007A116F"/>
    <w:rsid w:val="007A1532"/>
    <w:rsid w:val="007A180A"/>
    <w:rsid w:val="007A1B9A"/>
    <w:rsid w:val="007A211F"/>
    <w:rsid w:val="007A2580"/>
    <w:rsid w:val="007A2C5E"/>
    <w:rsid w:val="007A2CD7"/>
    <w:rsid w:val="007A2D32"/>
    <w:rsid w:val="007A3107"/>
    <w:rsid w:val="007A3656"/>
    <w:rsid w:val="007A394C"/>
    <w:rsid w:val="007A3C57"/>
    <w:rsid w:val="007A4000"/>
    <w:rsid w:val="007A4293"/>
    <w:rsid w:val="007A4925"/>
    <w:rsid w:val="007A4D5A"/>
    <w:rsid w:val="007A55DA"/>
    <w:rsid w:val="007A63E6"/>
    <w:rsid w:val="007A7051"/>
    <w:rsid w:val="007A7E41"/>
    <w:rsid w:val="007A7F1D"/>
    <w:rsid w:val="007B06EF"/>
    <w:rsid w:val="007B0730"/>
    <w:rsid w:val="007B29B4"/>
    <w:rsid w:val="007B2DB2"/>
    <w:rsid w:val="007B3B4D"/>
    <w:rsid w:val="007B3BE2"/>
    <w:rsid w:val="007B3C35"/>
    <w:rsid w:val="007B3EF8"/>
    <w:rsid w:val="007B4B3D"/>
    <w:rsid w:val="007B5019"/>
    <w:rsid w:val="007B5743"/>
    <w:rsid w:val="007B5EA3"/>
    <w:rsid w:val="007B63DD"/>
    <w:rsid w:val="007B6816"/>
    <w:rsid w:val="007B6872"/>
    <w:rsid w:val="007B6971"/>
    <w:rsid w:val="007B77CA"/>
    <w:rsid w:val="007B785E"/>
    <w:rsid w:val="007B7B24"/>
    <w:rsid w:val="007B7FF3"/>
    <w:rsid w:val="007C043D"/>
    <w:rsid w:val="007C0459"/>
    <w:rsid w:val="007C0FE6"/>
    <w:rsid w:val="007C1510"/>
    <w:rsid w:val="007C19A7"/>
    <w:rsid w:val="007C1D44"/>
    <w:rsid w:val="007C1E5A"/>
    <w:rsid w:val="007C276A"/>
    <w:rsid w:val="007C2933"/>
    <w:rsid w:val="007C39B3"/>
    <w:rsid w:val="007C42BC"/>
    <w:rsid w:val="007C44EB"/>
    <w:rsid w:val="007C475A"/>
    <w:rsid w:val="007C57FE"/>
    <w:rsid w:val="007C5806"/>
    <w:rsid w:val="007C5943"/>
    <w:rsid w:val="007C5F9B"/>
    <w:rsid w:val="007C7272"/>
    <w:rsid w:val="007C7D60"/>
    <w:rsid w:val="007D020D"/>
    <w:rsid w:val="007D0661"/>
    <w:rsid w:val="007D0780"/>
    <w:rsid w:val="007D0985"/>
    <w:rsid w:val="007D0A91"/>
    <w:rsid w:val="007D0AA6"/>
    <w:rsid w:val="007D373C"/>
    <w:rsid w:val="007D39FD"/>
    <w:rsid w:val="007D3D08"/>
    <w:rsid w:val="007D3ED7"/>
    <w:rsid w:val="007D4D7E"/>
    <w:rsid w:val="007D5424"/>
    <w:rsid w:val="007D561D"/>
    <w:rsid w:val="007D570E"/>
    <w:rsid w:val="007D5E49"/>
    <w:rsid w:val="007D6022"/>
    <w:rsid w:val="007D653C"/>
    <w:rsid w:val="007E0D04"/>
    <w:rsid w:val="007E0F15"/>
    <w:rsid w:val="007E1177"/>
    <w:rsid w:val="007E1294"/>
    <w:rsid w:val="007E12E4"/>
    <w:rsid w:val="007E158C"/>
    <w:rsid w:val="007E15C7"/>
    <w:rsid w:val="007E28C9"/>
    <w:rsid w:val="007E2A21"/>
    <w:rsid w:val="007E2D15"/>
    <w:rsid w:val="007E2D4C"/>
    <w:rsid w:val="007E3241"/>
    <w:rsid w:val="007E38EA"/>
    <w:rsid w:val="007E41C5"/>
    <w:rsid w:val="007E42AD"/>
    <w:rsid w:val="007E43B4"/>
    <w:rsid w:val="007E47D6"/>
    <w:rsid w:val="007E5241"/>
    <w:rsid w:val="007E55F2"/>
    <w:rsid w:val="007E5CC9"/>
    <w:rsid w:val="007E7479"/>
    <w:rsid w:val="007E79A4"/>
    <w:rsid w:val="007F0343"/>
    <w:rsid w:val="007F040D"/>
    <w:rsid w:val="007F087B"/>
    <w:rsid w:val="007F0882"/>
    <w:rsid w:val="007F09C3"/>
    <w:rsid w:val="007F0A17"/>
    <w:rsid w:val="007F1DC5"/>
    <w:rsid w:val="007F1EB8"/>
    <w:rsid w:val="007F2EC7"/>
    <w:rsid w:val="007F39EF"/>
    <w:rsid w:val="007F432A"/>
    <w:rsid w:val="007F46C4"/>
    <w:rsid w:val="007F4970"/>
    <w:rsid w:val="007F4AFC"/>
    <w:rsid w:val="007F4EE3"/>
    <w:rsid w:val="007F56A3"/>
    <w:rsid w:val="007F6193"/>
    <w:rsid w:val="007F65CE"/>
    <w:rsid w:val="007F67B2"/>
    <w:rsid w:val="007F67FB"/>
    <w:rsid w:val="007F7137"/>
    <w:rsid w:val="007F7315"/>
    <w:rsid w:val="00800289"/>
    <w:rsid w:val="00800CA4"/>
    <w:rsid w:val="00801980"/>
    <w:rsid w:val="00801FA9"/>
    <w:rsid w:val="00802295"/>
    <w:rsid w:val="008038B0"/>
    <w:rsid w:val="008038F1"/>
    <w:rsid w:val="008039BE"/>
    <w:rsid w:val="00803DE1"/>
    <w:rsid w:val="00804846"/>
    <w:rsid w:val="00805107"/>
    <w:rsid w:val="008058B7"/>
    <w:rsid w:val="008062A8"/>
    <w:rsid w:val="008062F1"/>
    <w:rsid w:val="008064CF"/>
    <w:rsid w:val="008067A1"/>
    <w:rsid w:val="008067FF"/>
    <w:rsid w:val="00806C9A"/>
    <w:rsid w:val="00807112"/>
    <w:rsid w:val="00807635"/>
    <w:rsid w:val="0081087E"/>
    <w:rsid w:val="00810BC4"/>
    <w:rsid w:val="008132DF"/>
    <w:rsid w:val="00813912"/>
    <w:rsid w:val="00813A84"/>
    <w:rsid w:val="0081424C"/>
    <w:rsid w:val="0081439A"/>
    <w:rsid w:val="00814672"/>
    <w:rsid w:val="00814DDA"/>
    <w:rsid w:val="0081543E"/>
    <w:rsid w:val="0081686C"/>
    <w:rsid w:val="00816C28"/>
    <w:rsid w:val="00816F59"/>
    <w:rsid w:val="00820141"/>
    <w:rsid w:val="008202C0"/>
    <w:rsid w:val="008207EE"/>
    <w:rsid w:val="00820D31"/>
    <w:rsid w:val="008212EA"/>
    <w:rsid w:val="008214F0"/>
    <w:rsid w:val="00821CA2"/>
    <w:rsid w:val="008220C8"/>
    <w:rsid w:val="00822378"/>
    <w:rsid w:val="00822595"/>
    <w:rsid w:val="008225D6"/>
    <w:rsid w:val="00822C5D"/>
    <w:rsid w:val="00823383"/>
    <w:rsid w:val="0082415B"/>
    <w:rsid w:val="00824433"/>
    <w:rsid w:val="008249A8"/>
    <w:rsid w:val="00825000"/>
    <w:rsid w:val="00825314"/>
    <w:rsid w:val="00826C5B"/>
    <w:rsid w:val="00827290"/>
    <w:rsid w:val="008276A1"/>
    <w:rsid w:val="00827F28"/>
    <w:rsid w:val="00830AF6"/>
    <w:rsid w:val="00831740"/>
    <w:rsid w:val="00831C9E"/>
    <w:rsid w:val="0083202D"/>
    <w:rsid w:val="008321A8"/>
    <w:rsid w:val="008325F1"/>
    <w:rsid w:val="008327EB"/>
    <w:rsid w:val="00832B13"/>
    <w:rsid w:val="00832B7F"/>
    <w:rsid w:val="00832E83"/>
    <w:rsid w:val="00834672"/>
    <w:rsid w:val="008347D3"/>
    <w:rsid w:val="00834D73"/>
    <w:rsid w:val="00834EB0"/>
    <w:rsid w:val="00835391"/>
    <w:rsid w:val="00835618"/>
    <w:rsid w:val="0083595A"/>
    <w:rsid w:val="00835B03"/>
    <w:rsid w:val="00837A82"/>
    <w:rsid w:val="00837B73"/>
    <w:rsid w:val="00840DDA"/>
    <w:rsid w:val="0084160B"/>
    <w:rsid w:val="008416C4"/>
    <w:rsid w:val="00841B22"/>
    <w:rsid w:val="00841CEE"/>
    <w:rsid w:val="00842830"/>
    <w:rsid w:val="00842EAE"/>
    <w:rsid w:val="00843070"/>
    <w:rsid w:val="00843145"/>
    <w:rsid w:val="00843929"/>
    <w:rsid w:val="00843A9B"/>
    <w:rsid w:val="00843CE9"/>
    <w:rsid w:val="00844343"/>
    <w:rsid w:val="00845055"/>
    <w:rsid w:val="008456D5"/>
    <w:rsid w:val="00845C59"/>
    <w:rsid w:val="0084634B"/>
    <w:rsid w:val="00847B99"/>
    <w:rsid w:val="008501B0"/>
    <w:rsid w:val="00850922"/>
    <w:rsid w:val="00850C2E"/>
    <w:rsid w:val="0085115A"/>
    <w:rsid w:val="00851624"/>
    <w:rsid w:val="00851757"/>
    <w:rsid w:val="00852128"/>
    <w:rsid w:val="0085239D"/>
    <w:rsid w:val="00852D14"/>
    <w:rsid w:val="00852DEE"/>
    <w:rsid w:val="00853C74"/>
    <w:rsid w:val="00853E5F"/>
    <w:rsid w:val="008545F9"/>
    <w:rsid w:val="008556B0"/>
    <w:rsid w:val="0085578B"/>
    <w:rsid w:val="00855DDE"/>
    <w:rsid w:val="00855F71"/>
    <w:rsid w:val="0086021A"/>
    <w:rsid w:val="00860562"/>
    <w:rsid w:val="00860AAB"/>
    <w:rsid w:val="00860DD4"/>
    <w:rsid w:val="00860FFB"/>
    <w:rsid w:val="0086135A"/>
    <w:rsid w:val="00861456"/>
    <w:rsid w:val="0086145B"/>
    <w:rsid w:val="0086156F"/>
    <w:rsid w:val="0086182E"/>
    <w:rsid w:val="00861E69"/>
    <w:rsid w:val="00861FD1"/>
    <w:rsid w:val="008623D4"/>
    <w:rsid w:val="00862F75"/>
    <w:rsid w:val="0086313F"/>
    <w:rsid w:val="0086372E"/>
    <w:rsid w:val="00863A21"/>
    <w:rsid w:val="008640BF"/>
    <w:rsid w:val="008646C1"/>
    <w:rsid w:val="00864D05"/>
    <w:rsid w:val="008652B7"/>
    <w:rsid w:val="008655EF"/>
    <w:rsid w:val="00865907"/>
    <w:rsid w:val="00865FAB"/>
    <w:rsid w:val="008661C8"/>
    <w:rsid w:val="008664CB"/>
    <w:rsid w:val="00866852"/>
    <w:rsid w:val="008670FF"/>
    <w:rsid w:val="00867A4A"/>
    <w:rsid w:val="008700A9"/>
    <w:rsid w:val="00870E8A"/>
    <w:rsid w:val="008713CE"/>
    <w:rsid w:val="0087174F"/>
    <w:rsid w:val="00871A2C"/>
    <w:rsid w:val="00871D47"/>
    <w:rsid w:val="008720D5"/>
    <w:rsid w:val="00872676"/>
    <w:rsid w:val="008729D4"/>
    <w:rsid w:val="00872ED4"/>
    <w:rsid w:val="00874103"/>
    <w:rsid w:val="008742B1"/>
    <w:rsid w:val="008746F7"/>
    <w:rsid w:val="00874724"/>
    <w:rsid w:val="008747E7"/>
    <w:rsid w:val="00874B6F"/>
    <w:rsid w:val="00875F7A"/>
    <w:rsid w:val="00876AB4"/>
    <w:rsid w:val="00876D7C"/>
    <w:rsid w:val="00877613"/>
    <w:rsid w:val="0087762F"/>
    <w:rsid w:val="008806C3"/>
    <w:rsid w:val="00880884"/>
    <w:rsid w:val="00880A96"/>
    <w:rsid w:val="00881958"/>
    <w:rsid w:val="00881B88"/>
    <w:rsid w:val="008822D5"/>
    <w:rsid w:val="00882BE2"/>
    <w:rsid w:val="008831FD"/>
    <w:rsid w:val="00885AB6"/>
    <w:rsid w:val="00886201"/>
    <w:rsid w:val="008863E3"/>
    <w:rsid w:val="0088676A"/>
    <w:rsid w:val="00886CA1"/>
    <w:rsid w:val="008871B0"/>
    <w:rsid w:val="0088746E"/>
    <w:rsid w:val="0088766F"/>
    <w:rsid w:val="00887AEB"/>
    <w:rsid w:val="00887D46"/>
    <w:rsid w:val="008901D0"/>
    <w:rsid w:val="00890861"/>
    <w:rsid w:val="008911F2"/>
    <w:rsid w:val="00891501"/>
    <w:rsid w:val="00892053"/>
    <w:rsid w:val="008927C3"/>
    <w:rsid w:val="008929B2"/>
    <w:rsid w:val="008935B1"/>
    <w:rsid w:val="00893C2B"/>
    <w:rsid w:val="008946E3"/>
    <w:rsid w:val="0089665B"/>
    <w:rsid w:val="0089737D"/>
    <w:rsid w:val="00897A25"/>
    <w:rsid w:val="008A12C7"/>
    <w:rsid w:val="008A15D5"/>
    <w:rsid w:val="008A1887"/>
    <w:rsid w:val="008A230B"/>
    <w:rsid w:val="008A4080"/>
    <w:rsid w:val="008A422F"/>
    <w:rsid w:val="008A4FB9"/>
    <w:rsid w:val="008A51EC"/>
    <w:rsid w:val="008A58B7"/>
    <w:rsid w:val="008A5B38"/>
    <w:rsid w:val="008A659A"/>
    <w:rsid w:val="008A75E8"/>
    <w:rsid w:val="008A7FA0"/>
    <w:rsid w:val="008B010A"/>
    <w:rsid w:val="008B0387"/>
    <w:rsid w:val="008B089D"/>
    <w:rsid w:val="008B09D3"/>
    <w:rsid w:val="008B177A"/>
    <w:rsid w:val="008B2C07"/>
    <w:rsid w:val="008B2CF3"/>
    <w:rsid w:val="008B3155"/>
    <w:rsid w:val="008B3800"/>
    <w:rsid w:val="008B3E21"/>
    <w:rsid w:val="008B433C"/>
    <w:rsid w:val="008B4774"/>
    <w:rsid w:val="008B4A24"/>
    <w:rsid w:val="008B4E2B"/>
    <w:rsid w:val="008B50E4"/>
    <w:rsid w:val="008B5149"/>
    <w:rsid w:val="008B554F"/>
    <w:rsid w:val="008B55FB"/>
    <w:rsid w:val="008B5F48"/>
    <w:rsid w:val="008B6170"/>
    <w:rsid w:val="008B69CD"/>
    <w:rsid w:val="008B6A81"/>
    <w:rsid w:val="008B73F1"/>
    <w:rsid w:val="008B799E"/>
    <w:rsid w:val="008C0DA7"/>
    <w:rsid w:val="008C1452"/>
    <w:rsid w:val="008C1467"/>
    <w:rsid w:val="008C24A5"/>
    <w:rsid w:val="008C25C2"/>
    <w:rsid w:val="008C2663"/>
    <w:rsid w:val="008C28EA"/>
    <w:rsid w:val="008C37EA"/>
    <w:rsid w:val="008C3C65"/>
    <w:rsid w:val="008C3E6B"/>
    <w:rsid w:val="008C4DD4"/>
    <w:rsid w:val="008C4FB3"/>
    <w:rsid w:val="008C54FD"/>
    <w:rsid w:val="008C5583"/>
    <w:rsid w:val="008C5EDB"/>
    <w:rsid w:val="008C6852"/>
    <w:rsid w:val="008C68F6"/>
    <w:rsid w:val="008C6A35"/>
    <w:rsid w:val="008C6B47"/>
    <w:rsid w:val="008C7584"/>
    <w:rsid w:val="008D0040"/>
    <w:rsid w:val="008D0A69"/>
    <w:rsid w:val="008D0BA0"/>
    <w:rsid w:val="008D126A"/>
    <w:rsid w:val="008D190E"/>
    <w:rsid w:val="008D1BB4"/>
    <w:rsid w:val="008D2C13"/>
    <w:rsid w:val="008D4D36"/>
    <w:rsid w:val="008D7292"/>
    <w:rsid w:val="008D748B"/>
    <w:rsid w:val="008D759E"/>
    <w:rsid w:val="008D7778"/>
    <w:rsid w:val="008E010A"/>
    <w:rsid w:val="008E111B"/>
    <w:rsid w:val="008E12F7"/>
    <w:rsid w:val="008E1B37"/>
    <w:rsid w:val="008E1BF8"/>
    <w:rsid w:val="008E1DF0"/>
    <w:rsid w:val="008E21E1"/>
    <w:rsid w:val="008E2498"/>
    <w:rsid w:val="008E2538"/>
    <w:rsid w:val="008E263A"/>
    <w:rsid w:val="008E2A0D"/>
    <w:rsid w:val="008E2E31"/>
    <w:rsid w:val="008E2EC9"/>
    <w:rsid w:val="008E3392"/>
    <w:rsid w:val="008E37D2"/>
    <w:rsid w:val="008E3EE1"/>
    <w:rsid w:val="008E3F8B"/>
    <w:rsid w:val="008E456B"/>
    <w:rsid w:val="008E5BC2"/>
    <w:rsid w:val="008E60B5"/>
    <w:rsid w:val="008E68FF"/>
    <w:rsid w:val="008E7338"/>
    <w:rsid w:val="008E76D3"/>
    <w:rsid w:val="008E7D35"/>
    <w:rsid w:val="008E7D58"/>
    <w:rsid w:val="008E7F6E"/>
    <w:rsid w:val="008F03B9"/>
    <w:rsid w:val="008F04F4"/>
    <w:rsid w:val="008F084A"/>
    <w:rsid w:val="008F08BF"/>
    <w:rsid w:val="008F0BC7"/>
    <w:rsid w:val="008F0DA2"/>
    <w:rsid w:val="008F11D1"/>
    <w:rsid w:val="008F1527"/>
    <w:rsid w:val="008F191F"/>
    <w:rsid w:val="008F22A0"/>
    <w:rsid w:val="008F22F5"/>
    <w:rsid w:val="008F297E"/>
    <w:rsid w:val="008F2F9A"/>
    <w:rsid w:val="008F36A4"/>
    <w:rsid w:val="008F3B04"/>
    <w:rsid w:val="008F41A7"/>
    <w:rsid w:val="008F534C"/>
    <w:rsid w:val="008F690A"/>
    <w:rsid w:val="008F7093"/>
    <w:rsid w:val="008F729C"/>
    <w:rsid w:val="008F78DB"/>
    <w:rsid w:val="008F7982"/>
    <w:rsid w:val="009009AE"/>
    <w:rsid w:val="00900F56"/>
    <w:rsid w:val="00901023"/>
    <w:rsid w:val="009013BE"/>
    <w:rsid w:val="009014C3"/>
    <w:rsid w:val="00901594"/>
    <w:rsid w:val="009024CB"/>
    <w:rsid w:val="00902ADB"/>
    <w:rsid w:val="009038F2"/>
    <w:rsid w:val="00905744"/>
    <w:rsid w:val="00906366"/>
    <w:rsid w:val="00906A0D"/>
    <w:rsid w:val="00906AC2"/>
    <w:rsid w:val="0090755B"/>
    <w:rsid w:val="00907801"/>
    <w:rsid w:val="0091078D"/>
    <w:rsid w:val="00910B2B"/>
    <w:rsid w:val="00912122"/>
    <w:rsid w:val="0091217C"/>
    <w:rsid w:val="00912E65"/>
    <w:rsid w:val="00913472"/>
    <w:rsid w:val="00913A16"/>
    <w:rsid w:val="0091450F"/>
    <w:rsid w:val="00915042"/>
    <w:rsid w:val="00915FA4"/>
    <w:rsid w:val="00916CD6"/>
    <w:rsid w:val="009179CD"/>
    <w:rsid w:val="009179D0"/>
    <w:rsid w:val="00917AAE"/>
    <w:rsid w:val="0092018C"/>
    <w:rsid w:val="0092079D"/>
    <w:rsid w:val="00922748"/>
    <w:rsid w:val="00923952"/>
    <w:rsid w:val="00923C4C"/>
    <w:rsid w:val="00924218"/>
    <w:rsid w:val="00924943"/>
    <w:rsid w:val="0092530E"/>
    <w:rsid w:val="00926F4A"/>
    <w:rsid w:val="0092779B"/>
    <w:rsid w:val="00927C42"/>
    <w:rsid w:val="0093019D"/>
    <w:rsid w:val="00930319"/>
    <w:rsid w:val="00930675"/>
    <w:rsid w:val="0093137A"/>
    <w:rsid w:val="00932A7E"/>
    <w:rsid w:val="00933EFA"/>
    <w:rsid w:val="00933F58"/>
    <w:rsid w:val="00934591"/>
    <w:rsid w:val="0093475D"/>
    <w:rsid w:val="009350B6"/>
    <w:rsid w:val="0093546D"/>
    <w:rsid w:val="00935C6C"/>
    <w:rsid w:val="00935DF8"/>
    <w:rsid w:val="009362A7"/>
    <w:rsid w:val="00936673"/>
    <w:rsid w:val="0093715C"/>
    <w:rsid w:val="009371AE"/>
    <w:rsid w:val="0093728A"/>
    <w:rsid w:val="0094097E"/>
    <w:rsid w:val="009412B1"/>
    <w:rsid w:val="00941679"/>
    <w:rsid w:val="009418B3"/>
    <w:rsid w:val="00941D26"/>
    <w:rsid w:val="009421E4"/>
    <w:rsid w:val="00942F4C"/>
    <w:rsid w:val="0094320E"/>
    <w:rsid w:val="00943793"/>
    <w:rsid w:val="009441CD"/>
    <w:rsid w:val="00944690"/>
    <w:rsid w:val="009447D0"/>
    <w:rsid w:val="009449C8"/>
    <w:rsid w:val="00945BBB"/>
    <w:rsid w:val="0094628A"/>
    <w:rsid w:val="0094667A"/>
    <w:rsid w:val="00946B87"/>
    <w:rsid w:val="00946CFD"/>
    <w:rsid w:val="009477DA"/>
    <w:rsid w:val="00947B51"/>
    <w:rsid w:val="00947CB0"/>
    <w:rsid w:val="009521D5"/>
    <w:rsid w:val="009532A9"/>
    <w:rsid w:val="009532E6"/>
    <w:rsid w:val="009534FB"/>
    <w:rsid w:val="009536C9"/>
    <w:rsid w:val="00953BA8"/>
    <w:rsid w:val="00954418"/>
    <w:rsid w:val="009544E2"/>
    <w:rsid w:val="00954CAB"/>
    <w:rsid w:val="00954D0C"/>
    <w:rsid w:val="00954EBE"/>
    <w:rsid w:val="0095530C"/>
    <w:rsid w:val="00955F74"/>
    <w:rsid w:val="0095608E"/>
    <w:rsid w:val="009569A6"/>
    <w:rsid w:val="009569E7"/>
    <w:rsid w:val="009576CD"/>
    <w:rsid w:val="0095785C"/>
    <w:rsid w:val="00957E44"/>
    <w:rsid w:val="00957EA9"/>
    <w:rsid w:val="009606E0"/>
    <w:rsid w:val="00960B1D"/>
    <w:rsid w:val="00961BDC"/>
    <w:rsid w:val="00962284"/>
    <w:rsid w:val="009628C1"/>
    <w:rsid w:val="00962951"/>
    <w:rsid w:val="00962F4B"/>
    <w:rsid w:val="00962FA9"/>
    <w:rsid w:val="00963AFF"/>
    <w:rsid w:val="00963DD7"/>
    <w:rsid w:val="0096430A"/>
    <w:rsid w:val="009646A6"/>
    <w:rsid w:val="009649AD"/>
    <w:rsid w:val="0096508D"/>
    <w:rsid w:val="0096517A"/>
    <w:rsid w:val="00966AEA"/>
    <w:rsid w:val="00970029"/>
    <w:rsid w:val="009702AE"/>
    <w:rsid w:val="00970EE1"/>
    <w:rsid w:val="00971876"/>
    <w:rsid w:val="00972724"/>
    <w:rsid w:val="00972EA9"/>
    <w:rsid w:val="009735A7"/>
    <w:rsid w:val="009739A6"/>
    <w:rsid w:val="009745A8"/>
    <w:rsid w:val="00974672"/>
    <w:rsid w:val="00974820"/>
    <w:rsid w:val="00974859"/>
    <w:rsid w:val="009754D2"/>
    <w:rsid w:val="009771EE"/>
    <w:rsid w:val="00977318"/>
    <w:rsid w:val="00977A6B"/>
    <w:rsid w:val="00977B31"/>
    <w:rsid w:val="00977E51"/>
    <w:rsid w:val="00977EFC"/>
    <w:rsid w:val="0098021D"/>
    <w:rsid w:val="00980BA4"/>
    <w:rsid w:val="00980F7E"/>
    <w:rsid w:val="00981535"/>
    <w:rsid w:val="0098185C"/>
    <w:rsid w:val="00981C8C"/>
    <w:rsid w:val="00981F60"/>
    <w:rsid w:val="009833FE"/>
    <w:rsid w:val="009835BD"/>
    <w:rsid w:val="009838F6"/>
    <w:rsid w:val="0098448D"/>
    <w:rsid w:val="009848D2"/>
    <w:rsid w:val="00984E39"/>
    <w:rsid w:val="00984E60"/>
    <w:rsid w:val="00985407"/>
    <w:rsid w:val="00985A24"/>
    <w:rsid w:val="00985C84"/>
    <w:rsid w:val="009873D2"/>
    <w:rsid w:val="00987FB6"/>
    <w:rsid w:val="009900F7"/>
    <w:rsid w:val="0099044F"/>
    <w:rsid w:val="009916CD"/>
    <w:rsid w:val="009919C5"/>
    <w:rsid w:val="00991BB2"/>
    <w:rsid w:val="00991E20"/>
    <w:rsid w:val="009936DB"/>
    <w:rsid w:val="00993823"/>
    <w:rsid w:val="0099396A"/>
    <w:rsid w:val="0099458F"/>
    <w:rsid w:val="009945EB"/>
    <w:rsid w:val="009945FF"/>
    <w:rsid w:val="00994A92"/>
    <w:rsid w:val="00995158"/>
    <w:rsid w:val="0099557A"/>
    <w:rsid w:val="00995F2D"/>
    <w:rsid w:val="00996285"/>
    <w:rsid w:val="00996367"/>
    <w:rsid w:val="009965AE"/>
    <w:rsid w:val="009A05B0"/>
    <w:rsid w:val="009A0A4F"/>
    <w:rsid w:val="009A0BA1"/>
    <w:rsid w:val="009A15D3"/>
    <w:rsid w:val="009A1707"/>
    <w:rsid w:val="009A185A"/>
    <w:rsid w:val="009A1AEC"/>
    <w:rsid w:val="009A1B0B"/>
    <w:rsid w:val="009A1C9D"/>
    <w:rsid w:val="009A23E6"/>
    <w:rsid w:val="009A2602"/>
    <w:rsid w:val="009A3627"/>
    <w:rsid w:val="009A3A57"/>
    <w:rsid w:val="009A400C"/>
    <w:rsid w:val="009A4EF4"/>
    <w:rsid w:val="009A5A44"/>
    <w:rsid w:val="009A5DF0"/>
    <w:rsid w:val="009A60A3"/>
    <w:rsid w:val="009A60C5"/>
    <w:rsid w:val="009A7325"/>
    <w:rsid w:val="009B00F2"/>
    <w:rsid w:val="009B0273"/>
    <w:rsid w:val="009B0313"/>
    <w:rsid w:val="009B04FC"/>
    <w:rsid w:val="009B0841"/>
    <w:rsid w:val="009B1BC9"/>
    <w:rsid w:val="009B2897"/>
    <w:rsid w:val="009B2C98"/>
    <w:rsid w:val="009B2CEB"/>
    <w:rsid w:val="009B3144"/>
    <w:rsid w:val="009B323E"/>
    <w:rsid w:val="009B37BD"/>
    <w:rsid w:val="009B4485"/>
    <w:rsid w:val="009B4572"/>
    <w:rsid w:val="009B47DE"/>
    <w:rsid w:val="009B4CA4"/>
    <w:rsid w:val="009B4F6E"/>
    <w:rsid w:val="009B5053"/>
    <w:rsid w:val="009B590F"/>
    <w:rsid w:val="009B5E61"/>
    <w:rsid w:val="009B5FD5"/>
    <w:rsid w:val="009B62D7"/>
    <w:rsid w:val="009B63F9"/>
    <w:rsid w:val="009B6897"/>
    <w:rsid w:val="009B6B2D"/>
    <w:rsid w:val="009B7831"/>
    <w:rsid w:val="009B78F8"/>
    <w:rsid w:val="009B7D91"/>
    <w:rsid w:val="009C021A"/>
    <w:rsid w:val="009C0466"/>
    <w:rsid w:val="009C095F"/>
    <w:rsid w:val="009C1733"/>
    <w:rsid w:val="009C1DC2"/>
    <w:rsid w:val="009C1F60"/>
    <w:rsid w:val="009C20B8"/>
    <w:rsid w:val="009C2B55"/>
    <w:rsid w:val="009C3339"/>
    <w:rsid w:val="009C3510"/>
    <w:rsid w:val="009C3C88"/>
    <w:rsid w:val="009C3FE2"/>
    <w:rsid w:val="009C401C"/>
    <w:rsid w:val="009C4471"/>
    <w:rsid w:val="009C4B3E"/>
    <w:rsid w:val="009C556B"/>
    <w:rsid w:val="009C5E49"/>
    <w:rsid w:val="009C6FB5"/>
    <w:rsid w:val="009C739E"/>
    <w:rsid w:val="009C7BE1"/>
    <w:rsid w:val="009C7D1C"/>
    <w:rsid w:val="009C7DE5"/>
    <w:rsid w:val="009D01B6"/>
    <w:rsid w:val="009D2AA1"/>
    <w:rsid w:val="009D3F73"/>
    <w:rsid w:val="009D3FE1"/>
    <w:rsid w:val="009D4D32"/>
    <w:rsid w:val="009D4EF8"/>
    <w:rsid w:val="009D505C"/>
    <w:rsid w:val="009D5C74"/>
    <w:rsid w:val="009D5E84"/>
    <w:rsid w:val="009D62B5"/>
    <w:rsid w:val="009D6332"/>
    <w:rsid w:val="009D6972"/>
    <w:rsid w:val="009D787F"/>
    <w:rsid w:val="009D7CCE"/>
    <w:rsid w:val="009E037B"/>
    <w:rsid w:val="009E0596"/>
    <w:rsid w:val="009E0C1B"/>
    <w:rsid w:val="009E0C97"/>
    <w:rsid w:val="009E0FF9"/>
    <w:rsid w:val="009E132E"/>
    <w:rsid w:val="009E189B"/>
    <w:rsid w:val="009E1C4F"/>
    <w:rsid w:val="009E2111"/>
    <w:rsid w:val="009E2313"/>
    <w:rsid w:val="009E2515"/>
    <w:rsid w:val="009E2645"/>
    <w:rsid w:val="009E29FB"/>
    <w:rsid w:val="009E313C"/>
    <w:rsid w:val="009E3182"/>
    <w:rsid w:val="009E3523"/>
    <w:rsid w:val="009E37B3"/>
    <w:rsid w:val="009E3908"/>
    <w:rsid w:val="009E4913"/>
    <w:rsid w:val="009E5A30"/>
    <w:rsid w:val="009E6357"/>
    <w:rsid w:val="009E6D13"/>
    <w:rsid w:val="009E74FD"/>
    <w:rsid w:val="009E7B3D"/>
    <w:rsid w:val="009E7E81"/>
    <w:rsid w:val="009F088F"/>
    <w:rsid w:val="009F0C4F"/>
    <w:rsid w:val="009F2AD9"/>
    <w:rsid w:val="009F2CD8"/>
    <w:rsid w:val="009F2F6B"/>
    <w:rsid w:val="009F30D8"/>
    <w:rsid w:val="009F38B1"/>
    <w:rsid w:val="009F3C9B"/>
    <w:rsid w:val="009F488C"/>
    <w:rsid w:val="009F4ABB"/>
    <w:rsid w:val="009F4ACD"/>
    <w:rsid w:val="009F50F1"/>
    <w:rsid w:val="009F540E"/>
    <w:rsid w:val="009F60C6"/>
    <w:rsid w:val="009F6BEE"/>
    <w:rsid w:val="009F6C30"/>
    <w:rsid w:val="009F7A32"/>
    <w:rsid w:val="009F7C98"/>
    <w:rsid w:val="009F7F4E"/>
    <w:rsid w:val="00A0070C"/>
    <w:rsid w:val="00A01195"/>
    <w:rsid w:val="00A0163F"/>
    <w:rsid w:val="00A01B66"/>
    <w:rsid w:val="00A0247D"/>
    <w:rsid w:val="00A0296C"/>
    <w:rsid w:val="00A02D41"/>
    <w:rsid w:val="00A02D80"/>
    <w:rsid w:val="00A03AF2"/>
    <w:rsid w:val="00A03B16"/>
    <w:rsid w:val="00A052A0"/>
    <w:rsid w:val="00A05AE5"/>
    <w:rsid w:val="00A06037"/>
    <w:rsid w:val="00A06483"/>
    <w:rsid w:val="00A070A2"/>
    <w:rsid w:val="00A10388"/>
    <w:rsid w:val="00A10720"/>
    <w:rsid w:val="00A10964"/>
    <w:rsid w:val="00A10F27"/>
    <w:rsid w:val="00A11896"/>
    <w:rsid w:val="00A11B07"/>
    <w:rsid w:val="00A12FAC"/>
    <w:rsid w:val="00A136B8"/>
    <w:rsid w:val="00A14156"/>
    <w:rsid w:val="00A143A3"/>
    <w:rsid w:val="00A151DD"/>
    <w:rsid w:val="00A15961"/>
    <w:rsid w:val="00A15C5D"/>
    <w:rsid w:val="00A1672F"/>
    <w:rsid w:val="00A16BA1"/>
    <w:rsid w:val="00A17934"/>
    <w:rsid w:val="00A17EE8"/>
    <w:rsid w:val="00A20847"/>
    <w:rsid w:val="00A20E63"/>
    <w:rsid w:val="00A216C8"/>
    <w:rsid w:val="00A217D4"/>
    <w:rsid w:val="00A219DB"/>
    <w:rsid w:val="00A21EF4"/>
    <w:rsid w:val="00A21F1E"/>
    <w:rsid w:val="00A21F86"/>
    <w:rsid w:val="00A221FE"/>
    <w:rsid w:val="00A2233D"/>
    <w:rsid w:val="00A22760"/>
    <w:rsid w:val="00A22E15"/>
    <w:rsid w:val="00A236DD"/>
    <w:rsid w:val="00A23A83"/>
    <w:rsid w:val="00A258A8"/>
    <w:rsid w:val="00A26B2D"/>
    <w:rsid w:val="00A270B2"/>
    <w:rsid w:val="00A27FB6"/>
    <w:rsid w:val="00A30492"/>
    <w:rsid w:val="00A308A6"/>
    <w:rsid w:val="00A30DD4"/>
    <w:rsid w:val="00A31556"/>
    <w:rsid w:val="00A31994"/>
    <w:rsid w:val="00A31A30"/>
    <w:rsid w:val="00A32294"/>
    <w:rsid w:val="00A32B33"/>
    <w:rsid w:val="00A33BF1"/>
    <w:rsid w:val="00A33DED"/>
    <w:rsid w:val="00A33EDA"/>
    <w:rsid w:val="00A34CE1"/>
    <w:rsid w:val="00A351BF"/>
    <w:rsid w:val="00A3527E"/>
    <w:rsid w:val="00A35974"/>
    <w:rsid w:val="00A36256"/>
    <w:rsid w:val="00A37889"/>
    <w:rsid w:val="00A404DF"/>
    <w:rsid w:val="00A409B0"/>
    <w:rsid w:val="00A41384"/>
    <w:rsid w:val="00A417DF"/>
    <w:rsid w:val="00A41FF9"/>
    <w:rsid w:val="00A42028"/>
    <w:rsid w:val="00A423E7"/>
    <w:rsid w:val="00A425E9"/>
    <w:rsid w:val="00A429A7"/>
    <w:rsid w:val="00A42E91"/>
    <w:rsid w:val="00A43613"/>
    <w:rsid w:val="00A43F9D"/>
    <w:rsid w:val="00A440EA"/>
    <w:rsid w:val="00A4437F"/>
    <w:rsid w:val="00A44687"/>
    <w:rsid w:val="00A446DC"/>
    <w:rsid w:val="00A448AF"/>
    <w:rsid w:val="00A44FFC"/>
    <w:rsid w:val="00A45156"/>
    <w:rsid w:val="00A452FE"/>
    <w:rsid w:val="00A45B4A"/>
    <w:rsid w:val="00A4606C"/>
    <w:rsid w:val="00A4631D"/>
    <w:rsid w:val="00A4706E"/>
    <w:rsid w:val="00A472A3"/>
    <w:rsid w:val="00A47775"/>
    <w:rsid w:val="00A477AB"/>
    <w:rsid w:val="00A50390"/>
    <w:rsid w:val="00A50A20"/>
    <w:rsid w:val="00A50F24"/>
    <w:rsid w:val="00A513FC"/>
    <w:rsid w:val="00A52CA6"/>
    <w:rsid w:val="00A5369C"/>
    <w:rsid w:val="00A54AD9"/>
    <w:rsid w:val="00A54B74"/>
    <w:rsid w:val="00A556CC"/>
    <w:rsid w:val="00A5621B"/>
    <w:rsid w:val="00A56892"/>
    <w:rsid w:val="00A57955"/>
    <w:rsid w:val="00A57B13"/>
    <w:rsid w:val="00A603A4"/>
    <w:rsid w:val="00A6082F"/>
    <w:rsid w:val="00A608D1"/>
    <w:rsid w:val="00A60D6C"/>
    <w:rsid w:val="00A6168D"/>
    <w:rsid w:val="00A6212C"/>
    <w:rsid w:val="00A62297"/>
    <w:rsid w:val="00A63E81"/>
    <w:rsid w:val="00A6469C"/>
    <w:rsid w:val="00A64A6F"/>
    <w:rsid w:val="00A64C1D"/>
    <w:rsid w:val="00A65713"/>
    <w:rsid w:val="00A6578D"/>
    <w:rsid w:val="00A659CD"/>
    <w:rsid w:val="00A65AF9"/>
    <w:rsid w:val="00A65D0D"/>
    <w:rsid w:val="00A66C65"/>
    <w:rsid w:val="00A676B1"/>
    <w:rsid w:val="00A678E9"/>
    <w:rsid w:val="00A70FA6"/>
    <w:rsid w:val="00A71370"/>
    <w:rsid w:val="00A7149D"/>
    <w:rsid w:val="00A72589"/>
    <w:rsid w:val="00A72AE0"/>
    <w:rsid w:val="00A730A4"/>
    <w:rsid w:val="00A739A9"/>
    <w:rsid w:val="00A73D83"/>
    <w:rsid w:val="00A73E88"/>
    <w:rsid w:val="00A73FA1"/>
    <w:rsid w:val="00A745AF"/>
    <w:rsid w:val="00A748CC"/>
    <w:rsid w:val="00A7513A"/>
    <w:rsid w:val="00A75AA9"/>
    <w:rsid w:val="00A761A0"/>
    <w:rsid w:val="00A7645F"/>
    <w:rsid w:val="00A767FE"/>
    <w:rsid w:val="00A769B0"/>
    <w:rsid w:val="00A774AD"/>
    <w:rsid w:val="00A77B81"/>
    <w:rsid w:val="00A77E0F"/>
    <w:rsid w:val="00A806FF"/>
    <w:rsid w:val="00A80999"/>
    <w:rsid w:val="00A80AF6"/>
    <w:rsid w:val="00A80CD9"/>
    <w:rsid w:val="00A81D0D"/>
    <w:rsid w:val="00A829F8"/>
    <w:rsid w:val="00A834DE"/>
    <w:rsid w:val="00A83D38"/>
    <w:rsid w:val="00A83DA9"/>
    <w:rsid w:val="00A84C5D"/>
    <w:rsid w:val="00A8594E"/>
    <w:rsid w:val="00A85B25"/>
    <w:rsid w:val="00A86474"/>
    <w:rsid w:val="00A86BBF"/>
    <w:rsid w:val="00A87DDB"/>
    <w:rsid w:val="00A87F4D"/>
    <w:rsid w:val="00A906D0"/>
    <w:rsid w:val="00A90C22"/>
    <w:rsid w:val="00A90F63"/>
    <w:rsid w:val="00A912EB"/>
    <w:rsid w:val="00A91684"/>
    <w:rsid w:val="00A9196B"/>
    <w:rsid w:val="00A9238A"/>
    <w:rsid w:val="00A929CF"/>
    <w:rsid w:val="00A939BC"/>
    <w:rsid w:val="00A94D64"/>
    <w:rsid w:val="00A94DAE"/>
    <w:rsid w:val="00A95162"/>
    <w:rsid w:val="00A95915"/>
    <w:rsid w:val="00A95970"/>
    <w:rsid w:val="00A95E0E"/>
    <w:rsid w:val="00A95F00"/>
    <w:rsid w:val="00A9605A"/>
    <w:rsid w:val="00A960BA"/>
    <w:rsid w:val="00A96816"/>
    <w:rsid w:val="00A96B67"/>
    <w:rsid w:val="00A974CF"/>
    <w:rsid w:val="00AA09E8"/>
    <w:rsid w:val="00AA112F"/>
    <w:rsid w:val="00AA15DF"/>
    <w:rsid w:val="00AA16FF"/>
    <w:rsid w:val="00AA1A12"/>
    <w:rsid w:val="00AA2115"/>
    <w:rsid w:val="00AA2405"/>
    <w:rsid w:val="00AA2728"/>
    <w:rsid w:val="00AA2C7A"/>
    <w:rsid w:val="00AA3186"/>
    <w:rsid w:val="00AA4D47"/>
    <w:rsid w:val="00AA5271"/>
    <w:rsid w:val="00AA5434"/>
    <w:rsid w:val="00AA5A71"/>
    <w:rsid w:val="00AA6C0F"/>
    <w:rsid w:val="00AA774E"/>
    <w:rsid w:val="00AA7A7C"/>
    <w:rsid w:val="00AA7E54"/>
    <w:rsid w:val="00AB00A7"/>
    <w:rsid w:val="00AB0150"/>
    <w:rsid w:val="00AB03E0"/>
    <w:rsid w:val="00AB0AE7"/>
    <w:rsid w:val="00AB3984"/>
    <w:rsid w:val="00AB3AB6"/>
    <w:rsid w:val="00AB3B67"/>
    <w:rsid w:val="00AB4068"/>
    <w:rsid w:val="00AB43D9"/>
    <w:rsid w:val="00AB48F2"/>
    <w:rsid w:val="00AB4A63"/>
    <w:rsid w:val="00AB4BD7"/>
    <w:rsid w:val="00AB4CA6"/>
    <w:rsid w:val="00AB4FBC"/>
    <w:rsid w:val="00AB5222"/>
    <w:rsid w:val="00AB5ADD"/>
    <w:rsid w:val="00AB6C48"/>
    <w:rsid w:val="00AB75AE"/>
    <w:rsid w:val="00AB786E"/>
    <w:rsid w:val="00AB7B04"/>
    <w:rsid w:val="00AC04F8"/>
    <w:rsid w:val="00AC0EEB"/>
    <w:rsid w:val="00AC1302"/>
    <w:rsid w:val="00AC1BBA"/>
    <w:rsid w:val="00AC260C"/>
    <w:rsid w:val="00AC2992"/>
    <w:rsid w:val="00AC2ACC"/>
    <w:rsid w:val="00AC2B9B"/>
    <w:rsid w:val="00AC2E49"/>
    <w:rsid w:val="00AC2E4F"/>
    <w:rsid w:val="00AC314A"/>
    <w:rsid w:val="00AC3A40"/>
    <w:rsid w:val="00AC3B61"/>
    <w:rsid w:val="00AC457D"/>
    <w:rsid w:val="00AC4BBB"/>
    <w:rsid w:val="00AC5529"/>
    <w:rsid w:val="00AC5944"/>
    <w:rsid w:val="00AC5950"/>
    <w:rsid w:val="00AC63EB"/>
    <w:rsid w:val="00AC6874"/>
    <w:rsid w:val="00AC6BCA"/>
    <w:rsid w:val="00AC6D87"/>
    <w:rsid w:val="00AC7C29"/>
    <w:rsid w:val="00AC7CA3"/>
    <w:rsid w:val="00AD0068"/>
    <w:rsid w:val="00AD06A7"/>
    <w:rsid w:val="00AD0A33"/>
    <w:rsid w:val="00AD1F4A"/>
    <w:rsid w:val="00AD2154"/>
    <w:rsid w:val="00AD3BA4"/>
    <w:rsid w:val="00AD45FC"/>
    <w:rsid w:val="00AD4661"/>
    <w:rsid w:val="00AD495A"/>
    <w:rsid w:val="00AD55B6"/>
    <w:rsid w:val="00AD5B15"/>
    <w:rsid w:val="00AD61D0"/>
    <w:rsid w:val="00AD6B43"/>
    <w:rsid w:val="00AD70A2"/>
    <w:rsid w:val="00AD70E6"/>
    <w:rsid w:val="00AD7228"/>
    <w:rsid w:val="00AD7703"/>
    <w:rsid w:val="00AD77C1"/>
    <w:rsid w:val="00AD7BBF"/>
    <w:rsid w:val="00AD7EA6"/>
    <w:rsid w:val="00AE0B93"/>
    <w:rsid w:val="00AE0CC9"/>
    <w:rsid w:val="00AE1042"/>
    <w:rsid w:val="00AE10B9"/>
    <w:rsid w:val="00AE10DD"/>
    <w:rsid w:val="00AE147F"/>
    <w:rsid w:val="00AE1DC0"/>
    <w:rsid w:val="00AE23D8"/>
    <w:rsid w:val="00AE273A"/>
    <w:rsid w:val="00AE27D7"/>
    <w:rsid w:val="00AE2EC6"/>
    <w:rsid w:val="00AE31D2"/>
    <w:rsid w:val="00AE474E"/>
    <w:rsid w:val="00AE4A00"/>
    <w:rsid w:val="00AE5038"/>
    <w:rsid w:val="00AE75AF"/>
    <w:rsid w:val="00AE7A77"/>
    <w:rsid w:val="00AF0058"/>
    <w:rsid w:val="00AF02B2"/>
    <w:rsid w:val="00AF0A08"/>
    <w:rsid w:val="00AF0C3E"/>
    <w:rsid w:val="00AF0FB8"/>
    <w:rsid w:val="00AF112B"/>
    <w:rsid w:val="00AF1DC6"/>
    <w:rsid w:val="00AF2407"/>
    <w:rsid w:val="00AF2A26"/>
    <w:rsid w:val="00AF2E66"/>
    <w:rsid w:val="00AF2EFA"/>
    <w:rsid w:val="00AF3BEA"/>
    <w:rsid w:val="00AF3C9C"/>
    <w:rsid w:val="00AF3E21"/>
    <w:rsid w:val="00AF4581"/>
    <w:rsid w:val="00AF4A2F"/>
    <w:rsid w:val="00AF4DF0"/>
    <w:rsid w:val="00AF5479"/>
    <w:rsid w:val="00AF54B2"/>
    <w:rsid w:val="00AF5AA4"/>
    <w:rsid w:val="00AF5C53"/>
    <w:rsid w:val="00AF6669"/>
    <w:rsid w:val="00AF680D"/>
    <w:rsid w:val="00AF686E"/>
    <w:rsid w:val="00AF6D64"/>
    <w:rsid w:val="00AF747A"/>
    <w:rsid w:val="00AF7E43"/>
    <w:rsid w:val="00AF7FDC"/>
    <w:rsid w:val="00B000AE"/>
    <w:rsid w:val="00B00345"/>
    <w:rsid w:val="00B008B7"/>
    <w:rsid w:val="00B00ABF"/>
    <w:rsid w:val="00B018F7"/>
    <w:rsid w:val="00B01A0B"/>
    <w:rsid w:val="00B01C60"/>
    <w:rsid w:val="00B01F00"/>
    <w:rsid w:val="00B023FA"/>
    <w:rsid w:val="00B037D9"/>
    <w:rsid w:val="00B03DE1"/>
    <w:rsid w:val="00B0401F"/>
    <w:rsid w:val="00B04C29"/>
    <w:rsid w:val="00B04D1E"/>
    <w:rsid w:val="00B05642"/>
    <w:rsid w:val="00B05C4F"/>
    <w:rsid w:val="00B05FBB"/>
    <w:rsid w:val="00B06B35"/>
    <w:rsid w:val="00B06D96"/>
    <w:rsid w:val="00B07082"/>
    <w:rsid w:val="00B077F7"/>
    <w:rsid w:val="00B0787B"/>
    <w:rsid w:val="00B07ABA"/>
    <w:rsid w:val="00B1019C"/>
    <w:rsid w:val="00B10B56"/>
    <w:rsid w:val="00B10F80"/>
    <w:rsid w:val="00B1156A"/>
    <w:rsid w:val="00B11962"/>
    <w:rsid w:val="00B11C1B"/>
    <w:rsid w:val="00B11D3C"/>
    <w:rsid w:val="00B12237"/>
    <w:rsid w:val="00B122D3"/>
    <w:rsid w:val="00B131E1"/>
    <w:rsid w:val="00B13613"/>
    <w:rsid w:val="00B13992"/>
    <w:rsid w:val="00B1429C"/>
    <w:rsid w:val="00B152D1"/>
    <w:rsid w:val="00B1543C"/>
    <w:rsid w:val="00B15E04"/>
    <w:rsid w:val="00B1646F"/>
    <w:rsid w:val="00B205DB"/>
    <w:rsid w:val="00B2099B"/>
    <w:rsid w:val="00B215CB"/>
    <w:rsid w:val="00B21639"/>
    <w:rsid w:val="00B22197"/>
    <w:rsid w:val="00B2312E"/>
    <w:rsid w:val="00B23287"/>
    <w:rsid w:val="00B234A0"/>
    <w:rsid w:val="00B235D0"/>
    <w:rsid w:val="00B23645"/>
    <w:rsid w:val="00B23CAF"/>
    <w:rsid w:val="00B24200"/>
    <w:rsid w:val="00B24543"/>
    <w:rsid w:val="00B24791"/>
    <w:rsid w:val="00B2533E"/>
    <w:rsid w:val="00B259F6"/>
    <w:rsid w:val="00B2647D"/>
    <w:rsid w:val="00B267D1"/>
    <w:rsid w:val="00B26828"/>
    <w:rsid w:val="00B2729A"/>
    <w:rsid w:val="00B27389"/>
    <w:rsid w:val="00B2747A"/>
    <w:rsid w:val="00B27972"/>
    <w:rsid w:val="00B27CD2"/>
    <w:rsid w:val="00B30BB1"/>
    <w:rsid w:val="00B315B6"/>
    <w:rsid w:val="00B319C7"/>
    <w:rsid w:val="00B31C67"/>
    <w:rsid w:val="00B31E43"/>
    <w:rsid w:val="00B32809"/>
    <w:rsid w:val="00B32FFF"/>
    <w:rsid w:val="00B3317C"/>
    <w:rsid w:val="00B332DF"/>
    <w:rsid w:val="00B338FB"/>
    <w:rsid w:val="00B33A5F"/>
    <w:rsid w:val="00B34272"/>
    <w:rsid w:val="00B3473B"/>
    <w:rsid w:val="00B34C8B"/>
    <w:rsid w:val="00B34DE2"/>
    <w:rsid w:val="00B35378"/>
    <w:rsid w:val="00B35F49"/>
    <w:rsid w:val="00B367C6"/>
    <w:rsid w:val="00B37160"/>
    <w:rsid w:val="00B37815"/>
    <w:rsid w:val="00B37894"/>
    <w:rsid w:val="00B41321"/>
    <w:rsid w:val="00B42AC2"/>
    <w:rsid w:val="00B4405F"/>
    <w:rsid w:val="00B44D1D"/>
    <w:rsid w:val="00B452A3"/>
    <w:rsid w:val="00B45D5E"/>
    <w:rsid w:val="00B46471"/>
    <w:rsid w:val="00B47468"/>
    <w:rsid w:val="00B50CC8"/>
    <w:rsid w:val="00B512B3"/>
    <w:rsid w:val="00B51C84"/>
    <w:rsid w:val="00B51D7F"/>
    <w:rsid w:val="00B51FA5"/>
    <w:rsid w:val="00B5207D"/>
    <w:rsid w:val="00B5343D"/>
    <w:rsid w:val="00B53BF3"/>
    <w:rsid w:val="00B53D19"/>
    <w:rsid w:val="00B54587"/>
    <w:rsid w:val="00B54A3D"/>
    <w:rsid w:val="00B54A6D"/>
    <w:rsid w:val="00B54EE2"/>
    <w:rsid w:val="00B5571A"/>
    <w:rsid w:val="00B572FF"/>
    <w:rsid w:val="00B57CAC"/>
    <w:rsid w:val="00B57E8C"/>
    <w:rsid w:val="00B6135C"/>
    <w:rsid w:val="00B61623"/>
    <w:rsid w:val="00B619E7"/>
    <w:rsid w:val="00B61C3D"/>
    <w:rsid w:val="00B623FE"/>
    <w:rsid w:val="00B63408"/>
    <w:rsid w:val="00B6343E"/>
    <w:rsid w:val="00B64E89"/>
    <w:rsid w:val="00B6510B"/>
    <w:rsid w:val="00B65717"/>
    <w:rsid w:val="00B65A60"/>
    <w:rsid w:val="00B65ADA"/>
    <w:rsid w:val="00B667B7"/>
    <w:rsid w:val="00B66E32"/>
    <w:rsid w:val="00B67475"/>
    <w:rsid w:val="00B67E46"/>
    <w:rsid w:val="00B70008"/>
    <w:rsid w:val="00B70163"/>
    <w:rsid w:val="00B70334"/>
    <w:rsid w:val="00B70445"/>
    <w:rsid w:val="00B706A6"/>
    <w:rsid w:val="00B7111C"/>
    <w:rsid w:val="00B71464"/>
    <w:rsid w:val="00B71950"/>
    <w:rsid w:val="00B721C0"/>
    <w:rsid w:val="00B72661"/>
    <w:rsid w:val="00B72F88"/>
    <w:rsid w:val="00B7305F"/>
    <w:rsid w:val="00B73F2D"/>
    <w:rsid w:val="00B74A21"/>
    <w:rsid w:val="00B752C6"/>
    <w:rsid w:val="00B7545A"/>
    <w:rsid w:val="00B75DAB"/>
    <w:rsid w:val="00B762F8"/>
    <w:rsid w:val="00B766C1"/>
    <w:rsid w:val="00B76804"/>
    <w:rsid w:val="00B76B90"/>
    <w:rsid w:val="00B76E89"/>
    <w:rsid w:val="00B77273"/>
    <w:rsid w:val="00B77C5A"/>
    <w:rsid w:val="00B77D96"/>
    <w:rsid w:val="00B808CA"/>
    <w:rsid w:val="00B813A3"/>
    <w:rsid w:val="00B81E15"/>
    <w:rsid w:val="00B81E4A"/>
    <w:rsid w:val="00B82321"/>
    <w:rsid w:val="00B826CF"/>
    <w:rsid w:val="00B82828"/>
    <w:rsid w:val="00B8283D"/>
    <w:rsid w:val="00B82CDA"/>
    <w:rsid w:val="00B836C4"/>
    <w:rsid w:val="00B83A4C"/>
    <w:rsid w:val="00B84CA7"/>
    <w:rsid w:val="00B84D53"/>
    <w:rsid w:val="00B84F30"/>
    <w:rsid w:val="00B85708"/>
    <w:rsid w:val="00B8625E"/>
    <w:rsid w:val="00B86610"/>
    <w:rsid w:val="00B87727"/>
    <w:rsid w:val="00B8788D"/>
    <w:rsid w:val="00B879B6"/>
    <w:rsid w:val="00B87C67"/>
    <w:rsid w:val="00B87CC6"/>
    <w:rsid w:val="00B90043"/>
    <w:rsid w:val="00B9038F"/>
    <w:rsid w:val="00B903C3"/>
    <w:rsid w:val="00B92A51"/>
    <w:rsid w:val="00B93095"/>
    <w:rsid w:val="00B93485"/>
    <w:rsid w:val="00B935C2"/>
    <w:rsid w:val="00B93A1F"/>
    <w:rsid w:val="00B93A8A"/>
    <w:rsid w:val="00B93F31"/>
    <w:rsid w:val="00B93F3C"/>
    <w:rsid w:val="00B94B1C"/>
    <w:rsid w:val="00B95170"/>
    <w:rsid w:val="00B95CF8"/>
    <w:rsid w:val="00B97139"/>
    <w:rsid w:val="00BA00B1"/>
    <w:rsid w:val="00BA033D"/>
    <w:rsid w:val="00BA038B"/>
    <w:rsid w:val="00BA0445"/>
    <w:rsid w:val="00BA17D6"/>
    <w:rsid w:val="00BA1914"/>
    <w:rsid w:val="00BA1A18"/>
    <w:rsid w:val="00BA1CB6"/>
    <w:rsid w:val="00BA1F08"/>
    <w:rsid w:val="00BA1F37"/>
    <w:rsid w:val="00BA2190"/>
    <w:rsid w:val="00BA24FB"/>
    <w:rsid w:val="00BA26E3"/>
    <w:rsid w:val="00BA2830"/>
    <w:rsid w:val="00BA2C17"/>
    <w:rsid w:val="00BA2ECE"/>
    <w:rsid w:val="00BA432B"/>
    <w:rsid w:val="00BA4A2C"/>
    <w:rsid w:val="00BA55EB"/>
    <w:rsid w:val="00BA5BB0"/>
    <w:rsid w:val="00BA5CCD"/>
    <w:rsid w:val="00BA6110"/>
    <w:rsid w:val="00BA6592"/>
    <w:rsid w:val="00BB022E"/>
    <w:rsid w:val="00BB063B"/>
    <w:rsid w:val="00BB0820"/>
    <w:rsid w:val="00BB16C9"/>
    <w:rsid w:val="00BB18ED"/>
    <w:rsid w:val="00BB19F6"/>
    <w:rsid w:val="00BB26E4"/>
    <w:rsid w:val="00BB3498"/>
    <w:rsid w:val="00BB35E4"/>
    <w:rsid w:val="00BB36A9"/>
    <w:rsid w:val="00BB36E6"/>
    <w:rsid w:val="00BB3AAC"/>
    <w:rsid w:val="00BB3DD7"/>
    <w:rsid w:val="00BB4818"/>
    <w:rsid w:val="00BB5802"/>
    <w:rsid w:val="00BB5F64"/>
    <w:rsid w:val="00BB6615"/>
    <w:rsid w:val="00BB68B7"/>
    <w:rsid w:val="00BB68FC"/>
    <w:rsid w:val="00BB6D49"/>
    <w:rsid w:val="00BB6D5C"/>
    <w:rsid w:val="00BB6DE3"/>
    <w:rsid w:val="00BB6E93"/>
    <w:rsid w:val="00BB727C"/>
    <w:rsid w:val="00BB7366"/>
    <w:rsid w:val="00BB75F4"/>
    <w:rsid w:val="00BB76A5"/>
    <w:rsid w:val="00BB78F7"/>
    <w:rsid w:val="00BB7DAC"/>
    <w:rsid w:val="00BC0AE9"/>
    <w:rsid w:val="00BC0D9C"/>
    <w:rsid w:val="00BC1323"/>
    <w:rsid w:val="00BC16FB"/>
    <w:rsid w:val="00BC2229"/>
    <w:rsid w:val="00BC26A1"/>
    <w:rsid w:val="00BC26C4"/>
    <w:rsid w:val="00BC2702"/>
    <w:rsid w:val="00BC29EE"/>
    <w:rsid w:val="00BC2DC5"/>
    <w:rsid w:val="00BC2E61"/>
    <w:rsid w:val="00BC3597"/>
    <w:rsid w:val="00BC38F5"/>
    <w:rsid w:val="00BC40F9"/>
    <w:rsid w:val="00BC4460"/>
    <w:rsid w:val="00BC4715"/>
    <w:rsid w:val="00BC483F"/>
    <w:rsid w:val="00BC491A"/>
    <w:rsid w:val="00BC4C73"/>
    <w:rsid w:val="00BC4E46"/>
    <w:rsid w:val="00BC4E8F"/>
    <w:rsid w:val="00BC6BD9"/>
    <w:rsid w:val="00BC738F"/>
    <w:rsid w:val="00BC75E6"/>
    <w:rsid w:val="00BC79F2"/>
    <w:rsid w:val="00BD09F3"/>
    <w:rsid w:val="00BD1234"/>
    <w:rsid w:val="00BD2FE9"/>
    <w:rsid w:val="00BD32AD"/>
    <w:rsid w:val="00BD3FF2"/>
    <w:rsid w:val="00BD48D1"/>
    <w:rsid w:val="00BD4A61"/>
    <w:rsid w:val="00BD4B07"/>
    <w:rsid w:val="00BD4C67"/>
    <w:rsid w:val="00BD4D6F"/>
    <w:rsid w:val="00BD4DB7"/>
    <w:rsid w:val="00BD4F66"/>
    <w:rsid w:val="00BD5592"/>
    <w:rsid w:val="00BD5F4F"/>
    <w:rsid w:val="00BD6329"/>
    <w:rsid w:val="00BD6E7B"/>
    <w:rsid w:val="00BD7AD8"/>
    <w:rsid w:val="00BE0565"/>
    <w:rsid w:val="00BE0611"/>
    <w:rsid w:val="00BE083D"/>
    <w:rsid w:val="00BE14DA"/>
    <w:rsid w:val="00BE16A9"/>
    <w:rsid w:val="00BE1A1D"/>
    <w:rsid w:val="00BE1BB0"/>
    <w:rsid w:val="00BE3094"/>
    <w:rsid w:val="00BE3374"/>
    <w:rsid w:val="00BE3699"/>
    <w:rsid w:val="00BE3E72"/>
    <w:rsid w:val="00BE41F2"/>
    <w:rsid w:val="00BE449D"/>
    <w:rsid w:val="00BE4C86"/>
    <w:rsid w:val="00BE52C0"/>
    <w:rsid w:val="00BE5818"/>
    <w:rsid w:val="00BE5DA8"/>
    <w:rsid w:val="00BE5F12"/>
    <w:rsid w:val="00BE63D6"/>
    <w:rsid w:val="00BE65D4"/>
    <w:rsid w:val="00BE79CF"/>
    <w:rsid w:val="00BF10B5"/>
    <w:rsid w:val="00BF1876"/>
    <w:rsid w:val="00BF1FF7"/>
    <w:rsid w:val="00BF2490"/>
    <w:rsid w:val="00BF24A9"/>
    <w:rsid w:val="00BF279A"/>
    <w:rsid w:val="00BF2D90"/>
    <w:rsid w:val="00BF301C"/>
    <w:rsid w:val="00BF3ADD"/>
    <w:rsid w:val="00BF3B33"/>
    <w:rsid w:val="00BF4A57"/>
    <w:rsid w:val="00BF6360"/>
    <w:rsid w:val="00BF6484"/>
    <w:rsid w:val="00BF72B0"/>
    <w:rsid w:val="00BF7853"/>
    <w:rsid w:val="00BF7859"/>
    <w:rsid w:val="00BF7DEC"/>
    <w:rsid w:val="00C016EC"/>
    <w:rsid w:val="00C018D0"/>
    <w:rsid w:val="00C02185"/>
    <w:rsid w:val="00C021E5"/>
    <w:rsid w:val="00C02B1A"/>
    <w:rsid w:val="00C0308F"/>
    <w:rsid w:val="00C033F7"/>
    <w:rsid w:val="00C03757"/>
    <w:rsid w:val="00C03BE7"/>
    <w:rsid w:val="00C041AB"/>
    <w:rsid w:val="00C0424D"/>
    <w:rsid w:val="00C05134"/>
    <w:rsid w:val="00C05241"/>
    <w:rsid w:val="00C05612"/>
    <w:rsid w:val="00C0783F"/>
    <w:rsid w:val="00C07857"/>
    <w:rsid w:val="00C07AEF"/>
    <w:rsid w:val="00C10025"/>
    <w:rsid w:val="00C114BE"/>
    <w:rsid w:val="00C114DF"/>
    <w:rsid w:val="00C11F62"/>
    <w:rsid w:val="00C11FB5"/>
    <w:rsid w:val="00C122F7"/>
    <w:rsid w:val="00C12C27"/>
    <w:rsid w:val="00C12C69"/>
    <w:rsid w:val="00C13113"/>
    <w:rsid w:val="00C131E2"/>
    <w:rsid w:val="00C1330B"/>
    <w:rsid w:val="00C136B0"/>
    <w:rsid w:val="00C14825"/>
    <w:rsid w:val="00C14D55"/>
    <w:rsid w:val="00C151F5"/>
    <w:rsid w:val="00C15344"/>
    <w:rsid w:val="00C15A55"/>
    <w:rsid w:val="00C16312"/>
    <w:rsid w:val="00C16A18"/>
    <w:rsid w:val="00C16AE6"/>
    <w:rsid w:val="00C17F4E"/>
    <w:rsid w:val="00C20380"/>
    <w:rsid w:val="00C20D3D"/>
    <w:rsid w:val="00C21008"/>
    <w:rsid w:val="00C21ACB"/>
    <w:rsid w:val="00C22731"/>
    <w:rsid w:val="00C229B1"/>
    <w:rsid w:val="00C22ADD"/>
    <w:rsid w:val="00C22AE2"/>
    <w:rsid w:val="00C22B08"/>
    <w:rsid w:val="00C22B32"/>
    <w:rsid w:val="00C22DF7"/>
    <w:rsid w:val="00C22F57"/>
    <w:rsid w:val="00C2314E"/>
    <w:rsid w:val="00C23168"/>
    <w:rsid w:val="00C2323F"/>
    <w:rsid w:val="00C239F7"/>
    <w:rsid w:val="00C23BC0"/>
    <w:rsid w:val="00C244B6"/>
    <w:rsid w:val="00C2452F"/>
    <w:rsid w:val="00C24BCC"/>
    <w:rsid w:val="00C24FF2"/>
    <w:rsid w:val="00C24FF3"/>
    <w:rsid w:val="00C25445"/>
    <w:rsid w:val="00C25446"/>
    <w:rsid w:val="00C26397"/>
    <w:rsid w:val="00C26485"/>
    <w:rsid w:val="00C26923"/>
    <w:rsid w:val="00C273E8"/>
    <w:rsid w:val="00C27FEF"/>
    <w:rsid w:val="00C30B0E"/>
    <w:rsid w:val="00C31BA6"/>
    <w:rsid w:val="00C31BF5"/>
    <w:rsid w:val="00C31DD1"/>
    <w:rsid w:val="00C32290"/>
    <w:rsid w:val="00C32737"/>
    <w:rsid w:val="00C34875"/>
    <w:rsid w:val="00C3489E"/>
    <w:rsid w:val="00C349A7"/>
    <w:rsid w:val="00C34D47"/>
    <w:rsid w:val="00C34D83"/>
    <w:rsid w:val="00C34FF4"/>
    <w:rsid w:val="00C3585D"/>
    <w:rsid w:val="00C364AC"/>
    <w:rsid w:val="00C36B31"/>
    <w:rsid w:val="00C37063"/>
    <w:rsid w:val="00C371D5"/>
    <w:rsid w:val="00C376D6"/>
    <w:rsid w:val="00C40601"/>
    <w:rsid w:val="00C4080B"/>
    <w:rsid w:val="00C412D2"/>
    <w:rsid w:val="00C41892"/>
    <w:rsid w:val="00C423CC"/>
    <w:rsid w:val="00C4285E"/>
    <w:rsid w:val="00C429AD"/>
    <w:rsid w:val="00C44B02"/>
    <w:rsid w:val="00C44B7B"/>
    <w:rsid w:val="00C45090"/>
    <w:rsid w:val="00C45530"/>
    <w:rsid w:val="00C46AC4"/>
    <w:rsid w:val="00C46F79"/>
    <w:rsid w:val="00C473B5"/>
    <w:rsid w:val="00C50449"/>
    <w:rsid w:val="00C50CE8"/>
    <w:rsid w:val="00C51272"/>
    <w:rsid w:val="00C515B4"/>
    <w:rsid w:val="00C51881"/>
    <w:rsid w:val="00C52145"/>
    <w:rsid w:val="00C53181"/>
    <w:rsid w:val="00C5359D"/>
    <w:rsid w:val="00C53694"/>
    <w:rsid w:val="00C5451B"/>
    <w:rsid w:val="00C55B4B"/>
    <w:rsid w:val="00C57BC2"/>
    <w:rsid w:val="00C57D12"/>
    <w:rsid w:val="00C6092E"/>
    <w:rsid w:val="00C61482"/>
    <w:rsid w:val="00C61533"/>
    <w:rsid w:val="00C62475"/>
    <w:rsid w:val="00C6344F"/>
    <w:rsid w:val="00C63E6C"/>
    <w:rsid w:val="00C6432A"/>
    <w:rsid w:val="00C64428"/>
    <w:rsid w:val="00C648D9"/>
    <w:rsid w:val="00C65200"/>
    <w:rsid w:val="00C6538D"/>
    <w:rsid w:val="00C656BD"/>
    <w:rsid w:val="00C65F0A"/>
    <w:rsid w:val="00C6690E"/>
    <w:rsid w:val="00C67906"/>
    <w:rsid w:val="00C679D3"/>
    <w:rsid w:val="00C67ACC"/>
    <w:rsid w:val="00C701A5"/>
    <w:rsid w:val="00C7059A"/>
    <w:rsid w:val="00C722B2"/>
    <w:rsid w:val="00C72D23"/>
    <w:rsid w:val="00C73C3E"/>
    <w:rsid w:val="00C73FED"/>
    <w:rsid w:val="00C741ED"/>
    <w:rsid w:val="00C74AEE"/>
    <w:rsid w:val="00C74B96"/>
    <w:rsid w:val="00C7608B"/>
    <w:rsid w:val="00C77296"/>
    <w:rsid w:val="00C8059D"/>
    <w:rsid w:val="00C80FC9"/>
    <w:rsid w:val="00C8194E"/>
    <w:rsid w:val="00C82AB5"/>
    <w:rsid w:val="00C830B7"/>
    <w:rsid w:val="00C83444"/>
    <w:rsid w:val="00C83829"/>
    <w:rsid w:val="00C83B88"/>
    <w:rsid w:val="00C83F7C"/>
    <w:rsid w:val="00C845AC"/>
    <w:rsid w:val="00C849BF"/>
    <w:rsid w:val="00C84B76"/>
    <w:rsid w:val="00C85284"/>
    <w:rsid w:val="00C8549E"/>
    <w:rsid w:val="00C8591E"/>
    <w:rsid w:val="00C85EE6"/>
    <w:rsid w:val="00C86062"/>
    <w:rsid w:val="00C8631F"/>
    <w:rsid w:val="00C86FC2"/>
    <w:rsid w:val="00C874E4"/>
    <w:rsid w:val="00C87665"/>
    <w:rsid w:val="00C9045E"/>
    <w:rsid w:val="00C905F6"/>
    <w:rsid w:val="00C906D2"/>
    <w:rsid w:val="00C9073A"/>
    <w:rsid w:val="00C91CA7"/>
    <w:rsid w:val="00C9241B"/>
    <w:rsid w:val="00C934F5"/>
    <w:rsid w:val="00C93800"/>
    <w:rsid w:val="00C93B8E"/>
    <w:rsid w:val="00C94867"/>
    <w:rsid w:val="00C94EB6"/>
    <w:rsid w:val="00C94FC5"/>
    <w:rsid w:val="00C951E5"/>
    <w:rsid w:val="00C95526"/>
    <w:rsid w:val="00C9576F"/>
    <w:rsid w:val="00C95780"/>
    <w:rsid w:val="00C95885"/>
    <w:rsid w:val="00C962B3"/>
    <w:rsid w:val="00C965E9"/>
    <w:rsid w:val="00C975BD"/>
    <w:rsid w:val="00CA0559"/>
    <w:rsid w:val="00CA0C47"/>
    <w:rsid w:val="00CA11FE"/>
    <w:rsid w:val="00CA1788"/>
    <w:rsid w:val="00CA2DE0"/>
    <w:rsid w:val="00CA353D"/>
    <w:rsid w:val="00CA3A8F"/>
    <w:rsid w:val="00CA4854"/>
    <w:rsid w:val="00CA5351"/>
    <w:rsid w:val="00CA56FD"/>
    <w:rsid w:val="00CA584B"/>
    <w:rsid w:val="00CA5935"/>
    <w:rsid w:val="00CA6336"/>
    <w:rsid w:val="00CA6B26"/>
    <w:rsid w:val="00CA6EB9"/>
    <w:rsid w:val="00CB06FA"/>
    <w:rsid w:val="00CB097E"/>
    <w:rsid w:val="00CB0FF6"/>
    <w:rsid w:val="00CB1084"/>
    <w:rsid w:val="00CB142C"/>
    <w:rsid w:val="00CB1743"/>
    <w:rsid w:val="00CB1E6F"/>
    <w:rsid w:val="00CB2D8B"/>
    <w:rsid w:val="00CB3419"/>
    <w:rsid w:val="00CB37F0"/>
    <w:rsid w:val="00CB3826"/>
    <w:rsid w:val="00CB456D"/>
    <w:rsid w:val="00CB4B26"/>
    <w:rsid w:val="00CB4C18"/>
    <w:rsid w:val="00CB5A0C"/>
    <w:rsid w:val="00CB5FC1"/>
    <w:rsid w:val="00CB603B"/>
    <w:rsid w:val="00CB688E"/>
    <w:rsid w:val="00CB6A09"/>
    <w:rsid w:val="00CB6E89"/>
    <w:rsid w:val="00CB7601"/>
    <w:rsid w:val="00CB792A"/>
    <w:rsid w:val="00CB7A24"/>
    <w:rsid w:val="00CB7DA0"/>
    <w:rsid w:val="00CC0B4C"/>
    <w:rsid w:val="00CC1F8D"/>
    <w:rsid w:val="00CC20A5"/>
    <w:rsid w:val="00CC2378"/>
    <w:rsid w:val="00CC28FE"/>
    <w:rsid w:val="00CC2F0B"/>
    <w:rsid w:val="00CC3380"/>
    <w:rsid w:val="00CC398D"/>
    <w:rsid w:val="00CC4139"/>
    <w:rsid w:val="00CC46E5"/>
    <w:rsid w:val="00CC4BC0"/>
    <w:rsid w:val="00CC5353"/>
    <w:rsid w:val="00CC5377"/>
    <w:rsid w:val="00CC5459"/>
    <w:rsid w:val="00CC54C1"/>
    <w:rsid w:val="00CC56CC"/>
    <w:rsid w:val="00CC65D5"/>
    <w:rsid w:val="00CC6731"/>
    <w:rsid w:val="00CC69EA"/>
    <w:rsid w:val="00CC6EEB"/>
    <w:rsid w:val="00CC734B"/>
    <w:rsid w:val="00CC7482"/>
    <w:rsid w:val="00CC7621"/>
    <w:rsid w:val="00CD0397"/>
    <w:rsid w:val="00CD0574"/>
    <w:rsid w:val="00CD1C82"/>
    <w:rsid w:val="00CD1ED7"/>
    <w:rsid w:val="00CD1F09"/>
    <w:rsid w:val="00CD2145"/>
    <w:rsid w:val="00CD233E"/>
    <w:rsid w:val="00CD2D86"/>
    <w:rsid w:val="00CD3054"/>
    <w:rsid w:val="00CD3F0D"/>
    <w:rsid w:val="00CD40F5"/>
    <w:rsid w:val="00CD4391"/>
    <w:rsid w:val="00CD4847"/>
    <w:rsid w:val="00CD6319"/>
    <w:rsid w:val="00CD6E2A"/>
    <w:rsid w:val="00CD7634"/>
    <w:rsid w:val="00CD7BD1"/>
    <w:rsid w:val="00CE0067"/>
    <w:rsid w:val="00CE08D8"/>
    <w:rsid w:val="00CE295F"/>
    <w:rsid w:val="00CE34D4"/>
    <w:rsid w:val="00CE3DDC"/>
    <w:rsid w:val="00CE4393"/>
    <w:rsid w:val="00CE479B"/>
    <w:rsid w:val="00CE66B1"/>
    <w:rsid w:val="00CE68CD"/>
    <w:rsid w:val="00CE72E0"/>
    <w:rsid w:val="00CE79B2"/>
    <w:rsid w:val="00CE7A4F"/>
    <w:rsid w:val="00CE7D82"/>
    <w:rsid w:val="00CE7F64"/>
    <w:rsid w:val="00CF001A"/>
    <w:rsid w:val="00CF1B75"/>
    <w:rsid w:val="00CF2205"/>
    <w:rsid w:val="00CF246B"/>
    <w:rsid w:val="00CF3751"/>
    <w:rsid w:val="00CF3831"/>
    <w:rsid w:val="00CF4218"/>
    <w:rsid w:val="00CF499D"/>
    <w:rsid w:val="00CF5402"/>
    <w:rsid w:val="00CF5480"/>
    <w:rsid w:val="00CF5706"/>
    <w:rsid w:val="00CF5802"/>
    <w:rsid w:val="00CF6CFD"/>
    <w:rsid w:val="00CF7E5D"/>
    <w:rsid w:val="00D00926"/>
    <w:rsid w:val="00D00A2D"/>
    <w:rsid w:val="00D00D23"/>
    <w:rsid w:val="00D00F7C"/>
    <w:rsid w:val="00D01A2A"/>
    <w:rsid w:val="00D02A2A"/>
    <w:rsid w:val="00D02B73"/>
    <w:rsid w:val="00D0319D"/>
    <w:rsid w:val="00D04770"/>
    <w:rsid w:val="00D04E3C"/>
    <w:rsid w:val="00D057B7"/>
    <w:rsid w:val="00D0625F"/>
    <w:rsid w:val="00D06A25"/>
    <w:rsid w:val="00D06B99"/>
    <w:rsid w:val="00D114CA"/>
    <w:rsid w:val="00D11838"/>
    <w:rsid w:val="00D1208C"/>
    <w:rsid w:val="00D12698"/>
    <w:rsid w:val="00D12DC1"/>
    <w:rsid w:val="00D133DE"/>
    <w:rsid w:val="00D13656"/>
    <w:rsid w:val="00D1388B"/>
    <w:rsid w:val="00D1389E"/>
    <w:rsid w:val="00D139F9"/>
    <w:rsid w:val="00D13B7D"/>
    <w:rsid w:val="00D14E1A"/>
    <w:rsid w:val="00D14F98"/>
    <w:rsid w:val="00D1555C"/>
    <w:rsid w:val="00D1572B"/>
    <w:rsid w:val="00D15745"/>
    <w:rsid w:val="00D16CCD"/>
    <w:rsid w:val="00D171E9"/>
    <w:rsid w:val="00D1732C"/>
    <w:rsid w:val="00D17854"/>
    <w:rsid w:val="00D17AD6"/>
    <w:rsid w:val="00D20972"/>
    <w:rsid w:val="00D20ECB"/>
    <w:rsid w:val="00D21295"/>
    <w:rsid w:val="00D215B9"/>
    <w:rsid w:val="00D21638"/>
    <w:rsid w:val="00D21A37"/>
    <w:rsid w:val="00D22177"/>
    <w:rsid w:val="00D227DD"/>
    <w:rsid w:val="00D22837"/>
    <w:rsid w:val="00D230CF"/>
    <w:rsid w:val="00D230E3"/>
    <w:rsid w:val="00D2365B"/>
    <w:rsid w:val="00D237CC"/>
    <w:rsid w:val="00D23A6C"/>
    <w:rsid w:val="00D23BC4"/>
    <w:rsid w:val="00D23E5C"/>
    <w:rsid w:val="00D23F05"/>
    <w:rsid w:val="00D240D6"/>
    <w:rsid w:val="00D24478"/>
    <w:rsid w:val="00D248F2"/>
    <w:rsid w:val="00D24B11"/>
    <w:rsid w:val="00D24FC8"/>
    <w:rsid w:val="00D252C3"/>
    <w:rsid w:val="00D2544C"/>
    <w:rsid w:val="00D25631"/>
    <w:rsid w:val="00D26BF1"/>
    <w:rsid w:val="00D2709C"/>
    <w:rsid w:val="00D27633"/>
    <w:rsid w:val="00D27F8D"/>
    <w:rsid w:val="00D30185"/>
    <w:rsid w:val="00D31764"/>
    <w:rsid w:val="00D31AAB"/>
    <w:rsid w:val="00D31D73"/>
    <w:rsid w:val="00D31E44"/>
    <w:rsid w:val="00D31EC6"/>
    <w:rsid w:val="00D3205A"/>
    <w:rsid w:val="00D32557"/>
    <w:rsid w:val="00D32BAE"/>
    <w:rsid w:val="00D33004"/>
    <w:rsid w:val="00D3363E"/>
    <w:rsid w:val="00D337B2"/>
    <w:rsid w:val="00D345F6"/>
    <w:rsid w:val="00D34874"/>
    <w:rsid w:val="00D35305"/>
    <w:rsid w:val="00D35AC6"/>
    <w:rsid w:val="00D3612C"/>
    <w:rsid w:val="00D36415"/>
    <w:rsid w:val="00D3798D"/>
    <w:rsid w:val="00D4012E"/>
    <w:rsid w:val="00D40516"/>
    <w:rsid w:val="00D40564"/>
    <w:rsid w:val="00D4061B"/>
    <w:rsid w:val="00D406A0"/>
    <w:rsid w:val="00D40C26"/>
    <w:rsid w:val="00D4100A"/>
    <w:rsid w:val="00D41E31"/>
    <w:rsid w:val="00D41F68"/>
    <w:rsid w:val="00D434CF"/>
    <w:rsid w:val="00D43DB5"/>
    <w:rsid w:val="00D4467B"/>
    <w:rsid w:val="00D44CDA"/>
    <w:rsid w:val="00D44FD2"/>
    <w:rsid w:val="00D45394"/>
    <w:rsid w:val="00D45775"/>
    <w:rsid w:val="00D457D3"/>
    <w:rsid w:val="00D45FF6"/>
    <w:rsid w:val="00D46C61"/>
    <w:rsid w:val="00D479AF"/>
    <w:rsid w:val="00D50AD1"/>
    <w:rsid w:val="00D5117E"/>
    <w:rsid w:val="00D512AC"/>
    <w:rsid w:val="00D51ECE"/>
    <w:rsid w:val="00D52165"/>
    <w:rsid w:val="00D523CA"/>
    <w:rsid w:val="00D52462"/>
    <w:rsid w:val="00D52CAB"/>
    <w:rsid w:val="00D534F6"/>
    <w:rsid w:val="00D53E7F"/>
    <w:rsid w:val="00D54447"/>
    <w:rsid w:val="00D547E8"/>
    <w:rsid w:val="00D54C63"/>
    <w:rsid w:val="00D55527"/>
    <w:rsid w:val="00D5655E"/>
    <w:rsid w:val="00D56A06"/>
    <w:rsid w:val="00D56F15"/>
    <w:rsid w:val="00D57448"/>
    <w:rsid w:val="00D60CCE"/>
    <w:rsid w:val="00D61CCE"/>
    <w:rsid w:val="00D61F53"/>
    <w:rsid w:val="00D63F88"/>
    <w:rsid w:val="00D64AA1"/>
    <w:rsid w:val="00D64CA2"/>
    <w:rsid w:val="00D6543E"/>
    <w:rsid w:val="00D657F3"/>
    <w:rsid w:val="00D678BF"/>
    <w:rsid w:val="00D7054A"/>
    <w:rsid w:val="00D708FD"/>
    <w:rsid w:val="00D71070"/>
    <w:rsid w:val="00D711D9"/>
    <w:rsid w:val="00D717DA"/>
    <w:rsid w:val="00D72681"/>
    <w:rsid w:val="00D72A24"/>
    <w:rsid w:val="00D7358E"/>
    <w:rsid w:val="00D73927"/>
    <w:rsid w:val="00D739FF"/>
    <w:rsid w:val="00D73F92"/>
    <w:rsid w:val="00D7468F"/>
    <w:rsid w:val="00D74C69"/>
    <w:rsid w:val="00D752CF"/>
    <w:rsid w:val="00D754B4"/>
    <w:rsid w:val="00D75C83"/>
    <w:rsid w:val="00D75D07"/>
    <w:rsid w:val="00D75E39"/>
    <w:rsid w:val="00D7643A"/>
    <w:rsid w:val="00D766BD"/>
    <w:rsid w:val="00D76864"/>
    <w:rsid w:val="00D77061"/>
    <w:rsid w:val="00D771E4"/>
    <w:rsid w:val="00D80211"/>
    <w:rsid w:val="00D8093A"/>
    <w:rsid w:val="00D80F62"/>
    <w:rsid w:val="00D81609"/>
    <w:rsid w:val="00D81CE7"/>
    <w:rsid w:val="00D81F60"/>
    <w:rsid w:val="00D825AB"/>
    <w:rsid w:val="00D82CB7"/>
    <w:rsid w:val="00D82F81"/>
    <w:rsid w:val="00D83238"/>
    <w:rsid w:val="00D83A56"/>
    <w:rsid w:val="00D84D73"/>
    <w:rsid w:val="00D84F9D"/>
    <w:rsid w:val="00D85924"/>
    <w:rsid w:val="00D85A23"/>
    <w:rsid w:val="00D86759"/>
    <w:rsid w:val="00D87AD8"/>
    <w:rsid w:val="00D90CF9"/>
    <w:rsid w:val="00D91978"/>
    <w:rsid w:val="00D92C74"/>
    <w:rsid w:val="00D92C83"/>
    <w:rsid w:val="00D93C8F"/>
    <w:rsid w:val="00D93EBE"/>
    <w:rsid w:val="00D943B1"/>
    <w:rsid w:val="00D9463E"/>
    <w:rsid w:val="00D94743"/>
    <w:rsid w:val="00D94A95"/>
    <w:rsid w:val="00D951EA"/>
    <w:rsid w:val="00D95744"/>
    <w:rsid w:val="00D95E9F"/>
    <w:rsid w:val="00D96A4D"/>
    <w:rsid w:val="00D975E1"/>
    <w:rsid w:val="00D979A0"/>
    <w:rsid w:val="00D97BC0"/>
    <w:rsid w:val="00DA0453"/>
    <w:rsid w:val="00DA168F"/>
    <w:rsid w:val="00DA1C1C"/>
    <w:rsid w:val="00DA25C6"/>
    <w:rsid w:val="00DA2B57"/>
    <w:rsid w:val="00DA39C5"/>
    <w:rsid w:val="00DA4148"/>
    <w:rsid w:val="00DA44C3"/>
    <w:rsid w:val="00DA493E"/>
    <w:rsid w:val="00DA49A8"/>
    <w:rsid w:val="00DA49DE"/>
    <w:rsid w:val="00DA4B5F"/>
    <w:rsid w:val="00DA526B"/>
    <w:rsid w:val="00DA5611"/>
    <w:rsid w:val="00DA5739"/>
    <w:rsid w:val="00DA5B72"/>
    <w:rsid w:val="00DA6092"/>
    <w:rsid w:val="00DA61A2"/>
    <w:rsid w:val="00DA61BB"/>
    <w:rsid w:val="00DA6BCC"/>
    <w:rsid w:val="00DA6DB2"/>
    <w:rsid w:val="00DA7325"/>
    <w:rsid w:val="00DB04E1"/>
    <w:rsid w:val="00DB116E"/>
    <w:rsid w:val="00DB13B2"/>
    <w:rsid w:val="00DB1435"/>
    <w:rsid w:val="00DB1D81"/>
    <w:rsid w:val="00DB221B"/>
    <w:rsid w:val="00DB275A"/>
    <w:rsid w:val="00DB27E1"/>
    <w:rsid w:val="00DB2A25"/>
    <w:rsid w:val="00DB3046"/>
    <w:rsid w:val="00DB3180"/>
    <w:rsid w:val="00DB360E"/>
    <w:rsid w:val="00DB45F7"/>
    <w:rsid w:val="00DB4ACD"/>
    <w:rsid w:val="00DB51EB"/>
    <w:rsid w:val="00DB5A5E"/>
    <w:rsid w:val="00DB675A"/>
    <w:rsid w:val="00DB6B8E"/>
    <w:rsid w:val="00DB7559"/>
    <w:rsid w:val="00DB7637"/>
    <w:rsid w:val="00DB7C49"/>
    <w:rsid w:val="00DC03E0"/>
    <w:rsid w:val="00DC0C3E"/>
    <w:rsid w:val="00DC0E23"/>
    <w:rsid w:val="00DC25DE"/>
    <w:rsid w:val="00DC2F3E"/>
    <w:rsid w:val="00DC3223"/>
    <w:rsid w:val="00DC36B4"/>
    <w:rsid w:val="00DC377F"/>
    <w:rsid w:val="00DC4416"/>
    <w:rsid w:val="00DC4AE7"/>
    <w:rsid w:val="00DC4B66"/>
    <w:rsid w:val="00DC4CB1"/>
    <w:rsid w:val="00DC5297"/>
    <w:rsid w:val="00DC56CA"/>
    <w:rsid w:val="00DC58DD"/>
    <w:rsid w:val="00DC64F8"/>
    <w:rsid w:val="00DC65AF"/>
    <w:rsid w:val="00DC6819"/>
    <w:rsid w:val="00DC6CC4"/>
    <w:rsid w:val="00DC7591"/>
    <w:rsid w:val="00DC7723"/>
    <w:rsid w:val="00DC7C05"/>
    <w:rsid w:val="00DD0015"/>
    <w:rsid w:val="00DD0F01"/>
    <w:rsid w:val="00DD1492"/>
    <w:rsid w:val="00DD1603"/>
    <w:rsid w:val="00DD19CE"/>
    <w:rsid w:val="00DD2670"/>
    <w:rsid w:val="00DD286D"/>
    <w:rsid w:val="00DD2936"/>
    <w:rsid w:val="00DD3983"/>
    <w:rsid w:val="00DD3CF0"/>
    <w:rsid w:val="00DD3DE9"/>
    <w:rsid w:val="00DD42BB"/>
    <w:rsid w:val="00DD4387"/>
    <w:rsid w:val="00DD43F5"/>
    <w:rsid w:val="00DD4846"/>
    <w:rsid w:val="00DD4BAE"/>
    <w:rsid w:val="00DD55A5"/>
    <w:rsid w:val="00DD5813"/>
    <w:rsid w:val="00DD5A8A"/>
    <w:rsid w:val="00DD5B24"/>
    <w:rsid w:val="00DE0409"/>
    <w:rsid w:val="00DE05ED"/>
    <w:rsid w:val="00DE0FDE"/>
    <w:rsid w:val="00DE108D"/>
    <w:rsid w:val="00DE13B4"/>
    <w:rsid w:val="00DE181D"/>
    <w:rsid w:val="00DE1B9B"/>
    <w:rsid w:val="00DE1F29"/>
    <w:rsid w:val="00DE2855"/>
    <w:rsid w:val="00DE3A2B"/>
    <w:rsid w:val="00DE4362"/>
    <w:rsid w:val="00DE43AE"/>
    <w:rsid w:val="00DE4897"/>
    <w:rsid w:val="00DE4FE2"/>
    <w:rsid w:val="00DE52BB"/>
    <w:rsid w:val="00DE632A"/>
    <w:rsid w:val="00DE6393"/>
    <w:rsid w:val="00DE639C"/>
    <w:rsid w:val="00DE64E1"/>
    <w:rsid w:val="00DE7187"/>
    <w:rsid w:val="00DE79AD"/>
    <w:rsid w:val="00DF0375"/>
    <w:rsid w:val="00DF0410"/>
    <w:rsid w:val="00DF0DBF"/>
    <w:rsid w:val="00DF14C4"/>
    <w:rsid w:val="00DF1546"/>
    <w:rsid w:val="00DF1C45"/>
    <w:rsid w:val="00DF1F83"/>
    <w:rsid w:val="00DF2231"/>
    <w:rsid w:val="00DF2D0C"/>
    <w:rsid w:val="00DF30E9"/>
    <w:rsid w:val="00DF3643"/>
    <w:rsid w:val="00DF3B16"/>
    <w:rsid w:val="00DF3CFB"/>
    <w:rsid w:val="00DF4388"/>
    <w:rsid w:val="00DF461C"/>
    <w:rsid w:val="00DF465E"/>
    <w:rsid w:val="00DF50AF"/>
    <w:rsid w:val="00DF5345"/>
    <w:rsid w:val="00DF56D1"/>
    <w:rsid w:val="00DF5B33"/>
    <w:rsid w:val="00DF5D86"/>
    <w:rsid w:val="00DF5F6F"/>
    <w:rsid w:val="00DF628D"/>
    <w:rsid w:val="00DF6599"/>
    <w:rsid w:val="00DF6BF0"/>
    <w:rsid w:val="00DF73FD"/>
    <w:rsid w:val="00DF7924"/>
    <w:rsid w:val="00E00968"/>
    <w:rsid w:val="00E0112E"/>
    <w:rsid w:val="00E015E1"/>
    <w:rsid w:val="00E016DC"/>
    <w:rsid w:val="00E01B0C"/>
    <w:rsid w:val="00E01E92"/>
    <w:rsid w:val="00E03A52"/>
    <w:rsid w:val="00E03F65"/>
    <w:rsid w:val="00E040D4"/>
    <w:rsid w:val="00E04490"/>
    <w:rsid w:val="00E04908"/>
    <w:rsid w:val="00E04917"/>
    <w:rsid w:val="00E04D18"/>
    <w:rsid w:val="00E06E52"/>
    <w:rsid w:val="00E0717C"/>
    <w:rsid w:val="00E07A0A"/>
    <w:rsid w:val="00E07A3E"/>
    <w:rsid w:val="00E10DF8"/>
    <w:rsid w:val="00E113BB"/>
    <w:rsid w:val="00E119FE"/>
    <w:rsid w:val="00E12E65"/>
    <w:rsid w:val="00E130B9"/>
    <w:rsid w:val="00E14429"/>
    <w:rsid w:val="00E164FB"/>
    <w:rsid w:val="00E169F1"/>
    <w:rsid w:val="00E16F04"/>
    <w:rsid w:val="00E202BE"/>
    <w:rsid w:val="00E20493"/>
    <w:rsid w:val="00E2192B"/>
    <w:rsid w:val="00E21BAB"/>
    <w:rsid w:val="00E224A8"/>
    <w:rsid w:val="00E2250A"/>
    <w:rsid w:val="00E22B2D"/>
    <w:rsid w:val="00E22C8D"/>
    <w:rsid w:val="00E23238"/>
    <w:rsid w:val="00E23520"/>
    <w:rsid w:val="00E2354D"/>
    <w:rsid w:val="00E23718"/>
    <w:rsid w:val="00E23C23"/>
    <w:rsid w:val="00E24008"/>
    <w:rsid w:val="00E24B7B"/>
    <w:rsid w:val="00E2512A"/>
    <w:rsid w:val="00E2599F"/>
    <w:rsid w:val="00E25DF6"/>
    <w:rsid w:val="00E2602B"/>
    <w:rsid w:val="00E2610A"/>
    <w:rsid w:val="00E261E9"/>
    <w:rsid w:val="00E26C0C"/>
    <w:rsid w:val="00E2722A"/>
    <w:rsid w:val="00E275CB"/>
    <w:rsid w:val="00E275CE"/>
    <w:rsid w:val="00E277D3"/>
    <w:rsid w:val="00E27AB0"/>
    <w:rsid w:val="00E30E2B"/>
    <w:rsid w:val="00E30FCE"/>
    <w:rsid w:val="00E319DA"/>
    <w:rsid w:val="00E31ADC"/>
    <w:rsid w:val="00E31E6C"/>
    <w:rsid w:val="00E31F07"/>
    <w:rsid w:val="00E32052"/>
    <w:rsid w:val="00E32F77"/>
    <w:rsid w:val="00E3316A"/>
    <w:rsid w:val="00E33514"/>
    <w:rsid w:val="00E3379A"/>
    <w:rsid w:val="00E33935"/>
    <w:rsid w:val="00E339C6"/>
    <w:rsid w:val="00E33AFB"/>
    <w:rsid w:val="00E34095"/>
    <w:rsid w:val="00E34432"/>
    <w:rsid w:val="00E344CE"/>
    <w:rsid w:val="00E34C31"/>
    <w:rsid w:val="00E35351"/>
    <w:rsid w:val="00E35C79"/>
    <w:rsid w:val="00E360C9"/>
    <w:rsid w:val="00E36467"/>
    <w:rsid w:val="00E3649F"/>
    <w:rsid w:val="00E3680D"/>
    <w:rsid w:val="00E36AB3"/>
    <w:rsid w:val="00E3720F"/>
    <w:rsid w:val="00E378B1"/>
    <w:rsid w:val="00E409E4"/>
    <w:rsid w:val="00E41766"/>
    <w:rsid w:val="00E41784"/>
    <w:rsid w:val="00E423E5"/>
    <w:rsid w:val="00E42E38"/>
    <w:rsid w:val="00E42F7F"/>
    <w:rsid w:val="00E43485"/>
    <w:rsid w:val="00E4397E"/>
    <w:rsid w:val="00E439C1"/>
    <w:rsid w:val="00E4424E"/>
    <w:rsid w:val="00E4428B"/>
    <w:rsid w:val="00E44311"/>
    <w:rsid w:val="00E4471A"/>
    <w:rsid w:val="00E4477A"/>
    <w:rsid w:val="00E44821"/>
    <w:rsid w:val="00E44D6D"/>
    <w:rsid w:val="00E450E1"/>
    <w:rsid w:val="00E45175"/>
    <w:rsid w:val="00E45467"/>
    <w:rsid w:val="00E4573B"/>
    <w:rsid w:val="00E45B72"/>
    <w:rsid w:val="00E45F73"/>
    <w:rsid w:val="00E4650E"/>
    <w:rsid w:val="00E471EC"/>
    <w:rsid w:val="00E4767E"/>
    <w:rsid w:val="00E4789B"/>
    <w:rsid w:val="00E50986"/>
    <w:rsid w:val="00E50A71"/>
    <w:rsid w:val="00E50D64"/>
    <w:rsid w:val="00E51401"/>
    <w:rsid w:val="00E52C9A"/>
    <w:rsid w:val="00E53D3D"/>
    <w:rsid w:val="00E54112"/>
    <w:rsid w:val="00E5457C"/>
    <w:rsid w:val="00E5475C"/>
    <w:rsid w:val="00E557EA"/>
    <w:rsid w:val="00E55B81"/>
    <w:rsid w:val="00E55B99"/>
    <w:rsid w:val="00E56982"/>
    <w:rsid w:val="00E56A36"/>
    <w:rsid w:val="00E56B73"/>
    <w:rsid w:val="00E573C9"/>
    <w:rsid w:val="00E577AD"/>
    <w:rsid w:val="00E57B92"/>
    <w:rsid w:val="00E60176"/>
    <w:rsid w:val="00E614BC"/>
    <w:rsid w:val="00E61ADF"/>
    <w:rsid w:val="00E63BCC"/>
    <w:rsid w:val="00E63D82"/>
    <w:rsid w:val="00E64BCF"/>
    <w:rsid w:val="00E64F18"/>
    <w:rsid w:val="00E64F23"/>
    <w:rsid w:val="00E65388"/>
    <w:rsid w:val="00E6566A"/>
    <w:rsid w:val="00E6574C"/>
    <w:rsid w:val="00E66050"/>
    <w:rsid w:val="00E6616D"/>
    <w:rsid w:val="00E66449"/>
    <w:rsid w:val="00E66AE3"/>
    <w:rsid w:val="00E66BB9"/>
    <w:rsid w:val="00E66CED"/>
    <w:rsid w:val="00E66DED"/>
    <w:rsid w:val="00E67218"/>
    <w:rsid w:val="00E6729B"/>
    <w:rsid w:val="00E6777C"/>
    <w:rsid w:val="00E67A4C"/>
    <w:rsid w:val="00E67BA9"/>
    <w:rsid w:val="00E67E23"/>
    <w:rsid w:val="00E67F0D"/>
    <w:rsid w:val="00E70204"/>
    <w:rsid w:val="00E707A1"/>
    <w:rsid w:val="00E707F3"/>
    <w:rsid w:val="00E70BA3"/>
    <w:rsid w:val="00E70F81"/>
    <w:rsid w:val="00E71238"/>
    <w:rsid w:val="00E712FC"/>
    <w:rsid w:val="00E71684"/>
    <w:rsid w:val="00E71777"/>
    <w:rsid w:val="00E7191D"/>
    <w:rsid w:val="00E725DB"/>
    <w:rsid w:val="00E72B40"/>
    <w:rsid w:val="00E73D4D"/>
    <w:rsid w:val="00E742BB"/>
    <w:rsid w:val="00E742CE"/>
    <w:rsid w:val="00E7441A"/>
    <w:rsid w:val="00E75439"/>
    <w:rsid w:val="00E759F0"/>
    <w:rsid w:val="00E76381"/>
    <w:rsid w:val="00E76A9D"/>
    <w:rsid w:val="00E77150"/>
    <w:rsid w:val="00E77579"/>
    <w:rsid w:val="00E7759F"/>
    <w:rsid w:val="00E77D5B"/>
    <w:rsid w:val="00E77E4A"/>
    <w:rsid w:val="00E81975"/>
    <w:rsid w:val="00E81994"/>
    <w:rsid w:val="00E81C6F"/>
    <w:rsid w:val="00E829AB"/>
    <w:rsid w:val="00E833C9"/>
    <w:rsid w:val="00E835FA"/>
    <w:rsid w:val="00E8382D"/>
    <w:rsid w:val="00E8384F"/>
    <w:rsid w:val="00E839FD"/>
    <w:rsid w:val="00E83BF6"/>
    <w:rsid w:val="00E83C00"/>
    <w:rsid w:val="00E8431F"/>
    <w:rsid w:val="00E851A9"/>
    <w:rsid w:val="00E8568C"/>
    <w:rsid w:val="00E85737"/>
    <w:rsid w:val="00E85A07"/>
    <w:rsid w:val="00E85AB8"/>
    <w:rsid w:val="00E85C1A"/>
    <w:rsid w:val="00E86DC2"/>
    <w:rsid w:val="00E86E04"/>
    <w:rsid w:val="00E877F6"/>
    <w:rsid w:val="00E87A57"/>
    <w:rsid w:val="00E87AAA"/>
    <w:rsid w:val="00E90E54"/>
    <w:rsid w:val="00E91595"/>
    <w:rsid w:val="00E922AE"/>
    <w:rsid w:val="00E92DBE"/>
    <w:rsid w:val="00E92E0B"/>
    <w:rsid w:val="00E930D8"/>
    <w:rsid w:val="00E93AA0"/>
    <w:rsid w:val="00E94806"/>
    <w:rsid w:val="00E94963"/>
    <w:rsid w:val="00E94FB2"/>
    <w:rsid w:val="00E95717"/>
    <w:rsid w:val="00E96648"/>
    <w:rsid w:val="00E96BED"/>
    <w:rsid w:val="00E9790E"/>
    <w:rsid w:val="00EA0A7B"/>
    <w:rsid w:val="00EA0F00"/>
    <w:rsid w:val="00EA15A0"/>
    <w:rsid w:val="00EA1C90"/>
    <w:rsid w:val="00EA23D7"/>
    <w:rsid w:val="00EA2B61"/>
    <w:rsid w:val="00EA3011"/>
    <w:rsid w:val="00EA4FC2"/>
    <w:rsid w:val="00EA52CC"/>
    <w:rsid w:val="00EA62A6"/>
    <w:rsid w:val="00EA6C08"/>
    <w:rsid w:val="00EA7514"/>
    <w:rsid w:val="00EA79C3"/>
    <w:rsid w:val="00EA7A85"/>
    <w:rsid w:val="00EB0347"/>
    <w:rsid w:val="00EB03A5"/>
    <w:rsid w:val="00EB065D"/>
    <w:rsid w:val="00EB09E7"/>
    <w:rsid w:val="00EB1252"/>
    <w:rsid w:val="00EB246B"/>
    <w:rsid w:val="00EB2B9F"/>
    <w:rsid w:val="00EB2CA6"/>
    <w:rsid w:val="00EB3A87"/>
    <w:rsid w:val="00EB3C57"/>
    <w:rsid w:val="00EB3D68"/>
    <w:rsid w:val="00EB4BDD"/>
    <w:rsid w:val="00EB5108"/>
    <w:rsid w:val="00EB592A"/>
    <w:rsid w:val="00EB6AD5"/>
    <w:rsid w:val="00EC0A53"/>
    <w:rsid w:val="00EC0F87"/>
    <w:rsid w:val="00EC1CFD"/>
    <w:rsid w:val="00EC2027"/>
    <w:rsid w:val="00EC2622"/>
    <w:rsid w:val="00EC3339"/>
    <w:rsid w:val="00EC36D4"/>
    <w:rsid w:val="00EC47C0"/>
    <w:rsid w:val="00EC4BC4"/>
    <w:rsid w:val="00EC4E1F"/>
    <w:rsid w:val="00EC521D"/>
    <w:rsid w:val="00EC580F"/>
    <w:rsid w:val="00EC5B4A"/>
    <w:rsid w:val="00EC608A"/>
    <w:rsid w:val="00EC6B97"/>
    <w:rsid w:val="00EC6BAD"/>
    <w:rsid w:val="00EC73F4"/>
    <w:rsid w:val="00ED032B"/>
    <w:rsid w:val="00ED043E"/>
    <w:rsid w:val="00ED052A"/>
    <w:rsid w:val="00ED072F"/>
    <w:rsid w:val="00ED0BA5"/>
    <w:rsid w:val="00ED3AA7"/>
    <w:rsid w:val="00ED3C22"/>
    <w:rsid w:val="00ED5120"/>
    <w:rsid w:val="00ED5291"/>
    <w:rsid w:val="00ED5544"/>
    <w:rsid w:val="00ED5CD0"/>
    <w:rsid w:val="00ED6A17"/>
    <w:rsid w:val="00ED718C"/>
    <w:rsid w:val="00ED7461"/>
    <w:rsid w:val="00ED7D92"/>
    <w:rsid w:val="00ED7F73"/>
    <w:rsid w:val="00EE0674"/>
    <w:rsid w:val="00EE10A3"/>
    <w:rsid w:val="00EE295E"/>
    <w:rsid w:val="00EE2E67"/>
    <w:rsid w:val="00EE40A1"/>
    <w:rsid w:val="00EE45B3"/>
    <w:rsid w:val="00EE4B4E"/>
    <w:rsid w:val="00EE4C73"/>
    <w:rsid w:val="00EE4DB7"/>
    <w:rsid w:val="00EE4FEA"/>
    <w:rsid w:val="00EE53CB"/>
    <w:rsid w:val="00EE58FC"/>
    <w:rsid w:val="00EE70E3"/>
    <w:rsid w:val="00EF00A8"/>
    <w:rsid w:val="00EF015D"/>
    <w:rsid w:val="00EF02A9"/>
    <w:rsid w:val="00EF0635"/>
    <w:rsid w:val="00EF0723"/>
    <w:rsid w:val="00EF1FC8"/>
    <w:rsid w:val="00EF2B70"/>
    <w:rsid w:val="00EF35D3"/>
    <w:rsid w:val="00EF4092"/>
    <w:rsid w:val="00EF52A2"/>
    <w:rsid w:val="00EF60EA"/>
    <w:rsid w:val="00EF6760"/>
    <w:rsid w:val="00EF6877"/>
    <w:rsid w:val="00EF69BA"/>
    <w:rsid w:val="00EF6B04"/>
    <w:rsid w:val="00EF6C3B"/>
    <w:rsid w:val="00EF6D6A"/>
    <w:rsid w:val="00EF6EA3"/>
    <w:rsid w:val="00EF7365"/>
    <w:rsid w:val="00F007E7"/>
    <w:rsid w:val="00F009FC"/>
    <w:rsid w:val="00F01206"/>
    <w:rsid w:val="00F01516"/>
    <w:rsid w:val="00F01A48"/>
    <w:rsid w:val="00F01AC2"/>
    <w:rsid w:val="00F0202D"/>
    <w:rsid w:val="00F03271"/>
    <w:rsid w:val="00F0354B"/>
    <w:rsid w:val="00F03A79"/>
    <w:rsid w:val="00F043C1"/>
    <w:rsid w:val="00F04EB5"/>
    <w:rsid w:val="00F05DC2"/>
    <w:rsid w:val="00F05FD5"/>
    <w:rsid w:val="00F0616E"/>
    <w:rsid w:val="00F061CB"/>
    <w:rsid w:val="00F07190"/>
    <w:rsid w:val="00F0748D"/>
    <w:rsid w:val="00F07997"/>
    <w:rsid w:val="00F07A7D"/>
    <w:rsid w:val="00F1006E"/>
    <w:rsid w:val="00F100AE"/>
    <w:rsid w:val="00F10EF6"/>
    <w:rsid w:val="00F112E3"/>
    <w:rsid w:val="00F113C9"/>
    <w:rsid w:val="00F115F3"/>
    <w:rsid w:val="00F11692"/>
    <w:rsid w:val="00F11F90"/>
    <w:rsid w:val="00F122B6"/>
    <w:rsid w:val="00F130A3"/>
    <w:rsid w:val="00F130A5"/>
    <w:rsid w:val="00F13105"/>
    <w:rsid w:val="00F1322B"/>
    <w:rsid w:val="00F13A9A"/>
    <w:rsid w:val="00F1428D"/>
    <w:rsid w:val="00F153ED"/>
    <w:rsid w:val="00F155FC"/>
    <w:rsid w:val="00F15769"/>
    <w:rsid w:val="00F16503"/>
    <w:rsid w:val="00F16827"/>
    <w:rsid w:val="00F16D8E"/>
    <w:rsid w:val="00F17420"/>
    <w:rsid w:val="00F207E5"/>
    <w:rsid w:val="00F20B57"/>
    <w:rsid w:val="00F21319"/>
    <w:rsid w:val="00F2137C"/>
    <w:rsid w:val="00F214E6"/>
    <w:rsid w:val="00F215FB"/>
    <w:rsid w:val="00F21BD1"/>
    <w:rsid w:val="00F21D83"/>
    <w:rsid w:val="00F226A6"/>
    <w:rsid w:val="00F22D0F"/>
    <w:rsid w:val="00F22F1E"/>
    <w:rsid w:val="00F2384B"/>
    <w:rsid w:val="00F23D64"/>
    <w:rsid w:val="00F24B74"/>
    <w:rsid w:val="00F24C9B"/>
    <w:rsid w:val="00F25761"/>
    <w:rsid w:val="00F27681"/>
    <w:rsid w:val="00F27A59"/>
    <w:rsid w:val="00F27DE4"/>
    <w:rsid w:val="00F302F2"/>
    <w:rsid w:val="00F30409"/>
    <w:rsid w:val="00F30A2F"/>
    <w:rsid w:val="00F30BE0"/>
    <w:rsid w:val="00F310EA"/>
    <w:rsid w:val="00F31686"/>
    <w:rsid w:val="00F317E8"/>
    <w:rsid w:val="00F318C3"/>
    <w:rsid w:val="00F31B28"/>
    <w:rsid w:val="00F3212F"/>
    <w:rsid w:val="00F321E3"/>
    <w:rsid w:val="00F33749"/>
    <w:rsid w:val="00F33948"/>
    <w:rsid w:val="00F339BC"/>
    <w:rsid w:val="00F33DF2"/>
    <w:rsid w:val="00F33EF2"/>
    <w:rsid w:val="00F34D0C"/>
    <w:rsid w:val="00F36344"/>
    <w:rsid w:val="00F3648D"/>
    <w:rsid w:val="00F36B34"/>
    <w:rsid w:val="00F36FA3"/>
    <w:rsid w:val="00F37082"/>
    <w:rsid w:val="00F3732D"/>
    <w:rsid w:val="00F3766A"/>
    <w:rsid w:val="00F37CE5"/>
    <w:rsid w:val="00F37D57"/>
    <w:rsid w:val="00F400E1"/>
    <w:rsid w:val="00F404DB"/>
    <w:rsid w:val="00F4172A"/>
    <w:rsid w:val="00F41F21"/>
    <w:rsid w:val="00F42DD0"/>
    <w:rsid w:val="00F43024"/>
    <w:rsid w:val="00F43208"/>
    <w:rsid w:val="00F4327C"/>
    <w:rsid w:val="00F4343D"/>
    <w:rsid w:val="00F43B6C"/>
    <w:rsid w:val="00F43EEF"/>
    <w:rsid w:val="00F4434D"/>
    <w:rsid w:val="00F446DC"/>
    <w:rsid w:val="00F44928"/>
    <w:rsid w:val="00F451EA"/>
    <w:rsid w:val="00F456F2"/>
    <w:rsid w:val="00F45796"/>
    <w:rsid w:val="00F4608A"/>
    <w:rsid w:val="00F46564"/>
    <w:rsid w:val="00F4657D"/>
    <w:rsid w:val="00F46AAD"/>
    <w:rsid w:val="00F476F7"/>
    <w:rsid w:val="00F5016C"/>
    <w:rsid w:val="00F525E2"/>
    <w:rsid w:val="00F527B4"/>
    <w:rsid w:val="00F529CC"/>
    <w:rsid w:val="00F52AFF"/>
    <w:rsid w:val="00F52CA2"/>
    <w:rsid w:val="00F52DD2"/>
    <w:rsid w:val="00F53B3A"/>
    <w:rsid w:val="00F53E81"/>
    <w:rsid w:val="00F55510"/>
    <w:rsid w:val="00F55D63"/>
    <w:rsid w:val="00F55E8C"/>
    <w:rsid w:val="00F55FF6"/>
    <w:rsid w:val="00F565B2"/>
    <w:rsid w:val="00F56AED"/>
    <w:rsid w:val="00F57147"/>
    <w:rsid w:val="00F577D5"/>
    <w:rsid w:val="00F612BA"/>
    <w:rsid w:val="00F6144F"/>
    <w:rsid w:val="00F61EC7"/>
    <w:rsid w:val="00F624B5"/>
    <w:rsid w:val="00F627F3"/>
    <w:rsid w:val="00F629E7"/>
    <w:rsid w:val="00F62B41"/>
    <w:rsid w:val="00F63921"/>
    <w:rsid w:val="00F64003"/>
    <w:rsid w:val="00F6408A"/>
    <w:rsid w:val="00F64520"/>
    <w:rsid w:val="00F64842"/>
    <w:rsid w:val="00F64B0C"/>
    <w:rsid w:val="00F6645A"/>
    <w:rsid w:val="00F6654A"/>
    <w:rsid w:val="00F669E8"/>
    <w:rsid w:val="00F66F13"/>
    <w:rsid w:val="00F678EE"/>
    <w:rsid w:val="00F6790D"/>
    <w:rsid w:val="00F67C95"/>
    <w:rsid w:val="00F67CDB"/>
    <w:rsid w:val="00F7049B"/>
    <w:rsid w:val="00F70E03"/>
    <w:rsid w:val="00F711DC"/>
    <w:rsid w:val="00F712FE"/>
    <w:rsid w:val="00F71A5D"/>
    <w:rsid w:val="00F720AA"/>
    <w:rsid w:val="00F7212E"/>
    <w:rsid w:val="00F72317"/>
    <w:rsid w:val="00F72DA5"/>
    <w:rsid w:val="00F73A13"/>
    <w:rsid w:val="00F7442A"/>
    <w:rsid w:val="00F74549"/>
    <w:rsid w:val="00F74D76"/>
    <w:rsid w:val="00F757E6"/>
    <w:rsid w:val="00F75956"/>
    <w:rsid w:val="00F75E5A"/>
    <w:rsid w:val="00F76104"/>
    <w:rsid w:val="00F76A02"/>
    <w:rsid w:val="00F76A6C"/>
    <w:rsid w:val="00F76FAF"/>
    <w:rsid w:val="00F7768A"/>
    <w:rsid w:val="00F800F5"/>
    <w:rsid w:val="00F80283"/>
    <w:rsid w:val="00F80A98"/>
    <w:rsid w:val="00F81E63"/>
    <w:rsid w:val="00F821F9"/>
    <w:rsid w:val="00F8238B"/>
    <w:rsid w:val="00F82C09"/>
    <w:rsid w:val="00F82D48"/>
    <w:rsid w:val="00F83D68"/>
    <w:rsid w:val="00F85D63"/>
    <w:rsid w:val="00F85E44"/>
    <w:rsid w:val="00F86018"/>
    <w:rsid w:val="00F86A4A"/>
    <w:rsid w:val="00F86D63"/>
    <w:rsid w:val="00F87582"/>
    <w:rsid w:val="00F8779F"/>
    <w:rsid w:val="00F8793D"/>
    <w:rsid w:val="00F87CBF"/>
    <w:rsid w:val="00F9011A"/>
    <w:rsid w:val="00F9071F"/>
    <w:rsid w:val="00F907D8"/>
    <w:rsid w:val="00F90895"/>
    <w:rsid w:val="00F90EB5"/>
    <w:rsid w:val="00F912F7"/>
    <w:rsid w:val="00F9150E"/>
    <w:rsid w:val="00F91BA8"/>
    <w:rsid w:val="00F921B1"/>
    <w:rsid w:val="00F92421"/>
    <w:rsid w:val="00F92785"/>
    <w:rsid w:val="00F928B0"/>
    <w:rsid w:val="00F929C6"/>
    <w:rsid w:val="00F92B75"/>
    <w:rsid w:val="00F93397"/>
    <w:rsid w:val="00F939D2"/>
    <w:rsid w:val="00F942F4"/>
    <w:rsid w:val="00F945D8"/>
    <w:rsid w:val="00F94F8E"/>
    <w:rsid w:val="00F953C2"/>
    <w:rsid w:val="00F95726"/>
    <w:rsid w:val="00F96A48"/>
    <w:rsid w:val="00F96BA0"/>
    <w:rsid w:val="00F96C32"/>
    <w:rsid w:val="00F97255"/>
    <w:rsid w:val="00F97ED5"/>
    <w:rsid w:val="00FA035F"/>
    <w:rsid w:val="00FA0CF8"/>
    <w:rsid w:val="00FA1246"/>
    <w:rsid w:val="00FA128B"/>
    <w:rsid w:val="00FA1710"/>
    <w:rsid w:val="00FA18CC"/>
    <w:rsid w:val="00FA2376"/>
    <w:rsid w:val="00FA293B"/>
    <w:rsid w:val="00FA360D"/>
    <w:rsid w:val="00FA45F0"/>
    <w:rsid w:val="00FA4C8B"/>
    <w:rsid w:val="00FA5167"/>
    <w:rsid w:val="00FA5634"/>
    <w:rsid w:val="00FA5650"/>
    <w:rsid w:val="00FA5BAC"/>
    <w:rsid w:val="00FA5F6D"/>
    <w:rsid w:val="00FA696B"/>
    <w:rsid w:val="00FA6E1C"/>
    <w:rsid w:val="00FA793F"/>
    <w:rsid w:val="00FA7D66"/>
    <w:rsid w:val="00FB0302"/>
    <w:rsid w:val="00FB0706"/>
    <w:rsid w:val="00FB075A"/>
    <w:rsid w:val="00FB13D1"/>
    <w:rsid w:val="00FB15DF"/>
    <w:rsid w:val="00FB1730"/>
    <w:rsid w:val="00FB36D4"/>
    <w:rsid w:val="00FB3911"/>
    <w:rsid w:val="00FB4274"/>
    <w:rsid w:val="00FB4E3C"/>
    <w:rsid w:val="00FB53EE"/>
    <w:rsid w:val="00FB5444"/>
    <w:rsid w:val="00FB5CEF"/>
    <w:rsid w:val="00FB5E62"/>
    <w:rsid w:val="00FB61FB"/>
    <w:rsid w:val="00FB64A0"/>
    <w:rsid w:val="00FB64CD"/>
    <w:rsid w:val="00FB65DC"/>
    <w:rsid w:val="00FB671D"/>
    <w:rsid w:val="00FC04CD"/>
    <w:rsid w:val="00FC071E"/>
    <w:rsid w:val="00FC0B19"/>
    <w:rsid w:val="00FC0B3B"/>
    <w:rsid w:val="00FC18F3"/>
    <w:rsid w:val="00FC1F52"/>
    <w:rsid w:val="00FC1F9B"/>
    <w:rsid w:val="00FC28FA"/>
    <w:rsid w:val="00FC318C"/>
    <w:rsid w:val="00FC32B2"/>
    <w:rsid w:val="00FC34AF"/>
    <w:rsid w:val="00FC3B0D"/>
    <w:rsid w:val="00FC3D5B"/>
    <w:rsid w:val="00FC3DAB"/>
    <w:rsid w:val="00FC4621"/>
    <w:rsid w:val="00FC4DAE"/>
    <w:rsid w:val="00FC50B6"/>
    <w:rsid w:val="00FC5286"/>
    <w:rsid w:val="00FC5635"/>
    <w:rsid w:val="00FC5BF5"/>
    <w:rsid w:val="00FC7446"/>
    <w:rsid w:val="00FC7B87"/>
    <w:rsid w:val="00FD0849"/>
    <w:rsid w:val="00FD09F5"/>
    <w:rsid w:val="00FD2098"/>
    <w:rsid w:val="00FD2118"/>
    <w:rsid w:val="00FD2630"/>
    <w:rsid w:val="00FD340D"/>
    <w:rsid w:val="00FD3487"/>
    <w:rsid w:val="00FD3D1A"/>
    <w:rsid w:val="00FD3D6F"/>
    <w:rsid w:val="00FD44BF"/>
    <w:rsid w:val="00FD462F"/>
    <w:rsid w:val="00FD6175"/>
    <w:rsid w:val="00FD72C0"/>
    <w:rsid w:val="00FD7528"/>
    <w:rsid w:val="00FD75CA"/>
    <w:rsid w:val="00FD7AEC"/>
    <w:rsid w:val="00FE0AFC"/>
    <w:rsid w:val="00FE12DC"/>
    <w:rsid w:val="00FE2279"/>
    <w:rsid w:val="00FE22A6"/>
    <w:rsid w:val="00FE2F5C"/>
    <w:rsid w:val="00FE4448"/>
    <w:rsid w:val="00FE4BBA"/>
    <w:rsid w:val="00FE548F"/>
    <w:rsid w:val="00FE54EE"/>
    <w:rsid w:val="00FE56D8"/>
    <w:rsid w:val="00FE5BB6"/>
    <w:rsid w:val="00FE5F89"/>
    <w:rsid w:val="00FE61A6"/>
    <w:rsid w:val="00FE64A1"/>
    <w:rsid w:val="00FE65DA"/>
    <w:rsid w:val="00FE74B2"/>
    <w:rsid w:val="00FE7545"/>
    <w:rsid w:val="00FF00C8"/>
    <w:rsid w:val="00FF087D"/>
    <w:rsid w:val="00FF0A8C"/>
    <w:rsid w:val="00FF0D4B"/>
    <w:rsid w:val="00FF1A3B"/>
    <w:rsid w:val="00FF1C5A"/>
    <w:rsid w:val="00FF1D16"/>
    <w:rsid w:val="00FF1ED2"/>
    <w:rsid w:val="00FF2A41"/>
    <w:rsid w:val="00FF2B15"/>
    <w:rsid w:val="00FF3160"/>
    <w:rsid w:val="00FF5471"/>
    <w:rsid w:val="00FF5FC5"/>
    <w:rsid w:val="00FF7220"/>
    <w:rsid w:val="00FF73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B3ACA0"/>
  <w15:chartTrackingRefBased/>
  <w15:docId w15:val="{0D8A2465-B4C1-4490-8882-4CC46365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1DB"/>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B2647D"/>
    <w:pPr>
      <w:keepNext/>
      <w:keepLines/>
      <w:spacing w:before="320" w:after="160"/>
      <w:outlineLvl w:val="1"/>
    </w:pPr>
    <w:rPr>
      <w:rFonts w:asciiTheme="majorHAnsi" w:eastAsiaTheme="majorEastAsia" w:hAnsiTheme="majorHAnsi" w:cstheme="majorBidi"/>
      <w:b/>
      <w:color w:val="6D7989" w:themeColor="accent4" w:themeShade="BF"/>
      <w:sz w:val="36"/>
      <w:szCs w:val="26"/>
    </w:rPr>
  </w:style>
  <w:style w:type="paragraph" w:styleId="Heading3">
    <w:name w:val="heading 3"/>
    <w:basedOn w:val="Normal"/>
    <w:next w:val="Normal"/>
    <w:link w:val="Heading3Char"/>
    <w:uiPriority w:val="9"/>
    <w:unhideWhenUsed/>
    <w:qFormat/>
    <w:rsid w:val="00B2647D"/>
    <w:pPr>
      <w:keepNext/>
      <w:keepLines/>
      <w:spacing w:before="240" w:after="160"/>
      <w:outlineLvl w:val="2"/>
    </w:pPr>
    <w:rPr>
      <w:rFonts w:asciiTheme="majorHAnsi" w:eastAsiaTheme="majorEastAsia" w:hAnsiTheme="majorHAnsi" w:cstheme="majorBidi"/>
      <w:color w:val="005F66" w:themeColor="accent2"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ACMA Footnote Text Char1,Footnote Text Char Char,Footnote Text Char Char Char Char,Footnote Text Char1,Footnote Text Char1 Char Char,Footnote Text Char1 Char Char Char Char,Footnote text,footnote text"/>
    <w:basedOn w:val="Normal"/>
    <w:link w:val="FootnoteTextChar"/>
    <w:uiPriority w:val="99"/>
    <w:qFormat/>
    <w:rsid w:val="005912BE"/>
    <w:pPr>
      <w:spacing w:before="0" w:after="0"/>
      <w:ind w:left="284" w:hanging="284"/>
    </w:pPr>
    <w:rPr>
      <w:sz w:val="18"/>
    </w:rPr>
  </w:style>
  <w:style w:type="character" w:customStyle="1" w:styleId="FootnoteTextChar">
    <w:name w:val="Footnote Text Char"/>
    <w:aliases w:val="ACMA Footnote Text Char,ACMA Footnote Text Char1 Char,Footnote Text Char Char Char,Footnote Text Char Char Char Char Char,Footnote Text Char1 Char,Footnote Text Char1 Char Char Char,Footnote Text Char1 Char Char Char Char Char"/>
    <w:basedOn w:val="DefaultParagraphFont"/>
    <w:link w:val="FootnoteText"/>
    <w:uiPriority w:val="99"/>
    <w:qFormat/>
    <w:rsid w:val="005912BE"/>
    <w:rPr>
      <w:kern w:val="12"/>
      <w:sz w:val="18"/>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uiPriority w:val="99"/>
    <w:unhideWhenUsed/>
    <w:qFormat/>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B2647D"/>
    <w:rPr>
      <w:rFonts w:asciiTheme="majorHAnsi" w:eastAsiaTheme="majorEastAsia" w:hAnsiTheme="majorHAnsi" w:cstheme="majorBidi"/>
      <w:b/>
      <w:color w:val="6D7989" w:themeColor="accent4" w:themeShade="BF"/>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B2647D"/>
    <w:rPr>
      <w:rFonts w:asciiTheme="majorHAnsi" w:eastAsiaTheme="majorEastAsia" w:hAnsiTheme="majorHAnsi" w:cstheme="majorBidi"/>
      <w:color w:val="005F66" w:themeColor="accent2"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4"/>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10"/>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11"/>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3"/>
      </w:numPr>
    </w:pPr>
  </w:style>
  <w:style w:type="numbering" w:customStyle="1" w:styleId="ListNumbered">
    <w:name w:val="List Numbered"/>
    <w:uiPriority w:val="99"/>
    <w:rsid w:val="00477E77"/>
    <w:pPr>
      <w:numPr>
        <w:numId w:val="4"/>
      </w:numPr>
    </w:pPr>
  </w:style>
  <w:style w:type="paragraph" w:customStyle="1" w:styleId="Heading1Numbered">
    <w:name w:val="Heading 1 Numbered"/>
    <w:basedOn w:val="Heading1"/>
    <w:uiPriority w:val="10"/>
    <w:rsid w:val="003F775D"/>
    <w:pPr>
      <w:numPr>
        <w:numId w:val="6"/>
      </w:numPr>
    </w:pPr>
  </w:style>
  <w:style w:type="paragraph" w:customStyle="1" w:styleId="Heading2Numbered">
    <w:name w:val="Heading 2 Numbered"/>
    <w:basedOn w:val="Heading2"/>
    <w:uiPriority w:val="10"/>
    <w:rsid w:val="003F775D"/>
    <w:pPr>
      <w:numPr>
        <w:ilvl w:val="1"/>
        <w:numId w:val="6"/>
      </w:numPr>
    </w:pPr>
  </w:style>
  <w:style w:type="paragraph" w:customStyle="1" w:styleId="Heading3Numbered">
    <w:name w:val="Heading 3 Numbered"/>
    <w:basedOn w:val="Heading3"/>
    <w:uiPriority w:val="10"/>
    <w:rsid w:val="003F775D"/>
    <w:pPr>
      <w:numPr>
        <w:ilvl w:val="2"/>
        <w:numId w:val="6"/>
      </w:numPr>
    </w:pPr>
  </w:style>
  <w:style w:type="paragraph" w:customStyle="1" w:styleId="Heading4Numbered">
    <w:name w:val="Heading 4 Numbered"/>
    <w:basedOn w:val="Heading4"/>
    <w:uiPriority w:val="10"/>
    <w:rsid w:val="003F775D"/>
    <w:pPr>
      <w:numPr>
        <w:ilvl w:val="3"/>
        <w:numId w:val="6"/>
      </w:numPr>
    </w:pPr>
  </w:style>
  <w:style w:type="paragraph" w:customStyle="1" w:styleId="Heading5Numbered">
    <w:name w:val="Heading 5 Numbered"/>
    <w:basedOn w:val="Heading5"/>
    <w:uiPriority w:val="10"/>
    <w:rsid w:val="003F775D"/>
    <w:pPr>
      <w:numPr>
        <w:ilvl w:val="4"/>
        <w:numId w:val="6"/>
      </w:numPr>
    </w:pPr>
  </w:style>
  <w:style w:type="numbering" w:customStyle="1" w:styleId="NumberedHeadings">
    <w:name w:val="Numbered Headings"/>
    <w:uiPriority w:val="99"/>
    <w:rsid w:val="003F775D"/>
    <w:pPr>
      <w:numPr>
        <w:numId w:val="5"/>
      </w:numPr>
    </w:pPr>
  </w:style>
  <w:style w:type="paragraph" w:customStyle="1" w:styleId="AppendixHeading1">
    <w:name w:val="Appendix Heading 1"/>
    <w:basedOn w:val="Heading1"/>
    <w:uiPriority w:val="11"/>
    <w:qFormat/>
    <w:rsid w:val="0001430B"/>
    <w:pPr>
      <w:numPr>
        <w:numId w:val="8"/>
      </w:numPr>
    </w:pPr>
  </w:style>
  <w:style w:type="paragraph" w:customStyle="1" w:styleId="AppendixHeading2">
    <w:name w:val="Appendix Heading 2"/>
    <w:basedOn w:val="Heading2"/>
    <w:uiPriority w:val="11"/>
    <w:rsid w:val="0001430B"/>
    <w:pPr>
      <w:numPr>
        <w:ilvl w:val="1"/>
        <w:numId w:val="8"/>
      </w:numPr>
    </w:pPr>
  </w:style>
  <w:style w:type="paragraph" w:customStyle="1" w:styleId="AttachmentHeading1">
    <w:name w:val="Attachment Heading 1"/>
    <w:basedOn w:val="Heading1"/>
    <w:uiPriority w:val="11"/>
    <w:qFormat/>
    <w:rsid w:val="0001430B"/>
    <w:pPr>
      <w:numPr>
        <w:numId w:val="9"/>
      </w:numPr>
    </w:pPr>
  </w:style>
  <w:style w:type="paragraph" w:customStyle="1" w:styleId="AttachmentHeading2">
    <w:name w:val="Attachment Heading 2"/>
    <w:basedOn w:val="Heading2"/>
    <w:uiPriority w:val="11"/>
    <w:rsid w:val="0001430B"/>
    <w:pPr>
      <w:numPr>
        <w:ilvl w:val="1"/>
        <w:numId w:val="9"/>
      </w:numPr>
    </w:pPr>
  </w:style>
  <w:style w:type="numbering" w:customStyle="1" w:styleId="AppendixNumbers">
    <w:name w:val="Appendix Numbers"/>
    <w:uiPriority w:val="99"/>
    <w:rsid w:val="0001430B"/>
    <w:pPr>
      <w:numPr>
        <w:numId w:val="7"/>
      </w:numPr>
    </w:pPr>
  </w:style>
  <w:style w:type="numbering" w:customStyle="1" w:styleId="AttachmentNumbers">
    <w:name w:val="Attachment Numbers"/>
    <w:uiPriority w:val="99"/>
    <w:rsid w:val="0001430B"/>
    <w:pPr>
      <w:numPr>
        <w:numId w:val="9"/>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EF60EA"/>
    <w:pPr>
      <w:keepLines/>
      <w:tabs>
        <w:tab w:val="right" w:pos="9854"/>
      </w:tabs>
      <w:ind w:left="567" w:hanging="567"/>
    </w:pPr>
    <w:rPr>
      <w:b/>
      <w:sz w:val="24"/>
      <w:u w:color="008089" w:themeColor="accent2"/>
    </w:rPr>
  </w:style>
  <w:style w:type="paragraph" w:styleId="TOC2">
    <w:name w:val="toc 2"/>
    <w:basedOn w:val="Normal"/>
    <w:next w:val="Normal"/>
    <w:autoRedefine/>
    <w:uiPriority w:val="39"/>
    <w:rsid w:val="0042309A"/>
    <w:pPr>
      <w:keepLines/>
      <w:tabs>
        <w:tab w:val="right" w:leader="dot" w:pos="9854"/>
      </w:tabs>
      <w:spacing w:before="0" w:after="0"/>
    </w:pPr>
    <w:rPr>
      <w:rFonts w:eastAsiaTheme="minorEastAsia"/>
      <w:noProof/>
      <w:color w:val="auto"/>
      <w:sz w:val="16"/>
      <w:szCs w:val="16"/>
      <w:lang w:eastAsia="en-AU"/>
    </w:r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11"/>
      </w:numPr>
    </w:pPr>
    <w:rPr>
      <w:kern w:val="12"/>
      <w:sz w:val="20"/>
      <w:szCs w:val="20"/>
    </w:rPr>
  </w:style>
  <w:style w:type="numbering" w:customStyle="1" w:styleId="BoxedBullets">
    <w:name w:val="Boxed Bullets"/>
    <w:uiPriority w:val="99"/>
    <w:rsid w:val="009D7CCE"/>
    <w:pPr>
      <w:numPr>
        <w:numId w:val="10"/>
      </w:numPr>
    </w:pPr>
  </w:style>
  <w:style w:type="paragraph" w:customStyle="1" w:styleId="SecurityMarker">
    <w:name w:val="Security Marker"/>
    <w:basedOn w:val="Normal"/>
    <w:qFormat/>
    <w:rsid w:val="001803E3"/>
    <w:pPr>
      <w:spacing w:before="60" w:after="60"/>
      <w:jc w:val="center"/>
    </w:pPr>
    <w:rPr>
      <w:b/>
      <w:bCs/>
      <w:caps/>
      <w:color w:val="E10000"/>
      <w:shd w:val="clear" w:color="auto" w:fill="FFFFFF" w:themeFill="background1"/>
    </w:rPr>
  </w:style>
  <w:style w:type="character" w:styleId="CommentReference">
    <w:name w:val="annotation reference"/>
    <w:basedOn w:val="DefaultParagraphFont"/>
    <w:uiPriority w:val="99"/>
    <w:semiHidden/>
    <w:unhideWhenUsed/>
    <w:rsid w:val="00485A57"/>
    <w:rPr>
      <w:sz w:val="16"/>
      <w:szCs w:val="16"/>
    </w:rPr>
  </w:style>
  <w:style w:type="paragraph" w:styleId="CommentText">
    <w:name w:val="annotation text"/>
    <w:basedOn w:val="Normal"/>
    <w:link w:val="CommentTextChar"/>
    <w:uiPriority w:val="99"/>
    <w:unhideWhenUsed/>
    <w:rsid w:val="00485A57"/>
    <w:rPr>
      <w:sz w:val="20"/>
      <w:szCs w:val="20"/>
    </w:rPr>
  </w:style>
  <w:style w:type="character" w:customStyle="1" w:styleId="CommentTextChar">
    <w:name w:val="Comment Text Char"/>
    <w:basedOn w:val="DefaultParagraphFont"/>
    <w:link w:val="CommentText"/>
    <w:uiPriority w:val="99"/>
    <w:rsid w:val="00485A57"/>
    <w:rPr>
      <w:sz w:val="20"/>
      <w:szCs w:val="20"/>
    </w:rPr>
  </w:style>
  <w:style w:type="paragraph" w:styleId="CommentSubject">
    <w:name w:val="annotation subject"/>
    <w:basedOn w:val="CommentText"/>
    <w:next w:val="CommentText"/>
    <w:link w:val="CommentSubjectChar"/>
    <w:uiPriority w:val="99"/>
    <w:semiHidden/>
    <w:unhideWhenUsed/>
    <w:rsid w:val="00485A57"/>
    <w:rPr>
      <w:b/>
      <w:bCs/>
    </w:rPr>
  </w:style>
  <w:style w:type="character" w:customStyle="1" w:styleId="CommentSubjectChar">
    <w:name w:val="Comment Subject Char"/>
    <w:basedOn w:val="CommentTextChar"/>
    <w:link w:val="CommentSubject"/>
    <w:uiPriority w:val="99"/>
    <w:semiHidden/>
    <w:rsid w:val="00485A57"/>
    <w:rPr>
      <w:b/>
      <w:bCs/>
      <w:sz w:val="20"/>
      <w:szCs w:val="20"/>
    </w:rPr>
  </w:style>
  <w:style w:type="paragraph" w:styleId="BalloonText">
    <w:name w:val="Balloon Text"/>
    <w:basedOn w:val="Normal"/>
    <w:link w:val="BalloonTextChar"/>
    <w:uiPriority w:val="99"/>
    <w:semiHidden/>
    <w:unhideWhenUsed/>
    <w:rsid w:val="00485A5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A57"/>
    <w:rPr>
      <w:rFonts w:ascii="Segoe UI" w:hAnsi="Segoe UI" w:cs="Segoe UI"/>
      <w:sz w:val="18"/>
      <w:szCs w:val="18"/>
    </w:rPr>
  </w:style>
  <w:style w:type="paragraph" w:styleId="ListParagraph">
    <w:name w:val="List Paragraph"/>
    <w:aliases w:val="List Paragraph1,Recommendation,bullet point list,Bullet List,Bullet list,Bulletr List Paragraph,FooterText,List Paragraph11,List Paragraph2,List Paragraph21,Listeafsnit1,Listenabsatz,Paragraphe de liste1,Parágrafo da Lista1,numbered,リスト段落"/>
    <w:basedOn w:val="Normal"/>
    <w:link w:val="ListParagraphChar"/>
    <w:uiPriority w:val="34"/>
    <w:unhideWhenUsed/>
    <w:qFormat/>
    <w:rsid w:val="00485A57"/>
    <w:pPr>
      <w:ind w:left="720"/>
      <w:contextualSpacing/>
    </w:pPr>
  </w:style>
  <w:style w:type="character" w:customStyle="1" w:styleId="ListParagraphChar">
    <w:name w:val="List Paragraph Char"/>
    <w:aliases w:val="List Paragraph1 Char,Recommendation Char,bullet point list Char,Bullet List Char,Bullet list Char,Bulletr List Paragraph Char,FooterText Char,List Paragraph11 Char,List Paragraph2 Char,List Paragraph21 Char,Listeafsnit1 Char"/>
    <w:link w:val="ListParagraph"/>
    <w:uiPriority w:val="34"/>
    <w:qFormat/>
    <w:rsid w:val="00260ACA"/>
  </w:style>
  <w:style w:type="paragraph" w:customStyle="1" w:styleId="paragraph">
    <w:name w:val="paragraph"/>
    <w:basedOn w:val="Normal"/>
    <w:rsid w:val="00C656BD"/>
    <w:pPr>
      <w:spacing w:before="100" w:beforeAutospacing="1" w:after="100" w:afterAutospacing="1"/>
    </w:pPr>
    <w:rPr>
      <w:rFonts w:ascii="Times New Roman" w:eastAsia="Times New Roman" w:hAnsi="Times New Roman" w:cs="Times New Roman"/>
      <w:color w:val="auto"/>
      <w:sz w:val="24"/>
      <w:szCs w:val="24"/>
      <w:lang w:eastAsia="en-AU"/>
    </w:rPr>
  </w:style>
  <w:style w:type="table" w:styleId="GridTable4-Accent3">
    <w:name w:val="Grid Table 4 Accent 3"/>
    <w:basedOn w:val="TableNormal"/>
    <w:uiPriority w:val="49"/>
    <w:rsid w:val="00654268"/>
    <w:pPr>
      <w:spacing w:before="0" w:after="0"/>
    </w:pPr>
    <w:rPr>
      <w:color w:val="auto"/>
    </w:rPr>
    <w:tblPr>
      <w:tblStyleRowBandSize w:val="1"/>
      <w:tblStyleColBandSize w:val="1"/>
      <w:tblBorders>
        <w:top w:val="single" w:sz="4" w:space="0" w:color="ADE3F8" w:themeColor="accent3" w:themeTint="99"/>
        <w:left w:val="single" w:sz="4" w:space="0" w:color="ADE3F8" w:themeColor="accent3" w:themeTint="99"/>
        <w:bottom w:val="single" w:sz="4" w:space="0" w:color="ADE3F8" w:themeColor="accent3" w:themeTint="99"/>
        <w:right w:val="single" w:sz="4" w:space="0" w:color="ADE3F8" w:themeColor="accent3" w:themeTint="99"/>
        <w:insideH w:val="single" w:sz="4" w:space="0" w:color="ADE3F8" w:themeColor="accent3" w:themeTint="99"/>
        <w:insideV w:val="single" w:sz="4" w:space="0" w:color="ADE3F8" w:themeColor="accent3" w:themeTint="99"/>
      </w:tblBorders>
    </w:tblPr>
    <w:tblStylePr w:type="firstRow">
      <w:rPr>
        <w:b/>
        <w:bCs/>
        <w:color w:val="FFFFFF" w:themeColor="background1"/>
      </w:rPr>
      <w:tblPr/>
      <w:tcPr>
        <w:tcBorders>
          <w:top w:val="single" w:sz="4" w:space="0" w:color="77D1F4" w:themeColor="accent3"/>
          <w:left w:val="single" w:sz="4" w:space="0" w:color="77D1F4" w:themeColor="accent3"/>
          <w:bottom w:val="single" w:sz="4" w:space="0" w:color="77D1F4" w:themeColor="accent3"/>
          <w:right w:val="single" w:sz="4" w:space="0" w:color="77D1F4" w:themeColor="accent3"/>
          <w:insideH w:val="nil"/>
          <w:insideV w:val="nil"/>
        </w:tcBorders>
        <w:shd w:val="clear" w:color="auto" w:fill="77D1F4" w:themeFill="accent3"/>
      </w:tcPr>
    </w:tblStylePr>
    <w:tblStylePr w:type="lastRow">
      <w:rPr>
        <w:b/>
        <w:bCs/>
      </w:rPr>
      <w:tblPr/>
      <w:tcPr>
        <w:tcBorders>
          <w:top w:val="double" w:sz="4" w:space="0" w:color="77D1F4" w:themeColor="accent3"/>
        </w:tcBorders>
      </w:tcPr>
    </w:tblStylePr>
    <w:tblStylePr w:type="firstCol">
      <w:rPr>
        <w:b/>
        <w:bCs/>
      </w:rPr>
    </w:tblStylePr>
    <w:tblStylePr w:type="lastCol">
      <w:rPr>
        <w:b/>
        <w:bCs/>
      </w:rPr>
    </w:tblStylePr>
    <w:tblStylePr w:type="band1Vert">
      <w:tblPr/>
      <w:tcPr>
        <w:shd w:val="clear" w:color="auto" w:fill="E3F5FC" w:themeFill="accent3" w:themeFillTint="33"/>
      </w:tcPr>
    </w:tblStylePr>
    <w:tblStylePr w:type="band1Horz">
      <w:tblPr/>
      <w:tcPr>
        <w:shd w:val="clear" w:color="auto" w:fill="E3F5FC" w:themeFill="accent3" w:themeFillTint="33"/>
      </w:tcPr>
    </w:tblStylePr>
  </w:style>
  <w:style w:type="character" w:styleId="UnresolvedMention">
    <w:name w:val="Unresolved Mention"/>
    <w:basedOn w:val="DefaultParagraphFont"/>
    <w:uiPriority w:val="99"/>
    <w:semiHidden/>
    <w:unhideWhenUsed/>
    <w:rsid w:val="00A94DAE"/>
    <w:rPr>
      <w:color w:val="605E5C"/>
      <w:shd w:val="clear" w:color="auto" w:fill="E1DFDD"/>
    </w:rPr>
  </w:style>
  <w:style w:type="character" w:styleId="Emphasis">
    <w:name w:val="Emphasis"/>
    <w:basedOn w:val="DefaultParagraphFont"/>
    <w:uiPriority w:val="20"/>
    <w:qFormat/>
    <w:rsid w:val="00782008"/>
    <w:rPr>
      <w:i/>
      <w:iCs/>
    </w:rPr>
  </w:style>
  <w:style w:type="paragraph" w:styleId="EndnoteText">
    <w:name w:val="endnote text"/>
    <w:basedOn w:val="Normal"/>
    <w:link w:val="EndnoteTextChar"/>
    <w:uiPriority w:val="99"/>
    <w:semiHidden/>
    <w:unhideWhenUsed/>
    <w:rsid w:val="00782008"/>
    <w:pPr>
      <w:spacing w:before="0" w:after="0"/>
    </w:pPr>
    <w:rPr>
      <w:sz w:val="20"/>
      <w:szCs w:val="20"/>
    </w:rPr>
  </w:style>
  <w:style w:type="character" w:customStyle="1" w:styleId="EndnoteTextChar">
    <w:name w:val="Endnote Text Char"/>
    <w:basedOn w:val="DefaultParagraphFont"/>
    <w:link w:val="EndnoteText"/>
    <w:uiPriority w:val="99"/>
    <w:semiHidden/>
    <w:rsid w:val="00782008"/>
    <w:rPr>
      <w:sz w:val="20"/>
      <w:szCs w:val="20"/>
    </w:rPr>
  </w:style>
  <w:style w:type="character" w:styleId="EndnoteReference">
    <w:name w:val="endnote reference"/>
    <w:basedOn w:val="DefaultParagraphFont"/>
    <w:uiPriority w:val="99"/>
    <w:semiHidden/>
    <w:unhideWhenUsed/>
    <w:rsid w:val="00782008"/>
    <w:rPr>
      <w:vertAlign w:val="superscript"/>
    </w:rPr>
  </w:style>
  <w:style w:type="paragraph" w:customStyle="1" w:styleId="acthead5">
    <w:name w:val="acthead5"/>
    <w:basedOn w:val="Normal"/>
    <w:rsid w:val="00557EB2"/>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557EB2"/>
  </w:style>
  <w:style w:type="paragraph" w:customStyle="1" w:styleId="subsection">
    <w:name w:val="subsection"/>
    <w:basedOn w:val="Normal"/>
    <w:rsid w:val="00557EB2"/>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definition">
    <w:name w:val="definition"/>
    <w:basedOn w:val="Normal"/>
    <w:rsid w:val="00AB03E0"/>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aragraphsub">
    <w:name w:val="paragraphsub"/>
    <w:basedOn w:val="Normal"/>
    <w:rsid w:val="00AB03E0"/>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5F0DA8"/>
    <w:rPr>
      <w:color w:val="0046FF" w:themeColor="followedHyperlink"/>
      <w:u w:val="single"/>
    </w:rPr>
  </w:style>
  <w:style w:type="paragraph" w:customStyle="1" w:styleId="subsection2">
    <w:name w:val="subsection2"/>
    <w:basedOn w:val="Normal"/>
    <w:rsid w:val="002B739C"/>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NormalWeb">
    <w:name w:val="Normal (Web)"/>
    <w:basedOn w:val="Normal"/>
    <w:uiPriority w:val="99"/>
    <w:unhideWhenUsed/>
    <w:rsid w:val="00913472"/>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3270C8"/>
    <w:pPr>
      <w:spacing w:before="0" w:after="0"/>
    </w:pPr>
  </w:style>
  <w:style w:type="table" w:customStyle="1" w:styleId="DefaultTable11">
    <w:name w:val="Default Table 11"/>
    <w:basedOn w:val="TableNormal"/>
    <w:uiPriority w:val="99"/>
    <w:rsid w:val="000126F2"/>
    <w:pPr>
      <w:spacing w:before="80"/>
    </w:pPr>
    <w:tblPr>
      <w:tblStyleRowBandSize w:val="1"/>
      <w:tblStyleColBandSize w:val="1"/>
      <w:tblInd w:w="0" w:type="nil"/>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Strong">
    <w:name w:val="Strong"/>
    <w:basedOn w:val="DefaultParagraphFont"/>
    <w:uiPriority w:val="22"/>
    <w:qFormat/>
    <w:rsid w:val="00AC7C29"/>
    <w:rPr>
      <w:b/>
      <w:bCs/>
    </w:rPr>
  </w:style>
  <w:style w:type="paragraph" w:customStyle="1" w:styleId="Heading2notshowing">
    <w:name w:val="Heading 2—not showing"/>
    <w:basedOn w:val="Normal"/>
    <w:next w:val="Normal"/>
    <w:qFormat/>
    <w:rsid w:val="002679BD"/>
    <w:pPr>
      <w:keepNext/>
      <w:spacing w:before="0" w:after="120"/>
      <w:outlineLvl w:val="1"/>
    </w:pPr>
    <w:rPr>
      <w:rFonts w:ascii="Segoe UI Semibold" w:eastAsia="MingLiU" w:hAnsi="Segoe UI Semibold" w:cs="Segoe UI Semibold"/>
      <w:b/>
      <w:color w:val="4C5564"/>
      <w:sz w:val="32"/>
      <w:szCs w:val="26"/>
    </w:rPr>
  </w:style>
  <w:style w:type="paragraph" w:customStyle="1" w:styleId="Normaldisclaimerpage">
    <w:name w:val="Normal—disclaimer page"/>
    <w:basedOn w:val="Normal"/>
    <w:qFormat/>
    <w:rsid w:val="002679BD"/>
    <w:pPr>
      <w:spacing w:before="0" w:after="120"/>
    </w:pPr>
    <w:rPr>
      <w:rFonts w:ascii="Segoe UI" w:hAnsi="Segoe U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9231">
      <w:bodyDiv w:val="1"/>
      <w:marLeft w:val="0"/>
      <w:marRight w:val="0"/>
      <w:marTop w:val="0"/>
      <w:marBottom w:val="0"/>
      <w:divBdr>
        <w:top w:val="none" w:sz="0" w:space="0" w:color="auto"/>
        <w:left w:val="none" w:sz="0" w:space="0" w:color="auto"/>
        <w:bottom w:val="none" w:sz="0" w:space="0" w:color="auto"/>
        <w:right w:val="none" w:sz="0" w:space="0" w:color="auto"/>
      </w:divBdr>
    </w:div>
    <w:div w:id="42216331">
      <w:bodyDiv w:val="1"/>
      <w:marLeft w:val="0"/>
      <w:marRight w:val="0"/>
      <w:marTop w:val="0"/>
      <w:marBottom w:val="0"/>
      <w:divBdr>
        <w:top w:val="none" w:sz="0" w:space="0" w:color="auto"/>
        <w:left w:val="none" w:sz="0" w:space="0" w:color="auto"/>
        <w:bottom w:val="none" w:sz="0" w:space="0" w:color="auto"/>
        <w:right w:val="none" w:sz="0" w:space="0" w:color="auto"/>
      </w:divBdr>
    </w:div>
    <w:div w:id="85620009">
      <w:bodyDiv w:val="1"/>
      <w:marLeft w:val="0"/>
      <w:marRight w:val="0"/>
      <w:marTop w:val="0"/>
      <w:marBottom w:val="0"/>
      <w:divBdr>
        <w:top w:val="none" w:sz="0" w:space="0" w:color="auto"/>
        <w:left w:val="none" w:sz="0" w:space="0" w:color="auto"/>
        <w:bottom w:val="none" w:sz="0" w:space="0" w:color="auto"/>
        <w:right w:val="none" w:sz="0" w:space="0" w:color="auto"/>
      </w:divBdr>
    </w:div>
    <w:div w:id="134298126">
      <w:bodyDiv w:val="1"/>
      <w:marLeft w:val="0"/>
      <w:marRight w:val="0"/>
      <w:marTop w:val="0"/>
      <w:marBottom w:val="0"/>
      <w:divBdr>
        <w:top w:val="none" w:sz="0" w:space="0" w:color="auto"/>
        <w:left w:val="none" w:sz="0" w:space="0" w:color="auto"/>
        <w:bottom w:val="none" w:sz="0" w:space="0" w:color="auto"/>
        <w:right w:val="none" w:sz="0" w:space="0" w:color="auto"/>
      </w:divBdr>
    </w:div>
    <w:div w:id="160313004">
      <w:bodyDiv w:val="1"/>
      <w:marLeft w:val="0"/>
      <w:marRight w:val="0"/>
      <w:marTop w:val="0"/>
      <w:marBottom w:val="0"/>
      <w:divBdr>
        <w:top w:val="none" w:sz="0" w:space="0" w:color="auto"/>
        <w:left w:val="none" w:sz="0" w:space="0" w:color="auto"/>
        <w:bottom w:val="none" w:sz="0" w:space="0" w:color="auto"/>
        <w:right w:val="none" w:sz="0" w:space="0" w:color="auto"/>
      </w:divBdr>
    </w:div>
    <w:div w:id="218712219">
      <w:bodyDiv w:val="1"/>
      <w:marLeft w:val="0"/>
      <w:marRight w:val="0"/>
      <w:marTop w:val="0"/>
      <w:marBottom w:val="0"/>
      <w:divBdr>
        <w:top w:val="none" w:sz="0" w:space="0" w:color="auto"/>
        <w:left w:val="none" w:sz="0" w:space="0" w:color="auto"/>
        <w:bottom w:val="none" w:sz="0" w:space="0" w:color="auto"/>
        <w:right w:val="none" w:sz="0" w:space="0" w:color="auto"/>
      </w:divBdr>
    </w:div>
    <w:div w:id="218975316">
      <w:bodyDiv w:val="1"/>
      <w:marLeft w:val="0"/>
      <w:marRight w:val="0"/>
      <w:marTop w:val="0"/>
      <w:marBottom w:val="0"/>
      <w:divBdr>
        <w:top w:val="none" w:sz="0" w:space="0" w:color="auto"/>
        <w:left w:val="none" w:sz="0" w:space="0" w:color="auto"/>
        <w:bottom w:val="none" w:sz="0" w:space="0" w:color="auto"/>
        <w:right w:val="none" w:sz="0" w:space="0" w:color="auto"/>
      </w:divBdr>
    </w:div>
    <w:div w:id="222180018">
      <w:bodyDiv w:val="1"/>
      <w:marLeft w:val="0"/>
      <w:marRight w:val="0"/>
      <w:marTop w:val="0"/>
      <w:marBottom w:val="0"/>
      <w:divBdr>
        <w:top w:val="none" w:sz="0" w:space="0" w:color="auto"/>
        <w:left w:val="none" w:sz="0" w:space="0" w:color="auto"/>
        <w:bottom w:val="none" w:sz="0" w:space="0" w:color="auto"/>
        <w:right w:val="none" w:sz="0" w:space="0" w:color="auto"/>
      </w:divBdr>
    </w:div>
    <w:div w:id="234752379">
      <w:bodyDiv w:val="1"/>
      <w:marLeft w:val="0"/>
      <w:marRight w:val="0"/>
      <w:marTop w:val="0"/>
      <w:marBottom w:val="0"/>
      <w:divBdr>
        <w:top w:val="none" w:sz="0" w:space="0" w:color="auto"/>
        <w:left w:val="none" w:sz="0" w:space="0" w:color="auto"/>
        <w:bottom w:val="none" w:sz="0" w:space="0" w:color="auto"/>
        <w:right w:val="none" w:sz="0" w:space="0" w:color="auto"/>
      </w:divBdr>
    </w:div>
    <w:div w:id="248119848">
      <w:bodyDiv w:val="1"/>
      <w:marLeft w:val="0"/>
      <w:marRight w:val="0"/>
      <w:marTop w:val="0"/>
      <w:marBottom w:val="0"/>
      <w:divBdr>
        <w:top w:val="none" w:sz="0" w:space="0" w:color="auto"/>
        <w:left w:val="none" w:sz="0" w:space="0" w:color="auto"/>
        <w:bottom w:val="none" w:sz="0" w:space="0" w:color="auto"/>
        <w:right w:val="none" w:sz="0" w:space="0" w:color="auto"/>
      </w:divBdr>
    </w:div>
    <w:div w:id="282687200">
      <w:bodyDiv w:val="1"/>
      <w:marLeft w:val="0"/>
      <w:marRight w:val="0"/>
      <w:marTop w:val="0"/>
      <w:marBottom w:val="0"/>
      <w:divBdr>
        <w:top w:val="none" w:sz="0" w:space="0" w:color="auto"/>
        <w:left w:val="none" w:sz="0" w:space="0" w:color="auto"/>
        <w:bottom w:val="none" w:sz="0" w:space="0" w:color="auto"/>
        <w:right w:val="none" w:sz="0" w:space="0" w:color="auto"/>
      </w:divBdr>
    </w:div>
    <w:div w:id="287442945">
      <w:bodyDiv w:val="1"/>
      <w:marLeft w:val="0"/>
      <w:marRight w:val="0"/>
      <w:marTop w:val="0"/>
      <w:marBottom w:val="0"/>
      <w:divBdr>
        <w:top w:val="none" w:sz="0" w:space="0" w:color="auto"/>
        <w:left w:val="none" w:sz="0" w:space="0" w:color="auto"/>
        <w:bottom w:val="none" w:sz="0" w:space="0" w:color="auto"/>
        <w:right w:val="none" w:sz="0" w:space="0" w:color="auto"/>
      </w:divBdr>
    </w:div>
    <w:div w:id="302588833">
      <w:bodyDiv w:val="1"/>
      <w:marLeft w:val="0"/>
      <w:marRight w:val="0"/>
      <w:marTop w:val="0"/>
      <w:marBottom w:val="0"/>
      <w:divBdr>
        <w:top w:val="none" w:sz="0" w:space="0" w:color="auto"/>
        <w:left w:val="none" w:sz="0" w:space="0" w:color="auto"/>
        <w:bottom w:val="none" w:sz="0" w:space="0" w:color="auto"/>
        <w:right w:val="none" w:sz="0" w:space="0" w:color="auto"/>
      </w:divBdr>
    </w:div>
    <w:div w:id="313610898">
      <w:bodyDiv w:val="1"/>
      <w:marLeft w:val="0"/>
      <w:marRight w:val="0"/>
      <w:marTop w:val="0"/>
      <w:marBottom w:val="0"/>
      <w:divBdr>
        <w:top w:val="none" w:sz="0" w:space="0" w:color="auto"/>
        <w:left w:val="none" w:sz="0" w:space="0" w:color="auto"/>
        <w:bottom w:val="none" w:sz="0" w:space="0" w:color="auto"/>
        <w:right w:val="none" w:sz="0" w:space="0" w:color="auto"/>
      </w:divBdr>
    </w:div>
    <w:div w:id="325936406">
      <w:bodyDiv w:val="1"/>
      <w:marLeft w:val="0"/>
      <w:marRight w:val="0"/>
      <w:marTop w:val="0"/>
      <w:marBottom w:val="0"/>
      <w:divBdr>
        <w:top w:val="none" w:sz="0" w:space="0" w:color="auto"/>
        <w:left w:val="none" w:sz="0" w:space="0" w:color="auto"/>
        <w:bottom w:val="none" w:sz="0" w:space="0" w:color="auto"/>
        <w:right w:val="none" w:sz="0" w:space="0" w:color="auto"/>
      </w:divBdr>
    </w:div>
    <w:div w:id="330986539">
      <w:bodyDiv w:val="1"/>
      <w:marLeft w:val="0"/>
      <w:marRight w:val="0"/>
      <w:marTop w:val="0"/>
      <w:marBottom w:val="0"/>
      <w:divBdr>
        <w:top w:val="none" w:sz="0" w:space="0" w:color="auto"/>
        <w:left w:val="none" w:sz="0" w:space="0" w:color="auto"/>
        <w:bottom w:val="none" w:sz="0" w:space="0" w:color="auto"/>
        <w:right w:val="none" w:sz="0" w:space="0" w:color="auto"/>
      </w:divBdr>
    </w:div>
    <w:div w:id="353656045">
      <w:bodyDiv w:val="1"/>
      <w:marLeft w:val="0"/>
      <w:marRight w:val="0"/>
      <w:marTop w:val="0"/>
      <w:marBottom w:val="0"/>
      <w:divBdr>
        <w:top w:val="none" w:sz="0" w:space="0" w:color="auto"/>
        <w:left w:val="none" w:sz="0" w:space="0" w:color="auto"/>
        <w:bottom w:val="none" w:sz="0" w:space="0" w:color="auto"/>
        <w:right w:val="none" w:sz="0" w:space="0" w:color="auto"/>
      </w:divBdr>
    </w:div>
    <w:div w:id="364790768">
      <w:bodyDiv w:val="1"/>
      <w:marLeft w:val="0"/>
      <w:marRight w:val="0"/>
      <w:marTop w:val="0"/>
      <w:marBottom w:val="0"/>
      <w:divBdr>
        <w:top w:val="none" w:sz="0" w:space="0" w:color="auto"/>
        <w:left w:val="none" w:sz="0" w:space="0" w:color="auto"/>
        <w:bottom w:val="none" w:sz="0" w:space="0" w:color="auto"/>
        <w:right w:val="none" w:sz="0" w:space="0" w:color="auto"/>
      </w:divBdr>
    </w:div>
    <w:div w:id="503134003">
      <w:bodyDiv w:val="1"/>
      <w:marLeft w:val="0"/>
      <w:marRight w:val="0"/>
      <w:marTop w:val="0"/>
      <w:marBottom w:val="0"/>
      <w:divBdr>
        <w:top w:val="none" w:sz="0" w:space="0" w:color="auto"/>
        <w:left w:val="none" w:sz="0" w:space="0" w:color="auto"/>
        <w:bottom w:val="none" w:sz="0" w:space="0" w:color="auto"/>
        <w:right w:val="none" w:sz="0" w:space="0" w:color="auto"/>
      </w:divBdr>
    </w:div>
    <w:div w:id="519659193">
      <w:bodyDiv w:val="1"/>
      <w:marLeft w:val="0"/>
      <w:marRight w:val="0"/>
      <w:marTop w:val="0"/>
      <w:marBottom w:val="0"/>
      <w:divBdr>
        <w:top w:val="none" w:sz="0" w:space="0" w:color="auto"/>
        <w:left w:val="none" w:sz="0" w:space="0" w:color="auto"/>
        <w:bottom w:val="none" w:sz="0" w:space="0" w:color="auto"/>
        <w:right w:val="none" w:sz="0" w:space="0" w:color="auto"/>
      </w:divBdr>
    </w:div>
    <w:div w:id="553737920">
      <w:bodyDiv w:val="1"/>
      <w:marLeft w:val="0"/>
      <w:marRight w:val="0"/>
      <w:marTop w:val="0"/>
      <w:marBottom w:val="0"/>
      <w:divBdr>
        <w:top w:val="none" w:sz="0" w:space="0" w:color="auto"/>
        <w:left w:val="none" w:sz="0" w:space="0" w:color="auto"/>
        <w:bottom w:val="none" w:sz="0" w:space="0" w:color="auto"/>
        <w:right w:val="none" w:sz="0" w:space="0" w:color="auto"/>
      </w:divBdr>
    </w:div>
    <w:div w:id="568351138">
      <w:bodyDiv w:val="1"/>
      <w:marLeft w:val="0"/>
      <w:marRight w:val="0"/>
      <w:marTop w:val="0"/>
      <w:marBottom w:val="0"/>
      <w:divBdr>
        <w:top w:val="none" w:sz="0" w:space="0" w:color="auto"/>
        <w:left w:val="none" w:sz="0" w:space="0" w:color="auto"/>
        <w:bottom w:val="none" w:sz="0" w:space="0" w:color="auto"/>
        <w:right w:val="none" w:sz="0" w:space="0" w:color="auto"/>
      </w:divBdr>
    </w:div>
    <w:div w:id="597374531">
      <w:bodyDiv w:val="1"/>
      <w:marLeft w:val="0"/>
      <w:marRight w:val="0"/>
      <w:marTop w:val="0"/>
      <w:marBottom w:val="0"/>
      <w:divBdr>
        <w:top w:val="none" w:sz="0" w:space="0" w:color="auto"/>
        <w:left w:val="none" w:sz="0" w:space="0" w:color="auto"/>
        <w:bottom w:val="none" w:sz="0" w:space="0" w:color="auto"/>
        <w:right w:val="none" w:sz="0" w:space="0" w:color="auto"/>
      </w:divBdr>
    </w:div>
    <w:div w:id="600457831">
      <w:bodyDiv w:val="1"/>
      <w:marLeft w:val="0"/>
      <w:marRight w:val="0"/>
      <w:marTop w:val="0"/>
      <w:marBottom w:val="0"/>
      <w:divBdr>
        <w:top w:val="none" w:sz="0" w:space="0" w:color="auto"/>
        <w:left w:val="none" w:sz="0" w:space="0" w:color="auto"/>
        <w:bottom w:val="none" w:sz="0" w:space="0" w:color="auto"/>
        <w:right w:val="none" w:sz="0" w:space="0" w:color="auto"/>
      </w:divBdr>
    </w:div>
    <w:div w:id="613293310">
      <w:bodyDiv w:val="1"/>
      <w:marLeft w:val="0"/>
      <w:marRight w:val="0"/>
      <w:marTop w:val="0"/>
      <w:marBottom w:val="0"/>
      <w:divBdr>
        <w:top w:val="none" w:sz="0" w:space="0" w:color="auto"/>
        <w:left w:val="none" w:sz="0" w:space="0" w:color="auto"/>
        <w:bottom w:val="none" w:sz="0" w:space="0" w:color="auto"/>
        <w:right w:val="none" w:sz="0" w:space="0" w:color="auto"/>
      </w:divBdr>
    </w:div>
    <w:div w:id="636690904">
      <w:bodyDiv w:val="1"/>
      <w:marLeft w:val="0"/>
      <w:marRight w:val="0"/>
      <w:marTop w:val="0"/>
      <w:marBottom w:val="0"/>
      <w:divBdr>
        <w:top w:val="none" w:sz="0" w:space="0" w:color="auto"/>
        <w:left w:val="none" w:sz="0" w:space="0" w:color="auto"/>
        <w:bottom w:val="none" w:sz="0" w:space="0" w:color="auto"/>
        <w:right w:val="none" w:sz="0" w:space="0" w:color="auto"/>
      </w:divBdr>
    </w:div>
    <w:div w:id="647396882">
      <w:bodyDiv w:val="1"/>
      <w:marLeft w:val="0"/>
      <w:marRight w:val="0"/>
      <w:marTop w:val="0"/>
      <w:marBottom w:val="0"/>
      <w:divBdr>
        <w:top w:val="none" w:sz="0" w:space="0" w:color="auto"/>
        <w:left w:val="none" w:sz="0" w:space="0" w:color="auto"/>
        <w:bottom w:val="none" w:sz="0" w:space="0" w:color="auto"/>
        <w:right w:val="none" w:sz="0" w:space="0" w:color="auto"/>
      </w:divBdr>
    </w:div>
    <w:div w:id="682124909">
      <w:bodyDiv w:val="1"/>
      <w:marLeft w:val="0"/>
      <w:marRight w:val="0"/>
      <w:marTop w:val="0"/>
      <w:marBottom w:val="0"/>
      <w:divBdr>
        <w:top w:val="none" w:sz="0" w:space="0" w:color="auto"/>
        <w:left w:val="none" w:sz="0" w:space="0" w:color="auto"/>
        <w:bottom w:val="none" w:sz="0" w:space="0" w:color="auto"/>
        <w:right w:val="none" w:sz="0" w:space="0" w:color="auto"/>
      </w:divBdr>
    </w:div>
    <w:div w:id="689189012">
      <w:bodyDiv w:val="1"/>
      <w:marLeft w:val="0"/>
      <w:marRight w:val="0"/>
      <w:marTop w:val="0"/>
      <w:marBottom w:val="0"/>
      <w:divBdr>
        <w:top w:val="none" w:sz="0" w:space="0" w:color="auto"/>
        <w:left w:val="none" w:sz="0" w:space="0" w:color="auto"/>
        <w:bottom w:val="none" w:sz="0" w:space="0" w:color="auto"/>
        <w:right w:val="none" w:sz="0" w:space="0" w:color="auto"/>
      </w:divBdr>
    </w:div>
    <w:div w:id="700738667">
      <w:bodyDiv w:val="1"/>
      <w:marLeft w:val="0"/>
      <w:marRight w:val="0"/>
      <w:marTop w:val="0"/>
      <w:marBottom w:val="0"/>
      <w:divBdr>
        <w:top w:val="none" w:sz="0" w:space="0" w:color="auto"/>
        <w:left w:val="none" w:sz="0" w:space="0" w:color="auto"/>
        <w:bottom w:val="none" w:sz="0" w:space="0" w:color="auto"/>
        <w:right w:val="none" w:sz="0" w:space="0" w:color="auto"/>
      </w:divBdr>
    </w:div>
    <w:div w:id="759451416">
      <w:bodyDiv w:val="1"/>
      <w:marLeft w:val="0"/>
      <w:marRight w:val="0"/>
      <w:marTop w:val="0"/>
      <w:marBottom w:val="0"/>
      <w:divBdr>
        <w:top w:val="none" w:sz="0" w:space="0" w:color="auto"/>
        <w:left w:val="none" w:sz="0" w:space="0" w:color="auto"/>
        <w:bottom w:val="none" w:sz="0" w:space="0" w:color="auto"/>
        <w:right w:val="none" w:sz="0" w:space="0" w:color="auto"/>
      </w:divBdr>
    </w:div>
    <w:div w:id="782656546">
      <w:bodyDiv w:val="1"/>
      <w:marLeft w:val="0"/>
      <w:marRight w:val="0"/>
      <w:marTop w:val="0"/>
      <w:marBottom w:val="0"/>
      <w:divBdr>
        <w:top w:val="none" w:sz="0" w:space="0" w:color="auto"/>
        <w:left w:val="none" w:sz="0" w:space="0" w:color="auto"/>
        <w:bottom w:val="none" w:sz="0" w:space="0" w:color="auto"/>
        <w:right w:val="none" w:sz="0" w:space="0" w:color="auto"/>
      </w:divBdr>
    </w:div>
    <w:div w:id="801654568">
      <w:bodyDiv w:val="1"/>
      <w:marLeft w:val="0"/>
      <w:marRight w:val="0"/>
      <w:marTop w:val="0"/>
      <w:marBottom w:val="0"/>
      <w:divBdr>
        <w:top w:val="none" w:sz="0" w:space="0" w:color="auto"/>
        <w:left w:val="none" w:sz="0" w:space="0" w:color="auto"/>
        <w:bottom w:val="none" w:sz="0" w:space="0" w:color="auto"/>
        <w:right w:val="none" w:sz="0" w:space="0" w:color="auto"/>
      </w:divBdr>
    </w:div>
    <w:div w:id="816151007">
      <w:bodyDiv w:val="1"/>
      <w:marLeft w:val="0"/>
      <w:marRight w:val="0"/>
      <w:marTop w:val="0"/>
      <w:marBottom w:val="0"/>
      <w:divBdr>
        <w:top w:val="none" w:sz="0" w:space="0" w:color="auto"/>
        <w:left w:val="none" w:sz="0" w:space="0" w:color="auto"/>
        <w:bottom w:val="none" w:sz="0" w:space="0" w:color="auto"/>
        <w:right w:val="none" w:sz="0" w:space="0" w:color="auto"/>
      </w:divBdr>
    </w:div>
    <w:div w:id="841236842">
      <w:bodyDiv w:val="1"/>
      <w:marLeft w:val="0"/>
      <w:marRight w:val="0"/>
      <w:marTop w:val="0"/>
      <w:marBottom w:val="0"/>
      <w:divBdr>
        <w:top w:val="none" w:sz="0" w:space="0" w:color="auto"/>
        <w:left w:val="none" w:sz="0" w:space="0" w:color="auto"/>
        <w:bottom w:val="none" w:sz="0" w:space="0" w:color="auto"/>
        <w:right w:val="none" w:sz="0" w:space="0" w:color="auto"/>
      </w:divBdr>
    </w:div>
    <w:div w:id="862354842">
      <w:bodyDiv w:val="1"/>
      <w:marLeft w:val="0"/>
      <w:marRight w:val="0"/>
      <w:marTop w:val="0"/>
      <w:marBottom w:val="0"/>
      <w:divBdr>
        <w:top w:val="none" w:sz="0" w:space="0" w:color="auto"/>
        <w:left w:val="none" w:sz="0" w:space="0" w:color="auto"/>
        <w:bottom w:val="none" w:sz="0" w:space="0" w:color="auto"/>
        <w:right w:val="none" w:sz="0" w:space="0" w:color="auto"/>
      </w:divBdr>
    </w:div>
    <w:div w:id="867763547">
      <w:bodyDiv w:val="1"/>
      <w:marLeft w:val="0"/>
      <w:marRight w:val="0"/>
      <w:marTop w:val="0"/>
      <w:marBottom w:val="0"/>
      <w:divBdr>
        <w:top w:val="none" w:sz="0" w:space="0" w:color="auto"/>
        <w:left w:val="none" w:sz="0" w:space="0" w:color="auto"/>
        <w:bottom w:val="none" w:sz="0" w:space="0" w:color="auto"/>
        <w:right w:val="none" w:sz="0" w:space="0" w:color="auto"/>
      </w:divBdr>
    </w:div>
    <w:div w:id="887911790">
      <w:bodyDiv w:val="1"/>
      <w:marLeft w:val="0"/>
      <w:marRight w:val="0"/>
      <w:marTop w:val="0"/>
      <w:marBottom w:val="0"/>
      <w:divBdr>
        <w:top w:val="none" w:sz="0" w:space="0" w:color="auto"/>
        <w:left w:val="none" w:sz="0" w:space="0" w:color="auto"/>
        <w:bottom w:val="none" w:sz="0" w:space="0" w:color="auto"/>
        <w:right w:val="none" w:sz="0" w:space="0" w:color="auto"/>
      </w:divBdr>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947544212">
      <w:bodyDiv w:val="1"/>
      <w:marLeft w:val="0"/>
      <w:marRight w:val="0"/>
      <w:marTop w:val="0"/>
      <w:marBottom w:val="0"/>
      <w:divBdr>
        <w:top w:val="none" w:sz="0" w:space="0" w:color="auto"/>
        <w:left w:val="none" w:sz="0" w:space="0" w:color="auto"/>
        <w:bottom w:val="none" w:sz="0" w:space="0" w:color="auto"/>
        <w:right w:val="none" w:sz="0" w:space="0" w:color="auto"/>
      </w:divBdr>
    </w:div>
    <w:div w:id="1014570828">
      <w:bodyDiv w:val="1"/>
      <w:marLeft w:val="0"/>
      <w:marRight w:val="0"/>
      <w:marTop w:val="0"/>
      <w:marBottom w:val="0"/>
      <w:divBdr>
        <w:top w:val="none" w:sz="0" w:space="0" w:color="auto"/>
        <w:left w:val="none" w:sz="0" w:space="0" w:color="auto"/>
        <w:bottom w:val="none" w:sz="0" w:space="0" w:color="auto"/>
        <w:right w:val="none" w:sz="0" w:space="0" w:color="auto"/>
      </w:divBdr>
    </w:div>
    <w:div w:id="1121458450">
      <w:bodyDiv w:val="1"/>
      <w:marLeft w:val="0"/>
      <w:marRight w:val="0"/>
      <w:marTop w:val="0"/>
      <w:marBottom w:val="0"/>
      <w:divBdr>
        <w:top w:val="none" w:sz="0" w:space="0" w:color="auto"/>
        <w:left w:val="none" w:sz="0" w:space="0" w:color="auto"/>
        <w:bottom w:val="none" w:sz="0" w:space="0" w:color="auto"/>
        <w:right w:val="none" w:sz="0" w:space="0" w:color="auto"/>
      </w:divBdr>
    </w:div>
    <w:div w:id="1136799866">
      <w:bodyDiv w:val="1"/>
      <w:marLeft w:val="0"/>
      <w:marRight w:val="0"/>
      <w:marTop w:val="0"/>
      <w:marBottom w:val="0"/>
      <w:divBdr>
        <w:top w:val="none" w:sz="0" w:space="0" w:color="auto"/>
        <w:left w:val="none" w:sz="0" w:space="0" w:color="auto"/>
        <w:bottom w:val="none" w:sz="0" w:space="0" w:color="auto"/>
        <w:right w:val="none" w:sz="0" w:space="0" w:color="auto"/>
      </w:divBdr>
    </w:div>
    <w:div w:id="1136871845">
      <w:bodyDiv w:val="1"/>
      <w:marLeft w:val="0"/>
      <w:marRight w:val="0"/>
      <w:marTop w:val="0"/>
      <w:marBottom w:val="0"/>
      <w:divBdr>
        <w:top w:val="none" w:sz="0" w:space="0" w:color="auto"/>
        <w:left w:val="none" w:sz="0" w:space="0" w:color="auto"/>
        <w:bottom w:val="none" w:sz="0" w:space="0" w:color="auto"/>
        <w:right w:val="none" w:sz="0" w:space="0" w:color="auto"/>
      </w:divBdr>
    </w:div>
    <w:div w:id="1232929462">
      <w:bodyDiv w:val="1"/>
      <w:marLeft w:val="0"/>
      <w:marRight w:val="0"/>
      <w:marTop w:val="0"/>
      <w:marBottom w:val="0"/>
      <w:divBdr>
        <w:top w:val="none" w:sz="0" w:space="0" w:color="auto"/>
        <w:left w:val="none" w:sz="0" w:space="0" w:color="auto"/>
        <w:bottom w:val="none" w:sz="0" w:space="0" w:color="auto"/>
        <w:right w:val="none" w:sz="0" w:space="0" w:color="auto"/>
      </w:divBdr>
      <w:divsChild>
        <w:div w:id="1998338555">
          <w:marLeft w:val="0"/>
          <w:marRight w:val="0"/>
          <w:marTop w:val="0"/>
          <w:marBottom w:val="576"/>
          <w:divBdr>
            <w:top w:val="none" w:sz="0" w:space="0" w:color="auto"/>
            <w:left w:val="none" w:sz="0" w:space="0" w:color="auto"/>
            <w:bottom w:val="none" w:sz="0" w:space="0" w:color="auto"/>
            <w:right w:val="none" w:sz="0" w:space="0" w:color="auto"/>
          </w:divBdr>
          <w:divsChild>
            <w:div w:id="1498425263">
              <w:marLeft w:val="0"/>
              <w:marRight w:val="0"/>
              <w:marTop w:val="0"/>
              <w:marBottom w:val="0"/>
              <w:divBdr>
                <w:top w:val="none" w:sz="0" w:space="0" w:color="auto"/>
                <w:left w:val="none" w:sz="0" w:space="0" w:color="auto"/>
                <w:bottom w:val="none" w:sz="0" w:space="0" w:color="auto"/>
                <w:right w:val="none" w:sz="0" w:space="0" w:color="auto"/>
              </w:divBdr>
            </w:div>
          </w:divsChild>
        </w:div>
        <w:div w:id="72286517">
          <w:marLeft w:val="0"/>
          <w:marRight w:val="0"/>
          <w:marTop w:val="0"/>
          <w:marBottom w:val="0"/>
          <w:divBdr>
            <w:top w:val="none" w:sz="0" w:space="0" w:color="auto"/>
            <w:left w:val="none" w:sz="0" w:space="0" w:color="auto"/>
            <w:bottom w:val="none" w:sz="0" w:space="0" w:color="auto"/>
            <w:right w:val="none" w:sz="0" w:space="0" w:color="auto"/>
          </w:divBdr>
          <w:divsChild>
            <w:div w:id="507715303">
              <w:marLeft w:val="0"/>
              <w:marRight w:val="0"/>
              <w:marTop w:val="0"/>
              <w:marBottom w:val="0"/>
              <w:divBdr>
                <w:top w:val="none" w:sz="0" w:space="0" w:color="auto"/>
                <w:left w:val="none" w:sz="0" w:space="0" w:color="auto"/>
                <w:bottom w:val="none" w:sz="0" w:space="0" w:color="auto"/>
                <w:right w:val="none" w:sz="0" w:space="0" w:color="auto"/>
              </w:divBdr>
              <w:divsChild>
                <w:div w:id="585187854">
                  <w:marLeft w:val="0"/>
                  <w:marRight w:val="0"/>
                  <w:marTop w:val="0"/>
                  <w:marBottom w:val="0"/>
                  <w:divBdr>
                    <w:top w:val="single" w:sz="12" w:space="19" w:color="DDDDDD"/>
                    <w:left w:val="none" w:sz="0" w:space="0" w:color="auto"/>
                    <w:bottom w:val="single" w:sz="12" w:space="19" w:color="DDDDDD"/>
                    <w:right w:val="none" w:sz="0" w:space="0" w:color="auto"/>
                  </w:divBdr>
                  <w:divsChild>
                    <w:div w:id="18609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34487">
      <w:bodyDiv w:val="1"/>
      <w:marLeft w:val="0"/>
      <w:marRight w:val="0"/>
      <w:marTop w:val="0"/>
      <w:marBottom w:val="0"/>
      <w:divBdr>
        <w:top w:val="none" w:sz="0" w:space="0" w:color="auto"/>
        <w:left w:val="none" w:sz="0" w:space="0" w:color="auto"/>
        <w:bottom w:val="none" w:sz="0" w:space="0" w:color="auto"/>
        <w:right w:val="none" w:sz="0" w:space="0" w:color="auto"/>
      </w:divBdr>
    </w:div>
    <w:div w:id="1284993359">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459180838">
      <w:bodyDiv w:val="1"/>
      <w:marLeft w:val="0"/>
      <w:marRight w:val="0"/>
      <w:marTop w:val="0"/>
      <w:marBottom w:val="0"/>
      <w:divBdr>
        <w:top w:val="none" w:sz="0" w:space="0" w:color="auto"/>
        <w:left w:val="none" w:sz="0" w:space="0" w:color="auto"/>
        <w:bottom w:val="none" w:sz="0" w:space="0" w:color="auto"/>
        <w:right w:val="none" w:sz="0" w:space="0" w:color="auto"/>
      </w:divBdr>
    </w:div>
    <w:div w:id="1459492032">
      <w:bodyDiv w:val="1"/>
      <w:marLeft w:val="0"/>
      <w:marRight w:val="0"/>
      <w:marTop w:val="0"/>
      <w:marBottom w:val="0"/>
      <w:divBdr>
        <w:top w:val="none" w:sz="0" w:space="0" w:color="auto"/>
        <w:left w:val="none" w:sz="0" w:space="0" w:color="auto"/>
        <w:bottom w:val="none" w:sz="0" w:space="0" w:color="auto"/>
        <w:right w:val="none" w:sz="0" w:space="0" w:color="auto"/>
      </w:divBdr>
    </w:div>
    <w:div w:id="1468356474">
      <w:bodyDiv w:val="1"/>
      <w:marLeft w:val="0"/>
      <w:marRight w:val="0"/>
      <w:marTop w:val="0"/>
      <w:marBottom w:val="0"/>
      <w:divBdr>
        <w:top w:val="none" w:sz="0" w:space="0" w:color="auto"/>
        <w:left w:val="none" w:sz="0" w:space="0" w:color="auto"/>
        <w:bottom w:val="none" w:sz="0" w:space="0" w:color="auto"/>
        <w:right w:val="none" w:sz="0" w:space="0" w:color="auto"/>
      </w:divBdr>
    </w:div>
    <w:div w:id="1522545812">
      <w:bodyDiv w:val="1"/>
      <w:marLeft w:val="0"/>
      <w:marRight w:val="0"/>
      <w:marTop w:val="0"/>
      <w:marBottom w:val="0"/>
      <w:divBdr>
        <w:top w:val="none" w:sz="0" w:space="0" w:color="auto"/>
        <w:left w:val="none" w:sz="0" w:space="0" w:color="auto"/>
        <w:bottom w:val="none" w:sz="0" w:space="0" w:color="auto"/>
        <w:right w:val="none" w:sz="0" w:space="0" w:color="auto"/>
      </w:divBdr>
    </w:div>
    <w:div w:id="1532835997">
      <w:bodyDiv w:val="1"/>
      <w:marLeft w:val="0"/>
      <w:marRight w:val="0"/>
      <w:marTop w:val="0"/>
      <w:marBottom w:val="0"/>
      <w:divBdr>
        <w:top w:val="none" w:sz="0" w:space="0" w:color="auto"/>
        <w:left w:val="none" w:sz="0" w:space="0" w:color="auto"/>
        <w:bottom w:val="none" w:sz="0" w:space="0" w:color="auto"/>
        <w:right w:val="none" w:sz="0" w:space="0" w:color="auto"/>
      </w:divBdr>
    </w:div>
    <w:div w:id="1541555859">
      <w:bodyDiv w:val="1"/>
      <w:marLeft w:val="0"/>
      <w:marRight w:val="0"/>
      <w:marTop w:val="0"/>
      <w:marBottom w:val="0"/>
      <w:divBdr>
        <w:top w:val="none" w:sz="0" w:space="0" w:color="auto"/>
        <w:left w:val="none" w:sz="0" w:space="0" w:color="auto"/>
        <w:bottom w:val="none" w:sz="0" w:space="0" w:color="auto"/>
        <w:right w:val="none" w:sz="0" w:space="0" w:color="auto"/>
      </w:divBdr>
    </w:div>
    <w:div w:id="1547327572">
      <w:bodyDiv w:val="1"/>
      <w:marLeft w:val="0"/>
      <w:marRight w:val="0"/>
      <w:marTop w:val="0"/>
      <w:marBottom w:val="0"/>
      <w:divBdr>
        <w:top w:val="none" w:sz="0" w:space="0" w:color="auto"/>
        <w:left w:val="none" w:sz="0" w:space="0" w:color="auto"/>
        <w:bottom w:val="none" w:sz="0" w:space="0" w:color="auto"/>
        <w:right w:val="none" w:sz="0" w:space="0" w:color="auto"/>
      </w:divBdr>
    </w:div>
    <w:div w:id="1628468660">
      <w:bodyDiv w:val="1"/>
      <w:marLeft w:val="0"/>
      <w:marRight w:val="0"/>
      <w:marTop w:val="0"/>
      <w:marBottom w:val="0"/>
      <w:divBdr>
        <w:top w:val="none" w:sz="0" w:space="0" w:color="auto"/>
        <w:left w:val="none" w:sz="0" w:space="0" w:color="auto"/>
        <w:bottom w:val="none" w:sz="0" w:space="0" w:color="auto"/>
        <w:right w:val="none" w:sz="0" w:space="0" w:color="auto"/>
      </w:divBdr>
    </w:div>
    <w:div w:id="1632860589">
      <w:bodyDiv w:val="1"/>
      <w:marLeft w:val="0"/>
      <w:marRight w:val="0"/>
      <w:marTop w:val="0"/>
      <w:marBottom w:val="0"/>
      <w:divBdr>
        <w:top w:val="none" w:sz="0" w:space="0" w:color="auto"/>
        <w:left w:val="none" w:sz="0" w:space="0" w:color="auto"/>
        <w:bottom w:val="none" w:sz="0" w:space="0" w:color="auto"/>
        <w:right w:val="none" w:sz="0" w:space="0" w:color="auto"/>
      </w:divBdr>
    </w:div>
    <w:div w:id="1634100391">
      <w:bodyDiv w:val="1"/>
      <w:marLeft w:val="0"/>
      <w:marRight w:val="0"/>
      <w:marTop w:val="0"/>
      <w:marBottom w:val="0"/>
      <w:divBdr>
        <w:top w:val="none" w:sz="0" w:space="0" w:color="auto"/>
        <w:left w:val="none" w:sz="0" w:space="0" w:color="auto"/>
        <w:bottom w:val="none" w:sz="0" w:space="0" w:color="auto"/>
        <w:right w:val="none" w:sz="0" w:space="0" w:color="auto"/>
      </w:divBdr>
    </w:div>
    <w:div w:id="1704093463">
      <w:bodyDiv w:val="1"/>
      <w:marLeft w:val="0"/>
      <w:marRight w:val="0"/>
      <w:marTop w:val="0"/>
      <w:marBottom w:val="0"/>
      <w:divBdr>
        <w:top w:val="none" w:sz="0" w:space="0" w:color="auto"/>
        <w:left w:val="none" w:sz="0" w:space="0" w:color="auto"/>
        <w:bottom w:val="none" w:sz="0" w:space="0" w:color="auto"/>
        <w:right w:val="none" w:sz="0" w:space="0" w:color="auto"/>
      </w:divBdr>
    </w:div>
    <w:div w:id="1738283743">
      <w:bodyDiv w:val="1"/>
      <w:marLeft w:val="0"/>
      <w:marRight w:val="0"/>
      <w:marTop w:val="0"/>
      <w:marBottom w:val="0"/>
      <w:divBdr>
        <w:top w:val="none" w:sz="0" w:space="0" w:color="auto"/>
        <w:left w:val="none" w:sz="0" w:space="0" w:color="auto"/>
        <w:bottom w:val="none" w:sz="0" w:space="0" w:color="auto"/>
        <w:right w:val="none" w:sz="0" w:space="0" w:color="auto"/>
      </w:divBdr>
    </w:div>
    <w:div w:id="1766881902">
      <w:bodyDiv w:val="1"/>
      <w:marLeft w:val="0"/>
      <w:marRight w:val="0"/>
      <w:marTop w:val="0"/>
      <w:marBottom w:val="0"/>
      <w:divBdr>
        <w:top w:val="none" w:sz="0" w:space="0" w:color="auto"/>
        <w:left w:val="none" w:sz="0" w:space="0" w:color="auto"/>
        <w:bottom w:val="none" w:sz="0" w:space="0" w:color="auto"/>
        <w:right w:val="none" w:sz="0" w:space="0" w:color="auto"/>
      </w:divBdr>
    </w:div>
    <w:div w:id="1799881276">
      <w:bodyDiv w:val="1"/>
      <w:marLeft w:val="0"/>
      <w:marRight w:val="0"/>
      <w:marTop w:val="0"/>
      <w:marBottom w:val="0"/>
      <w:divBdr>
        <w:top w:val="none" w:sz="0" w:space="0" w:color="auto"/>
        <w:left w:val="none" w:sz="0" w:space="0" w:color="auto"/>
        <w:bottom w:val="none" w:sz="0" w:space="0" w:color="auto"/>
        <w:right w:val="none" w:sz="0" w:space="0" w:color="auto"/>
      </w:divBdr>
    </w:div>
    <w:div w:id="1854104744">
      <w:bodyDiv w:val="1"/>
      <w:marLeft w:val="0"/>
      <w:marRight w:val="0"/>
      <w:marTop w:val="0"/>
      <w:marBottom w:val="0"/>
      <w:divBdr>
        <w:top w:val="none" w:sz="0" w:space="0" w:color="auto"/>
        <w:left w:val="none" w:sz="0" w:space="0" w:color="auto"/>
        <w:bottom w:val="none" w:sz="0" w:space="0" w:color="auto"/>
        <w:right w:val="none" w:sz="0" w:space="0" w:color="auto"/>
      </w:divBdr>
      <w:divsChild>
        <w:div w:id="2069111279">
          <w:marLeft w:val="0"/>
          <w:marRight w:val="0"/>
          <w:marTop w:val="0"/>
          <w:marBottom w:val="75"/>
          <w:divBdr>
            <w:top w:val="none" w:sz="0" w:space="0" w:color="auto"/>
            <w:left w:val="none" w:sz="0" w:space="0" w:color="auto"/>
            <w:bottom w:val="none" w:sz="0" w:space="0" w:color="auto"/>
            <w:right w:val="none" w:sz="0" w:space="0" w:color="auto"/>
          </w:divBdr>
          <w:divsChild>
            <w:div w:id="5236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7094">
      <w:bodyDiv w:val="1"/>
      <w:marLeft w:val="0"/>
      <w:marRight w:val="0"/>
      <w:marTop w:val="0"/>
      <w:marBottom w:val="0"/>
      <w:divBdr>
        <w:top w:val="none" w:sz="0" w:space="0" w:color="auto"/>
        <w:left w:val="none" w:sz="0" w:space="0" w:color="auto"/>
        <w:bottom w:val="none" w:sz="0" w:space="0" w:color="auto"/>
        <w:right w:val="none" w:sz="0" w:space="0" w:color="auto"/>
      </w:divBdr>
    </w:div>
    <w:div w:id="1942643913">
      <w:bodyDiv w:val="1"/>
      <w:marLeft w:val="0"/>
      <w:marRight w:val="0"/>
      <w:marTop w:val="0"/>
      <w:marBottom w:val="0"/>
      <w:divBdr>
        <w:top w:val="none" w:sz="0" w:space="0" w:color="auto"/>
        <w:left w:val="none" w:sz="0" w:space="0" w:color="auto"/>
        <w:bottom w:val="none" w:sz="0" w:space="0" w:color="auto"/>
        <w:right w:val="none" w:sz="0" w:space="0" w:color="auto"/>
      </w:divBdr>
    </w:div>
    <w:div w:id="1966038119">
      <w:bodyDiv w:val="1"/>
      <w:marLeft w:val="0"/>
      <w:marRight w:val="0"/>
      <w:marTop w:val="0"/>
      <w:marBottom w:val="0"/>
      <w:divBdr>
        <w:top w:val="none" w:sz="0" w:space="0" w:color="auto"/>
        <w:left w:val="none" w:sz="0" w:space="0" w:color="auto"/>
        <w:bottom w:val="none" w:sz="0" w:space="0" w:color="auto"/>
        <w:right w:val="none" w:sz="0" w:space="0" w:color="auto"/>
      </w:divBdr>
    </w:div>
    <w:div w:id="1966933900">
      <w:bodyDiv w:val="1"/>
      <w:marLeft w:val="0"/>
      <w:marRight w:val="0"/>
      <w:marTop w:val="0"/>
      <w:marBottom w:val="0"/>
      <w:divBdr>
        <w:top w:val="none" w:sz="0" w:space="0" w:color="auto"/>
        <w:left w:val="none" w:sz="0" w:space="0" w:color="auto"/>
        <w:bottom w:val="none" w:sz="0" w:space="0" w:color="auto"/>
        <w:right w:val="none" w:sz="0" w:space="0" w:color="auto"/>
      </w:divBdr>
    </w:div>
    <w:div w:id="1997953789">
      <w:bodyDiv w:val="1"/>
      <w:marLeft w:val="0"/>
      <w:marRight w:val="0"/>
      <w:marTop w:val="0"/>
      <w:marBottom w:val="0"/>
      <w:divBdr>
        <w:top w:val="none" w:sz="0" w:space="0" w:color="auto"/>
        <w:left w:val="none" w:sz="0" w:space="0" w:color="auto"/>
        <w:bottom w:val="none" w:sz="0" w:space="0" w:color="auto"/>
        <w:right w:val="none" w:sz="0" w:space="0" w:color="auto"/>
      </w:divBdr>
    </w:div>
    <w:div w:id="1998217555">
      <w:bodyDiv w:val="1"/>
      <w:marLeft w:val="0"/>
      <w:marRight w:val="0"/>
      <w:marTop w:val="0"/>
      <w:marBottom w:val="0"/>
      <w:divBdr>
        <w:top w:val="none" w:sz="0" w:space="0" w:color="auto"/>
        <w:left w:val="none" w:sz="0" w:space="0" w:color="auto"/>
        <w:bottom w:val="none" w:sz="0" w:space="0" w:color="auto"/>
        <w:right w:val="none" w:sz="0" w:space="0" w:color="auto"/>
      </w:divBdr>
    </w:div>
    <w:div w:id="2003461388">
      <w:bodyDiv w:val="1"/>
      <w:marLeft w:val="0"/>
      <w:marRight w:val="0"/>
      <w:marTop w:val="0"/>
      <w:marBottom w:val="0"/>
      <w:divBdr>
        <w:top w:val="none" w:sz="0" w:space="0" w:color="auto"/>
        <w:left w:val="none" w:sz="0" w:space="0" w:color="auto"/>
        <w:bottom w:val="none" w:sz="0" w:space="0" w:color="auto"/>
        <w:right w:val="none" w:sz="0" w:space="0" w:color="auto"/>
      </w:divBdr>
    </w:div>
    <w:div w:id="2008706002">
      <w:bodyDiv w:val="1"/>
      <w:marLeft w:val="0"/>
      <w:marRight w:val="0"/>
      <w:marTop w:val="0"/>
      <w:marBottom w:val="0"/>
      <w:divBdr>
        <w:top w:val="none" w:sz="0" w:space="0" w:color="auto"/>
        <w:left w:val="none" w:sz="0" w:space="0" w:color="auto"/>
        <w:bottom w:val="none" w:sz="0" w:space="0" w:color="auto"/>
        <w:right w:val="none" w:sz="0" w:space="0" w:color="auto"/>
      </w:divBdr>
    </w:div>
    <w:div w:id="2018803202">
      <w:bodyDiv w:val="1"/>
      <w:marLeft w:val="0"/>
      <w:marRight w:val="0"/>
      <w:marTop w:val="0"/>
      <w:marBottom w:val="0"/>
      <w:divBdr>
        <w:top w:val="none" w:sz="0" w:space="0" w:color="auto"/>
        <w:left w:val="none" w:sz="0" w:space="0" w:color="auto"/>
        <w:bottom w:val="none" w:sz="0" w:space="0" w:color="auto"/>
        <w:right w:val="none" w:sz="0" w:space="0" w:color="auto"/>
      </w:divBdr>
    </w:div>
    <w:div w:id="2025664982">
      <w:bodyDiv w:val="1"/>
      <w:marLeft w:val="0"/>
      <w:marRight w:val="0"/>
      <w:marTop w:val="0"/>
      <w:marBottom w:val="0"/>
      <w:divBdr>
        <w:top w:val="none" w:sz="0" w:space="0" w:color="auto"/>
        <w:left w:val="none" w:sz="0" w:space="0" w:color="auto"/>
        <w:bottom w:val="none" w:sz="0" w:space="0" w:color="auto"/>
        <w:right w:val="none" w:sz="0" w:space="0" w:color="auto"/>
      </w:divBdr>
    </w:div>
    <w:div w:id="2042129815">
      <w:bodyDiv w:val="1"/>
      <w:marLeft w:val="0"/>
      <w:marRight w:val="0"/>
      <w:marTop w:val="0"/>
      <w:marBottom w:val="0"/>
      <w:divBdr>
        <w:top w:val="none" w:sz="0" w:space="0" w:color="auto"/>
        <w:left w:val="none" w:sz="0" w:space="0" w:color="auto"/>
        <w:bottom w:val="none" w:sz="0" w:space="0" w:color="auto"/>
        <w:right w:val="none" w:sz="0" w:space="0" w:color="auto"/>
      </w:divBdr>
    </w:div>
    <w:div w:id="2093619960">
      <w:bodyDiv w:val="1"/>
      <w:marLeft w:val="0"/>
      <w:marRight w:val="0"/>
      <w:marTop w:val="0"/>
      <w:marBottom w:val="0"/>
      <w:divBdr>
        <w:top w:val="none" w:sz="0" w:space="0" w:color="auto"/>
        <w:left w:val="none" w:sz="0" w:space="0" w:color="auto"/>
        <w:bottom w:val="none" w:sz="0" w:space="0" w:color="auto"/>
        <w:right w:val="none" w:sz="0" w:space="0" w:color="auto"/>
      </w:divBdr>
    </w:div>
    <w:div w:id="2099253782">
      <w:bodyDiv w:val="1"/>
      <w:marLeft w:val="0"/>
      <w:marRight w:val="0"/>
      <w:marTop w:val="0"/>
      <w:marBottom w:val="0"/>
      <w:divBdr>
        <w:top w:val="none" w:sz="0" w:space="0" w:color="auto"/>
        <w:left w:val="none" w:sz="0" w:space="0" w:color="auto"/>
        <w:bottom w:val="none" w:sz="0" w:space="0" w:color="auto"/>
        <w:right w:val="none" w:sz="0" w:space="0" w:color="auto"/>
      </w:divBdr>
    </w:div>
    <w:div w:id="2105150059">
      <w:bodyDiv w:val="1"/>
      <w:marLeft w:val="0"/>
      <w:marRight w:val="0"/>
      <w:marTop w:val="0"/>
      <w:marBottom w:val="0"/>
      <w:divBdr>
        <w:top w:val="none" w:sz="0" w:space="0" w:color="auto"/>
        <w:left w:val="none" w:sz="0" w:space="0" w:color="auto"/>
        <w:bottom w:val="none" w:sz="0" w:space="0" w:color="auto"/>
        <w:right w:val="none" w:sz="0" w:space="0" w:color="auto"/>
      </w:divBdr>
    </w:div>
    <w:div w:id="2110081834">
      <w:bodyDiv w:val="1"/>
      <w:marLeft w:val="0"/>
      <w:marRight w:val="0"/>
      <w:marTop w:val="0"/>
      <w:marBottom w:val="0"/>
      <w:divBdr>
        <w:top w:val="none" w:sz="0" w:space="0" w:color="auto"/>
        <w:left w:val="none" w:sz="0" w:space="0" w:color="auto"/>
        <w:bottom w:val="none" w:sz="0" w:space="0" w:color="auto"/>
        <w:right w:val="none" w:sz="0" w:space="0" w:color="auto"/>
      </w:divBdr>
    </w:div>
    <w:div w:id="213813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www.infrastructure.gov.au/have-your-say/" TargetMode="External"/><Relationship Id="rId3" Type="http://schemas.openxmlformats.org/officeDocument/2006/relationships/customXml" Target="../customXml/item3.xml"/><Relationship Id="rId21" Type="http://schemas.openxmlformats.org/officeDocument/2006/relationships/hyperlink" Target="http://www.pmc.gov.a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arts.gov.au" TargetMode="Externa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creativecommons.org/licenses/by/4.0/"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ommunications.gov.au" TargetMode="Externa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infrastructure.gov.au"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publishing@communications.gov.au" TargetMode="External"/><Relationship Id="rId27" Type="http://schemas.openxmlformats.org/officeDocument/2006/relationships/hyperlink" Target="mailto:media.reform@communications.gov.au" TargetMode="External"/><Relationship Id="rId30" Type="http://schemas.openxmlformats.org/officeDocument/2006/relationships/header" Target="header6.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6" Type="http://schemas.openxmlformats.org/officeDocument/2006/relationships/hyperlink" Target="https://www.infrastructure.gov.au/sites/default/files/documents/assr--r-tiffen-d-rowe-b-hutchins.pdf" TargetMode="External"/><Relationship Id="rId117" Type="http://schemas.openxmlformats.org/officeDocument/2006/relationships/hyperlink" Target="https://www.legislation.gov.au/Details/C2023C00087" TargetMode="External"/><Relationship Id="rId21" Type="http://schemas.openxmlformats.org/officeDocument/2006/relationships/hyperlink" Target="https://www.infrastructure.gov.au/sites/default/files/documents/assr--optus.pdf" TargetMode="External"/><Relationship Id="rId42" Type="http://schemas.openxmlformats.org/officeDocument/2006/relationships/hyperlink" Target="https://www.infrastructure.gov.au/sites/default/files/documents/assr--commonwealth-games-federation-partnerships.pdf" TargetMode="External"/><Relationship Id="rId47" Type="http://schemas.openxmlformats.org/officeDocument/2006/relationships/hyperlink" Target="https://7news.com.au/sport/world-cup-soccer/womens-world-cup-live-and-free-on-seven-and-7plus-in-2023-matildas-match-times-and-venues-revealed-c-8651319" TargetMode="External"/><Relationship Id="rId63" Type="http://schemas.openxmlformats.org/officeDocument/2006/relationships/hyperlink" Target="https://www.infrastructure.gov.au/sites/default/files/documents/assr--coalition-of-major-professional-and-participation-sports-compps.pdf" TargetMode="External"/><Relationship Id="rId68" Type="http://schemas.openxmlformats.org/officeDocument/2006/relationships/hyperlink" Target="https://www.paralympic.org.au/2023/07/live-coverage-to-feature-stars-of-world-para-athletics/" TargetMode="External"/><Relationship Id="rId84" Type="http://schemas.openxmlformats.org/officeDocument/2006/relationships/hyperlink" Target="https://www.telstra.com.au/coverage-networks/our-network" TargetMode="External"/><Relationship Id="rId89" Type="http://schemas.openxmlformats.org/officeDocument/2006/relationships/hyperlink" Target="https://www.infrastructure.gov.au/sites/default/files/documents/assr--foxtel-group.pdf" TargetMode="External"/><Relationship Id="rId112" Type="http://schemas.openxmlformats.org/officeDocument/2006/relationships/hyperlink" Target="https://www.legislation.gov.au/Details/C2023C00087" TargetMode="External"/><Relationship Id="rId133" Type="http://schemas.openxmlformats.org/officeDocument/2006/relationships/hyperlink" Target="https://www.paralympic.org.au/2022/08/one-year-since-tokyo-analysis-shows-a-resounding-success/" TargetMode="External"/><Relationship Id="rId138" Type="http://schemas.openxmlformats.org/officeDocument/2006/relationships/hyperlink" Target="https://www.afl.com.au/news/837244/afl-reveals-new-broadcast-rights-deal-from-2025" TargetMode="External"/><Relationship Id="rId16" Type="http://schemas.openxmlformats.org/officeDocument/2006/relationships/hyperlink" Target="https://www.legislation.gov.au/Details/F2023L00332" TargetMode="External"/><Relationship Id="rId107" Type="http://schemas.openxmlformats.org/officeDocument/2006/relationships/hyperlink" Target="https://venueshelp.stan.com.au/hc/en-us/articles/4404213256975-Minimum-Internet-Requirements" TargetMode="External"/><Relationship Id="rId11" Type="http://schemas.openxmlformats.org/officeDocument/2006/relationships/hyperlink" Target="https://www.legislation.gov.au/Details/F2023L00332" TargetMode="External"/><Relationship Id="rId32" Type="http://schemas.openxmlformats.org/officeDocument/2006/relationships/hyperlink" Target="https://tv.youtube.com/learn/nflsundayticket/" TargetMode="External"/><Relationship Id="rId37" Type="http://schemas.openxmlformats.org/officeDocument/2006/relationships/hyperlink" Target="https://www2.deloitte.com/au/en/pages/technology-media-and-telecommunications/articles/media-consumer-survey.html" TargetMode="External"/><Relationship Id="rId53" Type="http://schemas.openxmlformats.org/officeDocument/2006/relationships/hyperlink" Target="https://www.sportcal.com/media/france-tv-and-amazon-extend-domestic-roland-garros-rights-until-2027/" TargetMode="External"/><Relationship Id="rId58" Type="http://schemas.openxmlformats.org/officeDocument/2006/relationships/hyperlink" Target="https://www.worldbank.org/en/publication/wdr2016/Digital-Adoption-Index" TargetMode="External"/><Relationship Id="rId74" Type="http://schemas.openxmlformats.org/officeDocument/2006/relationships/hyperlink" Target="https://www.legislation.gov.au/Details/C2023C00068" TargetMode="External"/><Relationship Id="rId79" Type="http://schemas.openxmlformats.org/officeDocument/2006/relationships/hyperlink" Target="https://www.legislation.gov.au/Details/C2023C00087" TargetMode="External"/><Relationship Id="rId102" Type="http://schemas.openxmlformats.org/officeDocument/2006/relationships/hyperlink" Target="https://www.digitalinclusionindex.org.au/dashboard/Affordability.aspx" TargetMode="External"/><Relationship Id="rId123" Type="http://schemas.openxmlformats.org/officeDocument/2006/relationships/hyperlink" Target="https://www.legislation.gov.au/Details/C2023C00068" TargetMode="External"/><Relationship Id="rId128" Type="http://schemas.openxmlformats.org/officeDocument/2006/relationships/hyperlink" Target="https://www.infrastructure.gov.au/sites/default/files/documents/assr--coalition-of-major-professional-and-participation-sports-compps.pdf" TargetMode="External"/><Relationship Id="rId5" Type="http://schemas.openxmlformats.org/officeDocument/2006/relationships/hyperlink" Target="https://www.legislation.gov.au/Details/F2023L00332" TargetMode="External"/><Relationship Id="rId90" Type="http://schemas.openxmlformats.org/officeDocument/2006/relationships/hyperlink" Target="https://www.infrastructure.gov.au/sites/default/files/documents/bcarr-international-comparison-of-fixed-broadband-performance_0.pdf" TargetMode="External"/><Relationship Id="rId95" Type="http://schemas.openxmlformats.org/officeDocument/2006/relationships/hyperlink" Target="https://www.vodafone.com.au/media/vodafone-sets-a-new-5g-high-speed-score-at-the-sydney-cricket-ground" TargetMode="External"/><Relationship Id="rId22" Type="http://schemas.openxmlformats.org/officeDocument/2006/relationships/hyperlink" Target="https://www.infrastructure.gov.au/sites/default/files/documents/anti-siphoning-consultation-paper-oct-2022.pdf" TargetMode="External"/><Relationship Id="rId27" Type="http://schemas.openxmlformats.org/officeDocument/2006/relationships/hyperlink" Target="https://parlinfo.aph.gov.au/parlInfo/search/display/display.w3p;query=Id:%22media/pressrel/SSP10%22" TargetMode="External"/><Relationship Id="rId43" Type="http://schemas.openxmlformats.org/officeDocument/2006/relationships/hyperlink" Target="https://www.inside7.com.au/seven-honoured-at-sport-australia-media-awards/" TargetMode="External"/><Relationship Id="rId48" Type="http://schemas.openxmlformats.org/officeDocument/2006/relationships/hyperlink" Target="https://nielsensports.com/fans-are-changing-the-game-2022-global-sports-marketing-report/" TargetMode="External"/><Relationship Id="rId64" Type="http://schemas.openxmlformats.org/officeDocument/2006/relationships/hyperlink" Target="https://www.infrastructure.gov.au/sites/default/files/documents/assr--free-tv-australia.pdf" TargetMode="External"/><Relationship Id="rId69" Type="http://schemas.openxmlformats.org/officeDocument/2006/relationships/hyperlink" Target="https://www.paralympic.org.au/2023/05/paralympics-australia-secures-landmark-paris-2024-media-rights-deal/" TargetMode="External"/><Relationship Id="rId113" Type="http://schemas.openxmlformats.org/officeDocument/2006/relationships/hyperlink" Target="https://www.legislation.gov.au/Details/C2023C00068" TargetMode="External"/><Relationship Id="rId118" Type="http://schemas.openxmlformats.org/officeDocument/2006/relationships/hyperlink" Target="http://www.legislation.gov.au/Details/F2023L00332" TargetMode="External"/><Relationship Id="rId134" Type="http://schemas.openxmlformats.org/officeDocument/2006/relationships/hyperlink" Target="https://www.footyindustry.com/afl/afl-tv-ratings/2022-afl-tv-ratings-news/" TargetMode="External"/><Relationship Id="rId139" Type="http://schemas.openxmlformats.org/officeDocument/2006/relationships/hyperlink" Target="https://womensagenda.com.au/latest/nrlw-set-for-biggest-season-yet-with-expansion-and-new-broadcast-deal/" TargetMode="External"/><Relationship Id="rId8" Type="http://schemas.openxmlformats.org/officeDocument/2006/relationships/hyperlink" Target="https://www.legislation.gov.au/Details/C2023C00068" TargetMode="External"/><Relationship Id="rId51" Type="http://schemas.openxmlformats.org/officeDocument/2006/relationships/hyperlink" Target="https://www.nytimes.com/2018/06/07/business/media/premier-league-amazon-soccer.html" TargetMode="External"/><Relationship Id="rId72" Type="http://schemas.openxmlformats.org/officeDocument/2006/relationships/hyperlink" Target="https://www.legislation.gov.au/Details/C2023C00068" TargetMode="External"/><Relationship Id="rId80" Type="http://schemas.openxmlformats.org/officeDocument/2006/relationships/hyperlink" Target="https://oztam.com.au/documents/other/avvr-q4-2017-med%20res%20final.pdf" TargetMode="External"/><Relationship Id="rId85" Type="http://schemas.openxmlformats.org/officeDocument/2006/relationships/hyperlink" Target="https://www.legislation.gov.au/Details/C2023C00068" TargetMode="External"/><Relationship Id="rId93" Type="http://schemas.openxmlformats.org/officeDocument/2006/relationships/hyperlink" Target="https://www.telstra.com.au/5g" TargetMode="External"/><Relationship Id="rId98" Type="http://schemas.openxmlformats.org/officeDocument/2006/relationships/hyperlink" Target="https://www.acma.gov.au/sites/default/files/2023-03/HOWWEU~1.PDF" TargetMode="External"/><Relationship Id="rId121" Type="http://schemas.openxmlformats.org/officeDocument/2006/relationships/hyperlink" Target="https://www.legislation.gov.au/Details/C2023C00087" TargetMode="External"/><Relationship Id="rId3" Type="http://schemas.openxmlformats.org/officeDocument/2006/relationships/hyperlink" Target="http://www.legislation.gov.au/Details/F2023L00332" TargetMode="External"/><Relationship Id="rId12" Type="http://schemas.openxmlformats.org/officeDocument/2006/relationships/hyperlink" Target="https://www.legislation.gov.au/Details/C2023C00068" TargetMode="External"/><Relationship Id="rId17" Type="http://schemas.openxmlformats.org/officeDocument/2006/relationships/hyperlink" Target="https://www8.austlii.edu.au/au/legis/cth/bill_em/bsb1992224_2.pdf" TargetMode="External"/><Relationship Id="rId25" Type="http://schemas.openxmlformats.org/officeDocument/2006/relationships/hyperlink" Target="https://www.infrastructure.gov.au/sites/default/files/documents/assr--australian-professional-leagues.pdf" TargetMode="External"/><Relationship Id="rId33" Type="http://schemas.openxmlformats.org/officeDocument/2006/relationships/hyperlink" Target="https://www.kantar.com/inspiration/fmcg/australian-streaming-market-stabilises-despite-1-million-cancellations" TargetMode="External"/><Relationship Id="rId38" Type="http://schemas.openxmlformats.org/officeDocument/2006/relationships/hyperlink" Target="https://foxtelgroup.com.au/newsroom/foxtel-group-fiscal-2023-fourth-quarter-and-full-year-earnings" TargetMode="External"/><Relationship Id="rId46" Type="http://schemas.openxmlformats.org/officeDocument/2006/relationships/hyperlink" Target="https://sport.optus.com.au/news/announcement/os26733/womens-world-cup-2023-fifa-optus-sport" TargetMode="External"/><Relationship Id="rId59" Type="http://schemas.openxmlformats.org/officeDocument/2006/relationships/hyperlink" Target="https://www.ncbi.nlm.nih.gov/pmc/articles/PMC6422909/" TargetMode="External"/><Relationship Id="rId67" Type="http://schemas.openxmlformats.org/officeDocument/2006/relationships/hyperlink" Target="https://www.infrastructure.gov.au/sites/default/files/documents/assr--australians-for-a-murdoch-royal-commission.pdf" TargetMode="External"/><Relationship Id="rId103" Type="http://schemas.openxmlformats.org/officeDocument/2006/relationships/hyperlink" Target="https://www.acma.gov.au/publications/2023-07/report/communications-and-media-australia-trends-and-developments-viewing-and-listening-2021-22" TargetMode="External"/><Relationship Id="rId108" Type="http://schemas.openxmlformats.org/officeDocument/2006/relationships/hyperlink" Target="https://help.paramountplus.com/s/article/PD-How-can-I-fix-streaming-issues-on-my-device" TargetMode="External"/><Relationship Id="rId116" Type="http://schemas.openxmlformats.org/officeDocument/2006/relationships/hyperlink" Target="https://www.legislation.gov.au/Details/C2021A00076" TargetMode="External"/><Relationship Id="rId124" Type="http://schemas.openxmlformats.org/officeDocument/2006/relationships/hyperlink" Target="https://www.legislation.gov.au/Details/C2023C00068" TargetMode="External"/><Relationship Id="rId129" Type="http://schemas.openxmlformats.org/officeDocument/2006/relationships/hyperlink" Target="http://www.legislation.gov.au/Details/F2023L00332" TargetMode="External"/><Relationship Id="rId137" Type="http://schemas.openxmlformats.org/officeDocument/2006/relationships/hyperlink" Target="https://www.paralympic.org.au/2023/05/paralympics-australia-secures-landmark-paris-2024-media-rights-deal/" TargetMode="External"/><Relationship Id="rId20" Type="http://schemas.openxmlformats.org/officeDocument/2006/relationships/hyperlink" Target="https://www.infrastructure.gov.au/sites/default/files/documents/assr--foxtel-group.pdf" TargetMode="External"/><Relationship Id="rId41" Type="http://schemas.openxmlformats.org/officeDocument/2006/relationships/hyperlink" Target="https://www.infrastructure.gov.au/sites/default/files/documents/assr--free-tv-australia.pdf" TargetMode="External"/><Relationship Id="rId54" Type="http://schemas.openxmlformats.org/officeDocument/2006/relationships/hyperlink" Target="https://www.reuters.com/article/us-soccer-italy-seriea-broadcast-idUSKBN2BI20P" TargetMode="External"/><Relationship Id="rId62" Type="http://schemas.openxmlformats.org/officeDocument/2006/relationships/hyperlink" Target="https://www.infrastructure.gov.au/sites/default/files/documents/assr--australian-professional-leagues.pdf" TargetMode="External"/><Relationship Id="rId70" Type="http://schemas.openxmlformats.org/officeDocument/2006/relationships/hyperlink" Target="https://www.legislation.gov.au/Details/C2023C00068" TargetMode="External"/><Relationship Id="rId75" Type="http://schemas.openxmlformats.org/officeDocument/2006/relationships/hyperlink" Target="https://www.legislation.gov.au/Details/C2021A00076" TargetMode="External"/><Relationship Id="rId83" Type="http://schemas.openxmlformats.org/officeDocument/2006/relationships/hyperlink" Target="https://www.infrastructure.gov.au/sites/default/files/bcarr-international-comparison-of-fixed-broadband-performance_0.pdf" TargetMode="External"/><Relationship Id="rId88" Type="http://schemas.openxmlformats.org/officeDocument/2006/relationships/hyperlink" Target="https://www.infrastructure.gov.au/sites/default/files/documents/assr--coalition-of-major-professional-and-participation-sports-compps.pdf" TargetMode="External"/><Relationship Id="rId91" Type="http://schemas.openxmlformats.org/officeDocument/2006/relationships/hyperlink" Target="https://www.infrastructure.gov.au/sites/default/files/bcarr-international-comparison-of-fixed-broadband-performance_0.pdf" TargetMode="External"/><Relationship Id="rId96" Type="http://schemas.openxmlformats.org/officeDocument/2006/relationships/hyperlink" Target="https://www.acma.gov.au/publications/2020-12/report/mobile-only-australia-living-without-fixed-line-home" TargetMode="External"/><Relationship Id="rId111" Type="http://schemas.openxmlformats.org/officeDocument/2006/relationships/hyperlink" Target="https://www.legislation.gov.au/Details/C2023C00068" TargetMode="External"/><Relationship Id="rId132" Type="http://schemas.openxmlformats.org/officeDocument/2006/relationships/hyperlink" Target="https://www.sevenwestmedia.com.au/assets/pdfs/Tokyo-2020-Paralympics-smashes-records.pdf" TargetMode="External"/><Relationship Id="rId140" Type="http://schemas.openxmlformats.org/officeDocument/2006/relationships/hyperlink" Target="https://www.nrl.com/news/2023/07/20/nrlw-2023-when-where-to-watch-round-1-games/" TargetMode="External"/><Relationship Id="rId1" Type="http://schemas.openxmlformats.org/officeDocument/2006/relationships/hyperlink" Target="https://www.legislation.gov.au/Details/F2023L00332" TargetMode="External"/><Relationship Id="rId6" Type="http://schemas.openxmlformats.org/officeDocument/2006/relationships/hyperlink" Target="https://www.infrastructure.gov.au/sites/default/files/documents/anti-siphoning-consultation-paper-oct-2022.pdf" TargetMode="External"/><Relationship Id="rId15" Type="http://schemas.openxmlformats.org/officeDocument/2006/relationships/hyperlink" Target="https://www.infrastructure.gov.au/sites/default/files/documents/anti-siphoning-consultation-paper-oct-2022.pdf" TargetMode="External"/><Relationship Id="rId23" Type="http://schemas.openxmlformats.org/officeDocument/2006/relationships/hyperlink" Target="https://www.freetv.com.au/wp-content/uploads/2022/02/FreeTV_Policy-Manifesto.pdf" TargetMode="External"/><Relationship Id="rId28" Type="http://schemas.openxmlformats.org/officeDocument/2006/relationships/hyperlink" Target="https://www.infrastructure.gov.au/sites/default/files/documents/anti-siphoning-consultation-paper-oct-2022.pdf" TargetMode="External"/><Relationship Id="rId36" Type="http://schemas.openxmlformats.org/officeDocument/2006/relationships/hyperlink" Target="https://www.acma.gov.au/sites/default/files/2023-07/Trends%20and%20developments%20in%20viewing%20and%20listening%202021-22.pdf" TargetMode="External"/><Relationship Id="rId49" Type="http://schemas.openxmlformats.org/officeDocument/2006/relationships/hyperlink" Target="https://www.ofcom.org.uk/__data/assets/pdf_file/0019/240553/Ampere-abridged-report.pdf" TargetMode="External"/><Relationship Id="rId57" Type="http://schemas.openxmlformats.org/officeDocument/2006/relationships/hyperlink" Target="https://www.cnbc.com/2022/09/20/amazon-thursday-night-football-nfl-stream-draws-record-prime-signups.html" TargetMode="External"/><Relationship Id="rId106" Type="http://schemas.openxmlformats.org/officeDocument/2006/relationships/hyperlink" Target="https://support.seven.com.au/7plus/" TargetMode="External"/><Relationship Id="rId114" Type="http://schemas.openxmlformats.org/officeDocument/2006/relationships/hyperlink" Target="https://www.legislation.gov.au/Details/C2023C00068" TargetMode="External"/><Relationship Id="rId119" Type="http://schemas.openxmlformats.org/officeDocument/2006/relationships/hyperlink" Target="https://www.infrastructure.gov.au/sites/default/files/documents/assr--coalition-of-major-professional-and-participation-sports-compps.pdf" TargetMode="External"/><Relationship Id="rId127" Type="http://schemas.openxmlformats.org/officeDocument/2006/relationships/hyperlink" Target="http://www.legislation.gov.au/Details/F2023L00332" TargetMode="External"/><Relationship Id="rId10" Type="http://schemas.openxmlformats.org/officeDocument/2006/relationships/hyperlink" Target="https://www.legislation.gov.au/Details/C2023C00068" TargetMode="External"/><Relationship Id="rId31" Type="http://schemas.openxmlformats.org/officeDocument/2006/relationships/hyperlink" Target="https://www.youtube.com/channel/UCTl3QQTvqHFjurroKxexy2Q" TargetMode="External"/><Relationship Id="rId44" Type="http://schemas.openxmlformats.org/officeDocument/2006/relationships/hyperlink" Target="https://www.sportspromedia.com/news/amazon-prime-swimming-australia-streaming-deal/" TargetMode="External"/><Relationship Id="rId52" Type="http://schemas.openxmlformats.org/officeDocument/2006/relationships/hyperlink" Target="https://www.theguardian.com/football/2021/may/12/premier-league-set-for-45bn-new-tv-deal-with-sky-bt-and-amazon" TargetMode="External"/><Relationship Id="rId60" Type="http://schemas.openxmlformats.org/officeDocument/2006/relationships/hyperlink" Target="https://www.grandviewresearch.com/industry-analysis/video-streaming-market" TargetMode="External"/><Relationship Id="rId65" Type="http://schemas.openxmlformats.org/officeDocument/2006/relationships/hyperlink" Target="https://www.infrastructure.gov.au/sites/default/files/documents/assr--foxtel-group.pdf" TargetMode="External"/><Relationship Id="rId73" Type="http://schemas.openxmlformats.org/officeDocument/2006/relationships/hyperlink" Target="https://www.legislation.gov.au/Details/C2023C00068" TargetMode="External"/><Relationship Id="rId78" Type="http://schemas.openxmlformats.org/officeDocument/2006/relationships/hyperlink" Target="https://www.legislation.gov.au/Details/F2023C00591" TargetMode="External"/><Relationship Id="rId81" Type="http://schemas.openxmlformats.org/officeDocument/2006/relationships/hyperlink" Target="https://www.freetv.com.au/what-we-do/technology-innovation/" TargetMode="External"/><Relationship Id="rId86" Type="http://schemas.openxmlformats.org/officeDocument/2006/relationships/hyperlink" Target="https://www.legislation.gov.au/Details/C2023C00068" TargetMode="External"/><Relationship Id="rId94" Type="http://schemas.openxmlformats.org/officeDocument/2006/relationships/hyperlink" Target="https://www.optus.com.au/portal/site/shop/menuitem.d8ade77814f20d81da238c7e189f01ca/?vgnextoid=894eca92b25cd210VgnVCM100000518c8ec6RCRD&amp;vgnextfmt=default" TargetMode="External"/><Relationship Id="rId99" Type="http://schemas.openxmlformats.org/officeDocument/2006/relationships/hyperlink" Target="https://www.accc.gov.au/system/files/Internet%20Activity%20Report%20-%20December%202022.pdf" TargetMode="External"/><Relationship Id="rId101" Type="http://schemas.openxmlformats.org/officeDocument/2006/relationships/hyperlink" Target="https://www.digitalinclusionindex.org.au/key-findings-and-next-steps/" TargetMode="External"/><Relationship Id="rId122" Type="http://schemas.openxmlformats.org/officeDocument/2006/relationships/hyperlink" Target="https://www.legislation.gov.au/Details/C2023C00068" TargetMode="External"/><Relationship Id="rId130" Type="http://schemas.openxmlformats.org/officeDocument/2006/relationships/hyperlink" Target="https://www.infrastructure.gov.au/sites/default/files/documents/anti-siphoning-consultation-paper-oct-2022.pdf" TargetMode="External"/><Relationship Id="rId135" Type="http://schemas.openxmlformats.org/officeDocument/2006/relationships/hyperlink" Target="https://www.mediaweek.com.au/nrl-grand-final-delivers-nine-big-sydney-audience-but-historically-small-crowd/" TargetMode="External"/><Relationship Id="rId4" Type="http://schemas.openxmlformats.org/officeDocument/2006/relationships/hyperlink" Target="https://www.infrastructure.gov.au/sites/default/files/documents/anti-siphoning-consultation-paper-oct-2022.pdf" TargetMode="External"/><Relationship Id="rId9" Type="http://schemas.openxmlformats.org/officeDocument/2006/relationships/hyperlink" Target="https://www.legislation.gov.au/Details/C2023C00068" TargetMode="External"/><Relationship Id="rId13" Type="http://schemas.openxmlformats.org/officeDocument/2006/relationships/hyperlink" Target="http://www.legislation.gov.au/Details/C2023C00068" TargetMode="External"/><Relationship Id="rId18" Type="http://schemas.openxmlformats.org/officeDocument/2006/relationships/hyperlink" Target="https://www.gov.uk/government/publications/listed-events-digital-rights-review" TargetMode="External"/><Relationship Id="rId39" Type="http://schemas.openxmlformats.org/officeDocument/2006/relationships/hyperlink" Target="https://cdn2.singteldigital.com/content/dam/singtel/investorRelations/financialResults/2023/h2fy23/H2FY23-Group-MDA.pdf" TargetMode="External"/><Relationship Id="rId109" Type="http://schemas.openxmlformats.org/officeDocument/2006/relationships/hyperlink" Target="https://www.accc.gov.au/system/files/MBA%2018%20report%20appendix%209%20August%202022.pdf" TargetMode="External"/><Relationship Id="rId34" Type="http://schemas.openxmlformats.org/officeDocument/2006/relationships/hyperlink" Target="https://www.telsyte.com.au/announcements/2020/08/17/subscription-home-entertainment-soars-in-australia" TargetMode="External"/><Relationship Id="rId50" Type="http://schemas.openxmlformats.org/officeDocument/2006/relationships/hyperlink" Target="https://www.ampereanalysis.com/press/release/dl/streaming-services-will-spend-over-8bn-on-sports-rights-in-2023" TargetMode="External"/><Relationship Id="rId55" Type="http://schemas.openxmlformats.org/officeDocument/2006/relationships/hyperlink" Target="https://www.apple.com/newsroom/2022/03/apple-and-major-league-baseball-to-offer-friday-night-baseball/" TargetMode="External"/><Relationship Id="rId76" Type="http://schemas.openxmlformats.org/officeDocument/2006/relationships/hyperlink" Target="https://www.legislation.gov.au/Details/C2023C00087" TargetMode="External"/><Relationship Id="rId97" Type="http://schemas.openxmlformats.org/officeDocument/2006/relationships/hyperlink" Target="https://www.digitalinclusionindex.org.au/key-findings-and-next-steps/" TargetMode="External"/><Relationship Id="rId104" Type="http://schemas.openxmlformats.org/officeDocument/2006/relationships/hyperlink" Target="https://www.deloitte.com/au/en/Industries/tmt/perspectives/media-consumer-survey.html" TargetMode="External"/><Relationship Id="rId120" Type="http://schemas.openxmlformats.org/officeDocument/2006/relationships/hyperlink" Target="https://www.legislation.gov.au/Details/C2023C00068" TargetMode="External"/><Relationship Id="rId125" Type="http://schemas.openxmlformats.org/officeDocument/2006/relationships/hyperlink" Target="https://www.legislation.gov.au/Details/C2021A00076" TargetMode="External"/><Relationship Id="rId7" Type="http://schemas.openxmlformats.org/officeDocument/2006/relationships/hyperlink" Target="https://www.legislation.gov.au/Details/C2023C00068" TargetMode="External"/><Relationship Id="rId71" Type="http://schemas.openxmlformats.org/officeDocument/2006/relationships/hyperlink" Target="https://www.legislation.gov.au/Details/C2023C00087" TargetMode="External"/><Relationship Id="rId92" Type="http://schemas.openxmlformats.org/officeDocument/2006/relationships/hyperlink" Target="https://www.telstra.com.au/coverage-networks/our-network" TargetMode="External"/><Relationship Id="rId2" Type="http://schemas.openxmlformats.org/officeDocument/2006/relationships/hyperlink" Target="https://www.infrastructure.gov.au/sites/default/files/documents/anti-siphoning-consultation-paper-oct-2022.pdf" TargetMode="External"/><Relationship Id="rId29" Type="http://schemas.openxmlformats.org/officeDocument/2006/relationships/hyperlink" Target="https://www.youtube.com/AFL" TargetMode="External"/><Relationship Id="rId24" Type="http://schemas.openxmlformats.org/officeDocument/2006/relationships/hyperlink" Target="https://www.infrastructure.gov.au/media-communications-arts/television/television-media-surveys" TargetMode="External"/><Relationship Id="rId40" Type="http://schemas.openxmlformats.org/officeDocument/2006/relationships/hyperlink" Target="https://www.infrastructure.gov.au/sites/default/files/documents/assr--coalition-of-major-professional-and-participation-sports-compps.pdf" TargetMode="External"/><Relationship Id="rId45" Type="http://schemas.openxmlformats.org/officeDocument/2006/relationships/hyperlink" Target="https://www.theguardian.com/media/2023/jun/23/ten-network-drops-bid-to-secure-melbourne-cup-rights-over-tabcorp-deal" TargetMode="External"/><Relationship Id="rId66" Type="http://schemas.openxmlformats.org/officeDocument/2006/relationships/hyperlink" Target="https://www.infrastructure.gov.au/sites/default/files/documents/assr--optus.pdf" TargetMode="External"/><Relationship Id="rId87" Type="http://schemas.openxmlformats.org/officeDocument/2006/relationships/hyperlink" Target="http://www.legislation.gov.au/Details/F2023L00332" TargetMode="External"/><Relationship Id="rId110" Type="http://schemas.openxmlformats.org/officeDocument/2006/relationships/hyperlink" Target="https://www.smh.com.au/business/companies/after-optus-sport-fail-sbs-to-simulcast-rest-of-2018-world-cup-20180628-p4zoaf.html" TargetMode="External"/><Relationship Id="rId115" Type="http://schemas.openxmlformats.org/officeDocument/2006/relationships/hyperlink" Target="https://www.legislation.gov.au/Details/C2023C00068" TargetMode="External"/><Relationship Id="rId131" Type="http://schemas.openxmlformats.org/officeDocument/2006/relationships/hyperlink" Target="https://www.infrastructure.gov.au/sites/default/files/documents/assr--coalition-of-major-professional-and-participation-sports-compps.pdf" TargetMode="External"/><Relationship Id="rId136" Type="http://schemas.openxmlformats.org/officeDocument/2006/relationships/hyperlink" Target="https://www.smh.com.au/sport/nrl/nrlw-television-ratings-soar-in-bumper-2022-season-20220407-p5abp8.html" TargetMode="External"/><Relationship Id="rId61" Type="http://schemas.openxmlformats.org/officeDocument/2006/relationships/hyperlink" Target="https://www.foxsports.com.au/women-in-sport/international-womens-day-2022-growth-of-womens-sport-market-research-by-fox-sports-tv-audiences-participation/news-story/dbda91408a07a9f235f1dcf1bd4025a5" TargetMode="External"/><Relationship Id="rId82" Type="http://schemas.openxmlformats.org/officeDocument/2006/relationships/hyperlink" Target="https://www.infrastructure.gov.au/sites/default/files/documents/bcarr-international-comparison-of-fixed-broadband-performance_0.pdf" TargetMode="External"/><Relationship Id="rId19" Type="http://schemas.openxmlformats.org/officeDocument/2006/relationships/hyperlink" Target="https://www.infrastructure.gov.au/sites/default/files/documents/assr--free-tv-australia.pdf" TargetMode="External"/><Relationship Id="rId14" Type="http://schemas.openxmlformats.org/officeDocument/2006/relationships/hyperlink" Target="https://www.infrastructure.gov.au/sites/default/files/documents/anti-siphoning-consultation-paper-oct-2022.pdf" TargetMode="External"/><Relationship Id="rId30" Type="http://schemas.openxmlformats.org/officeDocument/2006/relationships/hyperlink" Target="https://www.youtube.com/@NRL" TargetMode="External"/><Relationship Id="rId35" Type="http://schemas.openxmlformats.org/officeDocument/2006/relationships/hyperlink" Target="https://www.telsyte.com.au/announcements/2022/8/29/subscription-entertainment-defies-rising-cost-of-living-pressures" TargetMode="External"/><Relationship Id="rId56" Type="http://schemas.openxmlformats.org/officeDocument/2006/relationships/hyperlink" Target="https://www.nytimes.com/2021/03/18/sports/football/nfl-tv-contracts.html" TargetMode="External"/><Relationship Id="rId77" Type="http://schemas.openxmlformats.org/officeDocument/2006/relationships/hyperlink" Target="https://www.legislation.gov.au/Details/C2023C00068" TargetMode="External"/><Relationship Id="rId100" Type="http://schemas.openxmlformats.org/officeDocument/2006/relationships/hyperlink" Target="https://www.acma.gov.au/sites/default/files/2023-03/How%20we%20use%20the%20internet_data%20file.csv" TargetMode="External"/><Relationship Id="rId105" Type="http://schemas.openxmlformats.org/officeDocument/2006/relationships/hyperlink" Target="https://help.kayosports.com.au/s/article/What-internet-speed-do-I-need-to-use-Kayo" TargetMode="External"/><Relationship Id="rId126" Type="http://schemas.openxmlformats.org/officeDocument/2006/relationships/hyperlink" Target="https://www.legislation.gov.au/Details/C2023C000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065329B6A24FB4AA8297457C7EC89CD" ma:contentTypeVersion="" ma:contentTypeDescription="PDMS Document Site Content Type" ma:contentTypeScope="" ma:versionID="76d598a7a5b777deeda71415bdc29b0d">
  <xsd:schema xmlns:xsd="http://www.w3.org/2001/XMLSchema" xmlns:xs="http://www.w3.org/2001/XMLSchema" xmlns:p="http://schemas.microsoft.com/office/2006/metadata/properties" xmlns:ns2="E995FC5B-FDDC-4158-B77D-FEFFF6AB423D" targetNamespace="http://schemas.microsoft.com/office/2006/metadata/properties" ma:root="true" ma:fieldsID="1f3e826629c78661bb7f73557b9260e6" ns2:_="">
    <xsd:import namespace="E995FC5B-FDDC-4158-B77D-FEFFF6AB423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5FC5B-FDDC-4158-B77D-FEFFF6AB423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995FC5B-FDDC-4158-B77D-FEFFF6AB423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4A18D1-2ABC-4224-984E-7AE8354D832B}">
  <ds:schemaRefs>
    <ds:schemaRef ds:uri="http://schemas.microsoft.com/sharepoint/v3/contenttype/forms"/>
  </ds:schemaRefs>
</ds:datastoreItem>
</file>

<file path=customXml/itemProps3.xml><?xml version="1.0" encoding="utf-8"?>
<ds:datastoreItem xmlns:ds="http://schemas.openxmlformats.org/officeDocument/2006/customXml" ds:itemID="{292B9322-05D1-41D7-8F48-7B94CA01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5FC5B-FDDC-4158-B77D-FEFFF6AB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CDF522-AA35-47EA-A0D7-7800708F8C83}">
  <ds:schemaRefs>
    <ds:schemaRef ds:uri="http://purl.org/dc/terms/"/>
    <ds:schemaRef ds:uri="http://schemas.microsoft.com/office/2006/metadata/properties"/>
    <ds:schemaRef ds:uri="http://schemas.microsoft.com/office/2006/documentManagement/types"/>
    <ds:schemaRef ds:uri="E995FC5B-FDDC-4158-B77D-FEFFF6AB423D"/>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5BA282DC-4F07-4249-89A7-EAB67A5F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template_29092022.dotx</Template>
  <TotalTime>1</TotalTime>
  <Pages>72</Pages>
  <Words>28923</Words>
  <Characters>164867</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Anti-siphoning review: proposals paper</vt:lpstr>
    </vt:vector>
  </TitlesOfParts>
  <Company>Department of Infrastructure &amp; Regional Development</Company>
  <LinksUpToDate>false</LinksUpToDate>
  <CharactersWithSpaces>193404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Anti-siphoning review: proposals paper</dc:title>
  <dc:subject/>
  <dc:creator>Michelle Denison-Edson</dc:creator>
  <cp:keywords/>
  <dc:description/>
  <cp:lastModifiedBy>Fatakia, Sheena</cp:lastModifiedBy>
  <cp:revision>2</cp:revision>
  <cp:lastPrinted>2023-08-18T04:09:00Z</cp:lastPrinted>
  <dcterms:created xsi:type="dcterms:W3CDTF">2023-08-18T06:17:00Z</dcterms:created>
  <dcterms:modified xsi:type="dcterms:W3CDTF">2023-08-18T06:17:00Z</dcterms:modified>
  <cp:contentStatus>OFFICIAL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0x010100266966F133664895A6EE3632470D45F5009065329B6A24FB4AA8297457C7EC89CD</vt:lpwstr>
  </property>
</Properties>
</file>